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F7DB2" w14:textId="77777777" w:rsidR="00582B96" w:rsidRDefault="00582B96"/>
    <w:p w14:paraId="252DD263" w14:textId="77777777" w:rsidR="007328AA" w:rsidRDefault="007328AA"/>
    <w:p w14:paraId="69ECF5AE" w14:textId="77777777" w:rsidR="007328AA" w:rsidRDefault="007328AA"/>
    <w:p w14:paraId="429A0C9F" w14:textId="77777777" w:rsidR="007328AA" w:rsidRDefault="007328AA"/>
    <w:p w14:paraId="2AE305A2" w14:textId="77777777" w:rsidR="007328AA" w:rsidRDefault="007328AA"/>
    <w:p w14:paraId="625BD178" w14:textId="77777777" w:rsidR="007328AA" w:rsidRDefault="007328AA"/>
    <w:p w14:paraId="777FDC94" w14:textId="77777777" w:rsidR="007328AA" w:rsidRDefault="007328AA"/>
    <w:p w14:paraId="7F3E20DC" w14:textId="77777777" w:rsidR="007328AA" w:rsidRDefault="007328AA"/>
    <w:p w14:paraId="0D7F84F2" w14:textId="77777777" w:rsidR="007328AA" w:rsidRDefault="007328AA"/>
    <w:p w14:paraId="701BF67A" w14:textId="77777777" w:rsidR="007328AA" w:rsidRDefault="007328AA"/>
    <w:p w14:paraId="7BCB99DB" w14:textId="77777777" w:rsidR="007328AA" w:rsidRDefault="007328AA"/>
    <w:p w14:paraId="4CDA6A5B" w14:textId="77777777" w:rsidR="007328AA" w:rsidRDefault="007328AA"/>
    <w:p w14:paraId="722F1260" w14:textId="77777777" w:rsidR="007328AA" w:rsidRDefault="007328AA"/>
    <w:p w14:paraId="12E0ED9B" w14:textId="77777777" w:rsidR="007328AA" w:rsidRDefault="007328AA"/>
    <w:p w14:paraId="5A08092E" w14:textId="77777777" w:rsidR="007328AA" w:rsidRDefault="007328AA"/>
    <w:p w14:paraId="01551A8F" w14:textId="77777777" w:rsidR="007328AA" w:rsidRDefault="007328AA"/>
    <w:p w14:paraId="38E88231" w14:textId="77777777" w:rsidR="007328AA" w:rsidRDefault="007328AA"/>
    <w:p w14:paraId="4AD76C04" w14:textId="77777777" w:rsidR="007328AA" w:rsidRDefault="007328AA"/>
    <w:p w14:paraId="4557AF11" w14:textId="77777777" w:rsidR="007328AA" w:rsidRDefault="007328AA"/>
    <w:p w14:paraId="4FE4024E" w14:textId="77777777" w:rsidR="007328AA" w:rsidRDefault="007328AA"/>
    <w:p w14:paraId="79395016" w14:textId="77777777" w:rsidR="007328AA" w:rsidRDefault="007328AA"/>
    <w:p w14:paraId="26C24F75" w14:textId="77777777" w:rsidR="007328AA" w:rsidRDefault="007328AA"/>
    <w:p w14:paraId="076F11E6" w14:textId="77777777" w:rsidR="007328AA" w:rsidRDefault="007328AA"/>
    <w:p w14:paraId="4B0E6897" w14:textId="77777777" w:rsidR="007328AA" w:rsidRDefault="007328AA"/>
    <w:p w14:paraId="02CF4000" w14:textId="77777777" w:rsidR="007328AA" w:rsidRDefault="007328AA"/>
    <w:p w14:paraId="63D6FCFD" w14:textId="77777777" w:rsidR="007328AA" w:rsidRDefault="007328AA"/>
    <w:p w14:paraId="49B47092" w14:textId="77777777" w:rsidR="007328AA" w:rsidRDefault="007328AA"/>
    <w:p w14:paraId="2A4F68C8" w14:textId="77777777" w:rsidR="007328AA" w:rsidRDefault="007328AA"/>
    <w:p w14:paraId="43738F08" w14:textId="77777777" w:rsidR="007328AA" w:rsidRDefault="007328AA"/>
    <w:p w14:paraId="4342FF98" w14:textId="77777777" w:rsidR="007328AA" w:rsidRDefault="007328AA"/>
    <w:p w14:paraId="7C545450" w14:textId="77777777" w:rsidR="007328AA" w:rsidRDefault="007328AA"/>
    <w:p w14:paraId="4A33890F" w14:textId="77777777" w:rsidR="007328AA" w:rsidRDefault="007328AA"/>
    <w:p w14:paraId="361DD200" w14:textId="77777777" w:rsidR="007328AA" w:rsidRDefault="007328AA"/>
    <w:p w14:paraId="310E23C4" w14:textId="77777777" w:rsidR="007328AA" w:rsidRDefault="007328AA"/>
    <w:p w14:paraId="067EE0E9" w14:textId="77777777" w:rsidR="007328AA" w:rsidRDefault="007328AA"/>
    <w:p w14:paraId="4C8701CB" w14:textId="77777777" w:rsidR="007328AA" w:rsidRDefault="007328AA"/>
    <w:p w14:paraId="725C9698" w14:textId="77777777" w:rsidR="007328AA" w:rsidRDefault="007328AA"/>
    <w:p w14:paraId="650A3ADB" w14:textId="77777777" w:rsidR="007328AA" w:rsidRDefault="007328AA"/>
    <w:p w14:paraId="5480C44A" w14:textId="77777777" w:rsidR="007328AA" w:rsidRDefault="007328AA"/>
    <w:p w14:paraId="6AF737D4" w14:textId="77777777" w:rsidR="007328AA" w:rsidRDefault="007328AA"/>
    <w:p w14:paraId="29259DE7" w14:textId="77777777" w:rsidR="007328AA" w:rsidRDefault="007328AA"/>
    <w:p w14:paraId="23277153" w14:textId="77777777" w:rsidR="007328AA" w:rsidRDefault="007328AA"/>
    <w:p w14:paraId="3B333ECA" w14:textId="77777777" w:rsidR="007328AA" w:rsidRDefault="007328AA"/>
    <w:p w14:paraId="37FCA9B8" w14:textId="77777777" w:rsidR="007328AA" w:rsidRDefault="007328AA"/>
    <w:p w14:paraId="7307C59E" w14:textId="77777777" w:rsidR="007328AA" w:rsidRDefault="007328AA"/>
    <w:p w14:paraId="0C352D12" w14:textId="77777777" w:rsidR="007328AA" w:rsidRDefault="007328AA"/>
    <w:p w14:paraId="6F0EC9F4" w14:textId="77777777" w:rsidR="007328AA" w:rsidRDefault="007328AA"/>
    <w:p w14:paraId="25667B3F" w14:textId="77777777" w:rsidR="007328AA" w:rsidRDefault="007328AA"/>
    <w:p w14:paraId="6792DF0D" w14:textId="77777777" w:rsidR="007328AA" w:rsidRDefault="007328AA"/>
    <w:p w14:paraId="0883D449" w14:textId="77777777" w:rsidR="007328AA" w:rsidRDefault="007328AA"/>
    <w:p w14:paraId="4473B0D6" w14:textId="77777777" w:rsidR="007328AA" w:rsidRDefault="007328AA"/>
    <w:p w14:paraId="2553E40D" w14:textId="77777777" w:rsidR="007328AA" w:rsidRDefault="007328AA"/>
    <w:p w14:paraId="1E608630" w14:textId="77777777" w:rsidR="007328AA" w:rsidRDefault="007328AA"/>
    <w:p w14:paraId="7808B381" w14:textId="77777777" w:rsidR="007328AA" w:rsidRDefault="007328AA"/>
    <w:p w14:paraId="00DB546D" w14:textId="77777777" w:rsidR="007328AA" w:rsidRDefault="007328AA"/>
    <w:p w14:paraId="7942971C" w14:textId="77777777" w:rsidR="007328AA" w:rsidRDefault="007328AA"/>
    <w:p w14:paraId="0AAC1240" w14:textId="77777777" w:rsidR="007328AA" w:rsidRDefault="007328AA"/>
    <w:p w14:paraId="0644D0AF" w14:textId="77777777" w:rsidR="007328AA" w:rsidRDefault="007328AA"/>
    <w:p w14:paraId="19067C3A" w14:textId="77777777" w:rsidR="007328AA" w:rsidRDefault="007328AA"/>
    <w:p w14:paraId="28D88ED2" w14:textId="77777777" w:rsidR="007328AA" w:rsidRDefault="007328AA"/>
    <w:p w14:paraId="16EBC849" w14:textId="77777777" w:rsidR="007328AA" w:rsidRDefault="007328AA"/>
    <w:p w14:paraId="6E6F629F" w14:textId="77777777" w:rsidR="007328AA" w:rsidRDefault="007328AA"/>
    <w:p w14:paraId="42276041" w14:textId="77777777" w:rsidR="007328AA" w:rsidRDefault="007328AA"/>
    <w:p w14:paraId="7BA46611" w14:textId="77777777" w:rsidR="007328AA" w:rsidRDefault="007328AA"/>
    <w:p w14:paraId="6CEC8CD0" w14:textId="77777777" w:rsidR="007328AA" w:rsidRDefault="007328AA"/>
    <w:p w14:paraId="49E30478" w14:textId="77777777" w:rsidR="007328AA" w:rsidRDefault="007328AA"/>
    <w:p w14:paraId="252F41A4" w14:textId="77777777" w:rsidR="007328AA" w:rsidRDefault="007328AA"/>
    <w:p w14:paraId="20F60673" w14:textId="77777777" w:rsidR="007328AA" w:rsidRDefault="007328AA"/>
    <w:p w14:paraId="19622366" w14:textId="77777777" w:rsidR="007328AA" w:rsidRDefault="007328AA"/>
    <w:p w14:paraId="64F4CDAE" w14:textId="77777777" w:rsidR="007328AA" w:rsidRDefault="007328AA"/>
    <w:p w14:paraId="1E836CF2" w14:textId="77777777" w:rsidR="007328AA" w:rsidRDefault="007328AA"/>
    <w:p w14:paraId="32F7467F" w14:textId="77777777" w:rsidR="007328AA" w:rsidRDefault="007328AA"/>
    <w:p w14:paraId="53585405" w14:textId="77777777" w:rsidR="007328AA" w:rsidRDefault="007328AA"/>
    <w:p w14:paraId="7E9C3481" w14:textId="77777777" w:rsidR="007328AA" w:rsidRDefault="007328AA"/>
    <w:p w14:paraId="49974042" w14:textId="77777777" w:rsidR="007328AA" w:rsidRDefault="007328AA"/>
    <w:p w14:paraId="4A890682" w14:textId="77777777" w:rsidR="007328AA" w:rsidRDefault="007328AA"/>
    <w:p w14:paraId="05CB7D9A" w14:textId="77777777" w:rsidR="007328AA" w:rsidRDefault="007328AA"/>
    <w:p w14:paraId="6A9E1E49" w14:textId="77777777" w:rsidR="007328AA" w:rsidRDefault="007328AA"/>
    <w:p w14:paraId="4EFCD034" w14:textId="77777777" w:rsidR="007328AA" w:rsidRDefault="007328AA"/>
    <w:p w14:paraId="53CC3421" w14:textId="77777777" w:rsidR="007328AA" w:rsidRDefault="007328AA"/>
    <w:p w14:paraId="5BF8BCA3" w14:textId="77777777" w:rsidR="007328AA" w:rsidRDefault="007328AA"/>
    <w:p w14:paraId="7069B392" w14:textId="77777777" w:rsidR="007328AA" w:rsidRDefault="007328AA"/>
    <w:p w14:paraId="221AD9A2" w14:textId="77777777" w:rsidR="007328AA" w:rsidRDefault="007328AA"/>
    <w:p w14:paraId="7B1BDD69" w14:textId="77777777" w:rsidR="007328AA" w:rsidRDefault="007328AA"/>
    <w:p w14:paraId="770A02DF" w14:textId="77777777" w:rsidR="007328AA" w:rsidRDefault="007328AA"/>
    <w:p w14:paraId="561D1D6C" w14:textId="77777777" w:rsidR="007328AA" w:rsidRDefault="007328AA"/>
    <w:p w14:paraId="35FE8E2E" w14:textId="77777777" w:rsidR="007328AA" w:rsidRDefault="007328AA"/>
    <w:p w14:paraId="01A13B4E" w14:textId="77777777" w:rsidR="007328AA" w:rsidRDefault="007328AA"/>
    <w:p w14:paraId="216CC27B" w14:textId="77777777" w:rsidR="007328AA" w:rsidRDefault="007328AA"/>
    <w:p w14:paraId="646DA36D" w14:textId="77777777" w:rsidR="007328AA" w:rsidRDefault="007328AA"/>
    <w:p w14:paraId="5D238186" w14:textId="77777777" w:rsidR="007328AA" w:rsidRDefault="007328AA"/>
    <w:p w14:paraId="362CC9A5" w14:textId="77777777" w:rsidR="007328AA" w:rsidRDefault="007328AA"/>
    <w:p w14:paraId="6F40A238" w14:textId="77777777" w:rsidR="007328AA" w:rsidRDefault="007328AA"/>
    <w:p w14:paraId="1D9C3209" w14:textId="77777777" w:rsidR="007328AA" w:rsidRDefault="007328AA"/>
    <w:p w14:paraId="0C384822" w14:textId="77777777" w:rsidR="007328AA" w:rsidRDefault="007328AA"/>
    <w:p w14:paraId="6633F10E" w14:textId="77777777" w:rsidR="007328AA" w:rsidRDefault="007328AA"/>
    <w:p w14:paraId="71B38278" w14:textId="77777777" w:rsidR="007328AA" w:rsidRDefault="007328AA"/>
    <w:p w14:paraId="0EA13460" w14:textId="77777777" w:rsidR="007328AA" w:rsidRDefault="007328AA"/>
    <w:p w14:paraId="5963073D" w14:textId="77777777" w:rsidR="007328AA" w:rsidRDefault="007328AA"/>
    <w:p w14:paraId="47198A1F" w14:textId="77777777" w:rsidR="007328AA" w:rsidRDefault="007328AA"/>
    <w:p w14:paraId="39D4B4BC" w14:textId="77777777" w:rsidR="007328AA" w:rsidRDefault="007328AA"/>
    <w:p w14:paraId="3026523C" w14:textId="77777777" w:rsidR="007328AA" w:rsidRDefault="007328AA"/>
    <w:p w14:paraId="492D9BA4" w14:textId="77777777" w:rsidR="007328AA" w:rsidRDefault="007328AA"/>
    <w:p w14:paraId="75B8C63B" w14:textId="77777777" w:rsidR="007328AA" w:rsidRDefault="007328AA"/>
    <w:p w14:paraId="4C99B59A" w14:textId="77777777" w:rsidR="007328AA" w:rsidRDefault="007328AA"/>
    <w:p w14:paraId="3FD8ABA3" w14:textId="77777777" w:rsidR="007328AA" w:rsidRDefault="007328AA"/>
    <w:p w14:paraId="763D6C1F" w14:textId="77777777" w:rsidR="007328AA" w:rsidRDefault="007328AA"/>
    <w:p w14:paraId="2D69CE49" w14:textId="77777777" w:rsidR="007328AA" w:rsidRDefault="007328AA"/>
    <w:p w14:paraId="4F1B8516" w14:textId="77777777" w:rsidR="007328AA" w:rsidRDefault="007328AA"/>
    <w:p w14:paraId="6DCD6A2A" w14:textId="77777777" w:rsidR="007328AA" w:rsidRDefault="007328AA"/>
    <w:p w14:paraId="7C6ED0E7" w14:textId="77777777" w:rsidR="007328AA" w:rsidRDefault="007328AA"/>
    <w:p w14:paraId="425133AA" w14:textId="77777777" w:rsidR="007328AA" w:rsidRDefault="007328AA"/>
    <w:p w14:paraId="4037E370" w14:textId="77777777" w:rsidR="007328AA" w:rsidRDefault="007328AA"/>
    <w:p w14:paraId="3B1D21FE" w14:textId="77777777" w:rsidR="007328AA" w:rsidRDefault="007328AA"/>
    <w:p w14:paraId="67ADF319" w14:textId="77777777" w:rsidR="007328AA" w:rsidRDefault="007328AA"/>
    <w:p w14:paraId="17540085" w14:textId="77777777" w:rsidR="007328AA" w:rsidRDefault="007328AA"/>
    <w:p w14:paraId="0CA49A27" w14:textId="77777777" w:rsidR="007328AA" w:rsidRDefault="007328AA"/>
    <w:p w14:paraId="21BA879D" w14:textId="77777777" w:rsidR="007328AA" w:rsidRDefault="007328AA"/>
    <w:p w14:paraId="0BF1436B" w14:textId="77777777" w:rsidR="007328AA" w:rsidRDefault="007328AA"/>
    <w:p w14:paraId="41B407E2" w14:textId="77777777" w:rsidR="007328AA" w:rsidRDefault="007328AA"/>
    <w:p w14:paraId="329F42CB" w14:textId="77777777" w:rsidR="007328AA" w:rsidRDefault="007328AA"/>
    <w:p w14:paraId="22D2297C" w14:textId="77777777" w:rsidR="007328AA" w:rsidRDefault="007328AA"/>
    <w:p w14:paraId="738E3550" w14:textId="77777777" w:rsidR="007328AA" w:rsidRDefault="007328AA"/>
    <w:p w14:paraId="31A031E7" w14:textId="77777777" w:rsidR="007328AA" w:rsidRDefault="007328AA"/>
    <w:p w14:paraId="69A73DDD" w14:textId="77777777" w:rsidR="007328AA" w:rsidRDefault="007328AA"/>
    <w:p w14:paraId="4FFD240C" w14:textId="77777777" w:rsidR="007328AA" w:rsidRDefault="007328AA"/>
    <w:p w14:paraId="3D5CB541" w14:textId="77777777" w:rsidR="007328AA" w:rsidRDefault="007328AA"/>
    <w:p w14:paraId="28A250BD" w14:textId="77777777" w:rsidR="007328AA" w:rsidRDefault="007328AA"/>
    <w:p w14:paraId="76001921" w14:textId="77777777" w:rsidR="007328AA" w:rsidRDefault="007328AA"/>
    <w:p w14:paraId="7CD10936" w14:textId="77777777" w:rsidR="007328AA" w:rsidRDefault="007328AA"/>
    <w:p w14:paraId="7A5B5121" w14:textId="77777777" w:rsidR="007328AA" w:rsidRDefault="007328AA"/>
    <w:p w14:paraId="1C444A37" w14:textId="77777777" w:rsidR="007328AA" w:rsidRDefault="007328AA"/>
    <w:p w14:paraId="02DFD0C3" w14:textId="77777777" w:rsidR="007328AA" w:rsidRDefault="007328AA"/>
    <w:p w14:paraId="5F5885D4" w14:textId="77777777" w:rsidR="007328AA" w:rsidRDefault="007328AA"/>
    <w:p w14:paraId="621310AC" w14:textId="77777777" w:rsidR="007328AA" w:rsidRDefault="007328AA"/>
    <w:p w14:paraId="10739498" w14:textId="77777777" w:rsidR="007328AA" w:rsidRDefault="007328AA"/>
    <w:p w14:paraId="3D18333B" w14:textId="77777777" w:rsidR="007328AA" w:rsidRDefault="007328AA"/>
    <w:p w14:paraId="6472381F" w14:textId="77777777" w:rsidR="007328AA" w:rsidRDefault="007328AA"/>
    <w:p w14:paraId="0CDFE75D" w14:textId="77777777" w:rsidR="007328AA" w:rsidRDefault="007328AA"/>
    <w:p w14:paraId="04BB960F" w14:textId="77777777" w:rsidR="007328AA" w:rsidRDefault="007328AA"/>
    <w:p w14:paraId="2B786490" w14:textId="77777777" w:rsidR="007328AA" w:rsidRDefault="007328AA"/>
    <w:p w14:paraId="44B6BB1C" w14:textId="77777777" w:rsidR="007328AA" w:rsidRDefault="007328AA"/>
    <w:p w14:paraId="3134EFFF" w14:textId="77777777" w:rsidR="007328AA" w:rsidRDefault="007328AA"/>
    <w:p w14:paraId="56E7E6C6" w14:textId="77777777" w:rsidR="007328AA" w:rsidRDefault="007328AA"/>
    <w:p w14:paraId="198D0B4E" w14:textId="77777777" w:rsidR="007328AA" w:rsidRDefault="007328AA"/>
    <w:p w14:paraId="52F76CDA" w14:textId="77777777" w:rsidR="007328AA" w:rsidRDefault="007328AA"/>
    <w:p w14:paraId="7917C5E7" w14:textId="77777777" w:rsidR="007328AA" w:rsidRDefault="007328AA"/>
    <w:p w14:paraId="20101F8A" w14:textId="77777777" w:rsidR="007328AA" w:rsidRDefault="007328AA"/>
    <w:p w14:paraId="2596A4E9" w14:textId="77777777" w:rsidR="007328AA" w:rsidRDefault="007328AA"/>
    <w:p w14:paraId="1F4145D4" w14:textId="77777777" w:rsidR="007328AA" w:rsidRDefault="007328AA"/>
    <w:p w14:paraId="26209EEC" w14:textId="77777777" w:rsidR="007328AA" w:rsidRDefault="007328AA"/>
    <w:p w14:paraId="4C7D9375" w14:textId="77777777" w:rsidR="007328AA" w:rsidRDefault="007328AA"/>
    <w:p w14:paraId="088ED389" w14:textId="77777777" w:rsidR="007328AA" w:rsidRDefault="007328AA"/>
    <w:p w14:paraId="6A55F50D" w14:textId="77777777" w:rsidR="007328AA" w:rsidRDefault="007328AA"/>
    <w:p w14:paraId="7EA6DC18" w14:textId="77777777" w:rsidR="007328AA" w:rsidRDefault="007328AA"/>
    <w:p w14:paraId="625685E5" w14:textId="77777777" w:rsidR="007328AA" w:rsidRDefault="007328AA"/>
    <w:p w14:paraId="2C5B81BA" w14:textId="77777777" w:rsidR="007328AA" w:rsidRDefault="007328AA"/>
    <w:p w14:paraId="4D8C86C0" w14:textId="77777777" w:rsidR="007328AA" w:rsidRDefault="007328AA"/>
    <w:p w14:paraId="231A46D9" w14:textId="77777777" w:rsidR="007328AA" w:rsidRDefault="007328AA"/>
    <w:p w14:paraId="421CB72B" w14:textId="77777777" w:rsidR="007328AA" w:rsidRDefault="007328AA"/>
    <w:p w14:paraId="62ABB945" w14:textId="77777777" w:rsidR="007328AA" w:rsidRDefault="007328AA"/>
    <w:p w14:paraId="70EF854C" w14:textId="77777777" w:rsidR="007328AA" w:rsidRDefault="007328AA"/>
    <w:p w14:paraId="2FD9B0C4" w14:textId="77777777" w:rsidR="007328AA" w:rsidRDefault="007328AA"/>
    <w:p w14:paraId="4D5F284B" w14:textId="77777777" w:rsidR="007328AA" w:rsidRDefault="007328AA"/>
    <w:p w14:paraId="56999DF6" w14:textId="77777777" w:rsidR="007328AA" w:rsidRDefault="007328AA"/>
    <w:p w14:paraId="5E4DC29A" w14:textId="77777777" w:rsidR="007328AA" w:rsidRDefault="007328AA"/>
    <w:p w14:paraId="682F7EC9" w14:textId="77777777" w:rsidR="007328AA" w:rsidRDefault="007328AA"/>
    <w:p w14:paraId="011FD3FE" w14:textId="77777777" w:rsidR="007328AA" w:rsidRDefault="007328AA"/>
    <w:p w14:paraId="3D146B20" w14:textId="77777777" w:rsidR="007328AA" w:rsidRDefault="007328AA"/>
    <w:p w14:paraId="535E78C7" w14:textId="77777777" w:rsidR="007328AA" w:rsidRDefault="007328AA"/>
    <w:p w14:paraId="6A4C3A8A" w14:textId="77777777" w:rsidR="007328AA" w:rsidRDefault="007328AA"/>
    <w:p w14:paraId="096EAE95" w14:textId="77777777" w:rsidR="007328AA" w:rsidRDefault="007328AA"/>
    <w:p w14:paraId="762C3390" w14:textId="77777777" w:rsidR="007328AA" w:rsidRDefault="007328AA"/>
    <w:p w14:paraId="18C30650" w14:textId="77777777" w:rsidR="007328AA" w:rsidRDefault="007328AA"/>
    <w:p w14:paraId="0CD5ED3A" w14:textId="77777777" w:rsidR="007328AA" w:rsidRDefault="007328AA"/>
    <w:p w14:paraId="05FA8C76" w14:textId="77777777" w:rsidR="007328AA" w:rsidRDefault="007328AA"/>
    <w:p w14:paraId="77EB3BCB" w14:textId="77777777" w:rsidR="007328AA" w:rsidRDefault="007328AA"/>
    <w:p w14:paraId="1661CC0A" w14:textId="77777777" w:rsidR="007328AA" w:rsidRDefault="007328AA"/>
    <w:p w14:paraId="40DD67AF" w14:textId="77777777" w:rsidR="007328AA" w:rsidRDefault="007328AA"/>
    <w:p w14:paraId="08DF8C6E" w14:textId="77777777" w:rsidR="007328AA" w:rsidRDefault="007328AA"/>
    <w:p w14:paraId="031B0200" w14:textId="77777777" w:rsidR="007328AA" w:rsidRDefault="007328AA"/>
    <w:p w14:paraId="3E2869A8" w14:textId="77777777" w:rsidR="007328AA" w:rsidRDefault="007328AA"/>
    <w:p w14:paraId="2F6A1997" w14:textId="77777777" w:rsidR="007328AA" w:rsidRDefault="007328AA"/>
    <w:p w14:paraId="1464923F" w14:textId="77777777" w:rsidR="007328AA" w:rsidRDefault="007328AA"/>
    <w:p w14:paraId="714B2CF0" w14:textId="77777777" w:rsidR="007328AA" w:rsidRDefault="007328AA"/>
    <w:p w14:paraId="6C07D9E9" w14:textId="77777777" w:rsidR="007328AA" w:rsidRDefault="007328AA"/>
    <w:p w14:paraId="043FC10D" w14:textId="77777777" w:rsidR="007328AA" w:rsidRDefault="007328AA"/>
    <w:p w14:paraId="1CDDB783" w14:textId="77777777" w:rsidR="007328AA" w:rsidRDefault="007328AA"/>
    <w:p w14:paraId="00D5E161" w14:textId="77777777" w:rsidR="007328AA" w:rsidRDefault="007328AA"/>
    <w:p w14:paraId="2833EFFA" w14:textId="77777777" w:rsidR="007328AA" w:rsidRDefault="007328AA"/>
    <w:p w14:paraId="6B8A03F7" w14:textId="77777777" w:rsidR="007328AA" w:rsidRDefault="007328AA"/>
    <w:p w14:paraId="28C6FE46" w14:textId="77777777" w:rsidR="007328AA" w:rsidRDefault="007328AA"/>
    <w:p w14:paraId="75159613" w14:textId="77777777" w:rsidR="007328AA" w:rsidRDefault="007328AA"/>
    <w:p w14:paraId="582B3E27" w14:textId="77777777" w:rsidR="007328AA" w:rsidRDefault="007328AA"/>
    <w:p w14:paraId="0DFC43B3" w14:textId="77777777" w:rsidR="007328AA" w:rsidRDefault="007328AA"/>
    <w:p w14:paraId="21BDE23A" w14:textId="77777777" w:rsidR="007328AA" w:rsidRDefault="007328AA"/>
    <w:p w14:paraId="0C9C8764" w14:textId="77777777" w:rsidR="007328AA" w:rsidRDefault="007328AA"/>
    <w:p w14:paraId="6C02C345" w14:textId="77777777" w:rsidR="007328AA" w:rsidRDefault="007328AA"/>
    <w:p w14:paraId="410A13E5" w14:textId="77777777" w:rsidR="007328AA" w:rsidRDefault="007328AA"/>
    <w:p w14:paraId="3AAA0C56" w14:textId="77777777" w:rsidR="007328AA" w:rsidRDefault="007328AA"/>
    <w:p w14:paraId="28A81869" w14:textId="77777777" w:rsidR="007328AA" w:rsidRDefault="007328AA"/>
    <w:p w14:paraId="53BD2D77" w14:textId="77777777" w:rsidR="007328AA" w:rsidRDefault="007328AA"/>
    <w:p w14:paraId="1B860659" w14:textId="77777777" w:rsidR="007328AA" w:rsidRDefault="007328AA"/>
    <w:p w14:paraId="7FAE4F2F" w14:textId="77777777" w:rsidR="007328AA" w:rsidRDefault="007328AA"/>
    <w:p w14:paraId="5D20A985" w14:textId="77777777" w:rsidR="007328AA" w:rsidRDefault="007328AA"/>
    <w:p w14:paraId="49143F70" w14:textId="77777777" w:rsidR="007328AA" w:rsidRDefault="007328AA"/>
    <w:p w14:paraId="28D289A6" w14:textId="77777777" w:rsidR="007328AA" w:rsidRDefault="007328AA"/>
    <w:p w14:paraId="2FF7769A" w14:textId="77777777" w:rsidR="007328AA" w:rsidRDefault="007328AA"/>
    <w:p w14:paraId="438DCEDB" w14:textId="77777777" w:rsidR="007328AA" w:rsidRDefault="007328AA"/>
    <w:p w14:paraId="32458A64" w14:textId="77777777" w:rsidR="007328AA" w:rsidRDefault="007328AA"/>
    <w:p w14:paraId="30DAE835" w14:textId="77777777" w:rsidR="007328AA" w:rsidRDefault="007328AA"/>
    <w:p w14:paraId="590B16D7" w14:textId="77777777" w:rsidR="007328AA" w:rsidRDefault="007328AA"/>
    <w:p w14:paraId="19780AED" w14:textId="77777777" w:rsidR="007328AA" w:rsidRDefault="007328AA"/>
    <w:p w14:paraId="2D47F141" w14:textId="77777777" w:rsidR="007328AA" w:rsidRDefault="007328AA"/>
    <w:p w14:paraId="3BFF0535" w14:textId="77777777" w:rsidR="007328AA" w:rsidRDefault="007328AA"/>
    <w:p w14:paraId="41779DBE" w14:textId="77777777" w:rsidR="007328AA" w:rsidRDefault="007328AA"/>
    <w:p w14:paraId="24EB538C" w14:textId="77777777" w:rsidR="007328AA" w:rsidRDefault="007328AA"/>
    <w:p w14:paraId="72F0ED4F" w14:textId="77777777" w:rsidR="007328AA" w:rsidRDefault="007328AA"/>
    <w:p w14:paraId="1FCCEC88" w14:textId="77777777" w:rsidR="007328AA" w:rsidRDefault="007328AA"/>
    <w:p w14:paraId="139AE890" w14:textId="77777777" w:rsidR="007328AA" w:rsidRDefault="007328AA"/>
    <w:p w14:paraId="38D896E8" w14:textId="77777777" w:rsidR="007328AA" w:rsidRDefault="007328AA"/>
    <w:p w14:paraId="68221DC4" w14:textId="77777777" w:rsidR="007328AA" w:rsidRDefault="007328AA"/>
    <w:p w14:paraId="7FDCE016" w14:textId="77777777" w:rsidR="007328AA" w:rsidRDefault="007328AA"/>
    <w:p w14:paraId="578D9DCF" w14:textId="77777777" w:rsidR="007328AA" w:rsidRDefault="007328AA"/>
    <w:p w14:paraId="6EEBE4BD" w14:textId="77777777" w:rsidR="007328AA" w:rsidRDefault="007328AA"/>
    <w:p w14:paraId="6AB31EFE" w14:textId="77777777" w:rsidR="007328AA" w:rsidRDefault="007328AA"/>
    <w:p w14:paraId="74B8EBAF" w14:textId="77777777" w:rsidR="007328AA" w:rsidRDefault="007328AA"/>
    <w:p w14:paraId="75368A9D" w14:textId="77777777" w:rsidR="007328AA" w:rsidRDefault="007328AA"/>
    <w:p w14:paraId="4870948F" w14:textId="77777777" w:rsidR="007328AA" w:rsidRDefault="007328AA"/>
    <w:p w14:paraId="21FFFE9A" w14:textId="77777777" w:rsidR="007328AA" w:rsidRDefault="007328AA"/>
    <w:p w14:paraId="74D72CD0" w14:textId="77777777" w:rsidR="007328AA" w:rsidRDefault="007328AA"/>
    <w:p w14:paraId="7DDF23B7" w14:textId="77777777" w:rsidR="007328AA" w:rsidRDefault="007328AA"/>
    <w:p w14:paraId="746A22EE" w14:textId="77777777" w:rsidR="007328AA" w:rsidRDefault="007328AA"/>
    <w:p w14:paraId="26CB039E" w14:textId="77777777" w:rsidR="007328AA" w:rsidRDefault="007328AA"/>
    <w:p w14:paraId="55568150" w14:textId="77777777" w:rsidR="007328AA" w:rsidRDefault="007328AA"/>
    <w:p w14:paraId="72ABCDC0" w14:textId="77777777" w:rsidR="007328AA" w:rsidRDefault="007328AA"/>
    <w:p w14:paraId="440129F9" w14:textId="77777777" w:rsidR="007328AA" w:rsidRDefault="007328AA"/>
    <w:p w14:paraId="7BB40C98" w14:textId="77777777" w:rsidR="007328AA" w:rsidRDefault="007328AA"/>
    <w:p w14:paraId="45542CF0" w14:textId="77777777" w:rsidR="007328AA" w:rsidRDefault="007328AA"/>
    <w:p w14:paraId="494CC7A2" w14:textId="77777777" w:rsidR="007328AA" w:rsidRDefault="007328AA"/>
    <w:p w14:paraId="21936087" w14:textId="77777777" w:rsidR="007328AA" w:rsidRDefault="007328AA"/>
    <w:p w14:paraId="2DEAEA3E" w14:textId="77777777" w:rsidR="007328AA" w:rsidRDefault="007328AA"/>
    <w:p w14:paraId="28292624" w14:textId="77777777" w:rsidR="007328AA" w:rsidRDefault="007328AA"/>
    <w:p w14:paraId="4DA8EFD8" w14:textId="77777777" w:rsidR="007328AA" w:rsidRDefault="007328AA"/>
    <w:p w14:paraId="65061738" w14:textId="77777777" w:rsidR="007328AA" w:rsidRDefault="007328AA"/>
    <w:p w14:paraId="35B5B2CF" w14:textId="77777777" w:rsidR="007328AA" w:rsidRDefault="007328AA"/>
    <w:p w14:paraId="16998585" w14:textId="77777777" w:rsidR="007328AA" w:rsidRDefault="007328AA"/>
    <w:p w14:paraId="1AA3FC63" w14:textId="77777777" w:rsidR="007328AA" w:rsidRDefault="007328AA"/>
    <w:p w14:paraId="201616DE" w14:textId="77777777" w:rsidR="007328AA" w:rsidRDefault="007328AA"/>
    <w:p w14:paraId="0A77FF45" w14:textId="77777777" w:rsidR="007328AA" w:rsidRDefault="007328AA"/>
    <w:p w14:paraId="3888AB85" w14:textId="77777777" w:rsidR="007328AA" w:rsidRDefault="007328AA"/>
    <w:p w14:paraId="6E28E2A8" w14:textId="77777777" w:rsidR="007328AA" w:rsidRDefault="007328AA"/>
    <w:p w14:paraId="318C42F7" w14:textId="77777777" w:rsidR="007328AA" w:rsidRDefault="007328AA"/>
    <w:p w14:paraId="6CF1C1FD" w14:textId="77777777" w:rsidR="007328AA" w:rsidRDefault="007328AA"/>
    <w:p w14:paraId="11ABF2F6" w14:textId="77777777" w:rsidR="007328AA" w:rsidRDefault="007328AA"/>
    <w:p w14:paraId="0C947826" w14:textId="77777777" w:rsidR="007328AA" w:rsidRDefault="007328AA"/>
    <w:p w14:paraId="36D206CC" w14:textId="77777777" w:rsidR="007328AA" w:rsidRDefault="007328AA"/>
    <w:p w14:paraId="325B9468" w14:textId="77777777" w:rsidR="007328AA" w:rsidRDefault="007328AA"/>
    <w:p w14:paraId="7E591A84" w14:textId="77777777" w:rsidR="007328AA" w:rsidRDefault="007328AA"/>
    <w:p w14:paraId="3B5B37C2" w14:textId="77777777" w:rsidR="007328AA" w:rsidRDefault="007328AA"/>
    <w:p w14:paraId="3576E66B" w14:textId="77777777" w:rsidR="007328AA" w:rsidRDefault="007328AA"/>
    <w:p w14:paraId="2D7261A7" w14:textId="77777777" w:rsidR="007328AA" w:rsidRDefault="007328AA"/>
    <w:p w14:paraId="181901C9" w14:textId="77777777" w:rsidR="007328AA" w:rsidRDefault="007328AA"/>
    <w:p w14:paraId="126645C1" w14:textId="77777777" w:rsidR="007328AA" w:rsidRDefault="007328AA"/>
    <w:p w14:paraId="788EA665" w14:textId="77777777" w:rsidR="007328AA" w:rsidRDefault="007328AA"/>
    <w:p w14:paraId="1392741E" w14:textId="77777777" w:rsidR="007328AA" w:rsidRDefault="007328AA"/>
    <w:p w14:paraId="747D6D73" w14:textId="77777777" w:rsidR="007328AA" w:rsidRDefault="007328AA"/>
    <w:p w14:paraId="0ADCCAB8" w14:textId="77777777" w:rsidR="007328AA" w:rsidRDefault="007328AA"/>
    <w:p w14:paraId="5359A4B9" w14:textId="77777777" w:rsidR="007328AA" w:rsidRDefault="007328AA"/>
    <w:p w14:paraId="311129AB" w14:textId="77777777" w:rsidR="007328AA" w:rsidRDefault="007328AA"/>
    <w:p w14:paraId="7A786480" w14:textId="77777777" w:rsidR="007328AA" w:rsidRDefault="007328AA"/>
    <w:p w14:paraId="77B48B77" w14:textId="77777777" w:rsidR="007328AA" w:rsidRDefault="007328AA"/>
    <w:p w14:paraId="645755EE" w14:textId="77777777" w:rsidR="007328AA" w:rsidRDefault="007328AA"/>
    <w:p w14:paraId="0588757D" w14:textId="77777777" w:rsidR="007328AA" w:rsidRDefault="007328AA"/>
    <w:p w14:paraId="5F0FF0B5" w14:textId="77777777" w:rsidR="007328AA" w:rsidRDefault="007328AA"/>
    <w:p w14:paraId="019247B8" w14:textId="77777777" w:rsidR="007328AA" w:rsidRDefault="007328AA"/>
    <w:p w14:paraId="63D609E6" w14:textId="77777777" w:rsidR="007328AA" w:rsidRDefault="007328AA"/>
    <w:p w14:paraId="2546B544" w14:textId="77777777" w:rsidR="007328AA" w:rsidRDefault="007328AA"/>
    <w:p w14:paraId="24A4C88C" w14:textId="77777777" w:rsidR="007328AA" w:rsidRDefault="007328AA"/>
    <w:p w14:paraId="60AE6A57" w14:textId="77777777" w:rsidR="007328AA" w:rsidRDefault="007328AA"/>
    <w:p w14:paraId="1E327063" w14:textId="77777777" w:rsidR="007328AA" w:rsidRDefault="007328AA"/>
    <w:p w14:paraId="100E4535" w14:textId="77777777" w:rsidR="007328AA" w:rsidRDefault="007328AA"/>
    <w:p w14:paraId="0E81C16C" w14:textId="77777777" w:rsidR="007328AA" w:rsidRDefault="007328AA"/>
    <w:p w14:paraId="22E6046F" w14:textId="77777777" w:rsidR="007328AA" w:rsidRDefault="007328AA"/>
    <w:p w14:paraId="6D44D2A4" w14:textId="77777777" w:rsidR="007328AA" w:rsidRDefault="007328AA"/>
    <w:p w14:paraId="0451BFE3" w14:textId="77777777" w:rsidR="007328AA" w:rsidRDefault="007328AA"/>
    <w:p w14:paraId="4F3B26EE" w14:textId="77777777" w:rsidR="007328AA" w:rsidRDefault="007328AA"/>
    <w:p w14:paraId="2B514C88" w14:textId="77777777" w:rsidR="007328AA" w:rsidRDefault="007328AA"/>
    <w:p w14:paraId="68F1CF9A" w14:textId="77777777" w:rsidR="007328AA" w:rsidRDefault="007328AA"/>
    <w:p w14:paraId="1FB62AC1" w14:textId="77777777" w:rsidR="007328AA" w:rsidRDefault="007328AA"/>
    <w:p w14:paraId="2A92DF7E" w14:textId="77777777" w:rsidR="007328AA" w:rsidRDefault="007328AA"/>
    <w:p w14:paraId="5F94B326" w14:textId="77777777" w:rsidR="007328AA" w:rsidRDefault="007328AA">
      <w:bookmarkStart w:id="0" w:name="_GoBack"/>
      <w:bookmarkEnd w:id="0"/>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C5F3C" w14:paraId="14EF7DB5" w14:textId="77777777" w:rsidTr="00061C01">
        <w:tc>
          <w:tcPr>
            <w:tcW w:w="4539" w:type="dxa"/>
          </w:tcPr>
          <w:p w14:paraId="14EF7DB3" w14:textId="77777777" w:rsidR="00582B96" w:rsidRPr="008C5F3C" w:rsidRDefault="00582B96" w:rsidP="00061C01">
            <w:pPr>
              <w:spacing w:after="200" w:line="276" w:lineRule="auto"/>
              <w:rPr>
                <w:rFonts w:eastAsiaTheme="minorHAnsi" w:cstheme="minorBidi"/>
                <w:b/>
                <w:color w:val="FF0000"/>
                <w:szCs w:val="22"/>
              </w:rPr>
            </w:pPr>
            <w:r w:rsidRPr="008C5F3C">
              <w:rPr>
                <w:rFonts w:eastAsiaTheme="minorHAnsi" w:cstheme="minorBidi"/>
                <w:b/>
                <w:noProof/>
                <w:color w:val="FF0000"/>
                <w:szCs w:val="22"/>
                <w:lang w:eastAsia="en-GB"/>
              </w:rPr>
              <w:lastRenderedPageBreak/>
              <w:drawing>
                <wp:inline distT="0" distB="0" distL="0" distR="0" wp14:anchorId="14EF8018" wp14:editId="14EF801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4EF7DB4" w14:textId="77777777" w:rsidR="00582B96" w:rsidRPr="008C5F3C" w:rsidRDefault="00582B96" w:rsidP="00061C01">
            <w:pPr>
              <w:spacing w:after="200" w:line="276" w:lineRule="auto"/>
              <w:jc w:val="right"/>
              <w:rPr>
                <w:rFonts w:eastAsiaTheme="minorHAnsi" w:cstheme="minorBidi"/>
                <w:b/>
                <w:color w:val="FF0000"/>
                <w:szCs w:val="22"/>
              </w:rPr>
            </w:pPr>
            <w:r w:rsidRPr="00876AF1">
              <w:rPr>
                <w:noProof/>
                <w:lang w:eastAsia="en-GB"/>
              </w:rPr>
              <w:drawing>
                <wp:inline distT="0" distB="0" distL="0" distR="0" wp14:anchorId="14EF801A" wp14:editId="14EF801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4EF7DB6" w14:textId="77777777" w:rsidR="00582B96" w:rsidRPr="008C5F3C" w:rsidRDefault="00582B96" w:rsidP="00582B96"/>
    <w:p w14:paraId="14EF7DB7" w14:textId="77777777" w:rsidR="00582B96" w:rsidRPr="008C5F3C" w:rsidRDefault="00582B96" w:rsidP="00582B96">
      <w:pPr>
        <w:rPr>
          <w:color w:val="FF0000"/>
        </w:rPr>
      </w:pPr>
    </w:p>
    <w:p w14:paraId="14EF7DB8" w14:textId="77777777" w:rsidR="00582B96" w:rsidRPr="008C5F3C" w:rsidRDefault="00582B96" w:rsidP="00582B96"/>
    <w:p w14:paraId="14EF7DB9" w14:textId="77777777" w:rsidR="00582B96" w:rsidRPr="008C5F3C" w:rsidRDefault="00582B96" w:rsidP="00582B96"/>
    <w:p w14:paraId="14EF7DBA" w14:textId="77777777" w:rsidR="00582B96" w:rsidRPr="008C5F3C" w:rsidRDefault="00582B96" w:rsidP="00582B96"/>
    <w:p w14:paraId="14EF7DBB" w14:textId="77777777" w:rsidR="00C5289B" w:rsidRPr="008C5F3C" w:rsidRDefault="00C5289B" w:rsidP="00582B96">
      <w:pPr>
        <w:rPr>
          <w:b/>
          <w:sz w:val="52"/>
          <w:szCs w:val="52"/>
        </w:rPr>
      </w:pPr>
    </w:p>
    <w:p w14:paraId="14EF7DBC" w14:textId="28E2DCEE" w:rsidR="00582B96" w:rsidRPr="008C5F3C" w:rsidRDefault="00582B96" w:rsidP="00582B96">
      <w:pPr>
        <w:rPr>
          <w:b/>
          <w:sz w:val="52"/>
          <w:szCs w:val="52"/>
        </w:rPr>
      </w:pPr>
      <w:r w:rsidRPr="008C5F3C">
        <w:rPr>
          <w:b/>
          <w:sz w:val="52"/>
          <w:szCs w:val="52"/>
        </w:rPr>
        <w:t xml:space="preserve">SPECIFICATION </w:t>
      </w:r>
    </w:p>
    <w:p w14:paraId="14EF7DBD" w14:textId="77777777" w:rsidR="00582B96" w:rsidRPr="008C5F3C" w:rsidRDefault="00582B96" w:rsidP="00582B96">
      <w:pPr>
        <w:rPr>
          <w:b/>
          <w:sz w:val="48"/>
          <w:szCs w:val="48"/>
        </w:rPr>
      </w:pPr>
    </w:p>
    <w:p w14:paraId="14EF7DBE" w14:textId="77777777" w:rsidR="00582B96" w:rsidRPr="008C5F3C" w:rsidRDefault="00582B96" w:rsidP="00582B96">
      <w:pPr>
        <w:rPr>
          <w:b/>
          <w:sz w:val="48"/>
          <w:szCs w:val="48"/>
        </w:rPr>
      </w:pPr>
    </w:p>
    <w:p w14:paraId="14EF7DBF" w14:textId="77777777" w:rsidR="00582B96" w:rsidRPr="008C5F3C" w:rsidRDefault="00582B96" w:rsidP="00582B96">
      <w:pPr>
        <w:rPr>
          <w:b/>
          <w:sz w:val="48"/>
          <w:szCs w:val="48"/>
        </w:rPr>
      </w:pPr>
    </w:p>
    <w:p w14:paraId="14EF7DC0" w14:textId="4C81BB2A" w:rsidR="00575A95" w:rsidRPr="002754B4" w:rsidRDefault="00582B96" w:rsidP="00582B96">
      <w:pPr>
        <w:rPr>
          <w:b/>
          <w:sz w:val="36"/>
          <w:szCs w:val="36"/>
        </w:rPr>
      </w:pPr>
      <w:r w:rsidRPr="008C5F3C">
        <w:rPr>
          <w:b/>
          <w:sz w:val="36"/>
          <w:szCs w:val="36"/>
        </w:rPr>
        <w:t xml:space="preserve">INVITATION TO TENDER </w:t>
      </w:r>
      <w:r w:rsidR="002754B4" w:rsidRPr="002754B4">
        <w:rPr>
          <w:b/>
          <w:sz w:val="36"/>
          <w:szCs w:val="36"/>
        </w:rPr>
        <w:t>itt_30133</w:t>
      </w:r>
    </w:p>
    <w:p w14:paraId="14EF7DC1" w14:textId="77777777" w:rsidR="00575A95" w:rsidRDefault="00575A95" w:rsidP="00582B96">
      <w:pPr>
        <w:rPr>
          <w:b/>
          <w:color w:val="FF0000"/>
          <w:sz w:val="36"/>
          <w:szCs w:val="36"/>
        </w:rPr>
      </w:pPr>
    </w:p>
    <w:p w14:paraId="14EF7DC2" w14:textId="77777777" w:rsidR="00575A95" w:rsidRDefault="00575A95" w:rsidP="00582B96">
      <w:pPr>
        <w:rPr>
          <w:b/>
          <w:color w:val="FF0000"/>
          <w:sz w:val="36"/>
          <w:szCs w:val="36"/>
        </w:rPr>
      </w:pPr>
    </w:p>
    <w:p w14:paraId="14EF7DC5" w14:textId="32A1A178" w:rsidR="00582B96" w:rsidRPr="002754B4" w:rsidRDefault="005A0E22" w:rsidP="00582B96">
      <w:pPr>
        <w:rPr>
          <w:b/>
          <w:sz w:val="36"/>
          <w:szCs w:val="36"/>
        </w:rPr>
      </w:pPr>
      <w:r w:rsidRPr="002754B4">
        <w:rPr>
          <w:b/>
          <w:sz w:val="36"/>
          <w:szCs w:val="36"/>
        </w:rPr>
        <w:t>(SKILLS Local)</w:t>
      </w:r>
      <w:r w:rsidR="002754B4" w:rsidRPr="002754B4">
        <w:rPr>
          <w:b/>
          <w:sz w:val="36"/>
          <w:szCs w:val="36"/>
        </w:rPr>
        <w:t xml:space="preserve"> </w:t>
      </w:r>
      <w:r w:rsidRPr="002754B4">
        <w:rPr>
          <w:rFonts w:cs="Arial"/>
          <w:b/>
          <w:bCs/>
          <w:sz w:val="36"/>
          <w:szCs w:val="36"/>
        </w:rPr>
        <w:t>Skills for Growth</w:t>
      </w:r>
      <w:r w:rsidR="002754B4" w:rsidRPr="002754B4">
        <w:rPr>
          <w:rFonts w:cs="Arial"/>
          <w:b/>
          <w:bCs/>
          <w:sz w:val="36"/>
          <w:szCs w:val="36"/>
        </w:rPr>
        <w:t xml:space="preserve"> </w:t>
      </w:r>
      <w:r w:rsidR="00575A95" w:rsidRPr="002754B4">
        <w:rPr>
          <w:b/>
          <w:sz w:val="36"/>
          <w:szCs w:val="36"/>
        </w:rPr>
        <w:t>08-002</w:t>
      </w:r>
    </w:p>
    <w:p w14:paraId="14EF7DC6" w14:textId="77777777" w:rsidR="00582B96" w:rsidRPr="002754B4" w:rsidRDefault="00582B96" w:rsidP="00582B96">
      <w:pPr>
        <w:rPr>
          <w:b/>
          <w:sz w:val="48"/>
          <w:szCs w:val="48"/>
        </w:rPr>
      </w:pPr>
    </w:p>
    <w:p w14:paraId="14EF7DC7" w14:textId="77777777" w:rsidR="00582B96" w:rsidRPr="002754B4" w:rsidRDefault="005A0E22" w:rsidP="00582B96">
      <w:pPr>
        <w:rPr>
          <w:b/>
          <w:sz w:val="36"/>
          <w:szCs w:val="36"/>
        </w:rPr>
      </w:pPr>
      <w:r w:rsidRPr="002754B4">
        <w:rPr>
          <w:b/>
          <w:sz w:val="36"/>
          <w:szCs w:val="36"/>
        </w:rPr>
        <w:t>Derby, Derbyshire, Nottingham and Nottinghamshire</w:t>
      </w:r>
    </w:p>
    <w:p w14:paraId="14EF7DC8" w14:textId="77777777" w:rsidR="00582B96" w:rsidRPr="002754B4" w:rsidRDefault="00582B96" w:rsidP="00582B96">
      <w:pPr>
        <w:rPr>
          <w:b/>
          <w:sz w:val="48"/>
          <w:szCs w:val="48"/>
        </w:rPr>
      </w:pPr>
    </w:p>
    <w:p w14:paraId="14EF7DC9" w14:textId="77777777" w:rsidR="00582B96" w:rsidRPr="008C5F3C" w:rsidRDefault="00582B96" w:rsidP="00582B96">
      <w:pPr>
        <w:rPr>
          <w:b/>
          <w:sz w:val="48"/>
          <w:szCs w:val="48"/>
        </w:rPr>
      </w:pPr>
    </w:p>
    <w:p w14:paraId="14EF7DCA" w14:textId="77777777" w:rsidR="00582B96" w:rsidRPr="008C5F3C" w:rsidRDefault="00582B96" w:rsidP="00582B96">
      <w:pPr>
        <w:rPr>
          <w:b/>
          <w:sz w:val="48"/>
          <w:szCs w:val="48"/>
        </w:rPr>
      </w:pPr>
    </w:p>
    <w:p w14:paraId="14EF7DCB" w14:textId="77777777" w:rsidR="00582B96" w:rsidRPr="008C5F3C" w:rsidRDefault="00582B96" w:rsidP="00582B96">
      <w:pPr>
        <w:rPr>
          <w:b/>
          <w:sz w:val="36"/>
          <w:szCs w:val="36"/>
        </w:rPr>
      </w:pPr>
      <w:r w:rsidRPr="008C5F3C">
        <w:rPr>
          <w:b/>
          <w:sz w:val="36"/>
          <w:szCs w:val="36"/>
        </w:rPr>
        <w:t>DATE:</w:t>
      </w:r>
      <w:r w:rsidR="002F71DB" w:rsidRPr="008C5F3C">
        <w:rPr>
          <w:b/>
          <w:sz w:val="36"/>
          <w:szCs w:val="36"/>
        </w:rPr>
        <w:t xml:space="preserve"> </w:t>
      </w:r>
      <w:r w:rsidR="00575A95">
        <w:rPr>
          <w:b/>
          <w:sz w:val="36"/>
          <w:szCs w:val="36"/>
        </w:rPr>
        <w:t>June</w:t>
      </w:r>
      <w:r w:rsidR="00E579C7" w:rsidRPr="008C5F3C">
        <w:rPr>
          <w:b/>
          <w:sz w:val="36"/>
          <w:szCs w:val="36"/>
        </w:rPr>
        <w:t xml:space="preserve"> 2016</w:t>
      </w:r>
    </w:p>
    <w:p w14:paraId="14EF7DCC" w14:textId="77777777" w:rsidR="00582B96" w:rsidRPr="008C5F3C" w:rsidRDefault="00582B96"/>
    <w:tbl>
      <w:tblPr>
        <w:tblW w:w="0" w:type="auto"/>
        <w:tblLook w:val="01E0" w:firstRow="1" w:lastRow="1" w:firstColumn="1" w:lastColumn="1" w:noHBand="0" w:noVBand="0"/>
      </w:tblPr>
      <w:tblGrid>
        <w:gridCol w:w="4421"/>
        <w:gridCol w:w="4366"/>
      </w:tblGrid>
      <w:tr w:rsidR="00ED67E0" w:rsidRPr="008C5F3C" w14:paraId="14EF7DCF" w14:textId="77777777" w:rsidTr="00B24D65">
        <w:tc>
          <w:tcPr>
            <w:tcW w:w="4421" w:type="dxa"/>
          </w:tcPr>
          <w:p w14:paraId="14EF7DCD" w14:textId="77777777" w:rsidR="00ED67E0" w:rsidRPr="008C5F3C" w:rsidRDefault="00ED67E0" w:rsidP="000419AD">
            <w:pPr>
              <w:pStyle w:val="Header"/>
              <w:tabs>
                <w:tab w:val="clear" w:pos="4153"/>
                <w:tab w:val="clear" w:pos="8306"/>
                <w:tab w:val="left" w:pos="1185"/>
              </w:tabs>
            </w:pPr>
            <w:r w:rsidRPr="008C5F3C">
              <w:tab/>
            </w:r>
          </w:p>
        </w:tc>
        <w:tc>
          <w:tcPr>
            <w:tcW w:w="4366" w:type="dxa"/>
          </w:tcPr>
          <w:p w14:paraId="14EF7DCE" w14:textId="77777777" w:rsidR="00ED67E0" w:rsidRPr="008C5F3C" w:rsidRDefault="00ED67E0" w:rsidP="000419AD">
            <w:pPr>
              <w:pStyle w:val="Header"/>
              <w:jc w:val="right"/>
            </w:pPr>
          </w:p>
        </w:tc>
      </w:tr>
      <w:tr w:rsidR="00ED67E0" w:rsidRPr="008C5F3C" w14:paraId="14EF7DD2" w14:textId="77777777" w:rsidTr="00B24D65">
        <w:tc>
          <w:tcPr>
            <w:tcW w:w="4421" w:type="dxa"/>
          </w:tcPr>
          <w:p w14:paraId="14EF7DD0" w14:textId="77777777" w:rsidR="00ED67E0" w:rsidRPr="008C5F3C" w:rsidRDefault="00ED67E0" w:rsidP="000419AD">
            <w:pPr>
              <w:pStyle w:val="Header"/>
            </w:pPr>
            <w:r w:rsidRPr="00876AF1">
              <w:rPr>
                <w:noProof/>
                <w:lang w:eastAsia="en-GB"/>
              </w:rPr>
              <w:drawing>
                <wp:inline distT="0" distB="0" distL="0" distR="0" wp14:anchorId="14EF801C" wp14:editId="14EF801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4EF7DD1" w14:textId="77777777" w:rsidR="00ED67E0" w:rsidRPr="008C5F3C" w:rsidRDefault="000D51DE" w:rsidP="000419AD">
            <w:pPr>
              <w:pStyle w:val="Header"/>
              <w:jc w:val="right"/>
            </w:pPr>
            <w:r w:rsidRPr="00876AF1">
              <w:rPr>
                <w:noProof/>
                <w:lang w:eastAsia="en-GB"/>
              </w:rPr>
              <w:drawing>
                <wp:inline distT="0" distB="0" distL="0" distR="0" wp14:anchorId="14EF801E" wp14:editId="14EF801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8C5F3C" w14:paraId="14EF7DD5" w14:textId="77777777" w:rsidTr="00B24D65">
        <w:tc>
          <w:tcPr>
            <w:tcW w:w="4421" w:type="dxa"/>
          </w:tcPr>
          <w:p w14:paraId="14EF7DD3" w14:textId="77777777" w:rsidR="008441FE" w:rsidRPr="008C5F3C" w:rsidRDefault="008441FE" w:rsidP="000419AD">
            <w:pPr>
              <w:pStyle w:val="Header"/>
              <w:rPr>
                <w:noProof/>
                <w:lang w:eastAsia="en-GB"/>
              </w:rPr>
            </w:pPr>
          </w:p>
        </w:tc>
        <w:tc>
          <w:tcPr>
            <w:tcW w:w="4366" w:type="dxa"/>
          </w:tcPr>
          <w:p w14:paraId="14EF7DD4" w14:textId="77777777" w:rsidR="008441FE" w:rsidRPr="008C5F3C" w:rsidRDefault="008441FE" w:rsidP="000419AD">
            <w:pPr>
              <w:pStyle w:val="Header"/>
              <w:jc w:val="right"/>
              <w:rPr>
                <w:noProof/>
                <w:lang w:eastAsia="en-GB"/>
              </w:rPr>
            </w:pPr>
          </w:p>
        </w:tc>
      </w:tr>
    </w:tbl>
    <w:p w14:paraId="14EF7DD6" w14:textId="77777777" w:rsidR="0015011A" w:rsidRPr="008C5F3C" w:rsidRDefault="0015011A" w:rsidP="0015011A"/>
    <w:tbl>
      <w:tblPr>
        <w:tblStyle w:val="TableGrid"/>
        <w:tblW w:w="5177" w:type="pct"/>
        <w:tblLayout w:type="fixed"/>
        <w:tblLook w:val="04A0" w:firstRow="1" w:lastRow="0" w:firstColumn="1" w:lastColumn="0" w:noHBand="0" w:noVBand="1"/>
      </w:tblPr>
      <w:tblGrid>
        <w:gridCol w:w="9088"/>
      </w:tblGrid>
      <w:tr w:rsidR="00967429" w:rsidRPr="008C5F3C" w14:paraId="14EF7DE0" w14:textId="77777777" w:rsidTr="000D51DE">
        <w:trPr>
          <w:trHeight w:val="597"/>
        </w:trPr>
        <w:tc>
          <w:tcPr>
            <w:tcW w:w="9088" w:type="dxa"/>
          </w:tcPr>
          <w:p w14:paraId="14EF7DD8" w14:textId="7DEE37A7" w:rsidR="005A0E22" w:rsidRPr="008C5F3C" w:rsidRDefault="002754B4" w:rsidP="005A0E22">
            <w:pPr>
              <w:pStyle w:val="BodyText"/>
              <w:tabs>
                <w:tab w:val="num" w:pos="1134"/>
              </w:tabs>
              <w:spacing w:after="0"/>
              <w:jc w:val="both"/>
              <w:rPr>
                <w:rFonts w:ascii="Arial" w:hAnsi="Arial" w:cs="Arial"/>
                <w:b/>
              </w:rPr>
            </w:pPr>
            <w:r>
              <w:rPr>
                <w:rFonts w:ascii="Arial" w:hAnsi="Arial" w:cs="Arial"/>
                <w:b/>
              </w:rPr>
              <w:t>ESF</w:t>
            </w:r>
            <w:r w:rsidR="005A0E22" w:rsidRPr="008C5F3C">
              <w:rPr>
                <w:rFonts w:ascii="Arial" w:hAnsi="Arial" w:cs="Arial"/>
                <w:b/>
              </w:rPr>
              <w:t>: Skills for Growth</w:t>
            </w:r>
            <w:r>
              <w:rPr>
                <w:rFonts w:ascii="Arial" w:hAnsi="Arial" w:cs="Arial"/>
                <w:b/>
              </w:rPr>
              <w:t xml:space="preserve"> </w:t>
            </w:r>
            <w:r w:rsidR="005A0E22" w:rsidRPr="008C5F3C">
              <w:rPr>
                <w:rFonts w:ascii="Arial" w:hAnsi="Arial" w:cs="Arial"/>
                <w:b/>
              </w:rPr>
              <w:t>Derby, Derbyshire, Nottingham and Nottinghamshire LEP:</w:t>
            </w:r>
          </w:p>
          <w:p w14:paraId="14EF7DD9" w14:textId="77777777" w:rsidR="005A0E22" w:rsidRPr="008C5F3C" w:rsidRDefault="005A0E22" w:rsidP="005A0E22">
            <w:pPr>
              <w:rPr>
                <w:rFonts w:cs="Arial"/>
                <w:b/>
              </w:rPr>
            </w:pPr>
          </w:p>
          <w:p w14:paraId="14EF7DDA" w14:textId="36DA0638" w:rsidR="005A0E22" w:rsidRPr="008C5F3C" w:rsidRDefault="005A0E22" w:rsidP="005A0E22">
            <w:pPr>
              <w:pStyle w:val="BodyText"/>
              <w:tabs>
                <w:tab w:val="num" w:pos="1134"/>
              </w:tabs>
              <w:spacing w:after="0"/>
              <w:jc w:val="both"/>
              <w:rPr>
                <w:rFonts w:ascii="Arial" w:hAnsi="Arial" w:cs="Arial"/>
                <w:b/>
              </w:rPr>
            </w:pPr>
            <w:r w:rsidRPr="008C5F3C">
              <w:rPr>
                <w:rFonts w:ascii="Arial" w:hAnsi="Arial" w:cs="Arial"/>
                <w:b/>
              </w:rPr>
              <w:t>SKILLS Local</w:t>
            </w:r>
            <w:r w:rsidR="002754B4">
              <w:rPr>
                <w:rFonts w:ascii="Arial" w:hAnsi="Arial" w:cs="Arial"/>
                <w:b/>
              </w:rPr>
              <w:t xml:space="preserve"> itt_30133</w:t>
            </w:r>
          </w:p>
          <w:p w14:paraId="14EF7DDB" w14:textId="77777777" w:rsidR="005A0E22" w:rsidRPr="008C5F3C" w:rsidRDefault="005A0E22" w:rsidP="005A0E22">
            <w:pPr>
              <w:rPr>
                <w:rFonts w:cs="Arial"/>
                <w:b/>
              </w:rPr>
            </w:pPr>
          </w:p>
          <w:p w14:paraId="14EF7DDD" w14:textId="652D5241" w:rsidR="005A0E22" w:rsidRPr="008C5F3C" w:rsidRDefault="005A0E22" w:rsidP="005A0E22">
            <w:pPr>
              <w:pStyle w:val="BodyText"/>
              <w:tabs>
                <w:tab w:val="num" w:pos="1134"/>
              </w:tabs>
              <w:spacing w:after="0"/>
              <w:jc w:val="both"/>
              <w:rPr>
                <w:rFonts w:ascii="Arial" w:hAnsi="Arial" w:cs="Arial"/>
                <w:b/>
              </w:rPr>
            </w:pPr>
            <w:r w:rsidRPr="008C5F3C">
              <w:rPr>
                <w:rFonts w:ascii="Arial" w:hAnsi="Arial" w:cs="Arial"/>
                <w:b/>
                <w:lang w:eastAsia="en-US"/>
              </w:rPr>
              <w:t xml:space="preserve">Investment Priority 2.1 - Enhancing Equal Access to Lifelong Learning </w:t>
            </w:r>
          </w:p>
          <w:p w14:paraId="14EF7DDF" w14:textId="77777777" w:rsidR="00967429" w:rsidRPr="008C5F3C" w:rsidRDefault="00967429" w:rsidP="002754B4">
            <w:pPr>
              <w:pStyle w:val="BodyText"/>
              <w:tabs>
                <w:tab w:val="num" w:pos="1134"/>
              </w:tabs>
              <w:spacing w:after="0"/>
              <w:jc w:val="both"/>
              <w:rPr>
                <w:rFonts w:ascii="Arial" w:hAnsi="Arial" w:cs="Arial"/>
                <w:b/>
                <w:color w:val="FF0000"/>
              </w:rPr>
            </w:pPr>
          </w:p>
        </w:tc>
      </w:tr>
      <w:tr w:rsidR="00967429" w:rsidRPr="008C5F3C" w14:paraId="14EF7DE2" w14:textId="77777777" w:rsidTr="00C97A8A">
        <w:trPr>
          <w:trHeight w:val="567"/>
        </w:trPr>
        <w:tc>
          <w:tcPr>
            <w:tcW w:w="9088" w:type="dxa"/>
            <w:shd w:val="clear" w:color="auto" w:fill="D9D9D9" w:themeFill="background1" w:themeFillShade="D9"/>
            <w:vAlign w:val="center"/>
          </w:tcPr>
          <w:p w14:paraId="14EF7DE1" w14:textId="77777777" w:rsidR="00967429" w:rsidRPr="008C5F3C" w:rsidRDefault="004C726D" w:rsidP="00FD3B0A">
            <w:pPr>
              <w:pStyle w:val="SpecificationHeading"/>
            </w:pPr>
            <w:r w:rsidRPr="008C5F3C">
              <w:t>BACKGROUND</w:t>
            </w:r>
          </w:p>
        </w:tc>
      </w:tr>
      <w:tr w:rsidR="00967429" w:rsidRPr="008C5F3C" w14:paraId="14EF7E49" w14:textId="77777777" w:rsidTr="000D51DE">
        <w:tc>
          <w:tcPr>
            <w:tcW w:w="9088" w:type="dxa"/>
          </w:tcPr>
          <w:p w14:paraId="14EF7DE3" w14:textId="77777777" w:rsidR="00B24D65" w:rsidRPr="008C5F3C" w:rsidRDefault="00B24D65" w:rsidP="00A524B5">
            <w:pPr>
              <w:tabs>
                <w:tab w:val="num" w:pos="900"/>
              </w:tabs>
              <w:autoSpaceDE w:val="0"/>
              <w:autoSpaceDN w:val="0"/>
              <w:adjustRightInd w:val="0"/>
              <w:rPr>
                <w:rFonts w:cs="Arial"/>
                <w:b/>
              </w:rPr>
            </w:pPr>
          </w:p>
          <w:p w14:paraId="14EF7DE4" w14:textId="77777777" w:rsidR="001F0385" w:rsidRPr="008C5F3C" w:rsidRDefault="002833D9" w:rsidP="00A524B5">
            <w:pPr>
              <w:tabs>
                <w:tab w:val="num" w:pos="900"/>
              </w:tabs>
              <w:autoSpaceDE w:val="0"/>
              <w:autoSpaceDN w:val="0"/>
              <w:adjustRightInd w:val="0"/>
              <w:rPr>
                <w:rFonts w:cs="Arial"/>
                <w:b/>
              </w:rPr>
            </w:pPr>
            <w:r w:rsidRPr="008C5F3C">
              <w:rPr>
                <w:rFonts w:cs="Arial"/>
                <w:b/>
              </w:rPr>
              <w:t>General</w:t>
            </w:r>
          </w:p>
          <w:p w14:paraId="14EF7DE5" w14:textId="77777777" w:rsidR="002833D9" w:rsidRPr="008C5F3C" w:rsidRDefault="002833D9" w:rsidP="00A524B5">
            <w:pPr>
              <w:tabs>
                <w:tab w:val="num" w:pos="900"/>
              </w:tabs>
              <w:autoSpaceDE w:val="0"/>
              <w:autoSpaceDN w:val="0"/>
              <w:adjustRightInd w:val="0"/>
              <w:rPr>
                <w:rFonts w:cs="Arial"/>
                <w:b/>
              </w:rPr>
            </w:pPr>
          </w:p>
          <w:p w14:paraId="14EF7DE6" w14:textId="77777777" w:rsidR="00B24D65" w:rsidRPr="008C5F3C" w:rsidRDefault="00B24D65" w:rsidP="00A524B5">
            <w:pPr>
              <w:tabs>
                <w:tab w:val="num" w:pos="900"/>
              </w:tabs>
              <w:autoSpaceDE w:val="0"/>
              <w:autoSpaceDN w:val="0"/>
              <w:adjustRightInd w:val="0"/>
              <w:rPr>
                <w:rFonts w:cs="Arial"/>
              </w:rPr>
            </w:pPr>
            <w:r w:rsidRPr="008C5F3C">
              <w:rPr>
                <w:rFonts w:cs="Arial"/>
              </w:rPr>
              <w:t xml:space="preserve">The contracting authority is the Secretary of State for Business Innovation and </w:t>
            </w:r>
            <w:r w:rsidR="002E3B40" w:rsidRPr="008C5F3C">
              <w:rPr>
                <w:rFonts w:cs="Arial"/>
              </w:rPr>
              <w:t xml:space="preserve">Skills </w:t>
            </w:r>
            <w:r w:rsidRPr="008C5F3C">
              <w:rPr>
                <w:rFonts w:cs="Arial"/>
              </w:rPr>
              <w:t>acting through the Skills Funding Agency</w:t>
            </w:r>
            <w:r w:rsidR="00442DA3" w:rsidRPr="008C5F3C">
              <w:rPr>
                <w:rFonts w:cs="Arial"/>
              </w:rPr>
              <w:t xml:space="preserve"> </w:t>
            </w:r>
            <w:r w:rsidRPr="008C5F3C">
              <w:rPr>
                <w:rFonts w:cs="Arial"/>
              </w:rPr>
              <w:t>(SFA), an executive agency of the Department for Business Innovation and Skills exercising functions to fund adult education and skills.</w:t>
            </w:r>
          </w:p>
          <w:p w14:paraId="14EF7DE7" w14:textId="77777777" w:rsidR="002833D9" w:rsidRPr="008C5F3C" w:rsidRDefault="002833D9" w:rsidP="00A524B5">
            <w:pPr>
              <w:tabs>
                <w:tab w:val="num" w:pos="900"/>
              </w:tabs>
              <w:autoSpaceDE w:val="0"/>
              <w:autoSpaceDN w:val="0"/>
              <w:adjustRightInd w:val="0"/>
              <w:rPr>
                <w:rFonts w:cs="Arial"/>
              </w:rPr>
            </w:pPr>
          </w:p>
          <w:p w14:paraId="14EF7DE8" w14:textId="77777777" w:rsidR="002833D9" w:rsidRPr="008C5F3C" w:rsidRDefault="002833D9" w:rsidP="00A524B5">
            <w:pPr>
              <w:rPr>
                <w:rFonts w:cs="Arial"/>
              </w:rPr>
            </w:pPr>
            <w:r w:rsidRPr="008C5F3C">
              <w:rPr>
                <w:rFonts w:cs="Arial"/>
              </w:rPr>
              <w:t>T</w:t>
            </w:r>
            <w:r w:rsidR="009F51A8" w:rsidRPr="008C5F3C">
              <w:rPr>
                <w:rFonts w:cs="Arial"/>
              </w:rPr>
              <w:t>he SFA, acting as an Opt-In Organisation</w:t>
            </w:r>
            <w:r w:rsidRPr="008C5F3C">
              <w:rPr>
                <w:rFonts w:cs="Arial"/>
              </w:rPr>
              <w:t xml:space="preserve"> for the European Social Fund (ESF), is procuring education and training services to meet priorities identified by </w:t>
            </w:r>
            <w:r w:rsidR="00F3689D" w:rsidRPr="008C5F3C">
              <w:t xml:space="preserve">Local Enterprise Partnership (LEP) area European Structural and Investment Funds Sub–Committees. </w:t>
            </w:r>
            <w:r w:rsidRPr="008C5F3C">
              <w:rPr>
                <w:rFonts w:cs="Arial"/>
              </w:rPr>
              <w:t>As a</w:t>
            </w:r>
            <w:r w:rsidR="009F51A8" w:rsidRPr="008C5F3C">
              <w:rPr>
                <w:rFonts w:cs="Arial"/>
              </w:rPr>
              <w:t>n</w:t>
            </w:r>
            <w:r w:rsidRPr="008C5F3C">
              <w:rPr>
                <w:rFonts w:cs="Arial"/>
              </w:rPr>
              <w:t xml:space="preserve"> </w:t>
            </w:r>
            <w:r w:rsidR="009F51A8" w:rsidRPr="008C5F3C">
              <w:rPr>
                <w:rFonts w:cs="Arial"/>
              </w:rPr>
              <w:t>Opt-In Organisation</w:t>
            </w:r>
            <w:r w:rsidRPr="008C5F3C">
              <w:rPr>
                <w:rFonts w:cs="Arial"/>
              </w:rPr>
              <w:t xml:space="preserve"> the SFA provides match funding at Priority Axis level utilising sources of public funding as match for ESF funded activity.</w:t>
            </w:r>
          </w:p>
          <w:p w14:paraId="14EF7DE9" w14:textId="77777777" w:rsidR="002833D9" w:rsidRPr="008C5F3C" w:rsidRDefault="002833D9" w:rsidP="00A524B5">
            <w:pPr>
              <w:rPr>
                <w:rFonts w:cs="Arial"/>
              </w:rPr>
            </w:pPr>
          </w:p>
          <w:p w14:paraId="14EF7DEA" w14:textId="77777777" w:rsidR="00A63E89" w:rsidRDefault="00AD0B65" w:rsidP="00A63E89">
            <w:r w:rsidRPr="008C5F3C">
              <w:rPr>
                <w:rFonts w:cs="Arial"/>
              </w:rPr>
              <w:t xml:space="preserve">This Invitation to Tender (ITT) is for </w:t>
            </w:r>
            <w:r w:rsidRPr="00575A95">
              <w:rPr>
                <w:rFonts w:cs="Arial"/>
                <w:b/>
              </w:rPr>
              <w:t>Priority</w:t>
            </w:r>
            <w:r w:rsidR="00A63E89" w:rsidRPr="00575A95">
              <w:rPr>
                <w:rFonts w:cs="Arial"/>
                <w:b/>
              </w:rPr>
              <w:t xml:space="preserve"> Axis</w:t>
            </w:r>
            <w:r w:rsidRPr="00575A95">
              <w:rPr>
                <w:rFonts w:cs="Arial"/>
                <w:b/>
              </w:rPr>
              <w:t xml:space="preserve"> 2</w:t>
            </w:r>
            <w:r w:rsidR="00A63E89" w:rsidRPr="00575A95">
              <w:rPr>
                <w:rFonts w:cs="Arial"/>
                <w:b/>
              </w:rPr>
              <w:t xml:space="preserve"> </w:t>
            </w:r>
            <w:r w:rsidR="00162E7B" w:rsidRPr="00575A95">
              <w:rPr>
                <w:rFonts w:cs="Arial"/>
                <w:b/>
              </w:rPr>
              <w:t xml:space="preserve">Skills for Growth </w:t>
            </w:r>
            <w:r w:rsidR="00A63E89" w:rsidRPr="008C5F3C">
              <w:rPr>
                <w:rFonts w:cs="Arial"/>
              </w:rPr>
              <w:t>and for Investment Priority (IP) 2.1</w:t>
            </w:r>
            <w:r w:rsidRPr="008C5F3C">
              <w:rPr>
                <w:rFonts w:cs="Arial"/>
              </w:rPr>
              <w:t>,</w:t>
            </w:r>
            <w:r w:rsidR="00A63E89" w:rsidRPr="008C5F3C">
              <w:t xml:space="preserve"> enhancing equal access to lifelong learning.</w:t>
            </w:r>
            <w:r w:rsidRPr="008C5F3C">
              <w:rPr>
                <w:rFonts w:cs="Arial"/>
              </w:rPr>
              <w:t xml:space="preserve"> </w:t>
            </w:r>
            <w:r w:rsidR="00A63E89" w:rsidRPr="008C5F3C">
              <w:t xml:space="preserve">Where the need has been identified both in the LEP area and European Structural and Investment Fund Strategies.  </w:t>
            </w:r>
          </w:p>
          <w:p w14:paraId="14EF7DEB" w14:textId="77777777" w:rsidR="004C0EF7" w:rsidRDefault="004C0EF7" w:rsidP="00A63E89"/>
          <w:p w14:paraId="14EF7DEC" w14:textId="5742109F" w:rsidR="004C0EF7" w:rsidRDefault="004C0EF7" w:rsidP="00A63E89">
            <w:r>
              <w:t>The SFA is seeking one</w:t>
            </w:r>
            <w:r w:rsidR="00415D64">
              <w:t xml:space="preserve"> Candidate to deliver the 2 Themes as</w:t>
            </w:r>
            <w:r>
              <w:t xml:space="preserve"> detailed within this ITT:</w:t>
            </w:r>
          </w:p>
          <w:p w14:paraId="6541E44D" w14:textId="77777777" w:rsidR="00C97A8A" w:rsidRDefault="00C97A8A" w:rsidP="00A63E89"/>
          <w:p w14:paraId="14EF7DED" w14:textId="267D3435" w:rsidR="004C0EF7" w:rsidRDefault="00415D64" w:rsidP="00575A95">
            <w:pPr>
              <w:pStyle w:val="ListParagraph"/>
              <w:numPr>
                <w:ilvl w:val="0"/>
                <w:numId w:val="35"/>
              </w:numPr>
            </w:pPr>
            <w:r>
              <w:t>Theme 1</w:t>
            </w:r>
            <w:r w:rsidR="004C0EF7">
              <w:t xml:space="preserve"> - </w:t>
            </w:r>
            <w:r w:rsidR="00A14155" w:rsidRPr="00A14155">
              <w:t>Supporting Workforce Development and Business Growth</w:t>
            </w:r>
          </w:p>
          <w:p w14:paraId="14EF7DEE" w14:textId="1DD8A383" w:rsidR="004C0EF7" w:rsidRPr="008C5F3C" w:rsidRDefault="00415D64" w:rsidP="00575A95">
            <w:pPr>
              <w:pStyle w:val="ListParagraph"/>
              <w:numPr>
                <w:ilvl w:val="0"/>
                <w:numId w:val="35"/>
              </w:numPr>
            </w:pPr>
            <w:r>
              <w:t>Theme 2 -</w:t>
            </w:r>
            <w:r w:rsidR="004C0EF7">
              <w:t xml:space="preserve"> </w:t>
            </w:r>
            <w:r w:rsidR="00A14155" w:rsidRPr="00A14155">
              <w:t>Developing a Demand-led Skills System for D2N2</w:t>
            </w:r>
          </w:p>
          <w:p w14:paraId="14EF7DEF" w14:textId="77777777" w:rsidR="00AD0B65" w:rsidRPr="008C5F3C" w:rsidRDefault="00AD0B65" w:rsidP="00AD0B65">
            <w:pPr>
              <w:rPr>
                <w:rFonts w:cs="Arial"/>
              </w:rPr>
            </w:pPr>
          </w:p>
          <w:p w14:paraId="14EF7DF0" w14:textId="77777777" w:rsidR="005A0E22" w:rsidRDefault="005A0E22" w:rsidP="005A0E22">
            <w:pPr>
              <w:autoSpaceDE w:val="0"/>
              <w:autoSpaceDN w:val="0"/>
              <w:adjustRightInd w:val="0"/>
            </w:pPr>
            <w:r w:rsidRPr="00575A95">
              <w:t xml:space="preserve">The </w:t>
            </w:r>
            <w:r w:rsidRPr="00575A95">
              <w:rPr>
                <w:b/>
              </w:rPr>
              <w:t>Priority Axis 2</w:t>
            </w:r>
            <w:r w:rsidRPr="00575A95">
              <w:t xml:space="preserve"> enhances equal access to lifelong learning for all age groups in formal, non-formal and informal settings, upgrading the knowledge, skills and competences of the workforce, and promoting flexible learning pathways including through career guidance and validation of acquired competences. The objectives of Priority Axis 2 covered in this specification are:</w:t>
            </w:r>
          </w:p>
          <w:p w14:paraId="2BE04035" w14:textId="77777777" w:rsidR="00C97A8A" w:rsidRPr="00575A95" w:rsidRDefault="00C97A8A" w:rsidP="005A0E22">
            <w:pPr>
              <w:autoSpaceDE w:val="0"/>
              <w:autoSpaceDN w:val="0"/>
              <w:adjustRightInd w:val="0"/>
            </w:pPr>
          </w:p>
          <w:p w14:paraId="14EF7DF1" w14:textId="77777777" w:rsidR="005A0E22" w:rsidRPr="008C5F3C" w:rsidRDefault="005A0E22" w:rsidP="005A0E22">
            <w:pPr>
              <w:pStyle w:val="ListParagraph"/>
              <w:numPr>
                <w:ilvl w:val="0"/>
                <w:numId w:val="26"/>
              </w:numPr>
            </w:pPr>
            <w:r w:rsidRPr="008C5F3C">
              <w:t xml:space="preserve">To address the basic skills needs of employed people, particularly in SMEs and Micro businesses. </w:t>
            </w:r>
          </w:p>
          <w:p w14:paraId="14EF7DF2" w14:textId="77777777" w:rsidR="005A0E22" w:rsidRPr="008C5F3C" w:rsidRDefault="005A0E22" w:rsidP="005A0E22">
            <w:pPr>
              <w:pStyle w:val="ListParagraph"/>
              <w:numPr>
                <w:ilvl w:val="0"/>
                <w:numId w:val="26"/>
              </w:numPr>
            </w:pPr>
            <w:r w:rsidRPr="008C5F3C">
              <w:t xml:space="preserve">To increase the skills levels of employed people from the existing level to the next level up, to encourage progression in employment. </w:t>
            </w:r>
          </w:p>
          <w:p w14:paraId="14EF7DF3" w14:textId="77777777" w:rsidR="005A0E22" w:rsidRPr="008C5F3C" w:rsidRDefault="005A0E22" w:rsidP="005A0E22">
            <w:pPr>
              <w:pStyle w:val="ListParagraph"/>
              <w:numPr>
                <w:ilvl w:val="0"/>
                <w:numId w:val="26"/>
              </w:numPr>
            </w:pPr>
            <w:r w:rsidRPr="008C5F3C">
              <w:lastRenderedPageBreak/>
              <w:t xml:space="preserve">To increase the number of people with technical and job specific skills, particularly at level 3 and above and into higher and advanced level apprenticeships, to support business growth. </w:t>
            </w:r>
          </w:p>
          <w:p w14:paraId="14EF7DF4" w14:textId="77777777" w:rsidR="005A0E22" w:rsidRPr="008C5F3C" w:rsidRDefault="005A0E22" w:rsidP="005A0E22">
            <w:pPr>
              <w:pStyle w:val="ListParagraph"/>
              <w:numPr>
                <w:ilvl w:val="0"/>
                <w:numId w:val="26"/>
              </w:numPr>
            </w:pPr>
            <w:r w:rsidRPr="008C5F3C">
              <w:t>To increase the skills levels of employed women to encourage progression in employment help address the gender employment and wage gap.</w:t>
            </w:r>
            <w:r w:rsidRPr="008C5F3C">
              <w:rPr>
                <w:sz w:val="23"/>
                <w:szCs w:val="23"/>
              </w:rPr>
              <w:t xml:space="preserve"> </w:t>
            </w:r>
          </w:p>
          <w:p w14:paraId="14EF7DF5" w14:textId="77777777" w:rsidR="00F17CE2" w:rsidRPr="008C5F3C" w:rsidRDefault="00F17CE2" w:rsidP="00A524B5">
            <w:pPr>
              <w:tabs>
                <w:tab w:val="num" w:pos="900"/>
              </w:tabs>
              <w:autoSpaceDE w:val="0"/>
              <w:autoSpaceDN w:val="0"/>
              <w:adjustRightInd w:val="0"/>
              <w:rPr>
                <w:rFonts w:cs="Arial"/>
              </w:rPr>
            </w:pPr>
          </w:p>
          <w:p w14:paraId="14EF7DF6" w14:textId="77777777" w:rsidR="00442DA3" w:rsidRPr="008C5F3C" w:rsidRDefault="00B24D65" w:rsidP="00A524B5">
            <w:pPr>
              <w:rPr>
                <w:rFonts w:cs="Arial"/>
              </w:rPr>
            </w:pPr>
            <w:r w:rsidRPr="008C5F3C">
              <w:rPr>
                <w:rFonts w:cs="Arial"/>
              </w:rPr>
              <w:t xml:space="preserve">The SFA is looking to procure an organisation to </w:t>
            </w:r>
            <w:r w:rsidR="007654E6" w:rsidRPr="008C5F3C">
              <w:rPr>
                <w:rFonts w:cs="Arial"/>
              </w:rPr>
              <w:t>deliver education and training</w:t>
            </w:r>
            <w:r w:rsidR="00F925C5" w:rsidRPr="008C5F3C">
              <w:rPr>
                <w:lang w:eastAsia="en-GB"/>
              </w:rPr>
              <w:t xml:space="preserve"> that best support the needs of local employers and employees </w:t>
            </w:r>
            <w:r w:rsidR="00F9192C" w:rsidRPr="008C5F3C">
              <w:rPr>
                <w:rFonts w:cs="Arial"/>
              </w:rPr>
              <w:t xml:space="preserve">in the </w:t>
            </w:r>
            <w:r w:rsidR="00FD3B0A" w:rsidRPr="008C5F3C">
              <w:rPr>
                <w:rFonts w:cs="Arial"/>
              </w:rPr>
              <w:t xml:space="preserve">LEP </w:t>
            </w:r>
            <w:r w:rsidR="00F9192C" w:rsidRPr="008C5F3C">
              <w:rPr>
                <w:rFonts w:cs="Arial"/>
              </w:rPr>
              <w:t xml:space="preserve">area </w:t>
            </w:r>
            <w:r w:rsidR="00755E41" w:rsidRPr="008C5F3C">
              <w:rPr>
                <w:rFonts w:cs="Arial"/>
              </w:rPr>
              <w:t>set out</w:t>
            </w:r>
            <w:r w:rsidR="00F9192C" w:rsidRPr="008C5F3C">
              <w:rPr>
                <w:rFonts w:cs="Arial"/>
              </w:rPr>
              <w:t xml:space="preserve"> below</w:t>
            </w:r>
            <w:r w:rsidR="000D51DE" w:rsidRPr="008C5F3C">
              <w:rPr>
                <w:rFonts w:cs="Arial"/>
              </w:rPr>
              <w:t>.</w:t>
            </w:r>
            <w:r w:rsidR="007654E6" w:rsidRPr="008C5F3C">
              <w:rPr>
                <w:rFonts w:cs="Arial"/>
              </w:rPr>
              <w:t xml:space="preserve"> </w:t>
            </w:r>
          </w:p>
          <w:p w14:paraId="14EF7DF7" w14:textId="77777777" w:rsidR="00A205A2" w:rsidRPr="008C5F3C" w:rsidRDefault="00A205A2" w:rsidP="00A524B5">
            <w:pPr>
              <w:rPr>
                <w:rFonts w:cs="Arial"/>
              </w:rPr>
            </w:pPr>
          </w:p>
          <w:p w14:paraId="14EF7DF8" w14:textId="77777777" w:rsidR="000D51DE" w:rsidRPr="008C5F3C" w:rsidRDefault="00E579C7" w:rsidP="0081358C">
            <w:pPr>
              <w:rPr>
                <w:rFonts w:cs="Arial"/>
                <w:b/>
              </w:rPr>
            </w:pPr>
            <w:r w:rsidRPr="008C5F3C">
              <w:rPr>
                <w:rFonts w:cs="Arial"/>
                <w:b/>
              </w:rPr>
              <w:t>Derby, Derbyshire, Nottingham &amp; Nottinghamshire</w:t>
            </w:r>
            <w:r w:rsidR="000304B2" w:rsidRPr="008C5F3C">
              <w:rPr>
                <w:rFonts w:cs="Arial"/>
                <w:b/>
              </w:rPr>
              <w:t xml:space="preserve"> Local </w:t>
            </w:r>
            <w:r w:rsidR="00A76A58" w:rsidRPr="008C5F3C">
              <w:rPr>
                <w:rFonts w:cs="Arial"/>
                <w:b/>
              </w:rPr>
              <w:t>Enterprise Partnership</w:t>
            </w:r>
            <w:r w:rsidR="00F24C41" w:rsidRPr="008C5F3C">
              <w:rPr>
                <w:rFonts w:cs="Arial"/>
                <w:b/>
              </w:rPr>
              <w:t xml:space="preserve"> Background</w:t>
            </w:r>
          </w:p>
          <w:p w14:paraId="14EF7DF9" w14:textId="77777777" w:rsidR="0081358C" w:rsidRPr="008C5F3C" w:rsidRDefault="0081358C" w:rsidP="0081358C">
            <w:pPr>
              <w:rPr>
                <w:rFonts w:cs="Arial"/>
                <w:b/>
              </w:rPr>
            </w:pPr>
          </w:p>
          <w:p w14:paraId="14EF7DFA" w14:textId="77777777" w:rsidR="00E52861" w:rsidRPr="00575A95" w:rsidRDefault="00E52861" w:rsidP="00E52861">
            <w:pPr>
              <w:autoSpaceDE w:val="0"/>
              <w:autoSpaceDN w:val="0"/>
              <w:adjustRightInd w:val="0"/>
              <w:rPr>
                <w:rFonts w:cs="Arial"/>
                <w:color w:val="000000"/>
              </w:rPr>
            </w:pPr>
            <w:r w:rsidRPr="00575A95">
              <w:rPr>
                <w:rFonts w:cs="Arial"/>
                <w:color w:val="000000"/>
              </w:rPr>
              <w:t xml:space="preserve">The D2N2 Local Enterprise Partnership area covers Derby, Nottingham, Derbyshire, and Nottinghamshire. It is one of the largest LEP areas within England, covering an area with a population of more than 2m people and with an economic output of nearly £40bn. The D2N2 economy accounts for nearly half of the businesses and GDP of the East Midlands region. It has a central location in England, well served by key north-south transport links such as the M1 and Midland Mainline, with a comparatively competitive and abundant supply of sites to promote investment. </w:t>
            </w:r>
          </w:p>
          <w:p w14:paraId="14EF7DFB" w14:textId="77777777" w:rsidR="00E52861" w:rsidRPr="00575A95" w:rsidRDefault="00E52861" w:rsidP="005C6102">
            <w:pPr>
              <w:autoSpaceDE w:val="0"/>
              <w:autoSpaceDN w:val="0"/>
              <w:adjustRightInd w:val="0"/>
              <w:rPr>
                <w:rFonts w:cs="Arial"/>
                <w:color w:val="000000"/>
              </w:rPr>
            </w:pPr>
          </w:p>
          <w:p w14:paraId="14EF7DFC" w14:textId="77777777" w:rsidR="00E52861" w:rsidRPr="00575A95" w:rsidRDefault="00E52861" w:rsidP="003670BC">
            <w:pPr>
              <w:rPr>
                <w:rFonts w:cs="Arial"/>
                <w:color w:val="000000"/>
              </w:rPr>
            </w:pPr>
            <w:r w:rsidRPr="00575A95">
              <w:rPr>
                <w:rFonts w:cs="Arial"/>
                <w:color w:val="000000"/>
              </w:rPr>
              <w:t>The economy comprises a mix of rural and urban areas across 17 local authority areas. There is a large concentration of employment in and around the area’s two largest centres - Nottingham and Derby – with the two cities combined accounting for 36% of total employment compared to 26% of total population. There are also a number of smaller centres that serve rural hinterlands with over one-third of D2N2’s total employment in predominantly rural local authority areas.</w:t>
            </w:r>
          </w:p>
          <w:p w14:paraId="14EF7DFD" w14:textId="77777777" w:rsidR="00E52861" w:rsidRPr="00575A95" w:rsidRDefault="00E52861" w:rsidP="003670BC">
            <w:pPr>
              <w:rPr>
                <w:rFonts w:cs="Arial"/>
                <w:color w:val="000000"/>
                <w:sz w:val="22"/>
                <w:szCs w:val="22"/>
              </w:rPr>
            </w:pPr>
          </w:p>
          <w:p w14:paraId="14EF7DFE" w14:textId="77777777" w:rsidR="00E52861" w:rsidRPr="00575A95" w:rsidRDefault="00E52861" w:rsidP="003670BC">
            <w:pPr>
              <w:rPr>
                <w:rFonts w:cs="Arial"/>
                <w:color w:val="000000"/>
                <w:lang w:val="en"/>
              </w:rPr>
            </w:pPr>
            <w:r w:rsidRPr="00575A95">
              <w:rPr>
                <w:rFonts w:cs="Arial"/>
                <w:color w:val="000000"/>
              </w:rPr>
              <w:t>The D2N2 Strategic Economic Plan, aims to be transformational and by 2023 create 55,000 additional private sector employee jobs; deliver a step change in skills levels amongst our workforce and young people; deliver a significant increase in our business base; and build 77,000 additional homes we will need to accommodate our growing population.</w:t>
            </w:r>
          </w:p>
          <w:p w14:paraId="14EF7DFF" w14:textId="6263A982" w:rsidR="00E52861" w:rsidRPr="00575A95" w:rsidRDefault="00E52861" w:rsidP="003670BC">
            <w:pPr>
              <w:tabs>
                <w:tab w:val="left" w:pos="2964"/>
              </w:tabs>
              <w:rPr>
                <w:rFonts w:cs="Arial"/>
                <w:color w:val="000000"/>
                <w:lang w:val="en"/>
              </w:rPr>
            </w:pPr>
          </w:p>
          <w:p w14:paraId="14EF7E00" w14:textId="153F6205" w:rsidR="00E52861" w:rsidRPr="00575A95" w:rsidRDefault="00E52861" w:rsidP="003670BC">
            <w:pPr>
              <w:rPr>
                <w:rFonts w:cs="Arial"/>
                <w:lang w:eastAsia="en-GB"/>
              </w:rPr>
            </w:pPr>
            <w:r w:rsidRPr="00575A95">
              <w:rPr>
                <w:rFonts w:cs="Arial"/>
                <w:lang w:eastAsia="en-GB"/>
              </w:rPr>
              <w:t xml:space="preserve">Exciting business opportunities lie ahead that can underpin and strengthen our local, regional and national prosperity and have the potential to transform businesses and people’s lives!  Stimulating economic development, increasing productivity to support jobs, skills and growth will be a key focus for the Local Enterprise Partnership for Derby, Derbyshire, Nottingham and Nottinghamshire (D2N2). Our vision is to make the D2N2 area one of the strongest and most resilient economic regions in the UK.   Sectoral growth opportunities necessitate a strong focus initially on key </w:t>
            </w:r>
            <w:r w:rsidR="003D25A1">
              <w:rPr>
                <w:rFonts w:cs="Arial"/>
                <w:lang w:eastAsia="en-GB"/>
              </w:rPr>
              <w:t>priority sectors</w:t>
            </w:r>
            <w:r w:rsidR="003D25A1" w:rsidRPr="00575A95">
              <w:rPr>
                <w:rFonts w:cs="Arial"/>
                <w:lang w:eastAsia="en-GB"/>
              </w:rPr>
              <w:t xml:space="preserve"> </w:t>
            </w:r>
            <w:r w:rsidRPr="00575A95">
              <w:rPr>
                <w:rFonts w:cs="Arial"/>
                <w:lang w:eastAsia="en-GB"/>
              </w:rPr>
              <w:t>such as:</w:t>
            </w:r>
          </w:p>
          <w:p w14:paraId="14EF7E01" w14:textId="77777777" w:rsidR="00E52861" w:rsidRPr="00575A95" w:rsidRDefault="00E52861" w:rsidP="003670BC">
            <w:pPr>
              <w:rPr>
                <w:rFonts w:cs="Arial"/>
                <w:lang w:eastAsia="en-GB"/>
              </w:rPr>
            </w:pPr>
          </w:p>
          <w:p w14:paraId="14EF7E02" w14:textId="77777777" w:rsidR="00E52861" w:rsidRPr="00575A95" w:rsidRDefault="00E52861" w:rsidP="00E52861">
            <w:pPr>
              <w:pStyle w:val="ListParagraph"/>
              <w:numPr>
                <w:ilvl w:val="0"/>
                <w:numId w:val="22"/>
              </w:numPr>
              <w:rPr>
                <w:rFonts w:cs="Arial"/>
                <w:lang w:eastAsia="en-GB"/>
              </w:rPr>
            </w:pPr>
            <w:r w:rsidRPr="00575A95">
              <w:rPr>
                <w:rFonts w:cs="Arial"/>
                <w:lang w:eastAsia="en-GB"/>
              </w:rPr>
              <w:t>Transport Equipment Manufacturing;</w:t>
            </w:r>
          </w:p>
          <w:p w14:paraId="14EF7E03"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 xml:space="preserve">Medicine and Bioscience; </w:t>
            </w:r>
          </w:p>
          <w:p w14:paraId="14EF7E04"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 xml:space="preserve">Construction; </w:t>
            </w:r>
          </w:p>
          <w:p w14:paraId="14EF7E05"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 xml:space="preserve">Food and Drink Manufacturing; </w:t>
            </w:r>
          </w:p>
          <w:p w14:paraId="14EF7E06"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lastRenderedPageBreak/>
              <w:t xml:space="preserve">Visitor Economy; </w:t>
            </w:r>
          </w:p>
          <w:p w14:paraId="14EF7E07"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 xml:space="preserve">Low Carbon Goods and Services, </w:t>
            </w:r>
          </w:p>
          <w:p w14:paraId="14EF7E08"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Creative Industries; and</w:t>
            </w:r>
          </w:p>
          <w:p w14:paraId="14EF7E09" w14:textId="77777777" w:rsidR="00E52861" w:rsidRPr="00575A95" w:rsidRDefault="00E52861" w:rsidP="00E52861">
            <w:pPr>
              <w:numPr>
                <w:ilvl w:val="0"/>
                <w:numId w:val="22"/>
              </w:numPr>
              <w:spacing w:line="276" w:lineRule="auto"/>
              <w:rPr>
                <w:rFonts w:cs="Arial"/>
                <w:lang w:eastAsia="en-GB"/>
              </w:rPr>
            </w:pPr>
            <w:r w:rsidRPr="00575A95">
              <w:rPr>
                <w:rFonts w:cs="Arial"/>
                <w:lang w:eastAsia="en-GB"/>
              </w:rPr>
              <w:t>Transport and Logistics.</w:t>
            </w:r>
          </w:p>
          <w:p w14:paraId="14EF7E0A" w14:textId="77777777" w:rsidR="00E52861" w:rsidRPr="00575A95" w:rsidRDefault="00E52861" w:rsidP="00E52861">
            <w:pPr>
              <w:spacing w:line="276" w:lineRule="auto"/>
              <w:rPr>
                <w:rFonts w:cs="Arial"/>
                <w:sz w:val="22"/>
                <w:szCs w:val="22"/>
                <w:lang w:eastAsia="en-GB"/>
              </w:rPr>
            </w:pPr>
          </w:p>
          <w:p w14:paraId="14EF7E0B" w14:textId="77777777" w:rsidR="00E52861" w:rsidRPr="00575A95" w:rsidRDefault="00E52861" w:rsidP="00E52861">
            <w:pPr>
              <w:spacing w:line="276" w:lineRule="auto"/>
              <w:rPr>
                <w:rFonts w:cs="Arial"/>
                <w:lang w:eastAsia="en-GB"/>
              </w:rPr>
            </w:pPr>
            <w:r w:rsidRPr="00575A95">
              <w:rPr>
                <w:rFonts w:cs="Arial"/>
                <w:lang w:eastAsia="en-GB"/>
              </w:rPr>
              <w:t>We wish to retain the flexibility within the D2N2 programme to respond to new and emerging and niche sectors which may become increasingly important during the programming period and to use ESF in combination with ERDF where added value can be achieved.</w:t>
            </w:r>
          </w:p>
          <w:p w14:paraId="14EF7E0C" w14:textId="77777777" w:rsidR="00E52861" w:rsidRPr="00575A95" w:rsidRDefault="00E52861" w:rsidP="003670BC">
            <w:pPr>
              <w:spacing w:before="120" w:after="120"/>
              <w:rPr>
                <w:rFonts w:cs="Arial"/>
                <w:lang w:eastAsia="en-GB"/>
              </w:rPr>
            </w:pPr>
            <w:r w:rsidRPr="00575A95">
              <w:rPr>
                <w:rFonts w:cs="Arial"/>
                <w:lang w:eastAsia="en-GB"/>
              </w:rPr>
              <w:t>The D2N2 Skills Strategy priorities are:</w:t>
            </w:r>
          </w:p>
          <w:p w14:paraId="14EF7E0D"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 xml:space="preserve">To ensure education and training systems reflect employer requirements; </w:t>
            </w:r>
          </w:p>
          <w:p w14:paraId="14EF7E0E"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 xml:space="preserve">To engage new start businesses and SMEs in the education and skills agenda;  </w:t>
            </w:r>
          </w:p>
          <w:p w14:paraId="14EF7E0F"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 xml:space="preserve">To equip the workforce with the skills and competencies required by local employers, both at present and in the future. </w:t>
            </w:r>
          </w:p>
          <w:p w14:paraId="14EF7E10"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Extend and deepen engagement between business sectors and training providers;</w:t>
            </w:r>
          </w:p>
          <w:p w14:paraId="14EF7E11"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Encourage better matching of skills supply with employer need to address recruitment difficulties and unemployment; and</w:t>
            </w:r>
          </w:p>
          <w:p w14:paraId="14EF7E12" w14:textId="77777777" w:rsidR="00E52861" w:rsidRPr="00575A95" w:rsidRDefault="00E52861" w:rsidP="003670BC">
            <w:pPr>
              <w:numPr>
                <w:ilvl w:val="0"/>
                <w:numId w:val="11"/>
              </w:numPr>
              <w:spacing w:after="60" w:line="264" w:lineRule="auto"/>
              <w:ind w:left="714" w:hanging="357"/>
              <w:rPr>
                <w:rFonts w:cs="Arial"/>
                <w:lang w:eastAsia="en-GB"/>
              </w:rPr>
            </w:pPr>
            <w:r w:rsidRPr="00575A95">
              <w:rPr>
                <w:rFonts w:cs="Arial"/>
                <w:lang w:eastAsia="en-GB"/>
              </w:rPr>
              <w:t>Develop employer-led, added value, flexible provision.</w:t>
            </w:r>
          </w:p>
          <w:p w14:paraId="14EF7E13" w14:textId="77777777" w:rsidR="00E52861" w:rsidRPr="00575A95" w:rsidRDefault="00E52861" w:rsidP="003670BC">
            <w:pPr>
              <w:spacing w:after="60" w:line="264" w:lineRule="auto"/>
              <w:ind w:left="357"/>
              <w:rPr>
                <w:rFonts w:cs="Arial"/>
                <w:lang w:eastAsia="en-GB"/>
              </w:rPr>
            </w:pPr>
          </w:p>
          <w:p w14:paraId="14EF7E14" w14:textId="77777777" w:rsidR="00E52861" w:rsidRPr="00575A95" w:rsidRDefault="00E52861" w:rsidP="00E52861">
            <w:pPr>
              <w:rPr>
                <w:rFonts w:cs="Arial"/>
              </w:rPr>
            </w:pPr>
            <w:r w:rsidRPr="00575A95">
              <w:rPr>
                <w:rFonts w:cs="Arial"/>
              </w:rPr>
              <w:t xml:space="preserve">Research, consultation and feedback from employers and stakeholders (e.g. Local Authorities) which contributed to the LEP’s SEP and other strategic reports (e.g. Skills Action Plan) indicated that a significant number of employers do not know how or where to access skills provision which meets their business needs and all too often support is delivered by organisations that do not understand the business environment and challenges that they are operating within, thereby losing credibility with the business. </w:t>
            </w:r>
          </w:p>
          <w:p w14:paraId="14EF7E15" w14:textId="77777777" w:rsidR="00E52861" w:rsidRPr="00575A95" w:rsidRDefault="00E52861" w:rsidP="00E52861">
            <w:pPr>
              <w:rPr>
                <w:rFonts w:cs="Arial"/>
              </w:rPr>
            </w:pPr>
          </w:p>
          <w:p w14:paraId="14EF7E16" w14:textId="77777777" w:rsidR="00E52861" w:rsidRPr="00575A95" w:rsidRDefault="00E52861" w:rsidP="00E52861">
            <w:pPr>
              <w:rPr>
                <w:rFonts w:cs="Arial"/>
              </w:rPr>
            </w:pPr>
            <w:r w:rsidRPr="00575A95">
              <w:rPr>
                <w:rFonts w:cs="Arial"/>
              </w:rPr>
              <w:t xml:space="preserve">The D2N2 ESF programmes will offer support to employers to help them access appropriate existing training provision. Where this is not currently available, it will developed and bespoke programmes will be delivered which meet employer and sector demand.  </w:t>
            </w:r>
          </w:p>
          <w:p w14:paraId="14EF7E17" w14:textId="77777777" w:rsidR="00E52861" w:rsidRPr="00575A95" w:rsidRDefault="00E52861" w:rsidP="00E52861">
            <w:pPr>
              <w:rPr>
                <w:rFonts w:cs="Arial"/>
              </w:rPr>
            </w:pPr>
          </w:p>
          <w:p w14:paraId="14EF7E18" w14:textId="77777777" w:rsidR="00E52861" w:rsidRPr="00575A95" w:rsidRDefault="00E52861" w:rsidP="00E52861">
            <w:pPr>
              <w:rPr>
                <w:rFonts w:cs="Arial"/>
              </w:rPr>
            </w:pPr>
            <w:r w:rsidRPr="00575A95">
              <w:rPr>
                <w:rFonts w:cs="Arial"/>
              </w:rPr>
              <w:t xml:space="preserve">D2N2 is seeking to engage employers, not currently engaged with skills and training, offering a service which cannot be delivered through the private sector.  Once employers understand and appreciate the full impact and value that skills development can have on workforce productivity and performance they will be more likely to contribute financially to further training and development where the private sector will play a part.  </w:t>
            </w:r>
          </w:p>
          <w:p w14:paraId="14EF7E19" w14:textId="77777777" w:rsidR="00E52861" w:rsidRPr="00575A95" w:rsidRDefault="00E52861" w:rsidP="00E52861">
            <w:pPr>
              <w:rPr>
                <w:rFonts w:cs="Arial"/>
              </w:rPr>
            </w:pPr>
          </w:p>
          <w:p w14:paraId="14EF7E1A" w14:textId="77777777" w:rsidR="00E52861" w:rsidRPr="00575A95" w:rsidRDefault="00E52861" w:rsidP="00E52861">
            <w:pPr>
              <w:pStyle w:val="Default"/>
            </w:pPr>
            <w:r w:rsidRPr="00575A95">
              <w:t xml:space="preserve">The need for lifelong learning is more evident now than ever before. People no longer have jobs for life with many people changing career as well as individual employers during their working life. Staying informed of employer skills </w:t>
            </w:r>
            <w:r w:rsidRPr="00575A95">
              <w:lastRenderedPageBreak/>
              <w:t xml:space="preserve">requirements to have the best possible chance of accessing and progressing in employment is therefore a high priority. </w:t>
            </w:r>
          </w:p>
          <w:p w14:paraId="14EF7E1B" w14:textId="77777777" w:rsidR="00E52861" w:rsidRPr="00575A95" w:rsidRDefault="00E52861" w:rsidP="00E52861">
            <w:pPr>
              <w:pStyle w:val="Default"/>
            </w:pPr>
          </w:p>
          <w:p w14:paraId="14EF7E1C" w14:textId="77777777" w:rsidR="00E52861" w:rsidRPr="00575A95" w:rsidRDefault="00E52861" w:rsidP="00E52861">
            <w:pPr>
              <w:pStyle w:val="Default"/>
            </w:pPr>
            <w:r w:rsidRPr="00575A95">
              <w:t xml:space="preserve">Demand for skills, particularly higher level skills is expected to rise significantly in the D2N2 area, and there is a need to balance expansion demand and replacement demand, with opportunities arising at all skills levels. </w:t>
            </w:r>
          </w:p>
          <w:p w14:paraId="14EF7E1D" w14:textId="77777777" w:rsidR="00E52861" w:rsidRPr="00575A95" w:rsidRDefault="00E52861" w:rsidP="00E52861">
            <w:pPr>
              <w:pStyle w:val="Default"/>
            </w:pPr>
          </w:p>
          <w:p w14:paraId="14EF7E1E" w14:textId="77777777" w:rsidR="00E52861" w:rsidRPr="00575A95" w:rsidRDefault="00E52861" w:rsidP="00E52861">
            <w:pPr>
              <w:pStyle w:val="ListParagraph"/>
              <w:ind w:left="0" w:right="113"/>
              <w:rPr>
                <w:rFonts w:cs="Arial"/>
              </w:rPr>
            </w:pPr>
            <w:r w:rsidRPr="00575A95">
              <w:rPr>
                <w:rFonts w:cs="Arial"/>
              </w:rPr>
              <w:t xml:space="preserve">Employers need to be supported to identify and articulate their skills needs, so that providers can respond. Currently, the skills landscape is confusing for employers.  Many have skills gaps and shortages alongside unemployment but over two-fifths of D2N2 employers don’t invest in skills development. This project will respond by helping employers to articulate their skills needs.  It will support employers to source provision to meet that need where there is existing provision and source or develop bespoke training where necessary to meet niche demand. </w:t>
            </w:r>
          </w:p>
          <w:p w14:paraId="14EF7E1F" w14:textId="77777777" w:rsidR="00E52861" w:rsidRPr="00575A95" w:rsidRDefault="00E52861" w:rsidP="00E52861">
            <w:pPr>
              <w:pStyle w:val="ListParagraph"/>
              <w:ind w:left="0" w:right="113"/>
              <w:rPr>
                <w:rFonts w:cs="Arial"/>
              </w:rPr>
            </w:pPr>
          </w:p>
          <w:p w14:paraId="14EF7E20" w14:textId="77777777" w:rsidR="00E52861" w:rsidRPr="00575A95" w:rsidRDefault="00E52861" w:rsidP="00E52861">
            <w:pPr>
              <w:pStyle w:val="ListParagraph"/>
              <w:ind w:left="0" w:right="113"/>
              <w:rPr>
                <w:rFonts w:cs="Arial"/>
              </w:rPr>
            </w:pPr>
            <w:r w:rsidRPr="00575A95">
              <w:rPr>
                <w:rFonts w:cs="Arial"/>
              </w:rPr>
              <w:t>Developing a skilled and adaptable workforce is a focus of this programme; resources will be focused on people in the workforce with low skills, and to help people gain relevant skills and qualifications needed for their career progression and for business growth and innovation in the knowledge economy.</w:t>
            </w:r>
          </w:p>
          <w:p w14:paraId="14EF7E21" w14:textId="77777777" w:rsidR="00E52861" w:rsidRPr="00575A95" w:rsidRDefault="00E52861" w:rsidP="00E52861">
            <w:pPr>
              <w:pStyle w:val="ListParagraph"/>
              <w:ind w:left="0" w:right="113"/>
              <w:rPr>
                <w:rFonts w:cs="Arial"/>
              </w:rPr>
            </w:pPr>
          </w:p>
          <w:p w14:paraId="14EF7E22" w14:textId="77777777" w:rsidR="00E52861" w:rsidRPr="00575A95" w:rsidRDefault="00E52861" w:rsidP="00E52861">
            <w:pPr>
              <w:rPr>
                <w:rFonts w:cs="Arial"/>
              </w:rPr>
            </w:pPr>
            <w:r w:rsidRPr="00575A95">
              <w:rPr>
                <w:rFonts w:cs="Arial"/>
              </w:rPr>
              <w:t xml:space="preserve">The D2N2 ESIF Programme Board have agreed a set of Core Delivery Principles that define how it considers a good ESIF project should operate. They crystallise the preferred approach articulated in the D2N2 ESIF Strategy. D2N2 will consider how applications’ meet the Core Delivery Principles in formulating its commentary and advice on the evidence of local strategic fit: </w:t>
            </w:r>
          </w:p>
          <w:p w14:paraId="14EF7E23" w14:textId="77777777" w:rsidR="00E52861" w:rsidRPr="00575A95" w:rsidRDefault="00E52861" w:rsidP="00E52861">
            <w:pPr>
              <w:rPr>
                <w:rFonts w:cs="Arial"/>
              </w:rPr>
            </w:pPr>
          </w:p>
          <w:p w14:paraId="14EF7E24"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b/>
                <w:bCs/>
                <w:color w:val="666666"/>
                <w:lang w:eastAsia="en-GB"/>
              </w:rPr>
              <w:t> </w:t>
            </w:r>
            <w:r w:rsidRPr="00575A95">
              <w:rPr>
                <w:rFonts w:cs="Arial"/>
                <w:lang w:eastAsia="en-GB"/>
              </w:rPr>
              <w:t>Impact and Scale</w:t>
            </w:r>
          </w:p>
          <w:p w14:paraId="14EF7E25"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lang w:eastAsia="en-GB"/>
              </w:rPr>
              <w:t> Delivery Readiness</w:t>
            </w:r>
          </w:p>
          <w:p w14:paraId="14EF7E26"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lang w:eastAsia="en-GB"/>
              </w:rPr>
              <w:t> Added Value</w:t>
            </w:r>
          </w:p>
          <w:p w14:paraId="14EF7E27"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lang w:eastAsia="en-GB"/>
              </w:rPr>
              <w:t> Local Value</w:t>
            </w:r>
          </w:p>
          <w:p w14:paraId="14EF7E28"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lang w:eastAsia="en-GB"/>
              </w:rPr>
              <w:t> Quality, Performance and Efficiency</w:t>
            </w:r>
          </w:p>
          <w:p w14:paraId="14EF7E29" w14:textId="77777777" w:rsidR="00E52861" w:rsidRPr="00575A95" w:rsidRDefault="00E52861" w:rsidP="00E52861">
            <w:pPr>
              <w:numPr>
                <w:ilvl w:val="0"/>
                <w:numId w:val="11"/>
              </w:numPr>
              <w:spacing w:after="60" w:line="264" w:lineRule="auto"/>
              <w:ind w:left="714" w:hanging="357"/>
              <w:jc w:val="both"/>
              <w:rPr>
                <w:rFonts w:cs="Arial"/>
                <w:lang w:eastAsia="en-GB"/>
              </w:rPr>
            </w:pPr>
            <w:r w:rsidRPr="00575A95">
              <w:rPr>
                <w:rFonts w:cs="Arial"/>
                <w:lang w:eastAsia="en-GB"/>
              </w:rPr>
              <w:t> Strategic Partnerships and Co-ordination of Market Engagement</w:t>
            </w:r>
          </w:p>
          <w:p w14:paraId="14EF7E2A" w14:textId="77777777" w:rsidR="00E52861" w:rsidRPr="00575A95" w:rsidRDefault="00E52861" w:rsidP="00E52861">
            <w:pPr>
              <w:numPr>
                <w:ilvl w:val="0"/>
                <w:numId w:val="11"/>
              </w:numPr>
              <w:spacing w:after="60" w:line="264" w:lineRule="auto"/>
              <w:ind w:left="714" w:hanging="357"/>
              <w:jc w:val="both"/>
              <w:rPr>
                <w:rFonts w:cs="Arial"/>
              </w:rPr>
            </w:pPr>
            <w:r w:rsidRPr="00575A95">
              <w:rPr>
                <w:rFonts w:cs="Arial"/>
                <w:lang w:eastAsia="en-GB"/>
              </w:rPr>
              <w:t> Flexibility and Responsiveness</w:t>
            </w:r>
          </w:p>
          <w:p w14:paraId="14EF7E2B" w14:textId="77777777" w:rsidR="00E52861" w:rsidRPr="00575A95" w:rsidRDefault="00E52861" w:rsidP="00E52861">
            <w:pPr>
              <w:pStyle w:val="ListParagraph"/>
              <w:ind w:left="0" w:right="113"/>
              <w:rPr>
                <w:rFonts w:cs="Arial"/>
              </w:rPr>
            </w:pPr>
          </w:p>
          <w:p w14:paraId="14EF7E2C" w14:textId="77777777" w:rsidR="00E52861" w:rsidRPr="00575A95" w:rsidRDefault="00E52861" w:rsidP="00E52861">
            <w:pPr>
              <w:rPr>
                <w:rFonts w:cs="Arial"/>
                <w:u w:val="single"/>
                <w:lang w:val="en"/>
              </w:rPr>
            </w:pPr>
            <w:r w:rsidRPr="00575A95">
              <w:rPr>
                <w:rFonts w:cs="Arial"/>
                <w:u w:val="single"/>
              </w:rPr>
              <w:t>For further background information and research see the below:</w:t>
            </w:r>
          </w:p>
          <w:p w14:paraId="14EF7E2D" w14:textId="77777777" w:rsidR="00E52861" w:rsidRPr="00575A95" w:rsidRDefault="00E52861" w:rsidP="00E52861">
            <w:pPr>
              <w:ind w:right="-82"/>
              <w:rPr>
                <w:rFonts w:cs="Arial"/>
                <w:lang w:val="en"/>
              </w:rPr>
            </w:pPr>
          </w:p>
          <w:p w14:paraId="14EF7E2E" w14:textId="77777777" w:rsidR="00E52861" w:rsidRPr="00575A95" w:rsidRDefault="00E52861" w:rsidP="00E52861">
            <w:pPr>
              <w:ind w:right="-82"/>
              <w:rPr>
                <w:rFonts w:cs="Arial"/>
              </w:rPr>
            </w:pPr>
            <w:r w:rsidRPr="00575A95">
              <w:rPr>
                <w:rFonts w:cs="Arial"/>
              </w:rPr>
              <w:t xml:space="preserve">D2N2 LEP Strategic Economic Plan: </w:t>
            </w:r>
            <w:hyperlink r:id="rId15" w:history="1">
              <w:r w:rsidRPr="00575A95">
                <w:rPr>
                  <w:rStyle w:val="Hyperlink"/>
                  <w:rFonts w:cs="Arial"/>
                  <w:sz w:val="24"/>
                  <w:szCs w:val="24"/>
                </w:rPr>
                <w:t>http://www.d2n2lep.org/Growth</w:t>
              </w:r>
            </w:hyperlink>
          </w:p>
          <w:p w14:paraId="14EF7E2F" w14:textId="77777777" w:rsidR="00E52861" w:rsidRPr="00575A95" w:rsidRDefault="00E52861" w:rsidP="00E52861">
            <w:pPr>
              <w:ind w:right="-82"/>
              <w:rPr>
                <w:rFonts w:cs="Arial"/>
              </w:rPr>
            </w:pPr>
          </w:p>
          <w:p w14:paraId="14EF7E30" w14:textId="77777777" w:rsidR="00E52861" w:rsidRPr="00575A95" w:rsidRDefault="00E52861" w:rsidP="00E52861">
            <w:pPr>
              <w:ind w:right="-82"/>
              <w:rPr>
                <w:rFonts w:cs="Arial"/>
              </w:rPr>
            </w:pPr>
            <w:r w:rsidRPr="00575A95">
              <w:rPr>
                <w:rFonts w:cs="Arial"/>
              </w:rPr>
              <w:t xml:space="preserve">D2N2 LEP: </w:t>
            </w:r>
            <w:hyperlink r:id="rId16" w:tgtFrame="_blank" w:history="1">
              <w:r w:rsidRPr="00575A95">
                <w:rPr>
                  <w:rStyle w:val="Hyperlink"/>
                  <w:rFonts w:cs="Arial"/>
                  <w:sz w:val="24"/>
                  <w:szCs w:val="24"/>
                </w:rPr>
                <w:t>EU Structural and Investment Fund Strategy 2014-2020</w:t>
              </w:r>
            </w:hyperlink>
            <w:r w:rsidRPr="00575A95">
              <w:rPr>
                <w:rFonts w:cs="Arial"/>
              </w:rPr>
              <w:t xml:space="preserve">: </w:t>
            </w:r>
            <w:hyperlink r:id="rId17" w:history="1">
              <w:r w:rsidRPr="00575A95">
                <w:rPr>
                  <w:rStyle w:val="Hyperlink"/>
                  <w:rFonts w:cs="Arial"/>
                  <w:sz w:val="24"/>
                  <w:szCs w:val="24"/>
                </w:rPr>
                <w:t>http://www.d2n2lep.org/EUFunding</w:t>
              </w:r>
            </w:hyperlink>
          </w:p>
          <w:p w14:paraId="14EF7E31" w14:textId="77777777" w:rsidR="00E52861" w:rsidRPr="00575A95" w:rsidRDefault="00E52861" w:rsidP="00E52861">
            <w:pPr>
              <w:ind w:right="-82"/>
              <w:rPr>
                <w:rFonts w:cs="Arial"/>
              </w:rPr>
            </w:pPr>
          </w:p>
          <w:p w14:paraId="14EF7E32" w14:textId="77777777" w:rsidR="00E52861" w:rsidRPr="00575A95" w:rsidRDefault="00E52861" w:rsidP="00E52861">
            <w:pPr>
              <w:ind w:right="-82"/>
              <w:rPr>
                <w:rStyle w:val="Hyperlink"/>
                <w:rFonts w:cs="Arial"/>
                <w:sz w:val="24"/>
                <w:szCs w:val="24"/>
              </w:rPr>
            </w:pPr>
            <w:r w:rsidRPr="00575A95">
              <w:rPr>
                <w:rFonts w:cs="Arial"/>
              </w:rPr>
              <w:t xml:space="preserve">D2N2 LEP Skills for Growth Strategy: </w:t>
            </w:r>
            <w:hyperlink r:id="rId18" w:history="1">
              <w:r w:rsidRPr="00575A95">
                <w:rPr>
                  <w:rStyle w:val="Hyperlink"/>
                  <w:rFonts w:cs="Arial"/>
                  <w:sz w:val="24"/>
                  <w:szCs w:val="24"/>
                </w:rPr>
                <w:t>http://www.d2n2lep.org/skills</w:t>
              </w:r>
            </w:hyperlink>
          </w:p>
          <w:p w14:paraId="14EF7E33" w14:textId="77777777" w:rsidR="00E52861" w:rsidRPr="00575A95" w:rsidRDefault="00E52861" w:rsidP="00E52861">
            <w:pPr>
              <w:ind w:right="-82"/>
              <w:rPr>
                <w:rStyle w:val="Hyperlink"/>
                <w:rFonts w:cs="Arial"/>
                <w:sz w:val="24"/>
                <w:szCs w:val="24"/>
              </w:rPr>
            </w:pPr>
          </w:p>
          <w:p w14:paraId="14EF7E34" w14:textId="77777777" w:rsidR="00E52861" w:rsidRPr="00575A95" w:rsidRDefault="00E52861" w:rsidP="00E52861">
            <w:pPr>
              <w:ind w:right="-82"/>
              <w:rPr>
                <w:rFonts w:cs="Arial"/>
              </w:rPr>
            </w:pPr>
            <w:r w:rsidRPr="00575A95">
              <w:rPr>
                <w:rFonts w:cs="Arial"/>
              </w:rPr>
              <w:t xml:space="preserve">D2N2 Apprenticeship Growth Plan: </w:t>
            </w:r>
            <w:hyperlink r:id="rId19" w:history="1">
              <w:r w:rsidRPr="00575A95">
                <w:rPr>
                  <w:rStyle w:val="Hyperlink"/>
                  <w:rFonts w:cs="Arial"/>
                  <w:sz w:val="24"/>
                  <w:szCs w:val="24"/>
                </w:rPr>
                <w:t>http://www.d2n2lep.org/write/Documents/Final_D2N2_Apprenticeship_Growth_Plan_-_April_2014.pdf</w:t>
              </w:r>
            </w:hyperlink>
            <w:r w:rsidRPr="00575A95">
              <w:rPr>
                <w:rFonts w:cs="Arial"/>
              </w:rPr>
              <w:t xml:space="preserve"> </w:t>
            </w:r>
          </w:p>
          <w:p w14:paraId="14EF7E35" w14:textId="77777777" w:rsidR="00E52861" w:rsidRPr="00575A95" w:rsidRDefault="00E52861" w:rsidP="00E52861">
            <w:pPr>
              <w:ind w:right="-82"/>
              <w:rPr>
                <w:rFonts w:cs="Arial"/>
              </w:rPr>
            </w:pPr>
          </w:p>
          <w:p w14:paraId="14EF7E36" w14:textId="77777777" w:rsidR="00E52861" w:rsidRPr="00575A95" w:rsidRDefault="00E52861" w:rsidP="00E52861">
            <w:pPr>
              <w:ind w:right="-82"/>
              <w:rPr>
                <w:rFonts w:cs="Arial"/>
              </w:rPr>
            </w:pPr>
            <w:r w:rsidRPr="00575A95">
              <w:rPr>
                <w:rFonts w:cs="Arial"/>
              </w:rPr>
              <w:t>D2 Skills and Employment Board Action Plan (where available)</w:t>
            </w:r>
          </w:p>
          <w:p w14:paraId="14EF7E37" w14:textId="77777777" w:rsidR="00E52861" w:rsidRPr="00575A95" w:rsidRDefault="00E52861" w:rsidP="00E52861">
            <w:pPr>
              <w:ind w:right="-82"/>
              <w:rPr>
                <w:rFonts w:cs="Arial"/>
              </w:rPr>
            </w:pPr>
          </w:p>
          <w:p w14:paraId="14EF7E38" w14:textId="77777777" w:rsidR="00E52861" w:rsidRPr="00575A95" w:rsidRDefault="00E52861" w:rsidP="00E52861">
            <w:pPr>
              <w:ind w:right="-82"/>
              <w:rPr>
                <w:rFonts w:cs="Arial"/>
              </w:rPr>
            </w:pPr>
            <w:r w:rsidRPr="00575A95">
              <w:rPr>
                <w:rFonts w:cs="Arial"/>
              </w:rPr>
              <w:t xml:space="preserve">Derbyshire Economic Strategy Statement </w:t>
            </w:r>
            <w:hyperlink r:id="rId20" w:history="1">
              <w:r w:rsidRPr="00575A95">
                <w:rPr>
                  <w:rStyle w:val="Hyperlink"/>
                  <w:rFonts w:cs="Arial"/>
                  <w:sz w:val="24"/>
                  <w:szCs w:val="24"/>
                </w:rPr>
                <w:t>https://www.derbyshire.gov.uk/business/economic/derbyshire_economic_strategy/default.asp</w:t>
              </w:r>
            </w:hyperlink>
            <w:r w:rsidRPr="00575A95">
              <w:rPr>
                <w:rFonts w:cs="Arial"/>
              </w:rPr>
              <w:t xml:space="preserve"> </w:t>
            </w:r>
          </w:p>
          <w:p w14:paraId="14EF7E39" w14:textId="77777777" w:rsidR="00E52861" w:rsidRPr="00575A95" w:rsidRDefault="00E52861" w:rsidP="00E52861">
            <w:pPr>
              <w:ind w:right="-82"/>
              <w:rPr>
                <w:rFonts w:cs="Arial"/>
              </w:rPr>
            </w:pPr>
          </w:p>
          <w:p w14:paraId="14EF7E3A" w14:textId="77777777" w:rsidR="00E52861" w:rsidRPr="00575A95" w:rsidRDefault="00E52861" w:rsidP="00E52861">
            <w:pPr>
              <w:ind w:right="-82"/>
              <w:rPr>
                <w:rFonts w:cs="Arial"/>
              </w:rPr>
            </w:pPr>
            <w:r w:rsidRPr="00575A95">
              <w:rPr>
                <w:rFonts w:cs="Arial"/>
              </w:rPr>
              <w:t xml:space="preserve">Derby Economic Strategy </w:t>
            </w:r>
            <w:hyperlink r:id="rId21" w:history="1">
              <w:r w:rsidRPr="00575A95">
                <w:rPr>
                  <w:rStyle w:val="Hyperlink"/>
                  <w:rFonts w:cs="Arial"/>
                  <w:sz w:val="24"/>
                  <w:szCs w:val="24"/>
                </w:rPr>
                <w:t>http://www.derby.gov.uk/environment-and-planning/regeneration/economic-strategy/</w:t>
              </w:r>
            </w:hyperlink>
            <w:r w:rsidRPr="00575A95">
              <w:rPr>
                <w:rFonts w:cs="Arial"/>
              </w:rPr>
              <w:t xml:space="preserve"> </w:t>
            </w:r>
          </w:p>
          <w:p w14:paraId="14EF7E3B" w14:textId="77777777" w:rsidR="00E52861" w:rsidRPr="00575A95" w:rsidRDefault="00E52861" w:rsidP="00E52861">
            <w:pPr>
              <w:ind w:right="-82"/>
              <w:rPr>
                <w:rFonts w:cs="Arial"/>
              </w:rPr>
            </w:pPr>
          </w:p>
          <w:p w14:paraId="14EF7E3C" w14:textId="77777777" w:rsidR="00E52861" w:rsidRPr="00575A95" w:rsidRDefault="00E52861" w:rsidP="00E52861">
            <w:pPr>
              <w:ind w:right="-82"/>
              <w:rPr>
                <w:rFonts w:cs="Arial"/>
              </w:rPr>
            </w:pPr>
            <w:r w:rsidRPr="00575A95">
              <w:rPr>
                <w:rFonts w:cs="Arial"/>
              </w:rPr>
              <w:t xml:space="preserve">N2 Skills and Employment Board Strategy: </w:t>
            </w:r>
            <w:hyperlink r:id="rId22" w:history="1">
              <w:r w:rsidRPr="00575A95">
                <w:rPr>
                  <w:rStyle w:val="Hyperlink"/>
                  <w:sz w:val="24"/>
                  <w:szCs w:val="24"/>
                </w:rPr>
                <w:t>http://www.n2skillsandemployment.co.uk/our-priorities/</w:t>
              </w:r>
            </w:hyperlink>
          </w:p>
          <w:p w14:paraId="14EF7E3D" w14:textId="77777777" w:rsidR="00E52861" w:rsidRPr="00575A95" w:rsidRDefault="00E52861" w:rsidP="00E52861">
            <w:pPr>
              <w:ind w:right="-82"/>
              <w:rPr>
                <w:rFonts w:cs="Arial"/>
              </w:rPr>
            </w:pPr>
          </w:p>
          <w:p w14:paraId="14EF7E3E" w14:textId="77777777" w:rsidR="00E52861" w:rsidRPr="00575A95" w:rsidRDefault="00E52861" w:rsidP="00E52861">
            <w:pPr>
              <w:pStyle w:val="PlainText"/>
              <w:rPr>
                <w:sz w:val="24"/>
                <w:szCs w:val="24"/>
              </w:rPr>
            </w:pPr>
            <w:r w:rsidRPr="00575A95">
              <w:rPr>
                <w:sz w:val="24"/>
                <w:szCs w:val="24"/>
              </w:rPr>
              <w:t xml:space="preserve">S&amp;E Framework: </w:t>
            </w:r>
            <w:hyperlink r:id="rId23" w:history="1">
              <w:r w:rsidRPr="00575A95">
                <w:rPr>
                  <w:rStyle w:val="Hyperlink"/>
                  <w:sz w:val="24"/>
                  <w:szCs w:val="24"/>
                </w:rPr>
                <w:t>http://www.n2skillsandemployment.co.uk/reports/n2-skills-employment-framework-2015-2020/</w:t>
              </w:r>
            </w:hyperlink>
          </w:p>
          <w:p w14:paraId="14EF7E3F" w14:textId="77777777" w:rsidR="00E52861" w:rsidRPr="00575A95" w:rsidRDefault="00E52861" w:rsidP="00E52861">
            <w:pPr>
              <w:ind w:right="-82"/>
              <w:rPr>
                <w:rFonts w:cs="Arial"/>
              </w:rPr>
            </w:pPr>
          </w:p>
          <w:p w14:paraId="14EF7E40" w14:textId="77777777" w:rsidR="00E52861" w:rsidRPr="00575A95" w:rsidRDefault="00E52861" w:rsidP="00E52861">
            <w:pPr>
              <w:ind w:right="-82"/>
              <w:rPr>
                <w:rFonts w:cs="Arial"/>
              </w:rPr>
            </w:pPr>
            <w:r w:rsidRPr="00575A95">
              <w:rPr>
                <w:rFonts w:cs="Arial"/>
              </w:rPr>
              <w:t xml:space="preserve">D2N2 Sector Skills Action Plans and Skills Prospectus:  </w:t>
            </w:r>
            <w:hyperlink r:id="rId24" w:history="1">
              <w:r w:rsidRPr="00575A95">
                <w:rPr>
                  <w:rStyle w:val="Hyperlink"/>
                  <w:rFonts w:cs="Arial"/>
                  <w:sz w:val="24"/>
                  <w:szCs w:val="24"/>
                </w:rPr>
                <w:t>http://www.d2n2lep.org/Skills-Consultative-Task-Groups</w:t>
              </w:r>
            </w:hyperlink>
          </w:p>
          <w:p w14:paraId="14EF7E41" w14:textId="77777777" w:rsidR="00E52861" w:rsidRPr="00575A95" w:rsidRDefault="00E52861" w:rsidP="00E52861">
            <w:pPr>
              <w:ind w:right="-82"/>
              <w:rPr>
                <w:rFonts w:cs="Arial"/>
              </w:rPr>
            </w:pPr>
          </w:p>
          <w:p w14:paraId="14EF7E42" w14:textId="77777777" w:rsidR="00E52861" w:rsidRPr="00575A95" w:rsidRDefault="00E52861" w:rsidP="00E52861">
            <w:pPr>
              <w:autoSpaceDE w:val="0"/>
              <w:autoSpaceDN w:val="0"/>
              <w:adjustRightInd w:val="0"/>
              <w:rPr>
                <w:rFonts w:cs="Arial"/>
              </w:rPr>
            </w:pPr>
            <w:r w:rsidRPr="00575A95">
              <w:rPr>
                <w:rFonts w:cs="Arial"/>
              </w:rPr>
              <w:t xml:space="preserve">D2N2 Employability Framework: </w:t>
            </w:r>
            <w:hyperlink r:id="rId25" w:history="1">
              <w:r w:rsidRPr="00575A95">
                <w:rPr>
                  <w:rStyle w:val="Hyperlink"/>
                  <w:rFonts w:cs="Arial"/>
                  <w:sz w:val="24"/>
                  <w:szCs w:val="24"/>
                </w:rPr>
                <w:t>http://www.d2n2lep.org/Skills/Employability-Framework</w:t>
              </w:r>
            </w:hyperlink>
            <w:r w:rsidRPr="00575A95">
              <w:rPr>
                <w:rFonts w:cs="Arial"/>
              </w:rPr>
              <w:t xml:space="preserve"> </w:t>
            </w:r>
          </w:p>
          <w:p w14:paraId="14EF7E43" w14:textId="77777777" w:rsidR="00E52861" w:rsidRPr="00575A95" w:rsidRDefault="00E52861" w:rsidP="00E52861">
            <w:pPr>
              <w:autoSpaceDE w:val="0"/>
              <w:autoSpaceDN w:val="0"/>
              <w:adjustRightInd w:val="0"/>
              <w:rPr>
                <w:rFonts w:cs="Arial"/>
              </w:rPr>
            </w:pPr>
          </w:p>
          <w:p w14:paraId="14EF7E44" w14:textId="77777777" w:rsidR="00E52861" w:rsidRPr="00575A95" w:rsidRDefault="00E52861" w:rsidP="00E52861">
            <w:pPr>
              <w:autoSpaceDE w:val="0"/>
              <w:autoSpaceDN w:val="0"/>
              <w:adjustRightInd w:val="0"/>
              <w:rPr>
                <w:rFonts w:cs="Arial"/>
              </w:rPr>
            </w:pPr>
            <w:r w:rsidRPr="00575A95">
              <w:rPr>
                <w:rFonts w:cs="Arial"/>
              </w:rPr>
              <w:t xml:space="preserve">D2N2 Provider Charter: </w:t>
            </w:r>
            <w:hyperlink r:id="rId26" w:history="1">
              <w:r w:rsidRPr="00575A95">
                <w:rPr>
                  <w:rStyle w:val="Hyperlink"/>
                  <w:rFonts w:cs="Arial"/>
                  <w:sz w:val="24"/>
                  <w:szCs w:val="24"/>
                </w:rPr>
                <w:t>http://www.d2n2skills.co.uk/home/201/d2n2-provider-charter</w:t>
              </w:r>
            </w:hyperlink>
            <w:r w:rsidRPr="00575A95">
              <w:rPr>
                <w:rFonts w:cs="Arial"/>
              </w:rPr>
              <w:t xml:space="preserve"> </w:t>
            </w:r>
          </w:p>
          <w:p w14:paraId="14EF7E45" w14:textId="77777777" w:rsidR="00E52861" w:rsidRPr="00575A95" w:rsidRDefault="00E52861" w:rsidP="00E52861">
            <w:pPr>
              <w:autoSpaceDE w:val="0"/>
              <w:autoSpaceDN w:val="0"/>
              <w:adjustRightInd w:val="0"/>
              <w:rPr>
                <w:rFonts w:cs="Arial"/>
              </w:rPr>
            </w:pPr>
          </w:p>
          <w:p w14:paraId="14EF7E46" w14:textId="77777777" w:rsidR="00E52861" w:rsidRPr="008C5F3C" w:rsidRDefault="00E52861" w:rsidP="00E52861">
            <w:pPr>
              <w:rPr>
                <w:rFonts w:cs="Arial"/>
                <w:b/>
              </w:rPr>
            </w:pPr>
            <w:r w:rsidRPr="00575A95">
              <w:rPr>
                <w:rFonts w:cs="Arial"/>
              </w:rPr>
              <w:t xml:space="preserve">D2N2 Core Delivery Principles: </w:t>
            </w:r>
            <w:hyperlink r:id="rId27" w:history="1">
              <w:r w:rsidRPr="00575A95">
                <w:rPr>
                  <w:rStyle w:val="Hyperlink"/>
                  <w:rFonts w:cs="Arial"/>
                  <w:sz w:val="24"/>
                  <w:szCs w:val="24"/>
                </w:rPr>
                <w:t>http://www.d2n2lep.org/EUFunding/D2N2-ESIF-Core-Delivery-Principles</w:t>
              </w:r>
            </w:hyperlink>
          </w:p>
          <w:p w14:paraId="14EF7E48" w14:textId="77777777" w:rsidR="0081358C" w:rsidRPr="008C5F3C" w:rsidRDefault="0081358C" w:rsidP="0081358C">
            <w:pPr>
              <w:rPr>
                <w:rFonts w:cs="Arial"/>
                <w:b/>
              </w:rPr>
            </w:pPr>
          </w:p>
        </w:tc>
      </w:tr>
      <w:tr w:rsidR="00967429" w:rsidRPr="008C5F3C" w14:paraId="14EF7E4B" w14:textId="77777777" w:rsidTr="00C97A8A">
        <w:trPr>
          <w:trHeight w:val="567"/>
        </w:trPr>
        <w:tc>
          <w:tcPr>
            <w:tcW w:w="9088" w:type="dxa"/>
            <w:shd w:val="clear" w:color="auto" w:fill="D9D9D9" w:themeFill="background1" w:themeFillShade="D9"/>
            <w:vAlign w:val="center"/>
          </w:tcPr>
          <w:p w14:paraId="14EF7E4A" w14:textId="77777777" w:rsidR="00967429" w:rsidRPr="008C5F3C" w:rsidRDefault="002E25F4" w:rsidP="00C107CE">
            <w:pPr>
              <w:tabs>
                <w:tab w:val="num" w:pos="900"/>
              </w:tabs>
              <w:autoSpaceDE w:val="0"/>
              <w:autoSpaceDN w:val="0"/>
              <w:adjustRightInd w:val="0"/>
              <w:rPr>
                <w:rFonts w:cs="Arial"/>
                <w:b/>
              </w:rPr>
            </w:pPr>
            <w:r w:rsidRPr="008C5F3C">
              <w:rPr>
                <w:rFonts w:cs="Arial"/>
                <w:b/>
              </w:rPr>
              <w:lastRenderedPageBreak/>
              <w:t>DEFINITION OF TERMS</w:t>
            </w:r>
          </w:p>
        </w:tc>
      </w:tr>
      <w:tr w:rsidR="00967429" w:rsidRPr="008C5F3C" w14:paraId="14EF7E6C" w14:textId="77777777" w:rsidTr="000D51DE">
        <w:tc>
          <w:tcPr>
            <w:tcW w:w="9088" w:type="dxa"/>
          </w:tcPr>
          <w:p w14:paraId="14EF7E4C" w14:textId="77777777" w:rsidR="002E25F4" w:rsidRPr="008C5F3C" w:rsidRDefault="002E25F4" w:rsidP="00A524B5">
            <w:pPr>
              <w:rPr>
                <w:rFonts w:cs="Arial"/>
                <w:i/>
              </w:rPr>
            </w:pPr>
          </w:p>
          <w:p w14:paraId="14EF7E4D" w14:textId="77777777" w:rsidR="0004585A" w:rsidRPr="008C5F3C" w:rsidRDefault="005C44C5" w:rsidP="000304B2">
            <w:pPr>
              <w:ind w:left="360" w:hanging="360"/>
              <w:rPr>
                <w:b/>
              </w:rPr>
            </w:pPr>
            <w:r w:rsidRPr="008C5F3C">
              <w:rPr>
                <w:b/>
              </w:rPr>
              <w:t xml:space="preserve">At risk of Redundancy: </w:t>
            </w:r>
            <w:r w:rsidRPr="008C5F3C">
              <w:t xml:space="preserve">means </w:t>
            </w:r>
            <w:r w:rsidR="00E82E42" w:rsidRPr="008C5F3C">
              <w:t>E</w:t>
            </w:r>
            <w:r w:rsidRPr="008C5F3C">
              <w:t xml:space="preserve">mployees </w:t>
            </w:r>
            <w:r w:rsidR="00E82E42" w:rsidRPr="008C5F3C">
              <w:t xml:space="preserve">identified by the </w:t>
            </w:r>
            <w:r w:rsidRPr="008C5F3C">
              <w:t>employer as</w:t>
            </w:r>
            <w:r w:rsidR="00E82E42" w:rsidRPr="008C5F3C">
              <w:t xml:space="preserve"> at risk or redundancy and/or</w:t>
            </w:r>
            <w:r w:rsidRPr="008C5F3C">
              <w:t xml:space="preserve"> commenced formal consultation with staff representatives on the need to make redundancies</w:t>
            </w:r>
          </w:p>
          <w:p w14:paraId="14EF7E4E" w14:textId="77777777" w:rsidR="005C44C5" w:rsidRPr="008C5F3C" w:rsidRDefault="005C44C5" w:rsidP="000304B2">
            <w:pPr>
              <w:ind w:left="360" w:hanging="360"/>
              <w:rPr>
                <w:b/>
              </w:rPr>
            </w:pPr>
          </w:p>
          <w:p w14:paraId="14EF7E4F" w14:textId="77777777" w:rsidR="000304B2" w:rsidRPr="008C5F3C" w:rsidRDefault="000304B2" w:rsidP="000304B2">
            <w:pPr>
              <w:ind w:left="360" w:hanging="360"/>
            </w:pPr>
            <w:r w:rsidRPr="008C5F3C">
              <w:rPr>
                <w:b/>
              </w:rPr>
              <w:t xml:space="preserve">Candidate: </w:t>
            </w:r>
            <w:r w:rsidRPr="008C5F3C">
              <w:t>means an organisation who has been invited to take part in this restricted procurement procedure</w:t>
            </w:r>
          </w:p>
          <w:p w14:paraId="14EF7E50" w14:textId="77777777" w:rsidR="000304B2" w:rsidRPr="008C5F3C" w:rsidRDefault="000304B2" w:rsidP="000304B2">
            <w:pPr>
              <w:ind w:left="360" w:hanging="360"/>
              <w:rPr>
                <w:b/>
              </w:rPr>
            </w:pPr>
          </w:p>
          <w:p w14:paraId="14EF7E51" w14:textId="77777777" w:rsidR="000304B2" w:rsidRPr="008C5F3C" w:rsidRDefault="000304B2" w:rsidP="000304B2">
            <w:pPr>
              <w:ind w:left="360" w:hanging="360"/>
              <w:rPr>
                <w:b/>
              </w:rPr>
            </w:pPr>
            <w:r w:rsidRPr="008C5F3C">
              <w:rPr>
                <w:b/>
              </w:rPr>
              <w:t>Disability</w:t>
            </w:r>
            <w:r w:rsidRPr="008C5F3C">
              <w:t>: A person has a disability if they disclose a disability that limits their ability to work.</w:t>
            </w:r>
          </w:p>
          <w:p w14:paraId="14EF7E52" w14:textId="77777777" w:rsidR="000304B2" w:rsidRPr="008C5F3C" w:rsidRDefault="000304B2" w:rsidP="000304B2">
            <w:pPr>
              <w:ind w:left="360" w:hanging="360"/>
              <w:rPr>
                <w:b/>
              </w:rPr>
            </w:pPr>
          </w:p>
          <w:p w14:paraId="14EF7E53" w14:textId="77777777" w:rsidR="000304B2" w:rsidRPr="008C5F3C" w:rsidRDefault="000304B2" w:rsidP="000304B2">
            <w:pPr>
              <w:ind w:left="360" w:hanging="360"/>
            </w:pPr>
            <w:r w:rsidRPr="008C5F3C">
              <w:rPr>
                <w:b/>
              </w:rPr>
              <w:t>Eligibility:</w:t>
            </w:r>
            <w:r w:rsidRPr="008C5F3C">
              <w:t xml:space="preserve"> Only people who are eligible to work in UK are eligible for this </w:t>
            </w:r>
            <w:r w:rsidR="00BC7F87" w:rsidRPr="008C5F3C">
              <w:t xml:space="preserve">EU </w:t>
            </w:r>
            <w:r w:rsidRPr="008C5F3C">
              <w:t xml:space="preserve">programme.  </w:t>
            </w:r>
          </w:p>
          <w:p w14:paraId="14EF7E54" w14:textId="77777777" w:rsidR="00AA0B4C" w:rsidRPr="008C5F3C" w:rsidRDefault="00AA0B4C" w:rsidP="00AA0B4C">
            <w:pPr>
              <w:autoSpaceDE w:val="0"/>
              <w:autoSpaceDN w:val="0"/>
              <w:adjustRightInd w:val="0"/>
              <w:ind w:left="360" w:hanging="360"/>
            </w:pPr>
          </w:p>
          <w:p w14:paraId="14EF7E55" w14:textId="77777777" w:rsidR="000304B2" w:rsidRDefault="000304B2" w:rsidP="000304B2">
            <w:pPr>
              <w:autoSpaceDE w:val="0"/>
              <w:autoSpaceDN w:val="0"/>
              <w:adjustRightInd w:val="0"/>
              <w:ind w:left="360" w:hanging="360"/>
            </w:pPr>
            <w:r w:rsidRPr="008C5F3C">
              <w:rPr>
                <w:b/>
              </w:rPr>
              <w:t>Employe</w:t>
            </w:r>
            <w:r w:rsidR="00AC1F2E" w:rsidRPr="008C5F3C">
              <w:rPr>
                <w:b/>
              </w:rPr>
              <w:t>d</w:t>
            </w:r>
            <w:r w:rsidRPr="008C5F3C">
              <w:t>: People are employe</w:t>
            </w:r>
            <w:r w:rsidR="00EA180F" w:rsidRPr="008C5F3C">
              <w:t>es</w:t>
            </w:r>
            <w:r w:rsidRPr="008C5F3C">
              <w:t xml:space="preserve"> if they perform work for pay, profit or family gain. People are self-employed if they work in his/her own business for the purpose of earning a profit, even if they are not making a profit or are just setting up.</w:t>
            </w:r>
            <w:r w:rsidR="00AA0B4C" w:rsidRPr="008C5F3C">
              <w:t xml:space="preserve">  </w:t>
            </w:r>
          </w:p>
          <w:p w14:paraId="14EF7E56" w14:textId="77777777" w:rsidR="008A7FE0" w:rsidRDefault="008A7FE0" w:rsidP="000304B2">
            <w:pPr>
              <w:autoSpaceDE w:val="0"/>
              <w:autoSpaceDN w:val="0"/>
              <w:adjustRightInd w:val="0"/>
              <w:ind w:left="360" w:hanging="360"/>
              <w:rPr>
                <w:b/>
              </w:rPr>
            </w:pPr>
          </w:p>
          <w:p w14:paraId="0EFBE960" w14:textId="77777777" w:rsidR="00C97A8A" w:rsidRPr="008C5F3C" w:rsidRDefault="00C97A8A" w:rsidP="00C97A8A">
            <w:pPr>
              <w:autoSpaceDE w:val="0"/>
              <w:autoSpaceDN w:val="0"/>
              <w:adjustRightInd w:val="0"/>
              <w:ind w:left="360" w:hanging="360"/>
            </w:pPr>
            <w:r w:rsidRPr="008C5F3C">
              <w:rPr>
                <w:b/>
              </w:rPr>
              <w:lastRenderedPageBreak/>
              <w:t>Micro Businesses:</w:t>
            </w:r>
            <w:r w:rsidRPr="008C5F3C">
              <w:t xml:space="preserve"> This relates to organisations employing less than 10 Employees </w:t>
            </w:r>
          </w:p>
          <w:p w14:paraId="451342F1" w14:textId="77777777" w:rsidR="00C97A8A" w:rsidRPr="008C5F3C" w:rsidRDefault="00C97A8A" w:rsidP="000304B2">
            <w:pPr>
              <w:autoSpaceDE w:val="0"/>
              <w:autoSpaceDN w:val="0"/>
              <w:adjustRightInd w:val="0"/>
              <w:ind w:left="360" w:hanging="360"/>
              <w:rPr>
                <w:b/>
              </w:rPr>
            </w:pPr>
          </w:p>
          <w:p w14:paraId="14EF7E57" w14:textId="77777777" w:rsidR="008A7FE0" w:rsidRPr="002919CC" w:rsidRDefault="008A7FE0" w:rsidP="008A7FE0">
            <w:pPr>
              <w:autoSpaceDE w:val="0"/>
              <w:autoSpaceDN w:val="0"/>
              <w:adjustRightInd w:val="0"/>
              <w:ind w:left="360" w:hanging="360"/>
            </w:pPr>
            <w:r w:rsidRPr="004439F2">
              <w:rPr>
                <w:b/>
              </w:rPr>
              <w:t>New Employer:</w:t>
            </w:r>
            <w:r>
              <w:t xml:space="preserve"> This relates to an Employer who has not </w:t>
            </w:r>
            <w:r w:rsidRPr="004439F2">
              <w:t>accessed Adult Skills Funding within the past 3-years.</w:t>
            </w:r>
          </w:p>
          <w:p w14:paraId="14EF7E58" w14:textId="77777777" w:rsidR="008A7FE0" w:rsidRPr="008C5F3C" w:rsidRDefault="008A7FE0" w:rsidP="008A7FE0">
            <w:pPr>
              <w:autoSpaceDE w:val="0"/>
              <w:autoSpaceDN w:val="0"/>
              <w:adjustRightInd w:val="0"/>
              <w:ind w:left="360" w:hanging="360"/>
            </w:pPr>
          </w:p>
          <w:p w14:paraId="14EF7E59" w14:textId="77777777" w:rsidR="000304B2" w:rsidRPr="008C5F3C" w:rsidRDefault="000304B2" w:rsidP="000304B2">
            <w:pPr>
              <w:autoSpaceDE w:val="0"/>
              <w:autoSpaceDN w:val="0"/>
              <w:adjustRightInd w:val="0"/>
              <w:ind w:left="360" w:hanging="360"/>
            </w:pPr>
            <w:r w:rsidRPr="008C5F3C">
              <w:rPr>
                <w:b/>
              </w:rPr>
              <w:t xml:space="preserve">Qualifications: </w:t>
            </w:r>
            <w:r w:rsidRPr="008C5F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4EF7E5A" w14:textId="77777777" w:rsidR="000304B2" w:rsidRPr="008C5F3C" w:rsidRDefault="000304B2" w:rsidP="000304B2">
            <w:pPr>
              <w:autoSpaceDE w:val="0"/>
              <w:autoSpaceDN w:val="0"/>
              <w:adjustRightInd w:val="0"/>
              <w:ind w:left="360" w:hanging="360"/>
            </w:pPr>
          </w:p>
          <w:p w14:paraId="14EF7E5B" w14:textId="77777777" w:rsidR="000304B2" w:rsidRPr="008C5F3C" w:rsidRDefault="00C107CE" w:rsidP="00C107CE">
            <w:pPr>
              <w:autoSpaceDE w:val="0"/>
              <w:autoSpaceDN w:val="0"/>
              <w:adjustRightInd w:val="0"/>
              <w:ind w:left="360" w:hanging="360"/>
            </w:pPr>
            <w:r w:rsidRPr="008C5F3C">
              <w:t xml:space="preserve">     </w:t>
            </w:r>
            <w:r w:rsidR="000304B2" w:rsidRPr="008C5F3C">
              <w:t>Regulated and non-regulated aims must be planned to be delivered within budget.</w:t>
            </w:r>
          </w:p>
          <w:p w14:paraId="14EF7E5C" w14:textId="77777777" w:rsidR="000304B2" w:rsidRPr="008C5F3C" w:rsidRDefault="000304B2" w:rsidP="00C107CE">
            <w:pPr>
              <w:autoSpaceDE w:val="0"/>
              <w:autoSpaceDN w:val="0"/>
              <w:adjustRightInd w:val="0"/>
              <w:ind w:left="360" w:hanging="360"/>
            </w:pPr>
          </w:p>
          <w:p w14:paraId="14EF7E5D" w14:textId="77777777" w:rsidR="000304B2" w:rsidRPr="008C5F3C" w:rsidRDefault="00C107CE" w:rsidP="00C107CE">
            <w:pPr>
              <w:autoSpaceDE w:val="0"/>
              <w:autoSpaceDN w:val="0"/>
              <w:adjustRightInd w:val="0"/>
              <w:ind w:left="360" w:hanging="360"/>
            </w:pPr>
            <w:r w:rsidRPr="008C5F3C">
              <w:t xml:space="preserve">     </w:t>
            </w:r>
            <w:r w:rsidR="000304B2" w:rsidRPr="008C5F3C">
              <w:t>Qualification rates are based on the published LARS rates at the start of the contract.</w:t>
            </w:r>
          </w:p>
          <w:p w14:paraId="14EF7E5E" w14:textId="77777777" w:rsidR="000304B2" w:rsidRDefault="000304B2" w:rsidP="000304B2">
            <w:pPr>
              <w:autoSpaceDE w:val="0"/>
              <w:autoSpaceDN w:val="0"/>
              <w:adjustRightInd w:val="0"/>
              <w:ind w:left="360" w:hanging="360"/>
            </w:pPr>
          </w:p>
          <w:p w14:paraId="14EF7E5F" w14:textId="77777777" w:rsidR="000304B2" w:rsidRPr="008C5F3C" w:rsidRDefault="000304B2" w:rsidP="000304B2">
            <w:pPr>
              <w:autoSpaceDE w:val="0"/>
              <w:autoSpaceDN w:val="0"/>
              <w:adjustRightInd w:val="0"/>
              <w:ind w:left="360" w:hanging="360"/>
            </w:pPr>
            <w:r w:rsidRPr="008C5F3C">
              <w:rPr>
                <w:b/>
              </w:rPr>
              <w:t xml:space="preserve">Services:  </w:t>
            </w:r>
            <w:r w:rsidRPr="008C5F3C">
              <w:t>The provision of education, training or support delivered to individuals</w:t>
            </w:r>
            <w:r w:rsidR="008A7FE0">
              <w:t xml:space="preserve"> and businesses</w:t>
            </w:r>
            <w:r w:rsidRPr="008C5F3C">
              <w:t>.</w:t>
            </w:r>
          </w:p>
          <w:p w14:paraId="14EF7E60" w14:textId="77777777" w:rsidR="000304B2" w:rsidRDefault="000304B2" w:rsidP="000304B2">
            <w:pPr>
              <w:autoSpaceDE w:val="0"/>
              <w:autoSpaceDN w:val="0"/>
              <w:adjustRightInd w:val="0"/>
              <w:ind w:left="360" w:hanging="360"/>
            </w:pPr>
          </w:p>
          <w:p w14:paraId="3A358D02" w14:textId="77777777" w:rsidR="00C97A8A" w:rsidRPr="008C5F3C" w:rsidRDefault="00C97A8A" w:rsidP="00C97A8A">
            <w:pPr>
              <w:autoSpaceDE w:val="0"/>
              <w:autoSpaceDN w:val="0"/>
              <w:adjustRightInd w:val="0"/>
              <w:ind w:left="360" w:hanging="360"/>
            </w:pPr>
            <w:r w:rsidRPr="008C5F3C">
              <w:rPr>
                <w:b/>
              </w:rPr>
              <w:t>Small and Medium sized Enterprises</w:t>
            </w:r>
            <w:r w:rsidRPr="008C5F3C">
              <w:t xml:space="preserve">: This applies to organisations employing less than 250 employees  </w:t>
            </w:r>
          </w:p>
          <w:p w14:paraId="1109A617" w14:textId="77777777" w:rsidR="00C97A8A" w:rsidRPr="008C5F3C" w:rsidRDefault="00C97A8A" w:rsidP="000304B2">
            <w:pPr>
              <w:autoSpaceDE w:val="0"/>
              <w:autoSpaceDN w:val="0"/>
              <w:adjustRightInd w:val="0"/>
              <w:ind w:left="360" w:hanging="360"/>
            </w:pPr>
          </w:p>
          <w:p w14:paraId="14EF7E61" w14:textId="77777777" w:rsidR="000304B2" w:rsidRPr="008C5F3C" w:rsidRDefault="000304B2" w:rsidP="000304B2">
            <w:pPr>
              <w:autoSpaceDE w:val="0"/>
              <w:autoSpaceDN w:val="0"/>
              <w:adjustRightInd w:val="0"/>
              <w:ind w:left="360" w:hanging="360"/>
              <w:rPr>
                <w:color w:val="FF0000"/>
              </w:rPr>
            </w:pPr>
            <w:r w:rsidRPr="008C5F3C">
              <w:rPr>
                <w:b/>
              </w:rPr>
              <w:t>Start Date:</w:t>
            </w:r>
            <w:r w:rsidRPr="008C5F3C">
              <w:t xml:space="preserve"> Employment status and age are determined on the date of starting on the</w:t>
            </w:r>
            <w:r w:rsidR="00E82E42" w:rsidRPr="008C5F3C">
              <w:t xml:space="preserve"> Services</w:t>
            </w:r>
            <w:r w:rsidRPr="008C5F3C">
              <w:t>.</w:t>
            </w:r>
            <w:r w:rsidRPr="008C5F3C">
              <w:rPr>
                <w:b/>
              </w:rPr>
              <w:t xml:space="preserve"> </w:t>
            </w:r>
          </w:p>
          <w:p w14:paraId="14EF7E62" w14:textId="77777777" w:rsidR="000304B2" w:rsidRPr="008C5F3C" w:rsidRDefault="000304B2" w:rsidP="000304B2">
            <w:pPr>
              <w:autoSpaceDE w:val="0"/>
              <w:autoSpaceDN w:val="0"/>
              <w:adjustRightInd w:val="0"/>
              <w:ind w:left="360" w:hanging="360"/>
              <w:rPr>
                <w:color w:val="FF0000"/>
              </w:rPr>
            </w:pPr>
          </w:p>
          <w:p w14:paraId="14EF7E63" w14:textId="77777777" w:rsidR="000304B2" w:rsidRPr="008C5F3C" w:rsidRDefault="000304B2" w:rsidP="000304B2">
            <w:pPr>
              <w:autoSpaceDE w:val="0"/>
              <w:autoSpaceDN w:val="0"/>
              <w:adjustRightInd w:val="0"/>
              <w:ind w:left="360" w:hanging="360"/>
            </w:pPr>
            <w:r w:rsidRPr="008C5F3C">
              <w:rPr>
                <w:b/>
              </w:rPr>
              <w:t>Survey</w:t>
            </w:r>
            <w:r w:rsidRPr="008C5F3C">
              <w:t>: Where applicable, long term sustained outcomes over 6 months will be monitored separately.  Some ESF indicators will be collected by survey by the ESF Managing Authority directly from the participants.</w:t>
            </w:r>
          </w:p>
          <w:p w14:paraId="14EF7E64" w14:textId="77777777" w:rsidR="005A1D76" w:rsidRPr="008C5F3C" w:rsidRDefault="005A1D76" w:rsidP="000304B2">
            <w:pPr>
              <w:autoSpaceDE w:val="0"/>
              <w:autoSpaceDN w:val="0"/>
              <w:adjustRightInd w:val="0"/>
              <w:ind w:left="360" w:hanging="360"/>
              <w:rPr>
                <w:color w:val="FF0000"/>
              </w:rPr>
            </w:pPr>
          </w:p>
          <w:p w14:paraId="14EF7E65" w14:textId="77777777" w:rsidR="005A1D76" w:rsidRPr="008C5F3C" w:rsidRDefault="005A1D76" w:rsidP="005A1D76">
            <w:pPr>
              <w:autoSpaceDE w:val="0"/>
              <w:autoSpaceDN w:val="0"/>
              <w:adjustRightInd w:val="0"/>
              <w:ind w:left="360" w:hanging="360"/>
            </w:pPr>
            <w:r w:rsidRPr="008C5F3C">
              <w:rPr>
                <w:b/>
              </w:rPr>
              <w:t>Unemployed:</w:t>
            </w:r>
            <w:r w:rsidRPr="008C5F3C">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4EF7E66" w14:textId="77777777" w:rsidR="003D58B2" w:rsidRPr="008C5F3C" w:rsidRDefault="003D58B2" w:rsidP="005A1D76">
            <w:pPr>
              <w:autoSpaceDE w:val="0"/>
              <w:autoSpaceDN w:val="0"/>
              <w:adjustRightInd w:val="0"/>
              <w:ind w:left="360" w:hanging="360"/>
            </w:pPr>
          </w:p>
          <w:p w14:paraId="14EF7E6A" w14:textId="77777777" w:rsidR="000304B2" w:rsidRPr="008C5F3C" w:rsidRDefault="000304B2" w:rsidP="000304B2">
            <w:pPr>
              <w:autoSpaceDE w:val="0"/>
              <w:autoSpaceDN w:val="0"/>
              <w:adjustRightInd w:val="0"/>
              <w:ind w:left="360" w:hanging="360"/>
              <w:rPr>
                <w:color w:val="FF0000"/>
              </w:rPr>
            </w:pPr>
          </w:p>
          <w:p w14:paraId="14EF7E6B" w14:textId="77777777" w:rsidR="00200BC6" w:rsidRPr="008C5F3C" w:rsidRDefault="00200BC6" w:rsidP="005A1D76">
            <w:pPr>
              <w:autoSpaceDE w:val="0"/>
              <w:autoSpaceDN w:val="0"/>
              <w:adjustRightInd w:val="0"/>
              <w:ind w:left="360" w:hanging="360"/>
            </w:pPr>
          </w:p>
        </w:tc>
      </w:tr>
      <w:tr w:rsidR="00967429" w:rsidRPr="008C5F3C" w14:paraId="14EF7E6E" w14:textId="77777777" w:rsidTr="00C97A8A">
        <w:trPr>
          <w:trHeight w:val="567"/>
        </w:trPr>
        <w:tc>
          <w:tcPr>
            <w:tcW w:w="9088" w:type="dxa"/>
            <w:shd w:val="clear" w:color="auto" w:fill="D9D9D9" w:themeFill="background1" w:themeFillShade="D9"/>
            <w:vAlign w:val="center"/>
          </w:tcPr>
          <w:p w14:paraId="14EF7E6D" w14:textId="77777777" w:rsidR="00967429" w:rsidRPr="008C5F3C" w:rsidRDefault="002E25F4" w:rsidP="00C107CE">
            <w:pPr>
              <w:autoSpaceDE w:val="0"/>
              <w:autoSpaceDN w:val="0"/>
              <w:adjustRightInd w:val="0"/>
              <w:rPr>
                <w:rFonts w:cs="Arial"/>
                <w:b/>
                <w:lang w:eastAsia="en-GB"/>
              </w:rPr>
            </w:pPr>
            <w:r w:rsidRPr="008C5F3C">
              <w:rPr>
                <w:rFonts w:cs="Arial"/>
                <w:b/>
                <w:lang w:eastAsia="en-GB"/>
              </w:rPr>
              <w:lastRenderedPageBreak/>
              <w:t>SERVICE REQUIREMENTS</w:t>
            </w:r>
          </w:p>
        </w:tc>
      </w:tr>
      <w:tr w:rsidR="00967429" w:rsidRPr="008C5F3C" w14:paraId="14EF7F4F" w14:textId="77777777" w:rsidTr="00575A95">
        <w:tc>
          <w:tcPr>
            <w:tcW w:w="9088" w:type="dxa"/>
            <w:shd w:val="clear" w:color="auto" w:fill="auto"/>
          </w:tcPr>
          <w:p w14:paraId="14EF7E6F" w14:textId="2EEB244A" w:rsidR="000D51DE" w:rsidRPr="008C5F3C" w:rsidRDefault="000D51DE" w:rsidP="00A524B5">
            <w:pPr>
              <w:rPr>
                <w:rFonts w:cs="Arial"/>
                <w:b/>
              </w:rPr>
            </w:pPr>
          </w:p>
          <w:p w14:paraId="14EF7E70" w14:textId="77777777" w:rsidR="002E25F4" w:rsidRPr="008C5F3C" w:rsidRDefault="002E25F4" w:rsidP="00A524B5">
            <w:pPr>
              <w:rPr>
                <w:rFonts w:cs="Arial"/>
                <w:b/>
              </w:rPr>
            </w:pPr>
            <w:r w:rsidRPr="008C5F3C">
              <w:rPr>
                <w:rFonts w:cs="Arial"/>
                <w:b/>
              </w:rPr>
              <w:t xml:space="preserve">General </w:t>
            </w:r>
            <w:r w:rsidR="00EA180F" w:rsidRPr="008C5F3C">
              <w:rPr>
                <w:rFonts w:cs="Arial"/>
                <w:b/>
              </w:rPr>
              <w:t>Service Requirements</w:t>
            </w:r>
          </w:p>
          <w:p w14:paraId="14EF7E71" w14:textId="77777777" w:rsidR="00EA180F" w:rsidRPr="008C5F3C" w:rsidRDefault="00EA180F" w:rsidP="00A524B5">
            <w:pPr>
              <w:rPr>
                <w:rFonts w:cs="Arial"/>
                <w:b/>
              </w:rPr>
            </w:pPr>
          </w:p>
          <w:p w14:paraId="14EF7E72" w14:textId="77777777" w:rsidR="002E25F4" w:rsidRPr="008C5F3C" w:rsidRDefault="002E25F4" w:rsidP="00A524B5">
            <w:pPr>
              <w:rPr>
                <w:rFonts w:cs="Arial"/>
              </w:rPr>
            </w:pPr>
            <w:r w:rsidRPr="008C5F3C">
              <w:rPr>
                <w:rFonts w:cs="Arial"/>
              </w:rPr>
              <w:t>All activities must complement and avoid duplication with other provision, thereby adding value to D</w:t>
            </w:r>
            <w:r w:rsidR="00F3689D" w:rsidRPr="008C5F3C">
              <w:rPr>
                <w:rFonts w:cs="Arial"/>
              </w:rPr>
              <w:t xml:space="preserve">epartment for </w:t>
            </w:r>
            <w:r w:rsidRPr="008C5F3C">
              <w:rPr>
                <w:rFonts w:cs="Arial"/>
              </w:rPr>
              <w:t>W</w:t>
            </w:r>
            <w:r w:rsidR="00F3689D" w:rsidRPr="008C5F3C">
              <w:rPr>
                <w:rFonts w:cs="Arial"/>
              </w:rPr>
              <w:t xml:space="preserve">ork and </w:t>
            </w:r>
            <w:r w:rsidRPr="008C5F3C">
              <w:rPr>
                <w:rFonts w:cs="Arial"/>
              </w:rPr>
              <w:t>P</w:t>
            </w:r>
            <w:r w:rsidR="00F3689D" w:rsidRPr="008C5F3C">
              <w:rPr>
                <w:rFonts w:cs="Arial"/>
              </w:rPr>
              <w:t>ensions</w:t>
            </w:r>
            <w:r w:rsidRPr="008C5F3C">
              <w:rPr>
                <w:rFonts w:cs="Arial"/>
              </w:rPr>
              <w:t>/Big Lottery</w:t>
            </w:r>
            <w:r w:rsidR="00581451" w:rsidRPr="008C5F3C">
              <w:rPr>
                <w:rFonts w:cs="Arial"/>
              </w:rPr>
              <w:t>, E</w:t>
            </w:r>
            <w:r w:rsidR="00F3689D" w:rsidRPr="008C5F3C">
              <w:rPr>
                <w:rFonts w:cs="Arial"/>
              </w:rPr>
              <w:t xml:space="preserve">ducation </w:t>
            </w:r>
            <w:r w:rsidR="00581451" w:rsidRPr="008C5F3C">
              <w:rPr>
                <w:rFonts w:cs="Arial"/>
              </w:rPr>
              <w:t>F</w:t>
            </w:r>
            <w:r w:rsidR="00F3689D" w:rsidRPr="008C5F3C">
              <w:rPr>
                <w:rFonts w:cs="Arial"/>
              </w:rPr>
              <w:t xml:space="preserve">unding </w:t>
            </w:r>
            <w:r w:rsidR="00581451" w:rsidRPr="008C5F3C">
              <w:rPr>
                <w:rFonts w:cs="Arial"/>
              </w:rPr>
              <w:t>A</w:t>
            </w:r>
            <w:r w:rsidR="00F3689D" w:rsidRPr="008C5F3C">
              <w:rPr>
                <w:rFonts w:cs="Arial"/>
              </w:rPr>
              <w:t>gency</w:t>
            </w:r>
            <w:r w:rsidR="00581451" w:rsidRPr="008C5F3C">
              <w:rPr>
                <w:rFonts w:cs="Arial"/>
              </w:rPr>
              <w:t>,</w:t>
            </w:r>
            <w:r w:rsidRPr="008C5F3C">
              <w:rPr>
                <w:rFonts w:cs="Arial"/>
              </w:rPr>
              <w:t xml:space="preserve"> Skills Funding Agency</w:t>
            </w:r>
            <w:r w:rsidR="00C107CE" w:rsidRPr="008C5F3C">
              <w:rPr>
                <w:rFonts w:cs="Arial"/>
              </w:rPr>
              <w:t>, local</w:t>
            </w:r>
            <w:r w:rsidR="00581451" w:rsidRPr="008C5F3C">
              <w:rPr>
                <w:rFonts w:cs="Arial"/>
              </w:rPr>
              <w:t xml:space="preserve"> authority</w:t>
            </w:r>
            <w:r w:rsidR="00C0243B" w:rsidRPr="008C5F3C">
              <w:rPr>
                <w:rFonts w:cs="Arial"/>
              </w:rPr>
              <w:t>,</w:t>
            </w:r>
            <w:r w:rsidR="00581451" w:rsidRPr="008C5F3C">
              <w:rPr>
                <w:rFonts w:cs="Arial"/>
              </w:rPr>
              <w:t xml:space="preserve"> </w:t>
            </w:r>
            <w:r w:rsidR="00C0243B" w:rsidRPr="008C5F3C">
              <w:rPr>
                <w:rFonts w:cs="Arial"/>
              </w:rPr>
              <w:t>N</w:t>
            </w:r>
            <w:r w:rsidR="00F3689D" w:rsidRPr="008C5F3C">
              <w:rPr>
                <w:rFonts w:cs="Arial"/>
              </w:rPr>
              <w:t xml:space="preserve">ational </w:t>
            </w:r>
            <w:r w:rsidR="00C0243B" w:rsidRPr="008C5F3C">
              <w:rPr>
                <w:rFonts w:cs="Arial"/>
              </w:rPr>
              <w:t>C</w:t>
            </w:r>
            <w:r w:rsidR="00F3689D" w:rsidRPr="008C5F3C">
              <w:rPr>
                <w:rFonts w:cs="Arial"/>
              </w:rPr>
              <w:t xml:space="preserve">areers </w:t>
            </w:r>
            <w:r w:rsidR="00C0243B" w:rsidRPr="008C5F3C">
              <w:rPr>
                <w:rFonts w:cs="Arial"/>
              </w:rPr>
              <w:t>S</w:t>
            </w:r>
            <w:r w:rsidR="00F3689D" w:rsidRPr="008C5F3C">
              <w:rPr>
                <w:rFonts w:cs="Arial"/>
              </w:rPr>
              <w:t>ervice</w:t>
            </w:r>
            <w:r w:rsidR="00C0243B" w:rsidRPr="008C5F3C">
              <w:rPr>
                <w:rFonts w:cs="Arial"/>
              </w:rPr>
              <w:t xml:space="preserve"> and the </w:t>
            </w:r>
            <w:r w:rsidR="00C0243B" w:rsidRPr="008C5F3C">
              <w:rPr>
                <w:rFonts w:cs="Arial"/>
              </w:rPr>
              <w:lastRenderedPageBreak/>
              <w:t xml:space="preserve">new Careers Enterprise Company </w:t>
            </w:r>
            <w:r w:rsidRPr="008C5F3C">
              <w:rPr>
                <w:rFonts w:cs="Arial"/>
              </w:rPr>
              <w:t xml:space="preserve">funded provision. </w:t>
            </w:r>
            <w:r w:rsidR="0006724D" w:rsidRPr="008C5F3C">
              <w:rPr>
                <w:rFonts w:cs="Arial"/>
              </w:rPr>
              <w:t xml:space="preserve"> </w:t>
            </w:r>
            <w:r w:rsidRPr="008C5F3C">
              <w:rPr>
                <w:rFonts w:cs="Arial"/>
              </w:rPr>
              <w:t xml:space="preserve">Successful </w:t>
            </w:r>
            <w:r w:rsidR="00C6219F" w:rsidRPr="008C5F3C">
              <w:rPr>
                <w:rFonts w:cs="Arial"/>
              </w:rPr>
              <w:t>candidate</w:t>
            </w:r>
            <w:r w:rsidRPr="008C5F3C">
              <w:rPr>
                <w:rFonts w:cs="Arial"/>
              </w:rPr>
              <w:t>s will be required to ensure that ESF provision will clearly add value and not duplicate any provision that can be arranged locally through existing mainstream institutions.</w:t>
            </w:r>
          </w:p>
          <w:p w14:paraId="14EF7E73" w14:textId="77777777" w:rsidR="00ED156A" w:rsidRPr="008C5F3C" w:rsidRDefault="00ED156A" w:rsidP="00A524B5">
            <w:pPr>
              <w:rPr>
                <w:rFonts w:cs="Arial"/>
              </w:rPr>
            </w:pPr>
          </w:p>
          <w:p w14:paraId="14EF7E74" w14:textId="77777777" w:rsidR="0031325C" w:rsidRPr="008C5F3C" w:rsidRDefault="00ED156A" w:rsidP="00A524B5">
            <w:pPr>
              <w:rPr>
                <w:rFonts w:cs="Arial"/>
                <w:b/>
                <w:i/>
              </w:rPr>
            </w:pPr>
            <w:r w:rsidRPr="008C5F3C">
              <w:rPr>
                <w:rFonts w:cs="Arial"/>
                <w:b/>
                <w:i/>
              </w:rPr>
              <w:t>Capacity and readiness to deliver</w:t>
            </w:r>
          </w:p>
          <w:p w14:paraId="14EF7E75" w14:textId="77777777" w:rsidR="00ED156A" w:rsidRPr="008C5F3C" w:rsidRDefault="00ED156A" w:rsidP="00ED156A">
            <w:pPr>
              <w:autoSpaceDE w:val="0"/>
              <w:autoSpaceDN w:val="0"/>
              <w:adjustRightInd w:val="0"/>
              <w:rPr>
                <w:rFonts w:cs="Arial"/>
              </w:rPr>
            </w:pPr>
            <w:r w:rsidRPr="008C5F3C">
              <w:rPr>
                <w:rFonts w:cs="Arial"/>
              </w:rPr>
              <w:t>Candidates must have:</w:t>
            </w:r>
          </w:p>
          <w:p w14:paraId="14EF7E76" w14:textId="77777777" w:rsidR="00ED156A" w:rsidRPr="008C5F3C" w:rsidRDefault="00ED156A" w:rsidP="00BC1BDC">
            <w:pPr>
              <w:pStyle w:val="ListParagraph"/>
              <w:numPr>
                <w:ilvl w:val="0"/>
                <w:numId w:val="18"/>
              </w:numPr>
              <w:autoSpaceDE w:val="0"/>
              <w:autoSpaceDN w:val="0"/>
              <w:adjustRightInd w:val="0"/>
              <w:rPr>
                <w:rFonts w:cs="Arial"/>
                <w:strike/>
                <w:szCs w:val="22"/>
              </w:rPr>
            </w:pPr>
            <w:r w:rsidRPr="008C5F3C">
              <w:rPr>
                <w:rFonts w:cs="Arial"/>
                <w:szCs w:val="22"/>
              </w:rPr>
              <w:t>The resources to offer</w:t>
            </w:r>
            <w:r w:rsidR="003B0CB7" w:rsidRPr="008C5F3C">
              <w:rPr>
                <w:rFonts w:cs="Arial"/>
                <w:szCs w:val="22"/>
              </w:rPr>
              <w:t xml:space="preserve"> locally tailored solutions </w:t>
            </w:r>
            <w:r w:rsidRPr="008C5F3C">
              <w:rPr>
                <w:rFonts w:cs="Arial"/>
                <w:szCs w:val="22"/>
              </w:rPr>
              <w:t>and flexible delivery</w:t>
            </w:r>
            <w:r w:rsidR="005A1D76" w:rsidRPr="008C5F3C">
              <w:rPr>
                <w:rFonts w:cs="Arial"/>
                <w:szCs w:val="22"/>
              </w:rPr>
              <w:t xml:space="preserve"> </w:t>
            </w:r>
            <w:r w:rsidR="003B0CB7" w:rsidRPr="008C5F3C">
              <w:rPr>
                <w:rFonts w:cs="Arial"/>
                <w:szCs w:val="22"/>
              </w:rPr>
              <w:t xml:space="preserve">to meet the skills and Apprenticeship priorities of employers and employees in the </w:t>
            </w:r>
            <w:r w:rsidR="005A1D76" w:rsidRPr="008C5F3C">
              <w:rPr>
                <w:rFonts w:cs="Arial"/>
                <w:szCs w:val="22"/>
              </w:rPr>
              <w:t>defined geographical area of delivery</w:t>
            </w:r>
            <w:r w:rsidR="002F4192" w:rsidRPr="008C5F3C">
              <w:rPr>
                <w:rFonts w:cs="Arial"/>
                <w:szCs w:val="22"/>
              </w:rPr>
              <w:t xml:space="preserve">. If the </w:t>
            </w:r>
            <w:r w:rsidR="001A4B05" w:rsidRPr="008C5F3C">
              <w:rPr>
                <w:rFonts w:cs="Arial"/>
                <w:szCs w:val="22"/>
              </w:rPr>
              <w:t xml:space="preserve">LEP </w:t>
            </w:r>
            <w:r w:rsidR="002F4192" w:rsidRPr="008C5F3C">
              <w:rPr>
                <w:rFonts w:cs="Arial"/>
                <w:szCs w:val="22"/>
              </w:rPr>
              <w:t>area</w:t>
            </w:r>
            <w:r w:rsidR="001A4B05" w:rsidRPr="008C5F3C">
              <w:rPr>
                <w:rFonts w:cs="Arial"/>
                <w:szCs w:val="22"/>
              </w:rPr>
              <w:t xml:space="preserve"> also has a</w:t>
            </w:r>
            <w:r w:rsidR="002F4192" w:rsidRPr="008C5F3C">
              <w:rPr>
                <w:rFonts w:cs="Arial"/>
                <w:szCs w:val="22"/>
              </w:rPr>
              <w:t xml:space="preserve"> ‘transitional’  </w:t>
            </w:r>
            <w:r w:rsidR="001A4B05" w:rsidRPr="008C5F3C">
              <w:rPr>
                <w:rFonts w:cs="Arial"/>
                <w:szCs w:val="22"/>
              </w:rPr>
              <w:t xml:space="preserve">area defined in addition to the ‘more developed’ area, </w:t>
            </w:r>
            <w:r w:rsidR="002F4192" w:rsidRPr="008C5F3C">
              <w:rPr>
                <w:rFonts w:cs="Arial"/>
                <w:szCs w:val="22"/>
              </w:rPr>
              <w:t xml:space="preserve">delivery locations will have to be available </w:t>
            </w:r>
            <w:r w:rsidR="002F4192" w:rsidRPr="008C5F3C">
              <w:rPr>
                <w:rFonts w:cs="Arial"/>
                <w:i/>
                <w:szCs w:val="22"/>
              </w:rPr>
              <w:t>in each locality</w:t>
            </w:r>
          </w:p>
          <w:p w14:paraId="14EF7E77" w14:textId="77777777" w:rsidR="00ED156A" w:rsidRPr="008C5F3C" w:rsidRDefault="00ED156A" w:rsidP="00BC1BDC">
            <w:pPr>
              <w:pStyle w:val="ListParagraph"/>
              <w:numPr>
                <w:ilvl w:val="0"/>
                <w:numId w:val="18"/>
              </w:numPr>
              <w:rPr>
                <w:rFonts w:cs="Arial"/>
                <w:lang w:eastAsia="en-GB"/>
              </w:rPr>
            </w:pPr>
            <w:r w:rsidRPr="008C5F3C">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4EF7E78" w14:textId="77777777" w:rsidR="002F71DB" w:rsidRPr="008C5F3C" w:rsidRDefault="002F71DB" w:rsidP="00BC1BDC">
            <w:pPr>
              <w:pStyle w:val="ListParagraph"/>
              <w:numPr>
                <w:ilvl w:val="0"/>
                <w:numId w:val="18"/>
              </w:numPr>
              <w:rPr>
                <w:rFonts w:cs="Arial"/>
                <w:lang w:eastAsia="en-GB"/>
              </w:rPr>
            </w:pPr>
            <w:r w:rsidRPr="008C5F3C">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8C5F3C">
              <w:rPr>
                <w:rFonts w:cs="Arial"/>
                <w:lang w:eastAsia="en-GB"/>
              </w:rPr>
              <w:t>progression</w:t>
            </w:r>
          </w:p>
          <w:p w14:paraId="14EF7E79" w14:textId="77777777" w:rsidR="00ED156A" w:rsidRPr="008C5F3C" w:rsidRDefault="00ED156A" w:rsidP="00515602">
            <w:pPr>
              <w:rPr>
                <w:rFonts w:cs="Arial"/>
                <w:lang w:eastAsia="en-GB"/>
              </w:rPr>
            </w:pPr>
          </w:p>
          <w:p w14:paraId="14EF7E7A" w14:textId="77777777" w:rsidR="00ED156A" w:rsidRPr="008C5F3C" w:rsidRDefault="00ED156A" w:rsidP="00515602">
            <w:pPr>
              <w:rPr>
                <w:rFonts w:cs="Arial"/>
                <w:b/>
                <w:i/>
                <w:lang w:eastAsia="en-GB"/>
              </w:rPr>
            </w:pPr>
            <w:r w:rsidRPr="008C5F3C">
              <w:rPr>
                <w:rFonts w:cs="Arial"/>
                <w:b/>
                <w:i/>
                <w:lang w:eastAsia="en-GB"/>
              </w:rPr>
              <w:t>Track record</w:t>
            </w:r>
          </w:p>
          <w:p w14:paraId="14EF7E7B" w14:textId="77777777" w:rsidR="00ED156A" w:rsidRPr="008C5F3C" w:rsidRDefault="00812EC6" w:rsidP="00515602">
            <w:pPr>
              <w:rPr>
                <w:rFonts w:cs="Arial"/>
                <w:szCs w:val="22"/>
              </w:rPr>
            </w:pPr>
            <w:r w:rsidRPr="008C5F3C">
              <w:rPr>
                <w:rFonts w:cs="Arial"/>
              </w:rPr>
              <w:t>T</w:t>
            </w:r>
            <w:r w:rsidRPr="008C5F3C">
              <w:rPr>
                <w:rFonts w:cs="Arial"/>
                <w:szCs w:val="22"/>
              </w:rPr>
              <w:t xml:space="preserve">he ability to deliver the required activity, based on a track record in the successful delivery and management of this type </w:t>
            </w:r>
            <w:r w:rsidR="00273291" w:rsidRPr="008C5F3C">
              <w:rPr>
                <w:rFonts w:cs="Arial"/>
                <w:szCs w:val="22"/>
              </w:rPr>
              <w:t xml:space="preserve">and size </w:t>
            </w:r>
            <w:r w:rsidRPr="008C5F3C">
              <w:rPr>
                <w:rFonts w:cs="Arial"/>
                <w:szCs w:val="22"/>
              </w:rPr>
              <w:t>of programme</w:t>
            </w:r>
          </w:p>
          <w:p w14:paraId="14EF7E7C" w14:textId="77777777" w:rsidR="00E43DDB" w:rsidRPr="008C5F3C" w:rsidRDefault="00E43DDB" w:rsidP="00515602">
            <w:pPr>
              <w:rPr>
                <w:rFonts w:cs="Arial"/>
                <w:szCs w:val="22"/>
              </w:rPr>
            </w:pPr>
          </w:p>
          <w:p w14:paraId="14EF7E7D" w14:textId="77777777" w:rsidR="00E43DDB" w:rsidRPr="008C5F3C" w:rsidRDefault="00E43DDB" w:rsidP="00E43DDB">
            <w:pPr>
              <w:rPr>
                <w:rFonts w:cs="Arial"/>
                <w:b/>
                <w:i/>
                <w:lang w:eastAsia="en-GB"/>
              </w:rPr>
            </w:pPr>
            <w:r w:rsidRPr="008C5F3C">
              <w:rPr>
                <w:rFonts w:cs="Arial"/>
                <w:b/>
                <w:i/>
                <w:lang w:eastAsia="en-GB"/>
              </w:rPr>
              <w:t>Information, Advice and Guidance</w:t>
            </w:r>
          </w:p>
          <w:p w14:paraId="14EF7E7E" w14:textId="77777777" w:rsidR="00E43DDB" w:rsidRPr="008C5F3C" w:rsidRDefault="00E43DDB" w:rsidP="00E43DDB">
            <w:pPr>
              <w:rPr>
                <w:rFonts w:cs="Arial"/>
                <w:lang w:eastAsia="en-GB"/>
              </w:rPr>
            </w:pPr>
            <w:r w:rsidRPr="008C5F3C">
              <w:rPr>
                <w:rFonts w:cs="Arial"/>
                <w:lang w:eastAsia="en-GB"/>
              </w:rPr>
              <w:t>Where the activity requires effective Information, Advice and Guidance successful</w:t>
            </w:r>
          </w:p>
          <w:p w14:paraId="14EF7E7F" w14:textId="77777777" w:rsidR="00E43DDB" w:rsidRPr="008C5F3C" w:rsidRDefault="00E43DDB" w:rsidP="00E43DDB">
            <w:pPr>
              <w:rPr>
                <w:rFonts w:cs="Arial"/>
                <w:lang w:eastAsia="en-GB"/>
              </w:rPr>
            </w:pPr>
            <w:r w:rsidRPr="008C5F3C">
              <w:rPr>
                <w:rFonts w:cs="Arial"/>
                <w:lang w:eastAsia="en-GB"/>
              </w:rPr>
              <w:t>applicants and/or subcontractors delivering this element will either hold or be</w:t>
            </w:r>
          </w:p>
          <w:p w14:paraId="14EF7E80" w14:textId="77777777" w:rsidR="00E43DDB" w:rsidRPr="008C5F3C" w:rsidRDefault="00E43DDB" w:rsidP="00E43DDB">
            <w:pPr>
              <w:rPr>
                <w:rFonts w:cs="Arial"/>
                <w:lang w:eastAsia="en-GB"/>
              </w:rPr>
            </w:pPr>
            <w:r w:rsidRPr="008C5F3C">
              <w:rPr>
                <w:rFonts w:cs="Arial"/>
                <w:lang w:eastAsia="en-GB"/>
              </w:rPr>
              <w:t>working towards the Matrix standard.</w:t>
            </w:r>
          </w:p>
          <w:p w14:paraId="14EF7E81" w14:textId="77777777" w:rsidR="00E43DDB" w:rsidRPr="008C5F3C" w:rsidRDefault="00E43DDB" w:rsidP="00E43DDB">
            <w:pPr>
              <w:rPr>
                <w:rFonts w:cs="Arial"/>
                <w:lang w:eastAsia="en-GB"/>
              </w:rPr>
            </w:pPr>
          </w:p>
          <w:p w14:paraId="14EF7E82" w14:textId="77777777" w:rsidR="00ED156A" w:rsidRPr="008C5F3C" w:rsidRDefault="002E25F4" w:rsidP="00A524B5">
            <w:pPr>
              <w:rPr>
                <w:rFonts w:cs="Arial"/>
              </w:rPr>
            </w:pPr>
            <w:r w:rsidRPr="008C5F3C">
              <w:rPr>
                <w:rFonts w:cs="Arial"/>
                <w:b/>
                <w:i/>
              </w:rPr>
              <w:t>Management and quality assurance</w:t>
            </w:r>
          </w:p>
          <w:p w14:paraId="14EF7E83" w14:textId="1F1F17E1" w:rsidR="002E25F4" w:rsidRPr="008C5F3C" w:rsidRDefault="002E25F4" w:rsidP="00A524B5">
            <w:pPr>
              <w:rPr>
                <w:rFonts w:cs="Arial"/>
              </w:rPr>
            </w:pPr>
            <w:r w:rsidRPr="008C5F3C">
              <w:rPr>
                <w:rFonts w:cs="Arial"/>
              </w:rPr>
              <w:t>Candidates will need to have effective management arrangements in place to ensure all of the req</w:t>
            </w:r>
            <w:r w:rsidR="001E712C" w:rsidRPr="008C5F3C">
              <w:rPr>
                <w:rFonts w:cs="Arial"/>
              </w:rPr>
              <w:t>uirements of this specification are fulfilled</w:t>
            </w:r>
            <w:r w:rsidRPr="008C5F3C">
              <w:rPr>
                <w:rFonts w:cs="Arial"/>
              </w:rPr>
              <w:t xml:space="preserve">. </w:t>
            </w:r>
            <w:r w:rsidR="00F45857" w:rsidRPr="008C5F3C">
              <w:rPr>
                <w:rFonts w:cs="Arial"/>
              </w:rPr>
              <w:t xml:space="preserve"> </w:t>
            </w:r>
            <w:r w:rsidRPr="008C5F3C">
              <w:rPr>
                <w:rFonts w:cs="Arial"/>
              </w:rPr>
              <w:t xml:space="preserve">The </w:t>
            </w:r>
            <w:r w:rsidR="003670BC">
              <w:rPr>
                <w:rFonts w:cs="Arial"/>
              </w:rPr>
              <w:t>Service</w:t>
            </w:r>
            <w:r w:rsidRPr="008C5F3C">
              <w:rPr>
                <w:rFonts w:cs="Arial"/>
              </w:rPr>
              <w:t xml:space="preserve"> must be delivered to a high quality and successful tenderers will need to have in place quality assurance and improvement processes.</w:t>
            </w:r>
          </w:p>
          <w:p w14:paraId="14EF7E84" w14:textId="77777777" w:rsidR="00B06A9F" w:rsidRPr="008C5F3C" w:rsidRDefault="00B06A9F" w:rsidP="00A524B5">
            <w:pPr>
              <w:rPr>
                <w:rFonts w:cs="Arial"/>
              </w:rPr>
            </w:pPr>
          </w:p>
          <w:p w14:paraId="14EF7E85" w14:textId="3198E591" w:rsidR="00B06A9F" w:rsidRPr="008C5F3C" w:rsidRDefault="00B06A9F" w:rsidP="00515602">
            <w:pPr>
              <w:rPr>
                <w:rFonts w:cs="Arial"/>
              </w:rPr>
            </w:pPr>
            <w:r w:rsidRPr="008C5F3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3670BC">
              <w:rPr>
                <w:rFonts w:cs="Arial"/>
              </w:rPr>
              <w:t>Service</w:t>
            </w:r>
            <w:r w:rsidRPr="008C5F3C">
              <w:rPr>
                <w:rFonts w:cs="Arial"/>
              </w:rPr>
              <w:t xml:space="preserve"> accordingly.  </w:t>
            </w:r>
          </w:p>
          <w:p w14:paraId="14EF7E86" w14:textId="77777777" w:rsidR="001A4B05" w:rsidRPr="008C5F3C" w:rsidRDefault="001A4B05" w:rsidP="00A524B5">
            <w:pPr>
              <w:rPr>
                <w:rFonts w:cs="Arial"/>
              </w:rPr>
            </w:pPr>
          </w:p>
          <w:p w14:paraId="14EF7E87" w14:textId="77777777" w:rsidR="002E25F4" w:rsidRPr="008C5F3C" w:rsidRDefault="002E25F4" w:rsidP="00A524B5">
            <w:pPr>
              <w:rPr>
                <w:rFonts w:cs="Arial"/>
              </w:rPr>
            </w:pPr>
            <w:r w:rsidRPr="008C5F3C">
              <w:rPr>
                <w:rFonts w:cs="Arial"/>
                <w:b/>
                <w:i/>
              </w:rPr>
              <w:t>Partnership working</w:t>
            </w:r>
          </w:p>
          <w:p w14:paraId="14EF7E88" w14:textId="77777777" w:rsidR="002E25F4" w:rsidRPr="008C5F3C" w:rsidRDefault="002E25F4" w:rsidP="00A524B5">
            <w:pPr>
              <w:rPr>
                <w:rFonts w:cs="Arial"/>
              </w:rPr>
            </w:pPr>
            <w:r w:rsidRPr="008C5F3C">
              <w:rPr>
                <w:rFonts w:cs="Arial"/>
              </w:rPr>
              <w:t>Candidates will be required to work in partnership with other organisations delivering education and training in the area to ensure the Service is complementary to and not in competition with other funded provision.</w:t>
            </w:r>
          </w:p>
          <w:p w14:paraId="14EF7E89" w14:textId="77777777" w:rsidR="002E25F4" w:rsidRPr="008C5F3C" w:rsidRDefault="002E25F4" w:rsidP="00A524B5">
            <w:pPr>
              <w:rPr>
                <w:rFonts w:cs="Arial"/>
              </w:rPr>
            </w:pPr>
          </w:p>
          <w:p w14:paraId="14EF7E8A" w14:textId="77777777" w:rsidR="002E25F4" w:rsidRPr="008C5F3C" w:rsidRDefault="002E25F4" w:rsidP="00A524B5">
            <w:pPr>
              <w:rPr>
                <w:rFonts w:cs="Arial"/>
              </w:rPr>
            </w:pPr>
            <w:r w:rsidRPr="008C5F3C">
              <w:rPr>
                <w:rFonts w:cs="Arial"/>
              </w:rPr>
              <w:t xml:space="preserve">The Service must be able to respond to changing local needs and opportunities, as well as policy changes. </w:t>
            </w:r>
          </w:p>
          <w:p w14:paraId="14EF7E8B" w14:textId="77777777" w:rsidR="00ED156A" w:rsidRPr="00575A95" w:rsidRDefault="00ED156A" w:rsidP="00A524B5">
            <w:pPr>
              <w:rPr>
                <w:rFonts w:cs="Arial"/>
              </w:rPr>
            </w:pPr>
          </w:p>
          <w:p w14:paraId="14EF7E8C" w14:textId="77777777" w:rsidR="002E25F4" w:rsidRPr="008C5F3C" w:rsidRDefault="00ED156A" w:rsidP="00C107CE">
            <w:pPr>
              <w:autoSpaceDE w:val="0"/>
              <w:autoSpaceDN w:val="0"/>
              <w:adjustRightInd w:val="0"/>
              <w:rPr>
                <w:rFonts w:cs="Arial"/>
              </w:rPr>
            </w:pPr>
            <w:r w:rsidRPr="008C5F3C">
              <w:rPr>
                <w:rFonts w:cs="Arial"/>
              </w:rPr>
              <w:t xml:space="preserve">Candidates will be required to establish linkages with and have an understanding of, local stakeholder needs and develop strong links with the key stakeholders. </w:t>
            </w:r>
          </w:p>
          <w:p w14:paraId="14EF7E8D" w14:textId="77777777" w:rsidR="00C0243B" w:rsidRPr="008C5F3C" w:rsidRDefault="00C0243B" w:rsidP="00A524B5">
            <w:pPr>
              <w:rPr>
                <w:rFonts w:cs="Arial"/>
              </w:rPr>
            </w:pPr>
          </w:p>
          <w:p w14:paraId="14EF7E8E" w14:textId="77777777" w:rsidR="00AC1F2E" w:rsidRPr="008C5F3C" w:rsidRDefault="00AC1F2E" w:rsidP="00AC1F2E">
            <w:pPr>
              <w:autoSpaceDE w:val="0"/>
              <w:autoSpaceDN w:val="0"/>
              <w:adjustRightInd w:val="0"/>
              <w:rPr>
                <w:rFonts w:cs="Arial"/>
              </w:rPr>
            </w:pPr>
            <w:r w:rsidRPr="008C5F3C">
              <w:rPr>
                <w:rFonts w:cs="Arial"/>
              </w:rPr>
              <w:t xml:space="preserve">Candidates will be required to work with employers </w:t>
            </w:r>
            <w:r w:rsidRPr="008C5F3C">
              <w:rPr>
                <w:rFonts w:cs="Arial"/>
                <w:color w:val="000000" w:themeColor="text1"/>
              </w:rPr>
              <w:t>to identify the skills gaps and needs to drive employer growth.</w:t>
            </w:r>
            <w:r w:rsidRPr="008C5F3C">
              <w:rPr>
                <w:rFonts w:cs="Arial"/>
              </w:rPr>
              <w:t xml:space="preserve"> </w:t>
            </w:r>
          </w:p>
          <w:p w14:paraId="14EF7E8F" w14:textId="77777777" w:rsidR="00AC1F2E" w:rsidRPr="008C5F3C" w:rsidRDefault="00AC1F2E" w:rsidP="00A524B5">
            <w:pPr>
              <w:rPr>
                <w:rFonts w:cs="Arial"/>
              </w:rPr>
            </w:pPr>
          </w:p>
          <w:p w14:paraId="14EF7E90" w14:textId="77777777" w:rsidR="000E66D3" w:rsidRPr="008C5F3C" w:rsidRDefault="00FA5F66" w:rsidP="00A524B5">
            <w:pPr>
              <w:rPr>
                <w:rFonts w:cs="Arial"/>
              </w:rPr>
            </w:pPr>
            <w:r w:rsidRPr="008C5F3C">
              <w:rPr>
                <w:rFonts w:cs="Arial"/>
              </w:rPr>
              <w:t xml:space="preserve">Where the Service works with Jobcentre Plus clients the Candidates will be required to co-operate </w:t>
            </w:r>
            <w:r w:rsidR="004B698A" w:rsidRPr="008C5F3C">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8C5F3C">
              <w:rPr>
                <w:rFonts w:cs="Arial"/>
                <w:bCs/>
                <w:szCs w:val="22"/>
                <w:lang w:eastAsia="en-GB"/>
              </w:rPr>
              <w:t xml:space="preserve">  </w:t>
            </w:r>
            <w:r w:rsidR="00136327" w:rsidRPr="008C5F3C">
              <w:rPr>
                <w:rFonts w:cs="Arial"/>
              </w:rPr>
              <w:t xml:space="preserve">Candidates will be required to establish links with </w:t>
            </w:r>
            <w:r w:rsidR="000E66D3" w:rsidRPr="008C5F3C">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4EF7E91" w14:textId="77777777" w:rsidR="000E66D3" w:rsidRPr="008C5F3C" w:rsidRDefault="000E66D3" w:rsidP="00A524B5">
            <w:pPr>
              <w:rPr>
                <w:rFonts w:cs="Arial"/>
              </w:rPr>
            </w:pPr>
          </w:p>
          <w:p w14:paraId="14EF7E92" w14:textId="77777777" w:rsidR="002E25F4" w:rsidRPr="008C5F3C" w:rsidRDefault="002E25F4" w:rsidP="00A524B5">
            <w:pPr>
              <w:rPr>
                <w:rFonts w:cs="Arial"/>
              </w:rPr>
            </w:pPr>
            <w:r w:rsidRPr="008C5F3C">
              <w:rPr>
                <w:rFonts w:cs="Arial"/>
                <w:b/>
                <w:i/>
              </w:rPr>
              <w:t>Market intelligence and local knowledge</w:t>
            </w:r>
          </w:p>
          <w:p w14:paraId="14EF7E93" w14:textId="449486B8" w:rsidR="002E25F4" w:rsidRPr="00575A95" w:rsidRDefault="002E25F4" w:rsidP="00BC7F87">
            <w:pPr>
              <w:autoSpaceDE w:val="0"/>
              <w:autoSpaceDN w:val="0"/>
              <w:adjustRightInd w:val="0"/>
              <w:ind w:left="29"/>
              <w:rPr>
                <w:rFonts w:cs="Arial"/>
                <w:strike/>
                <w:szCs w:val="22"/>
              </w:rPr>
            </w:pPr>
            <w:r w:rsidRPr="008C5F3C">
              <w:rPr>
                <w:rFonts w:cs="Arial"/>
              </w:rPr>
              <w:t xml:space="preserve">The delivery of the </w:t>
            </w:r>
            <w:r w:rsidR="003670BC">
              <w:rPr>
                <w:rFonts w:cs="Arial"/>
              </w:rPr>
              <w:t>Service</w:t>
            </w:r>
            <w:r w:rsidRPr="008C5F3C">
              <w:rPr>
                <w:rFonts w:cs="Arial"/>
              </w:rPr>
              <w:t xml:space="preserve"> must take into account the current and future social and economic indicators including labour market</w:t>
            </w:r>
            <w:r w:rsidR="00BC7F87" w:rsidRPr="008C5F3C">
              <w:rPr>
                <w:rFonts w:cs="Arial"/>
              </w:rPr>
              <w:t xml:space="preserve"> intelligence. Candidates must be able to demonstrate a</w:t>
            </w:r>
            <w:r w:rsidR="00812EC6" w:rsidRPr="008C5F3C">
              <w:rPr>
                <w:rFonts w:cs="Arial"/>
                <w:szCs w:val="22"/>
              </w:rPr>
              <w:t xml:space="preserve"> comprehensive understanding of the current employment market and the c</w:t>
            </w:r>
            <w:r w:rsidR="00812EC6" w:rsidRPr="008C5F3C">
              <w:rPr>
                <w:rFonts w:cs="Arial"/>
              </w:rPr>
              <w:t>urrent and future social and economic indicators including labour market intelligence</w:t>
            </w:r>
            <w:r w:rsidR="00BC7F87" w:rsidRPr="008C5F3C">
              <w:rPr>
                <w:rFonts w:cs="Arial"/>
              </w:rPr>
              <w:t xml:space="preserve"> for the geographical area being supported</w:t>
            </w:r>
            <w:r w:rsidR="00885437" w:rsidRPr="008C5F3C">
              <w:rPr>
                <w:rFonts w:cs="Arial"/>
              </w:rPr>
              <w:t xml:space="preserve">. Candidates must also have an understanding of local skills shortages and gaps and any existing skills support structures within the LEP area. </w:t>
            </w:r>
          </w:p>
          <w:p w14:paraId="14EF7E94" w14:textId="77777777" w:rsidR="00812EC6" w:rsidRPr="008C5F3C" w:rsidRDefault="00812EC6" w:rsidP="00A524B5">
            <w:pPr>
              <w:rPr>
                <w:rFonts w:cs="Arial"/>
              </w:rPr>
            </w:pPr>
          </w:p>
          <w:p w14:paraId="14EF7E95" w14:textId="77777777" w:rsidR="002E25F4" w:rsidRPr="008C5F3C" w:rsidRDefault="002E25F4" w:rsidP="00A524B5">
            <w:pPr>
              <w:pStyle w:val="letteredlist"/>
              <w:numPr>
                <w:ilvl w:val="0"/>
                <w:numId w:val="0"/>
              </w:numPr>
              <w:spacing w:after="0"/>
              <w:ind w:left="29"/>
              <w:rPr>
                <w:b/>
                <w:i/>
              </w:rPr>
            </w:pPr>
            <w:r w:rsidRPr="008C5F3C">
              <w:rPr>
                <w:b/>
                <w:i/>
              </w:rPr>
              <w:t>Management information and reporting</w:t>
            </w:r>
          </w:p>
          <w:p w14:paraId="14EF7E96" w14:textId="77777777" w:rsidR="002E25F4" w:rsidRPr="008C5F3C" w:rsidRDefault="002E25F4" w:rsidP="00A524B5">
            <w:pPr>
              <w:rPr>
                <w:rFonts w:cs="Arial"/>
              </w:rPr>
            </w:pPr>
            <w:r w:rsidRPr="008C5F3C">
              <w:t xml:space="preserve">Candidates will develop management information systems to enable it to submit data to the Skills Funding Agency via the Individual Learner Record </w:t>
            </w:r>
            <w:r w:rsidR="00F20E79" w:rsidRPr="008C5F3C">
              <w:t xml:space="preserve">(ILR) </w:t>
            </w:r>
            <w:r w:rsidRPr="008C5F3C">
              <w:t xml:space="preserve">and put in place robust arrangements for ensuring that the evidence required to support payments is collected and retained.  </w:t>
            </w:r>
          </w:p>
          <w:p w14:paraId="14EF7E97" w14:textId="77777777" w:rsidR="002E25F4" w:rsidRPr="008C5F3C" w:rsidRDefault="002E25F4" w:rsidP="00A524B5">
            <w:pPr>
              <w:rPr>
                <w:rFonts w:cs="Arial"/>
              </w:rPr>
            </w:pPr>
          </w:p>
          <w:p w14:paraId="14EF7E98" w14:textId="77777777" w:rsidR="00872617" w:rsidRPr="008C5F3C" w:rsidRDefault="002E25F4" w:rsidP="00575A95">
            <w:pPr>
              <w:shd w:val="clear" w:color="auto" w:fill="FFFFFF" w:themeFill="background1"/>
              <w:rPr>
                <w:rFonts w:cs="Arial"/>
                <w:color w:val="000000"/>
              </w:rPr>
            </w:pPr>
            <w:r w:rsidRPr="008C5F3C">
              <w:rPr>
                <w:rFonts w:cs="Arial"/>
              </w:rPr>
              <w:t xml:space="preserve">Candidates will be required to share with LEPs </w:t>
            </w:r>
            <w:r w:rsidR="00025EF8" w:rsidRPr="008C5F3C">
              <w:rPr>
                <w:rFonts w:cs="Arial"/>
              </w:rPr>
              <w:t xml:space="preserve">and the Skills Funding Agency </w:t>
            </w:r>
            <w:r w:rsidRPr="008C5F3C">
              <w:rPr>
                <w:rFonts w:cs="Arial"/>
              </w:rPr>
              <w:t xml:space="preserve">ongoing performance management data as well as additional intelligence to improve the effectiveness </w:t>
            </w:r>
            <w:r w:rsidR="002F71DB" w:rsidRPr="008C5F3C">
              <w:rPr>
                <w:rFonts w:cs="Arial"/>
              </w:rPr>
              <w:t>of Skills</w:t>
            </w:r>
            <w:r w:rsidR="006B0A4D" w:rsidRPr="008C5F3C">
              <w:rPr>
                <w:rFonts w:cs="Arial"/>
              </w:rPr>
              <w:t xml:space="preserve"> Support projects in the LEP area in the future</w:t>
            </w:r>
            <w:r w:rsidR="00E579C7" w:rsidRPr="008C5F3C">
              <w:rPr>
                <w:rFonts w:cs="Arial"/>
              </w:rPr>
              <w:t>.</w:t>
            </w:r>
          </w:p>
          <w:p w14:paraId="14EF7E99" w14:textId="77777777" w:rsidR="00872617" w:rsidRDefault="00872617" w:rsidP="00872617">
            <w:pPr>
              <w:shd w:val="clear" w:color="auto" w:fill="FFFFFF" w:themeFill="background1"/>
              <w:rPr>
                <w:rFonts w:cs="Arial"/>
                <w:b/>
              </w:rPr>
            </w:pPr>
          </w:p>
          <w:p w14:paraId="336F5899" w14:textId="77777777" w:rsidR="00C97A8A" w:rsidRDefault="00C97A8A" w:rsidP="00872617">
            <w:pPr>
              <w:shd w:val="clear" w:color="auto" w:fill="FFFFFF" w:themeFill="background1"/>
              <w:rPr>
                <w:rFonts w:cs="Arial"/>
                <w:b/>
              </w:rPr>
            </w:pPr>
          </w:p>
          <w:p w14:paraId="51A6BB60" w14:textId="77777777" w:rsidR="00C97A8A" w:rsidRDefault="00C97A8A" w:rsidP="00872617">
            <w:pPr>
              <w:shd w:val="clear" w:color="auto" w:fill="FFFFFF" w:themeFill="background1"/>
              <w:rPr>
                <w:rFonts w:cs="Arial"/>
                <w:b/>
              </w:rPr>
            </w:pPr>
          </w:p>
          <w:p w14:paraId="046F2AE5" w14:textId="77777777" w:rsidR="00C97A8A" w:rsidRDefault="00C97A8A" w:rsidP="00872617">
            <w:pPr>
              <w:shd w:val="clear" w:color="auto" w:fill="FFFFFF" w:themeFill="background1"/>
              <w:rPr>
                <w:rFonts w:cs="Arial"/>
                <w:b/>
              </w:rPr>
            </w:pPr>
          </w:p>
          <w:p w14:paraId="37CD3E93" w14:textId="77777777" w:rsidR="00C97A8A" w:rsidRDefault="00C97A8A" w:rsidP="00872617">
            <w:pPr>
              <w:shd w:val="clear" w:color="auto" w:fill="FFFFFF" w:themeFill="background1"/>
              <w:rPr>
                <w:rFonts w:cs="Arial"/>
                <w:b/>
              </w:rPr>
            </w:pPr>
          </w:p>
          <w:p w14:paraId="57E66DC2" w14:textId="77777777" w:rsidR="00C97A8A" w:rsidRDefault="00C97A8A" w:rsidP="00872617">
            <w:pPr>
              <w:shd w:val="clear" w:color="auto" w:fill="FFFFFF" w:themeFill="background1"/>
              <w:rPr>
                <w:rFonts w:cs="Arial"/>
                <w:b/>
              </w:rPr>
            </w:pPr>
          </w:p>
          <w:p w14:paraId="14EF7E9A" w14:textId="77777777" w:rsidR="004C0EF7" w:rsidRDefault="004C0EF7" w:rsidP="00872617">
            <w:pPr>
              <w:shd w:val="clear" w:color="auto" w:fill="FFFFFF" w:themeFill="background1"/>
              <w:rPr>
                <w:rFonts w:cs="Arial"/>
                <w:b/>
              </w:rPr>
            </w:pPr>
            <w:r>
              <w:rPr>
                <w:rFonts w:cs="Arial"/>
                <w:b/>
              </w:rPr>
              <w:t>Specific Service Requirements</w:t>
            </w:r>
          </w:p>
          <w:p w14:paraId="14EF7E9B" w14:textId="77777777" w:rsidR="004C0EF7" w:rsidRDefault="004C0EF7" w:rsidP="00872617">
            <w:pPr>
              <w:shd w:val="clear" w:color="auto" w:fill="FFFFFF" w:themeFill="background1"/>
              <w:rPr>
                <w:rFonts w:cs="Arial"/>
                <w:b/>
              </w:rPr>
            </w:pPr>
          </w:p>
          <w:p w14:paraId="14EF7E9C" w14:textId="0DDBFEBB" w:rsidR="004C0EF7" w:rsidRDefault="00415D64" w:rsidP="00872617">
            <w:pPr>
              <w:shd w:val="clear" w:color="auto" w:fill="FFFFFF" w:themeFill="background1"/>
              <w:rPr>
                <w:rFonts w:cs="Arial"/>
                <w:b/>
              </w:rPr>
            </w:pPr>
            <w:r>
              <w:rPr>
                <w:rFonts w:cs="Arial"/>
                <w:b/>
              </w:rPr>
              <w:t>Theme</w:t>
            </w:r>
            <w:r w:rsidR="004C0EF7">
              <w:rPr>
                <w:rFonts w:cs="Arial"/>
                <w:b/>
              </w:rPr>
              <w:t xml:space="preserve"> 1:  </w:t>
            </w:r>
            <w:r w:rsidR="00A14155" w:rsidRPr="00A14155">
              <w:rPr>
                <w:rFonts w:cs="Arial"/>
                <w:b/>
              </w:rPr>
              <w:t>Supporting Workforce Development and Business Growth</w:t>
            </w:r>
          </w:p>
          <w:p w14:paraId="14EF7E9D" w14:textId="77777777" w:rsidR="004C0EF7" w:rsidRPr="008C5F3C" w:rsidRDefault="004C0EF7" w:rsidP="00872617">
            <w:pPr>
              <w:shd w:val="clear" w:color="auto" w:fill="FFFFFF" w:themeFill="background1"/>
              <w:rPr>
                <w:rFonts w:cs="Arial"/>
                <w:b/>
              </w:rPr>
            </w:pPr>
          </w:p>
          <w:p w14:paraId="14EF7E9E" w14:textId="6070930C" w:rsidR="00162E7B" w:rsidRDefault="008A7FE0" w:rsidP="00162E7B">
            <w:pPr>
              <w:shd w:val="clear" w:color="auto" w:fill="FFFFFF" w:themeFill="background1"/>
              <w:rPr>
                <w:rFonts w:cs="Arial"/>
                <w:color w:val="000000"/>
              </w:rPr>
            </w:pPr>
            <w:r>
              <w:t>T</w:t>
            </w:r>
            <w:r w:rsidR="00162E7B" w:rsidRPr="008C5F3C">
              <w:t xml:space="preserve">he </w:t>
            </w:r>
            <w:r w:rsidR="003670BC">
              <w:t>Service</w:t>
            </w:r>
            <w:r w:rsidR="00162E7B" w:rsidRPr="008C5F3C">
              <w:t xml:space="preserve"> </w:t>
            </w:r>
            <w:r>
              <w:t xml:space="preserve">must </w:t>
            </w:r>
            <w:r w:rsidR="00162E7B" w:rsidRPr="008C5F3C">
              <w:t xml:space="preserve">interact with the D2N2 Sector </w:t>
            </w:r>
            <w:r w:rsidR="0082000C">
              <w:t xml:space="preserve">and Skills </w:t>
            </w:r>
            <w:r w:rsidR="00162E7B" w:rsidRPr="008C5F3C">
              <w:t xml:space="preserve">Advisory </w:t>
            </w:r>
            <w:r w:rsidR="0082000C">
              <w:t>Groups</w:t>
            </w:r>
            <w:r w:rsidR="00162E7B" w:rsidRPr="008C5F3C">
              <w:t xml:space="preserve">, the D2 and N2 Skills and Employment Boards, and D2N2 LEP Governance to ensure localised intelligence creates purposeful and interrelated strategic activities in line with the needs of the local economy and the D2N2 Skills for Growth Strategy. </w:t>
            </w:r>
            <w:r w:rsidR="00162E7B" w:rsidRPr="008C5F3C">
              <w:br/>
            </w:r>
            <w:r w:rsidR="00162E7B" w:rsidRPr="008C5F3C">
              <w:lastRenderedPageBreak/>
              <w:br/>
            </w:r>
            <w:r>
              <w:rPr>
                <w:rFonts w:cs="Arial"/>
              </w:rPr>
              <w:t xml:space="preserve">The </w:t>
            </w:r>
            <w:r w:rsidR="003670BC">
              <w:rPr>
                <w:rFonts w:cs="Arial"/>
              </w:rPr>
              <w:t>Service</w:t>
            </w:r>
            <w:r>
              <w:rPr>
                <w:rFonts w:cs="Arial"/>
              </w:rPr>
              <w:t xml:space="preserve"> must </w:t>
            </w:r>
            <w:r w:rsidR="00162E7B" w:rsidRPr="008C5F3C">
              <w:rPr>
                <w:rFonts w:cs="Arial"/>
              </w:rPr>
              <w:t xml:space="preserve">provide one </w:t>
            </w:r>
            <w:r w:rsidR="00162E7B" w:rsidRPr="008C5F3C">
              <w:rPr>
                <w:rFonts w:cs="Arial"/>
                <w:color w:val="000000"/>
              </w:rPr>
              <w:t>point of contact for employers to support the skills levels of their existing workforce; to support business growth; and to provide incentives for employers to develop their workforce.</w:t>
            </w:r>
          </w:p>
          <w:p w14:paraId="14EF7E9F" w14:textId="77777777" w:rsidR="008A7FE0" w:rsidRDefault="008A7FE0" w:rsidP="00162E7B">
            <w:pPr>
              <w:shd w:val="clear" w:color="auto" w:fill="FFFFFF" w:themeFill="background1"/>
              <w:rPr>
                <w:rFonts w:cs="Arial"/>
                <w:color w:val="000000"/>
              </w:rPr>
            </w:pPr>
          </w:p>
          <w:p w14:paraId="14EF7EA0" w14:textId="1E56EACE" w:rsidR="008A7FE0" w:rsidRPr="008C5F3C" w:rsidRDefault="008A7FE0" w:rsidP="00162E7B">
            <w:pPr>
              <w:shd w:val="clear" w:color="auto" w:fill="FFFFFF" w:themeFill="background1"/>
              <w:rPr>
                <w:rFonts w:cs="Arial"/>
                <w:color w:val="000000"/>
              </w:rPr>
            </w:pPr>
            <w:r>
              <w:rPr>
                <w:rFonts w:cs="Arial"/>
                <w:color w:val="000000"/>
              </w:rPr>
              <w:t xml:space="preserve">The </w:t>
            </w:r>
            <w:r w:rsidR="003670BC">
              <w:rPr>
                <w:rFonts w:cs="Arial"/>
                <w:color w:val="000000"/>
              </w:rPr>
              <w:t>Service</w:t>
            </w:r>
            <w:r>
              <w:rPr>
                <w:rFonts w:cs="Arial"/>
                <w:color w:val="000000"/>
              </w:rPr>
              <w:t xml:space="preserve"> must:</w:t>
            </w:r>
          </w:p>
          <w:p w14:paraId="14EF7EA1" w14:textId="77777777" w:rsidR="00162E7B" w:rsidRPr="008C5F3C" w:rsidRDefault="00162E7B" w:rsidP="00162E7B">
            <w:pPr>
              <w:shd w:val="clear" w:color="auto" w:fill="FFFFFF" w:themeFill="background1"/>
              <w:ind w:left="360"/>
              <w:jc w:val="both"/>
              <w:rPr>
                <w:rFonts w:cs="Arial"/>
                <w:color w:val="000000"/>
              </w:rPr>
            </w:pPr>
          </w:p>
          <w:p w14:paraId="14EF7EA2" w14:textId="77777777" w:rsidR="00162E7B" w:rsidRPr="008C5F3C" w:rsidRDefault="00162E7B" w:rsidP="003670BC">
            <w:pPr>
              <w:numPr>
                <w:ilvl w:val="0"/>
                <w:numId w:val="27"/>
              </w:numPr>
              <w:shd w:val="clear" w:color="auto" w:fill="FFFFFF" w:themeFill="background1"/>
              <w:rPr>
                <w:rFonts w:cs="Arial"/>
                <w:color w:val="000000"/>
              </w:rPr>
            </w:pPr>
            <w:r w:rsidRPr="008C5F3C">
              <w:rPr>
                <w:rFonts w:cs="Arial"/>
                <w:color w:val="000000"/>
              </w:rPr>
              <w:t>Support employers to provide work related training for their low skilled workers.</w:t>
            </w:r>
            <w:r w:rsidR="00876AF1">
              <w:rPr>
                <w:rFonts w:cs="Arial"/>
                <w:color w:val="000000"/>
              </w:rPr>
              <w:t xml:space="preserve"> </w:t>
            </w:r>
          </w:p>
          <w:p w14:paraId="14EF7EA3" w14:textId="77777777" w:rsidR="00162E7B" w:rsidRPr="008C5F3C" w:rsidRDefault="00162E7B" w:rsidP="003670BC">
            <w:pPr>
              <w:numPr>
                <w:ilvl w:val="0"/>
                <w:numId w:val="27"/>
              </w:numPr>
              <w:shd w:val="clear" w:color="auto" w:fill="FFFFFF" w:themeFill="background1"/>
              <w:rPr>
                <w:rFonts w:cs="Arial"/>
                <w:color w:val="000000"/>
              </w:rPr>
            </w:pPr>
            <w:r w:rsidRPr="008C5F3C">
              <w:rPr>
                <w:rFonts w:cs="Arial"/>
                <w:color w:val="000000"/>
              </w:rPr>
              <w:t>Support and incentivis</w:t>
            </w:r>
            <w:r w:rsidR="008A7FE0">
              <w:rPr>
                <w:rFonts w:cs="Arial"/>
                <w:color w:val="000000"/>
              </w:rPr>
              <w:t>e</w:t>
            </w:r>
            <w:r w:rsidRPr="008C5F3C">
              <w:rPr>
                <w:rFonts w:cs="Arial"/>
                <w:color w:val="000000"/>
              </w:rPr>
              <w:t xml:space="preserve"> employers to provide work related higher skills pathways for their current workforce, including apprenticeships.</w:t>
            </w:r>
          </w:p>
          <w:p w14:paraId="14EF7EA4" w14:textId="77777777" w:rsidR="00162E7B" w:rsidRPr="008C5F3C" w:rsidRDefault="00162E7B" w:rsidP="003670BC">
            <w:pPr>
              <w:numPr>
                <w:ilvl w:val="0"/>
                <w:numId w:val="27"/>
              </w:numPr>
              <w:shd w:val="clear" w:color="auto" w:fill="FFFFFF" w:themeFill="background1"/>
              <w:rPr>
                <w:rFonts w:cs="Arial"/>
                <w:color w:val="000000"/>
              </w:rPr>
            </w:pPr>
            <w:r w:rsidRPr="008C5F3C">
              <w:rPr>
                <w:rFonts w:cs="Arial"/>
                <w:color w:val="000000"/>
              </w:rPr>
              <w:t xml:space="preserve">Support business leaders and strategic managers, not engaged with the skills system, to understand the skills needs of their workforce, the impact on business growth, and where to access support. </w:t>
            </w:r>
          </w:p>
          <w:p w14:paraId="14EF7EA5" w14:textId="77777777" w:rsidR="00162E7B" w:rsidRPr="008C5F3C" w:rsidRDefault="00162E7B" w:rsidP="003670BC">
            <w:pPr>
              <w:numPr>
                <w:ilvl w:val="0"/>
                <w:numId w:val="27"/>
              </w:numPr>
              <w:shd w:val="clear" w:color="auto" w:fill="FFFFFF" w:themeFill="background1"/>
              <w:rPr>
                <w:rFonts w:cs="Arial"/>
                <w:color w:val="000000"/>
              </w:rPr>
            </w:pPr>
            <w:r w:rsidRPr="008C5F3C">
              <w:rPr>
                <w:rFonts w:cs="Arial"/>
                <w:color w:val="000000"/>
              </w:rPr>
              <w:t>Support employers to offer graduate placements, to provide sector work experience to the individual and which contributes higher levels skills to SME growth.</w:t>
            </w:r>
          </w:p>
          <w:p w14:paraId="14EF7EA6" w14:textId="77777777" w:rsidR="00162E7B" w:rsidRPr="008C5F3C" w:rsidRDefault="00162E7B" w:rsidP="003670BC">
            <w:pPr>
              <w:numPr>
                <w:ilvl w:val="0"/>
                <w:numId w:val="27"/>
              </w:numPr>
              <w:shd w:val="clear" w:color="auto" w:fill="FFFFFF" w:themeFill="background1"/>
              <w:rPr>
                <w:rFonts w:cs="Arial"/>
                <w:color w:val="000000"/>
              </w:rPr>
            </w:pPr>
            <w:r w:rsidRPr="008C5F3C">
              <w:rPr>
                <w:rFonts w:cs="Arial"/>
                <w:color w:val="000000"/>
              </w:rPr>
              <w:t>Support employers to develop supply chain provision.</w:t>
            </w:r>
          </w:p>
          <w:p w14:paraId="14EF7EA7" w14:textId="3BA00739" w:rsidR="00162E7B" w:rsidRDefault="00162E7B" w:rsidP="003670BC">
            <w:pPr>
              <w:numPr>
                <w:ilvl w:val="0"/>
                <w:numId w:val="27"/>
              </w:numPr>
              <w:shd w:val="clear" w:color="auto" w:fill="FFFFFF" w:themeFill="background1"/>
              <w:rPr>
                <w:rFonts w:cs="Arial"/>
                <w:color w:val="000000"/>
              </w:rPr>
            </w:pPr>
            <w:r w:rsidRPr="008C5F3C">
              <w:rPr>
                <w:rFonts w:cs="Arial"/>
                <w:color w:val="000000"/>
              </w:rPr>
              <w:t>Support</w:t>
            </w:r>
            <w:r w:rsidR="00E83E07">
              <w:rPr>
                <w:rFonts w:cs="Arial"/>
                <w:color w:val="000000"/>
              </w:rPr>
              <w:t xml:space="preserve"> </w:t>
            </w:r>
            <w:r w:rsidRPr="008C5F3C">
              <w:rPr>
                <w:rFonts w:cs="Arial"/>
                <w:color w:val="000000"/>
              </w:rPr>
              <w:t xml:space="preserve">employers to provide appropriate support for </w:t>
            </w:r>
            <w:r w:rsidR="003D25A1">
              <w:rPr>
                <w:rFonts w:cs="Arial"/>
                <w:color w:val="000000"/>
              </w:rPr>
              <w:t>at least 800 employees</w:t>
            </w:r>
            <w:r w:rsidRPr="008C5F3C">
              <w:rPr>
                <w:rFonts w:cs="Arial"/>
                <w:color w:val="000000"/>
              </w:rPr>
              <w:t xml:space="preserve"> where they are under consultation or notice of redundancy, or likely to be directly affected by downsizing or company closure locally.</w:t>
            </w:r>
          </w:p>
          <w:p w14:paraId="568ED633" w14:textId="1F766932" w:rsidR="003D25A1" w:rsidRPr="008C5F3C" w:rsidRDefault="003D25A1" w:rsidP="003670BC">
            <w:pPr>
              <w:numPr>
                <w:ilvl w:val="0"/>
                <w:numId w:val="27"/>
              </w:numPr>
              <w:shd w:val="clear" w:color="auto" w:fill="FFFFFF" w:themeFill="background1"/>
              <w:rPr>
                <w:rFonts w:cs="Arial"/>
                <w:color w:val="000000"/>
              </w:rPr>
            </w:pPr>
            <w:r>
              <w:rPr>
                <w:rFonts w:cs="Arial"/>
                <w:color w:val="000000"/>
              </w:rPr>
              <w:t>Support employers to provide employer-led in work progression training for 250 employees.</w:t>
            </w:r>
          </w:p>
          <w:p w14:paraId="14EF7EA8" w14:textId="77777777" w:rsidR="00872617" w:rsidRPr="008C5F3C" w:rsidRDefault="00872617" w:rsidP="00872617">
            <w:pPr>
              <w:shd w:val="clear" w:color="auto" w:fill="FFFFFF" w:themeFill="background1"/>
              <w:rPr>
                <w:rFonts w:cs="Arial"/>
              </w:rPr>
            </w:pPr>
          </w:p>
          <w:p w14:paraId="14EF7EA9" w14:textId="0686FC7E" w:rsidR="00872617" w:rsidRPr="008C5F3C" w:rsidRDefault="00872617" w:rsidP="00872617">
            <w:pPr>
              <w:pStyle w:val="Default"/>
              <w:shd w:val="clear" w:color="auto" w:fill="FFFFFF" w:themeFill="background1"/>
            </w:pPr>
            <w:r w:rsidRPr="008C5F3C">
              <w:t xml:space="preserve">The </w:t>
            </w:r>
            <w:r w:rsidR="003670BC">
              <w:t>Service</w:t>
            </w:r>
            <w:r w:rsidRPr="008C5F3C">
              <w:t xml:space="preserve"> must provide </w:t>
            </w:r>
            <w:r w:rsidR="009A48C0" w:rsidRPr="008C5F3C">
              <w:t xml:space="preserve">one </w:t>
            </w:r>
            <w:r w:rsidRPr="008C5F3C">
              <w:t>point of contact for employers to support the skills development of their existing workforce acting as part of the ‘virtual team’ for the D2N2 Growth Hub, for SMEs to engage with the skills system – measured by SMEs accessing the service (75% of which have not already engaged with the skills system), with 25% evidencing R</w:t>
            </w:r>
            <w:r w:rsidR="003F332D">
              <w:t>eturn on Investment (R</w:t>
            </w:r>
            <w:r w:rsidRPr="008C5F3C">
              <w:t>OI</w:t>
            </w:r>
            <w:r w:rsidR="003F332D">
              <w:t>)</w:t>
            </w:r>
            <w:r w:rsidRPr="008C5F3C">
              <w:t xml:space="preserve"> / business growth.</w:t>
            </w:r>
          </w:p>
          <w:p w14:paraId="14EF7EAA" w14:textId="77777777" w:rsidR="00872617" w:rsidRPr="008C5F3C" w:rsidRDefault="00872617" w:rsidP="00872617">
            <w:pPr>
              <w:shd w:val="clear" w:color="auto" w:fill="FFFFFF" w:themeFill="background1"/>
              <w:rPr>
                <w:rFonts w:cs="Arial"/>
              </w:rPr>
            </w:pPr>
          </w:p>
          <w:p w14:paraId="14EF7EAB" w14:textId="74A68409" w:rsidR="00872617" w:rsidRPr="008C5F3C" w:rsidRDefault="00872617" w:rsidP="0087261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provide simplified marketing and publicity activities to raise awareness and stimulate demand to potential employers and individual beneficiaries.  </w:t>
            </w:r>
          </w:p>
          <w:p w14:paraId="14EF7EAC" w14:textId="77777777" w:rsidR="00872617" w:rsidRPr="008C5F3C" w:rsidRDefault="00872617" w:rsidP="00872617">
            <w:pPr>
              <w:shd w:val="clear" w:color="auto" w:fill="FFFFFF" w:themeFill="background1"/>
              <w:rPr>
                <w:rFonts w:cs="Arial"/>
              </w:rPr>
            </w:pPr>
          </w:p>
          <w:p w14:paraId="14EF7EAD" w14:textId="11D6F70E" w:rsidR="00872617" w:rsidRPr="008C5F3C" w:rsidRDefault="00872617" w:rsidP="00872617">
            <w:pPr>
              <w:shd w:val="clear" w:color="auto" w:fill="FFFFFF" w:themeFill="background1"/>
              <w:rPr>
                <w:rFonts w:eastAsiaTheme="minorHAnsi" w:cs="Arial"/>
                <w:color w:val="000000"/>
              </w:rPr>
            </w:pPr>
            <w:r w:rsidRPr="008C5F3C">
              <w:rPr>
                <w:rFonts w:cs="Arial"/>
              </w:rPr>
              <w:t xml:space="preserve">The </w:t>
            </w:r>
            <w:r w:rsidR="003670BC">
              <w:rPr>
                <w:rFonts w:cs="Arial"/>
              </w:rPr>
              <w:t>Service</w:t>
            </w:r>
            <w:r w:rsidR="008A7FE0">
              <w:rPr>
                <w:rFonts w:cs="Arial"/>
              </w:rPr>
              <w:t xml:space="preserve"> must conduct </w:t>
            </w:r>
            <w:r w:rsidRPr="008C5F3C">
              <w:rPr>
                <w:rFonts w:cs="Arial"/>
              </w:rPr>
              <w:t>a training needs analysis and workforce development skills plan in conjunction with the employer to identify the skills needed to increase the competitiveness of the employer’s business.  The t</w:t>
            </w:r>
            <w:r w:rsidRPr="008C5F3C">
              <w:rPr>
                <w:rFonts w:eastAsiaTheme="minorHAnsi" w:cs="Arial"/>
                <w:color w:val="000000"/>
              </w:rPr>
              <w:t>raining needs analysis and workforce development skills plans are required to be undertaken by an appropriately experienced person with sector knowledge and expertise to ensure the plan ha</w:t>
            </w:r>
            <w:r w:rsidR="009A48C0" w:rsidRPr="008C5F3C">
              <w:rPr>
                <w:rFonts w:eastAsiaTheme="minorHAnsi" w:cs="Arial"/>
                <w:color w:val="000000"/>
              </w:rPr>
              <w:t xml:space="preserve">s credibility with the employer, utilising and building </w:t>
            </w:r>
            <w:r w:rsidR="003D25A1">
              <w:rPr>
                <w:rFonts w:eastAsiaTheme="minorHAnsi" w:cs="Arial"/>
                <w:color w:val="000000"/>
              </w:rPr>
              <w:t>on</w:t>
            </w:r>
            <w:r w:rsidR="003D25A1" w:rsidRPr="008C5F3C">
              <w:rPr>
                <w:rFonts w:eastAsiaTheme="minorHAnsi" w:cs="Arial"/>
                <w:color w:val="000000"/>
              </w:rPr>
              <w:t xml:space="preserve"> </w:t>
            </w:r>
            <w:r w:rsidR="009A48C0" w:rsidRPr="008C5F3C">
              <w:rPr>
                <w:rFonts w:eastAsiaTheme="minorHAnsi" w:cs="Arial"/>
                <w:color w:val="000000"/>
              </w:rPr>
              <w:t>good practice methodologies of employer to employer engagement (e</w:t>
            </w:r>
            <w:r w:rsidR="003D25A1">
              <w:rPr>
                <w:rFonts w:eastAsiaTheme="minorHAnsi" w:cs="Arial"/>
                <w:color w:val="000000"/>
              </w:rPr>
              <w:t>.</w:t>
            </w:r>
            <w:r w:rsidR="009A48C0" w:rsidRPr="008C5F3C">
              <w:rPr>
                <w:rFonts w:eastAsiaTheme="minorHAnsi" w:cs="Arial"/>
                <w:color w:val="000000"/>
              </w:rPr>
              <w:t>g</w:t>
            </w:r>
            <w:r w:rsidR="003D25A1">
              <w:rPr>
                <w:rFonts w:eastAsiaTheme="minorHAnsi" w:cs="Arial"/>
                <w:color w:val="000000"/>
              </w:rPr>
              <w:t>.</w:t>
            </w:r>
            <w:r w:rsidR="009A48C0" w:rsidRPr="008C5F3C">
              <w:rPr>
                <w:rFonts w:eastAsiaTheme="minorHAnsi" w:cs="Arial"/>
                <w:color w:val="000000"/>
              </w:rPr>
              <w:t xml:space="preserve"> such as the Apprenticeship Ambassador Network).</w:t>
            </w:r>
          </w:p>
          <w:p w14:paraId="14EF7EAE" w14:textId="77777777" w:rsidR="00872617" w:rsidRPr="008C5F3C" w:rsidRDefault="00872617" w:rsidP="00872617">
            <w:pPr>
              <w:shd w:val="clear" w:color="auto" w:fill="FFFFFF" w:themeFill="background1"/>
              <w:rPr>
                <w:rFonts w:eastAsiaTheme="minorHAnsi" w:cs="Arial"/>
                <w:color w:val="000000"/>
              </w:rPr>
            </w:pPr>
          </w:p>
          <w:p w14:paraId="14EF7EAF" w14:textId="1F91A0A3" w:rsidR="00872617" w:rsidRPr="008C5F3C" w:rsidRDefault="00872617" w:rsidP="0087261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produce assessments of the individual Employees’ current skills profiles to produce the development of an appropriate learning pathway. </w:t>
            </w:r>
          </w:p>
          <w:p w14:paraId="14EF7EB0" w14:textId="77777777" w:rsidR="00872617" w:rsidRPr="008C5F3C" w:rsidRDefault="00872617" w:rsidP="00872617">
            <w:pPr>
              <w:shd w:val="clear" w:color="auto" w:fill="FFFFFF" w:themeFill="background1"/>
              <w:rPr>
                <w:rFonts w:cs="Arial"/>
              </w:rPr>
            </w:pPr>
            <w:r w:rsidRPr="008C5F3C">
              <w:rPr>
                <w:rFonts w:cs="Arial"/>
              </w:rPr>
              <w:t xml:space="preserve">  </w:t>
            </w:r>
          </w:p>
          <w:p w14:paraId="14EF7EB1" w14:textId="26C958C0" w:rsidR="00872617" w:rsidRPr="008C5F3C" w:rsidRDefault="00872617" w:rsidP="0087261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include providing advice and guidance, personal development planning, skills development and learning and mentoring on an individual basis.  </w:t>
            </w:r>
          </w:p>
          <w:p w14:paraId="14EF7EB2" w14:textId="77777777" w:rsidR="00872617" w:rsidRPr="008C5F3C" w:rsidRDefault="00872617" w:rsidP="00872617">
            <w:pPr>
              <w:shd w:val="clear" w:color="auto" w:fill="FFFFFF" w:themeFill="background1"/>
              <w:rPr>
                <w:rFonts w:eastAsiaTheme="minorHAnsi" w:cs="Arial"/>
                <w:color w:val="000000"/>
              </w:rPr>
            </w:pPr>
          </w:p>
          <w:p w14:paraId="14EF7EB3" w14:textId="66CDE5D7" w:rsidR="00872617" w:rsidRPr="008C5F3C" w:rsidRDefault="00872617" w:rsidP="00872617">
            <w:pPr>
              <w:pStyle w:val="Default"/>
              <w:shd w:val="clear" w:color="auto" w:fill="FFFFFF" w:themeFill="background1"/>
            </w:pPr>
            <w:r w:rsidRPr="008C5F3C">
              <w:lastRenderedPageBreak/>
              <w:t xml:space="preserve">The </w:t>
            </w:r>
            <w:r w:rsidR="003670BC">
              <w:t>Service</w:t>
            </w:r>
            <w:r w:rsidRPr="008C5F3C">
              <w:t xml:space="preserve"> </w:t>
            </w:r>
            <w:r w:rsidR="008A7FE0">
              <w:t xml:space="preserve">must </w:t>
            </w:r>
            <w:r w:rsidRPr="008C5F3C">
              <w:t xml:space="preserve">provide support, guidance, handholding and ongoing mentoring to help employers ‘navigate’ the skills provision landscape to allow them to access the skills support they need for themselves and their staff to develop and grow their business. </w:t>
            </w:r>
          </w:p>
          <w:p w14:paraId="14EF7EB4" w14:textId="77777777" w:rsidR="00872617" w:rsidRPr="008C5F3C" w:rsidRDefault="00872617" w:rsidP="00872617">
            <w:pPr>
              <w:pStyle w:val="Default"/>
              <w:shd w:val="clear" w:color="auto" w:fill="FFFFFF" w:themeFill="background1"/>
            </w:pPr>
          </w:p>
          <w:p w14:paraId="14EF7EB5" w14:textId="40DE436E" w:rsidR="00872617" w:rsidRPr="008C5F3C" w:rsidRDefault="00872617" w:rsidP="00872617">
            <w:pPr>
              <w:pStyle w:val="Default"/>
              <w:shd w:val="clear" w:color="auto" w:fill="FFFFFF" w:themeFill="background1"/>
            </w:pPr>
            <w:r w:rsidRPr="008C5F3C">
              <w:t xml:space="preserve">The </w:t>
            </w:r>
            <w:r w:rsidR="003670BC">
              <w:t>Service</w:t>
            </w:r>
            <w:r w:rsidRPr="008C5F3C">
              <w:t xml:space="preserve"> </w:t>
            </w:r>
            <w:r w:rsidR="008A7FE0">
              <w:t xml:space="preserve">must </w:t>
            </w:r>
            <w:r w:rsidRPr="008C5F3C">
              <w:t>support the business leaders and strategic managers, not engaged with the skills system, to understand the skills needs of their workforce and the impact on business growth, and provide leadership and management skills as required.</w:t>
            </w:r>
          </w:p>
          <w:p w14:paraId="14EF7EB6" w14:textId="77777777" w:rsidR="00872617" w:rsidRPr="008C5F3C" w:rsidRDefault="00872617" w:rsidP="00872617">
            <w:pPr>
              <w:pStyle w:val="Default"/>
              <w:shd w:val="clear" w:color="auto" w:fill="FFFFFF" w:themeFill="background1"/>
            </w:pPr>
          </w:p>
          <w:p w14:paraId="14EF7EB7" w14:textId="51CA0D63" w:rsidR="00872617" w:rsidRPr="008C5F3C" w:rsidRDefault="00872617" w:rsidP="00872617">
            <w:pPr>
              <w:pStyle w:val="Default"/>
              <w:shd w:val="clear" w:color="auto" w:fill="FFFFFF" w:themeFill="background1"/>
            </w:pPr>
            <w:r w:rsidRPr="008C5F3C">
              <w:t xml:space="preserve">The </w:t>
            </w:r>
            <w:r w:rsidR="003670BC">
              <w:t>Service</w:t>
            </w:r>
            <w:r w:rsidRPr="008C5F3C">
              <w:t xml:space="preserve"> </w:t>
            </w:r>
            <w:r w:rsidR="008A7FE0">
              <w:t xml:space="preserve">must </w:t>
            </w:r>
            <w:r w:rsidRPr="008C5F3C">
              <w:t xml:space="preserve">provide sign-posting to EMPLOY Local for employer recruitment needs, including </w:t>
            </w:r>
            <w:r w:rsidR="00E53FAC" w:rsidRPr="008C5F3C">
              <w:t xml:space="preserve">new apprentices and </w:t>
            </w:r>
            <w:r w:rsidRPr="008C5F3C">
              <w:t>graduate</w:t>
            </w:r>
            <w:r w:rsidR="003D25A1">
              <w:t xml:space="preserve"> jobs</w:t>
            </w:r>
            <w:r w:rsidR="00E53FAC" w:rsidRPr="008C5F3C">
              <w:t>.</w:t>
            </w:r>
            <w:r w:rsidRPr="008C5F3C">
              <w:t xml:space="preserve"> </w:t>
            </w:r>
          </w:p>
          <w:p w14:paraId="14EF7EB8" w14:textId="77777777" w:rsidR="00872617" w:rsidRPr="008C5F3C" w:rsidRDefault="00872617" w:rsidP="00872617">
            <w:pPr>
              <w:pStyle w:val="Default"/>
              <w:shd w:val="clear" w:color="auto" w:fill="FFFFFF" w:themeFill="background1"/>
            </w:pPr>
          </w:p>
          <w:p w14:paraId="14EF7EB9" w14:textId="26773840" w:rsidR="00E53FAC" w:rsidRPr="008C5F3C" w:rsidRDefault="00872617" w:rsidP="0087261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deliver solutions to meet the identified skills gaps/needs, and will focus on the provision of basic skills to allow career progression, and to drive employer growth.  </w:t>
            </w:r>
          </w:p>
          <w:p w14:paraId="14EF7EBA" w14:textId="77777777" w:rsidR="00E53FAC" w:rsidRPr="008C5F3C" w:rsidRDefault="00E53FAC" w:rsidP="00872617">
            <w:pPr>
              <w:shd w:val="clear" w:color="auto" w:fill="FFFFFF" w:themeFill="background1"/>
              <w:rPr>
                <w:rFonts w:cs="Arial"/>
              </w:rPr>
            </w:pPr>
          </w:p>
          <w:p w14:paraId="14EF7EBB" w14:textId="45A2D807" w:rsidR="00872617" w:rsidRPr="008C5F3C" w:rsidRDefault="00872617" w:rsidP="0087261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work with employers to develop opportunities for individuals to include a core set of employability skills, knowledge of how business works and acquire more vocationally specific work experience and qualifications alongside core qualifications including basic skills, English, Maths or ESOL at entry level, level 1 or level 2. </w:t>
            </w:r>
          </w:p>
          <w:p w14:paraId="14EF7EBC" w14:textId="77777777" w:rsidR="00872617" w:rsidRPr="008C5F3C" w:rsidRDefault="00872617" w:rsidP="00872617">
            <w:pPr>
              <w:pStyle w:val="Default"/>
              <w:shd w:val="clear" w:color="auto" w:fill="FFFFFF" w:themeFill="background1"/>
            </w:pPr>
          </w:p>
          <w:p w14:paraId="14EF7EBD" w14:textId="77777777" w:rsidR="00872617" w:rsidRPr="008C5F3C" w:rsidRDefault="00872617" w:rsidP="00872617">
            <w:pPr>
              <w:pStyle w:val="Default"/>
              <w:shd w:val="clear" w:color="auto" w:fill="FFFFFF" w:themeFill="background1"/>
            </w:pPr>
            <w:r w:rsidRPr="008C5F3C">
              <w:t>This may include:</w:t>
            </w:r>
          </w:p>
          <w:p w14:paraId="14EF7EBE" w14:textId="77777777" w:rsidR="00872617" w:rsidRPr="008C5F3C" w:rsidRDefault="00872617" w:rsidP="00872617">
            <w:pPr>
              <w:shd w:val="clear" w:color="auto" w:fill="FFFFFF" w:themeFill="background1"/>
              <w:rPr>
                <w:rFonts w:eastAsiaTheme="minorHAnsi" w:cs="Arial"/>
                <w:color w:val="000000"/>
              </w:rPr>
            </w:pPr>
          </w:p>
          <w:p w14:paraId="14EF7EBF"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eastAsiaTheme="minorHAnsi" w:cs="Arial"/>
                <w:color w:val="000000"/>
              </w:rPr>
              <w:t>Providing b</w:t>
            </w:r>
            <w:r w:rsidRPr="008C5F3C">
              <w:rPr>
                <w:rFonts w:cs="Arial"/>
              </w:rPr>
              <w:t>espoke packages of learning activity devised to meet the identified business needs agreed with the employer and delivered.</w:t>
            </w:r>
          </w:p>
          <w:p w14:paraId="14EF7EC0" w14:textId="1034C988" w:rsidR="00872617" w:rsidRPr="008C5F3C" w:rsidRDefault="00872617" w:rsidP="00872617">
            <w:pPr>
              <w:pStyle w:val="ListParagraph"/>
              <w:numPr>
                <w:ilvl w:val="1"/>
                <w:numId w:val="27"/>
              </w:numPr>
              <w:shd w:val="clear" w:color="auto" w:fill="FFFFFF" w:themeFill="background1"/>
              <w:rPr>
                <w:rFonts w:cs="Arial"/>
              </w:rPr>
            </w:pPr>
            <w:r w:rsidRPr="008C5F3C">
              <w:rPr>
                <w:rFonts w:cs="Arial"/>
              </w:rPr>
              <w:t xml:space="preserve">Support sustainable employment and promote the in-work progression of employed individuals with low skills through the delivery of work-related skills training. The </w:t>
            </w:r>
            <w:r w:rsidR="003670BC">
              <w:rPr>
                <w:rFonts w:cs="Arial"/>
              </w:rPr>
              <w:t>Service</w:t>
            </w:r>
            <w:r w:rsidRPr="008C5F3C">
              <w:rPr>
                <w:rFonts w:cs="Arial"/>
              </w:rPr>
              <w:t xml:space="preserve"> should raise the level of attainment achieved by these individuals, enabling them to improve their employment status and to move them on to undertake higher levels of training, including apprenticeships.</w:t>
            </w:r>
          </w:p>
          <w:p w14:paraId="14EF7EC1"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cs="Arial"/>
              </w:rPr>
              <w:t xml:space="preserve">Providing skills training for Employees on low pay to help them progress and increase their pay and working hours or obtain better quality higher paid jobs.  This must include support for part-time workers who wish to upskill to work longer hours and/or progress within work. </w:t>
            </w:r>
          </w:p>
          <w:p w14:paraId="14EF7EC2"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cs="Arial"/>
              </w:rPr>
              <w:t xml:space="preserve">Providing locally tailored interventions and innovative approaches to meet the skills and Apprenticeship priorities of employers and Employees within the D2N2 LEP area.  </w:t>
            </w:r>
          </w:p>
          <w:p w14:paraId="14EF7EC3"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cs="Arial"/>
              </w:rPr>
              <w:t xml:space="preserve">Delivering skills provision which leads to </w:t>
            </w:r>
            <w:r w:rsidR="00E83E07">
              <w:rPr>
                <w:rFonts w:cs="Arial"/>
              </w:rPr>
              <w:t xml:space="preserve">full Apprenticeships as part of a career pathway. </w:t>
            </w:r>
            <w:r w:rsidRPr="008C5F3C">
              <w:rPr>
                <w:rFonts w:cs="Arial"/>
              </w:rPr>
              <w:t xml:space="preserve"> </w:t>
            </w:r>
          </w:p>
          <w:p w14:paraId="14EF7EC4"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cs="Arial"/>
              </w:rPr>
              <w:t xml:space="preserve">Providing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 </w:t>
            </w:r>
          </w:p>
          <w:p w14:paraId="14EF7EC5" w14:textId="77777777" w:rsidR="008C5F3C" w:rsidRPr="008C5F3C" w:rsidRDefault="008C5F3C" w:rsidP="00872617">
            <w:pPr>
              <w:pStyle w:val="ListParagraph"/>
              <w:numPr>
                <w:ilvl w:val="1"/>
                <w:numId w:val="27"/>
              </w:numPr>
              <w:shd w:val="clear" w:color="auto" w:fill="FFFFFF" w:themeFill="background1"/>
              <w:rPr>
                <w:rFonts w:cs="Arial"/>
              </w:rPr>
            </w:pPr>
            <w:r w:rsidRPr="008C5F3C">
              <w:rPr>
                <w:rFonts w:cs="Arial"/>
              </w:rPr>
              <w:t>Providing coaching and mentoring support to employers for Apprentices of SKILLS Local.</w:t>
            </w:r>
          </w:p>
          <w:p w14:paraId="14EF7EC6"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eastAsiaTheme="minorHAnsi" w:cs="Arial"/>
                <w:color w:val="000000"/>
              </w:rPr>
              <w:lastRenderedPageBreak/>
              <w:t>Providing employer-specific coaching, mentoring and business training for business leaders and strategic managers to enable them to recognise and implement skills plans to develop their workforce.</w:t>
            </w:r>
          </w:p>
          <w:p w14:paraId="14EF7EC7" w14:textId="77777777" w:rsidR="00872617" w:rsidRPr="008C5F3C" w:rsidRDefault="00872617" w:rsidP="00872617">
            <w:pPr>
              <w:pStyle w:val="ListParagraph"/>
              <w:numPr>
                <w:ilvl w:val="1"/>
                <w:numId w:val="27"/>
              </w:numPr>
              <w:shd w:val="clear" w:color="auto" w:fill="FFFFFF" w:themeFill="background1"/>
              <w:rPr>
                <w:rFonts w:cs="Arial"/>
              </w:rPr>
            </w:pPr>
            <w:r w:rsidRPr="008C5F3C">
              <w:rPr>
                <w:rFonts w:eastAsiaTheme="minorHAnsi" w:cs="Arial"/>
                <w:color w:val="000000"/>
              </w:rPr>
              <w:t>Developing and delivering employer-led, tailored training programmes in response to employer workforce development skills plan where there are clearly identifiable gaps in existing funded provision.</w:t>
            </w:r>
          </w:p>
          <w:p w14:paraId="14EF7EC8" w14:textId="77777777" w:rsidR="00872617" w:rsidRPr="008C5F3C" w:rsidRDefault="00872617" w:rsidP="00872617">
            <w:pPr>
              <w:pStyle w:val="ListParagraph"/>
              <w:numPr>
                <w:ilvl w:val="1"/>
                <w:numId w:val="27"/>
              </w:numPr>
              <w:shd w:val="clear" w:color="auto" w:fill="FFFFFF" w:themeFill="background1"/>
              <w:rPr>
                <w:rFonts w:eastAsiaTheme="minorHAnsi" w:cs="Arial"/>
                <w:color w:val="000000"/>
              </w:rPr>
            </w:pPr>
            <w:r w:rsidRPr="008C5F3C">
              <w:rPr>
                <w:rFonts w:eastAsiaTheme="minorHAnsi" w:cs="Arial"/>
                <w:color w:val="000000"/>
              </w:rPr>
              <w:t>Providing IAG, coaching and work related training to employees under consultation or notice of redundancy that reflects local labour market and current/forthcoming opportunities.</w:t>
            </w:r>
          </w:p>
          <w:p w14:paraId="14EF7EC9" w14:textId="77777777" w:rsidR="00872617" w:rsidRPr="008C5F3C" w:rsidRDefault="00872617" w:rsidP="00872617">
            <w:pPr>
              <w:shd w:val="clear" w:color="auto" w:fill="FFFFFF" w:themeFill="background1"/>
              <w:rPr>
                <w:rFonts w:cs="Arial"/>
              </w:rPr>
            </w:pPr>
          </w:p>
          <w:p w14:paraId="14EF7ECA" w14:textId="77777777" w:rsidR="00872617" w:rsidRPr="008C5F3C" w:rsidRDefault="00872617" w:rsidP="00872617">
            <w:pPr>
              <w:shd w:val="clear" w:color="auto" w:fill="FFFFFF" w:themeFill="background1"/>
              <w:rPr>
                <w:rFonts w:eastAsiaTheme="minorHAnsi" w:cs="Arial"/>
                <w:i/>
                <w:color w:val="000000"/>
                <w:u w:val="single"/>
              </w:rPr>
            </w:pPr>
            <w:r w:rsidRPr="008C5F3C">
              <w:rPr>
                <w:rFonts w:eastAsiaTheme="minorHAnsi" w:cs="Arial"/>
                <w:i/>
                <w:color w:val="000000"/>
                <w:u w:val="single"/>
              </w:rPr>
              <w:t>I</w:t>
            </w:r>
            <w:r w:rsidRPr="008C5F3C">
              <w:rPr>
                <w:rFonts w:cs="Arial"/>
                <w:i/>
                <w:color w:val="000000"/>
                <w:u w:val="single"/>
              </w:rPr>
              <w:t>ncentives for employers to develop their workforce:</w:t>
            </w:r>
          </w:p>
          <w:p w14:paraId="14EF7ECB" w14:textId="77777777" w:rsidR="00872617" w:rsidRPr="008C5F3C" w:rsidRDefault="00872617" w:rsidP="00872617">
            <w:pPr>
              <w:shd w:val="clear" w:color="auto" w:fill="FFFFFF" w:themeFill="background1"/>
              <w:rPr>
                <w:rFonts w:eastAsiaTheme="minorHAnsi" w:cs="Arial"/>
                <w:color w:val="000000"/>
              </w:rPr>
            </w:pPr>
          </w:p>
          <w:p w14:paraId="14EF7ECC" w14:textId="774D6A36" w:rsidR="00872617" w:rsidRPr="008C5F3C" w:rsidRDefault="00872617" w:rsidP="00872617">
            <w:pPr>
              <w:pStyle w:val="Default"/>
              <w:rPr>
                <w:lang w:eastAsia="en-GB"/>
              </w:rPr>
            </w:pPr>
            <w:r w:rsidRPr="008C5F3C">
              <w:t xml:space="preserve">The </w:t>
            </w:r>
            <w:r w:rsidR="003670BC">
              <w:t>Service</w:t>
            </w:r>
            <w:r w:rsidRPr="008C5F3C">
              <w:t xml:space="preserve"> must manage the SME incentives available to the employer.</w:t>
            </w:r>
            <w:r w:rsidR="004C0EF7">
              <w:t xml:space="preserve">  The incentives are only available where an SME has had a Training Needs Analysis </w:t>
            </w:r>
            <w:r w:rsidR="009B74D7">
              <w:t>completed</w:t>
            </w:r>
            <w:r w:rsidR="004C0EF7">
              <w:t xml:space="preserve"> as part of this Service.  </w:t>
            </w:r>
            <w:r w:rsidR="00534DD7">
              <w:t xml:space="preserve">Employer </w:t>
            </w:r>
            <w:r w:rsidR="0082000C">
              <w:t>i</w:t>
            </w:r>
            <w:r w:rsidR="004C0EF7">
              <w:t xml:space="preserve">ncentives </w:t>
            </w:r>
            <w:r w:rsidR="0082000C">
              <w:t>form part of a toolkit for the</w:t>
            </w:r>
            <w:r w:rsidR="008A7FE0">
              <w:t xml:space="preserve"> </w:t>
            </w:r>
            <w:r w:rsidR="003670BC">
              <w:t>Service</w:t>
            </w:r>
            <w:r w:rsidR="008A7FE0">
              <w:t xml:space="preserve"> </w:t>
            </w:r>
            <w:r w:rsidR="0082000C">
              <w:t>to support the employer to grow their business and to support the 3 million Apprenticeship target.</w:t>
            </w:r>
            <w:r w:rsidR="004C0EF7">
              <w:t xml:space="preserve"> </w:t>
            </w:r>
            <w:r w:rsidRPr="008C5F3C">
              <w:t xml:space="preserve"> The incentive will support with </w:t>
            </w:r>
            <w:r w:rsidRPr="008C5F3C">
              <w:rPr>
                <w:lang w:eastAsia="en-GB"/>
              </w:rPr>
              <w:t>additional costs of taking on a</w:t>
            </w:r>
            <w:r w:rsidR="00575A95">
              <w:rPr>
                <w:lang w:eastAsia="en-GB"/>
              </w:rPr>
              <w:t>n</w:t>
            </w:r>
            <w:r w:rsidRPr="008C5F3C">
              <w:rPr>
                <w:lang w:eastAsia="en-GB"/>
              </w:rPr>
              <w:t xml:space="preserve"> </w:t>
            </w:r>
            <w:r w:rsidR="0082000C">
              <w:rPr>
                <w:lang w:eastAsia="en-GB"/>
              </w:rPr>
              <w:t>individual</w:t>
            </w:r>
            <w:r w:rsidRPr="008C5F3C">
              <w:rPr>
                <w:lang w:eastAsia="en-GB"/>
              </w:rPr>
              <w:t xml:space="preserve"> from the programme. Each incentive is a single payment paid directly to the employer.</w:t>
            </w:r>
          </w:p>
          <w:p w14:paraId="14EF7ECD" w14:textId="77777777" w:rsidR="00872617" w:rsidRPr="008C5F3C" w:rsidRDefault="00872617" w:rsidP="00872617">
            <w:pPr>
              <w:shd w:val="clear" w:color="auto" w:fill="FFFFFF" w:themeFill="background1"/>
              <w:rPr>
                <w:rFonts w:eastAsiaTheme="minorHAnsi" w:cs="Arial"/>
                <w:color w:val="000000"/>
              </w:rPr>
            </w:pPr>
          </w:p>
          <w:p w14:paraId="14EF7ECE" w14:textId="77777777" w:rsidR="003903BC" w:rsidRPr="00575A95" w:rsidRDefault="003903BC">
            <w:pPr>
              <w:pStyle w:val="ListParagraph"/>
              <w:numPr>
                <w:ilvl w:val="0"/>
                <w:numId w:val="18"/>
              </w:numPr>
              <w:rPr>
                <w:rFonts w:cs="Arial"/>
              </w:rPr>
            </w:pPr>
            <w:r w:rsidRPr="00575A95">
              <w:rPr>
                <w:rFonts w:eastAsiaTheme="minorHAnsi" w:cs="Arial"/>
                <w:color w:val="000000"/>
                <w:u w:val="single"/>
              </w:rPr>
              <w:t>Business Growth Employer Incentive</w:t>
            </w:r>
            <w:r w:rsidR="009A56D7">
              <w:rPr>
                <w:rFonts w:eastAsiaTheme="minorHAnsi" w:cs="Arial"/>
                <w:color w:val="000000"/>
                <w:u w:val="single"/>
              </w:rPr>
              <w:t xml:space="preserve"> (SD04)</w:t>
            </w:r>
            <w:r w:rsidRPr="008C5F3C">
              <w:rPr>
                <w:rFonts w:eastAsiaTheme="minorHAnsi" w:cs="Arial"/>
                <w:color w:val="000000"/>
              </w:rPr>
              <w:t>: to support SMEs to grow their business.  The criteria is the SME will need to evidence a ROI or business growth of 5% in their Workforce Development Plan. Payment of the incentive will be at the point of employees undertaking their training or job posts for new starters are advertised (this includes a graduate on placement who is employed)</w:t>
            </w:r>
          </w:p>
          <w:p w14:paraId="14EF7ECF" w14:textId="77777777" w:rsidR="003903BC" w:rsidRPr="008C5F3C" w:rsidRDefault="003903BC" w:rsidP="00575A95">
            <w:pPr>
              <w:rPr>
                <w:rFonts w:cs="Arial"/>
              </w:rPr>
            </w:pPr>
          </w:p>
          <w:p w14:paraId="14EF7ED0" w14:textId="2EFD99B6" w:rsidR="008C5F3C" w:rsidRPr="00575A95" w:rsidRDefault="008C5F3C" w:rsidP="008C5F3C">
            <w:pPr>
              <w:shd w:val="clear" w:color="auto" w:fill="FFFFFF" w:themeFill="background1"/>
              <w:ind w:right="113"/>
              <w:rPr>
                <w:rFonts w:cs="Arial"/>
                <w:color w:val="000000" w:themeColor="text1"/>
              </w:rPr>
            </w:pPr>
            <w:r w:rsidRPr="00575A95">
              <w:rPr>
                <w:rFonts w:cs="Arial"/>
                <w:color w:val="000000" w:themeColor="text1"/>
              </w:rPr>
              <w:t xml:space="preserve">The </w:t>
            </w:r>
            <w:r w:rsidR="003670BC">
              <w:rPr>
                <w:rFonts w:cs="Arial"/>
                <w:color w:val="000000" w:themeColor="text1"/>
              </w:rPr>
              <w:t>Service</w:t>
            </w:r>
            <w:r w:rsidRPr="00575A95">
              <w:rPr>
                <w:rFonts w:cs="Arial"/>
                <w:color w:val="000000" w:themeColor="text1"/>
              </w:rPr>
              <w:t xml:space="preserve"> should promote and support the take-up of key </w:t>
            </w:r>
            <w:r w:rsidR="003D25A1">
              <w:rPr>
                <w:rFonts w:cs="Arial"/>
                <w:color w:val="000000" w:themeColor="text1"/>
              </w:rPr>
              <w:t xml:space="preserve">priority </w:t>
            </w:r>
            <w:r w:rsidRPr="00575A95">
              <w:rPr>
                <w:rFonts w:cs="Arial"/>
                <w:color w:val="000000" w:themeColor="text1"/>
              </w:rPr>
              <w:t xml:space="preserve">sector apprenticeship opportunities at all levels by individuals of all ages. The delivery of the </w:t>
            </w:r>
            <w:r w:rsidR="003670BC">
              <w:rPr>
                <w:rFonts w:cs="Arial"/>
                <w:color w:val="000000" w:themeColor="text1"/>
              </w:rPr>
              <w:t>Service</w:t>
            </w:r>
            <w:r w:rsidRPr="00575A95">
              <w:rPr>
                <w:rFonts w:cs="Arial"/>
                <w:color w:val="000000" w:themeColor="text1"/>
              </w:rPr>
              <w:t xml:space="preserve"> should lead to an increase of apprenticeship at all levels, particularly focusing on those employers that have not offered apprenticeship previously.</w:t>
            </w:r>
          </w:p>
          <w:p w14:paraId="14EF7ED1" w14:textId="77777777" w:rsidR="008C5F3C" w:rsidRPr="00575A95" w:rsidRDefault="008C5F3C" w:rsidP="008C5F3C">
            <w:pPr>
              <w:shd w:val="clear" w:color="auto" w:fill="FFFFFF" w:themeFill="background1"/>
              <w:rPr>
                <w:rFonts w:cs="Arial"/>
              </w:rPr>
            </w:pPr>
          </w:p>
          <w:p w14:paraId="14EF7ED2" w14:textId="77777777" w:rsidR="008C5F3C" w:rsidRPr="00575A95" w:rsidRDefault="008C5F3C" w:rsidP="008C5F3C">
            <w:pPr>
              <w:shd w:val="clear" w:color="auto" w:fill="FFFFFF" w:themeFill="background1"/>
              <w:rPr>
                <w:rFonts w:cs="Arial"/>
                <w:color w:val="000000" w:themeColor="text1"/>
              </w:rPr>
            </w:pPr>
            <w:r w:rsidRPr="00575A95">
              <w:rPr>
                <w:rFonts w:cs="Arial"/>
                <w:color w:val="000000" w:themeColor="text1"/>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14EF7ED3" w14:textId="77777777" w:rsidR="008C5F3C" w:rsidRPr="00575A95" w:rsidRDefault="008C5F3C" w:rsidP="008C5F3C">
            <w:pPr>
              <w:shd w:val="clear" w:color="auto" w:fill="FFFFFF" w:themeFill="background1"/>
              <w:rPr>
                <w:rFonts w:cs="Arial"/>
              </w:rPr>
            </w:pPr>
          </w:p>
          <w:p w14:paraId="14EF7ED4" w14:textId="2F2C9DD2" w:rsidR="008C5F3C" w:rsidRDefault="008C5F3C" w:rsidP="008C5F3C">
            <w:pPr>
              <w:shd w:val="clear" w:color="auto" w:fill="FFFFFF" w:themeFill="background1"/>
              <w:rPr>
                <w:rFonts w:cs="Arial"/>
              </w:rPr>
            </w:pPr>
            <w:r w:rsidRPr="00575A95">
              <w:rPr>
                <w:rFonts w:cs="Arial"/>
              </w:rPr>
              <w:t xml:space="preserve">The </w:t>
            </w:r>
            <w:r w:rsidR="003670BC">
              <w:rPr>
                <w:rFonts w:cs="Arial"/>
              </w:rPr>
              <w:t>Service</w:t>
            </w:r>
            <w:r w:rsidRPr="00575A95">
              <w:rPr>
                <w:rFonts w:cs="Arial"/>
              </w:rPr>
              <w:t xml:space="preserve"> should promote apprenticeships for existing employees and help employers to understand changes to frameworks and funding routes</w:t>
            </w:r>
            <w:r w:rsidR="008A7FE0">
              <w:rPr>
                <w:rFonts w:cs="Arial"/>
              </w:rPr>
              <w:t xml:space="preserve"> and</w:t>
            </w:r>
            <w:r w:rsidR="00575A95">
              <w:rPr>
                <w:rFonts w:cs="Arial"/>
              </w:rPr>
              <w:t xml:space="preserve"> </w:t>
            </w:r>
            <w:r w:rsidR="008A7FE0">
              <w:rPr>
                <w:rFonts w:cs="Arial"/>
              </w:rPr>
              <w:t>e</w:t>
            </w:r>
            <w:r w:rsidRPr="00575A95">
              <w:rPr>
                <w:rFonts w:cs="Arial"/>
              </w:rPr>
              <w:t>ncourage employers of the benefits of ownership and funding in their hands. Support and signpost employers to engage with employing new Apprentices including signposting them to N</w:t>
            </w:r>
            <w:r w:rsidR="00AD521F">
              <w:rPr>
                <w:rFonts w:cs="Arial"/>
              </w:rPr>
              <w:t xml:space="preserve">ational </w:t>
            </w:r>
            <w:r w:rsidR="00575A95" w:rsidRPr="00575A95">
              <w:rPr>
                <w:rFonts w:cs="Arial"/>
              </w:rPr>
              <w:t>A</w:t>
            </w:r>
            <w:r w:rsidR="00575A95">
              <w:rPr>
                <w:rFonts w:cs="Arial"/>
              </w:rPr>
              <w:t>pprenticeship</w:t>
            </w:r>
            <w:r w:rsidR="00AD521F">
              <w:rPr>
                <w:rFonts w:cs="Arial"/>
              </w:rPr>
              <w:t xml:space="preserve"> </w:t>
            </w:r>
            <w:r w:rsidRPr="00575A95">
              <w:rPr>
                <w:rFonts w:cs="Arial"/>
              </w:rPr>
              <w:t>S</w:t>
            </w:r>
            <w:r w:rsidR="00AD521F">
              <w:rPr>
                <w:rFonts w:cs="Arial"/>
              </w:rPr>
              <w:t>ervice</w:t>
            </w:r>
            <w:r w:rsidRPr="00575A95">
              <w:rPr>
                <w:rFonts w:cs="Arial"/>
              </w:rPr>
              <w:t xml:space="preserve"> and other D2N2 ESF programmes, including EMPLOY Local.</w:t>
            </w:r>
          </w:p>
          <w:p w14:paraId="14EF7ED5" w14:textId="77777777" w:rsidR="008A7FE0" w:rsidRDefault="008A7FE0" w:rsidP="008C5F3C">
            <w:pPr>
              <w:shd w:val="clear" w:color="auto" w:fill="FFFFFF" w:themeFill="background1"/>
              <w:rPr>
                <w:rFonts w:cs="Arial"/>
              </w:rPr>
            </w:pPr>
          </w:p>
          <w:p w14:paraId="14EF7ED6" w14:textId="2A2E1F56" w:rsidR="008A7FE0" w:rsidRPr="00575A95" w:rsidRDefault="008A7FE0" w:rsidP="008C5F3C">
            <w:pPr>
              <w:shd w:val="clear" w:color="auto" w:fill="FFFFFF" w:themeFill="background1"/>
              <w:rPr>
                <w:rFonts w:cs="Arial"/>
              </w:rPr>
            </w:pPr>
            <w:r>
              <w:rPr>
                <w:rFonts w:cs="Arial"/>
              </w:rPr>
              <w:t xml:space="preserve">The </w:t>
            </w:r>
            <w:r w:rsidR="00A229A9">
              <w:rPr>
                <w:rFonts w:cs="Arial"/>
              </w:rPr>
              <w:t xml:space="preserve">following incentives are available to support the delivery of the </w:t>
            </w:r>
            <w:r w:rsidR="003670BC">
              <w:rPr>
                <w:rFonts w:cs="Arial"/>
              </w:rPr>
              <w:t>Service</w:t>
            </w:r>
            <w:r w:rsidR="00A229A9">
              <w:rPr>
                <w:rFonts w:cs="Arial"/>
              </w:rPr>
              <w:t>:</w:t>
            </w:r>
          </w:p>
          <w:p w14:paraId="14EF7ED7" w14:textId="77777777" w:rsidR="008C5F3C" w:rsidRPr="00575A95" w:rsidRDefault="008C5F3C" w:rsidP="00575A95">
            <w:pPr>
              <w:rPr>
                <w:rFonts w:cs="Arial"/>
              </w:rPr>
            </w:pPr>
          </w:p>
          <w:p w14:paraId="14EF7ED8" w14:textId="785BB5A3" w:rsidR="003903BC" w:rsidRPr="00575A95" w:rsidRDefault="003903BC" w:rsidP="003903BC">
            <w:pPr>
              <w:pStyle w:val="ListParagraph"/>
              <w:numPr>
                <w:ilvl w:val="0"/>
                <w:numId w:val="18"/>
              </w:numPr>
              <w:rPr>
                <w:rFonts w:cs="Arial"/>
              </w:rPr>
            </w:pPr>
            <w:r w:rsidRPr="00575A95">
              <w:rPr>
                <w:rFonts w:cs="Arial"/>
                <w:u w:val="single"/>
              </w:rPr>
              <w:t xml:space="preserve">Apprenticeship Incentive </w:t>
            </w:r>
            <w:r w:rsidR="009A56D7">
              <w:rPr>
                <w:rFonts w:cs="Arial"/>
                <w:u w:val="single"/>
              </w:rPr>
              <w:t>–</w:t>
            </w:r>
            <w:r w:rsidRPr="00575A95">
              <w:rPr>
                <w:rFonts w:cs="Arial"/>
                <w:u w:val="single"/>
              </w:rPr>
              <w:t xml:space="preserve"> Intermediate</w:t>
            </w:r>
            <w:r w:rsidR="009A56D7">
              <w:rPr>
                <w:rFonts w:cs="Arial"/>
                <w:u w:val="single"/>
              </w:rPr>
              <w:t>/Advanced/Higher (</w:t>
            </w:r>
            <w:r w:rsidR="002063F5">
              <w:rPr>
                <w:rFonts w:cs="Arial"/>
                <w:u w:val="single"/>
              </w:rPr>
              <w:t>SD09</w:t>
            </w:r>
            <w:r w:rsidR="009A56D7">
              <w:rPr>
                <w:rFonts w:cs="Arial"/>
                <w:u w:val="single"/>
              </w:rPr>
              <w:t>)</w:t>
            </w:r>
            <w:r w:rsidRPr="00575A95">
              <w:rPr>
                <w:rFonts w:cs="Arial"/>
                <w:u w:val="single"/>
              </w:rPr>
              <w:t xml:space="preserve">: </w:t>
            </w:r>
            <w:r w:rsidRPr="00575A95">
              <w:rPr>
                <w:rFonts w:cs="Arial"/>
              </w:rPr>
              <w:t xml:space="preserve"> to support the SME to offer their existing workforce to undertake an </w:t>
            </w:r>
            <w:r w:rsidRPr="00575A95">
              <w:rPr>
                <w:rFonts w:cs="Arial"/>
              </w:rPr>
              <w:lastRenderedPageBreak/>
              <w:t xml:space="preserve">apprenticeship programme.  Payment of the incentive </w:t>
            </w:r>
            <w:r w:rsidR="008C5F3C" w:rsidRPr="008C5F3C">
              <w:rPr>
                <w:rFonts w:cs="Arial"/>
              </w:rPr>
              <w:t xml:space="preserve">(£300) </w:t>
            </w:r>
            <w:r w:rsidRPr="00575A95">
              <w:rPr>
                <w:rFonts w:cs="Arial"/>
              </w:rPr>
              <w:t>will be at the point the employee has started their apprenticeship programme and been on programme for at least 8-weeks.</w:t>
            </w:r>
          </w:p>
          <w:p w14:paraId="14EF7ED9" w14:textId="77777777" w:rsidR="003903BC" w:rsidRPr="00575A95" w:rsidRDefault="003903BC" w:rsidP="00575A95">
            <w:pPr>
              <w:pStyle w:val="ListParagraph"/>
              <w:rPr>
                <w:rFonts w:cs="Arial"/>
              </w:rPr>
            </w:pPr>
          </w:p>
          <w:p w14:paraId="14EF7EDA" w14:textId="77777777" w:rsidR="003903BC" w:rsidRPr="00575A95" w:rsidRDefault="003903BC">
            <w:pPr>
              <w:pStyle w:val="ListParagraph"/>
              <w:numPr>
                <w:ilvl w:val="0"/>
                <w:numId w:val="18"/>
              </w:numPr>
              <w:rPr>
                <w:rFonts w:cs="Arial"/>
              </w:rPr>
            </w:pPr>
            <w:r w:rsidRPr="00575A95">
              <w:rPr>
                <w:rFonts w:cs="Arial"/>
                <w:u w:val="single"/>
              </w:rPr>
              <w:t xml:space="preserve">Apprenticeship Incentive and Top Up </w:t>
            </w:r>
            <w:r w:rsidR="009A56D7">
              <w:rPr>
                <w:rFonts w:cs="Arial"/>
                <w:u w:val="single"/>
              </w:rPr>
              <w:t>–</w:t>
            </w:r>
            <w:r w:rsidRPr="00575A95">
              <w:rPr>
                <w:rFonts w:cs="Arial"/>
                <w:u w:val="single"/>
              </w:rPr>
              <w:t xml:space="preserve"> Advanced</w:t>
            </w:r>
            <w:r w:rsidR="00AD521F">
              <w:rPr>
                <w:rFonts w:cs="Arial"/>
                <w:u w:val="single"/>
              </w:rPr>
              <w:t xml:space="preserve"> (SD05</w:t>
            </w:r>
            <w:r w:rsidR="009A56D7">
              <w:rPr>
                <w:rFonts w:cs="Arial"/>
                <w:u w:val="single"/>
              </w:rPr>
              <w:t>)</w:t>
            </w:r>
            <w:r w:rsidRPr="00575A95">
              <w:rPr>
                <w:rFonts w:cs="Arial"/>
                <w:u w:val="single"/>
              </w:rPr>
              <w:t xml:space="preserve">: </w:t>
            </w:r>
            <w:r w:rsidRPr="00575A95">
              <w:rPr>
                <w:rFonts w:cs="Arial"/>
              </w:rPr>
              <w:t xml:space="preserve"> to support the SME to offer their existing workforce who has already completed an intermediate apprenticeship or who is at the right level to undertake an advanced apprenticeship programme.  Payment of the incentive is the apprenticeship incentive and the top up for the advanced apprenticeship, making the total </w:t>
            </w:r>
            <w:r w:rsidRPr="008C5F3C">
              <w:rPr>
                <w:rFonts w:cs="Arial"/>
              </w:rPr>
              <w:t>incentive</w:t>
            </w:r>
            <w:r w:rsidRPr="00575A95">
              <w:rPr>
                <w:rFonts w:cs="Arial"/>
              </w:rPr>
              <w:t xml:space="preserve"> £450. Payment of the incentive will be at the point the employee has started their advanced apprenticeship programme and been on programme for at least 8-weeks.</w:t>
            </w:r>
          </w:p>
          <w:p w14:paraId="14EF7EDB" w14:textId="77777777" w:rsidR="003903BC" w:rsidRPr="00575A95" w:rsidRDefault="003903BC" w:rsidP="00575A95">
            <w:pPr>
              <w:pStyle w:val="ListParagraph"/>
              <w:rPr>
                <w:rFonts w:cs="Arial"/>
                <w:u w:val="single"/>
              </w:rPr>
            </w:pPr>
          </w:p>
          <w:p w14:paraId="14EF7EDC" w14:textId="77777777" w:rsidR="003903BC" w:rsidRPr="00575A95" w:rsidRDefault="003903BC">
            <w:pPr>
              <w:pStyle w:val="ListParagraph"/>
              <w:numPr>
                <w:ilvl w:val="0"/>
                <w:numId w:val="18"/>
              </w:numPr>
              <w:rPr>
                <w:rFonts w:cs="Arial"/>
              </w:rPr>
            </w:pPr>
            <w:r w:rsidRPr="00575A95">
              <w:rPr>
                <w:rFonts w:cs="Arial"/>
                <w:u w:val="single"/>
              </w:rPr>
              <w:t>Apprenticeship Incentive and Top Up – Higher or Degree</w:t>
            </w:r>
            <w:r w:rsidR="00AD521F">
              <w:rPr>
                <w:rFonts w:cs="Arial"/>
                <w:u w:val="single"/>
              </w:rPr>
              <w:t xml:space="preserve"> (SD06</w:t>
            </w:r>
            <w:r w:rsidR="009A56D7">
              <w:rPr>
                <w:rFonts w:cs="Arial"/>
                <w:u w:val="single"/>
              </w:rPr>
              <w:t>)</w:t>
            </w:r>
            <w:r w:rsidRPr="00575A95">
              <w:rPr>
                <w:rFonts w:cs="Arial"/>
                <w:u w:val="single"/>
              </w:rPr>
              <w:t xml:space="preserve">: </w:t>
            </w:r>
            <w:r w:rsidRPr="00575A95">
              <w:rPr>
                <w:rFonts w:cs="Arial"/>
              </w:rPr>
              <w:t xml:space="preserve"> to support the SME to offer their existing workforce who has already completed an intermediate apprenticeship or who is at the right level to undertake a higher or degree apprenticeship programme.  Payment of the incentive is the apprenticeship incentive and the top up for the higher or degree apprenticeship, making the total </w:t>
            </w:r>
            <w:r w:rsidRPr="008C5F3C">
              <w:rPr>
                <w:rFonts w:cs="Arial"/>
              </w:rPr>
              <w:t>incentive</w:t>
            </w:r>
            <w:r w:rsidRPr="00575A95">
              <w:rPr>
                <w:rFonts w:cs="Arial"/>
              </w:rPr>
              <w:t xml:space="preserve"> £800. Payment of the incentive will be at the point the employee has started their higher or degree apprenticeship programme and been on programme for at least 8-weeks.</w:t>
            </w:r>
          </w:p>
          <w:p w14:paraId="14EF7EDD" w14:textId="77777777" w:rsidR="003903BC" w:rsidRPr="00575A95" w:rsidRDefault="003903BC" w:rsidP="00575A95">
            <w:pPr>
              <w:pStyle w:val="ListParagraph"/>
              <w:rPr>
                <w:rFonts w:cs="Arial"/>
              </w:rPr>
            </w:pPr>
          </w:p>
          <w:p w14:paraId="14EF7EDE" w14:textId="0EC81760" w:rsidR="00E53FAC" w:rsidRPr="008C5F3C" w:rsidRDefault="00E53FAC">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must conduct exit interviews with employers to assess the impact of the activity.   </w:t>
            </w:r>
          </w:p>
          <w:p w14:paraId="14EF7EDF" w14:textId="77777777" w:rsidR="00E53FAC" w:rsidRPr="008C5F3C" w:rsidRDefault="00E53FAC" w:rsidP="00E53FAC">
            <w:pPr>
              <w:shd w:val="clear" w:color="auto" w:fill="FFFFFF" w:themeFill="background1"/>
              <w:rPr>
                <w:rFonts w:cs="Arial"/>
              </w:rPr>
            </w:pPr>
          </w:p>
          <w:p w14:paraId="14EF7EE0" w14:textId="79E7F1B9" w:rsidR="00E53FAC" w:rsidRPr="008C5F3C" w:rsidRDefault="00E53FAC" w:rsidP="00E53FAC">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should be delivered in the workplace or at a suitable location with the agreement of the employer and must ensure maximum innovation and flexibility. </w:t>
            </w:r>
          </w:p>
          <w:p w14:paraId="14EF7EE1" w14:textId="77777777" w:rsidR="00E53FAC" w:rsidRPr="008C5F3C" w:rsidRDefault="00E53FAC" w:rsidP="00E53FAC">
            <w:pPr>
              <w:shd w:val="clear" w:color="auto" w:fill="FFFFFF" w:themeFill="background1"/>
              <w:rPr>
                <w:rFonts w:cs="Arial"/>
              </w:rPr>
            </w:pPr>
          </w:p>
          <w:p w14:paraId="14EF7EE2" w14:textId="43F1A3B9" w:rsidR="00E53FAC" w:rsidRPr="008C5F3C" w:rsidRDefault="00E53FAC" w:rsidP="00E53FAC">
            <w:pPr>
              <w:shd w:val="clear" w:color="auto" w:fill="FFFFFF" w:themeFill="background1"/>
              <w:rPr>
                <w:rFonts w:cs="Arial"/>
              </w:rPr>
            </w:pPr>
            <w:r w:rsidRPr="008C5F3C">
              <w:rPr>
                <w:rFonts w:cs="Arial"/>
              </w:rPr>
              <w:t xml:space="preserve">Where demand requires, the </w:t>
            </w:r>
            <w:r w:rsidR="003670BC">
              <w:rPr>
                <w:rFonts w:cs="Arial"/>
              </w:rPr>
              <w:t>Service</w:t>
            </w:r>
            <w:r w:rsidRPr="008C5F3C">
              <w:rPr>
                <w:rFonts w:cs="Arial"/>
              </w:rPr>
              <w:t xml:space="preserve"> should develop and support the delivery of new advanced vocational provision where mainstream provision is not available (not including tuition fees) and where a gap can be demonstrated.</w:t>
            </w:r>
          </w:p>
          <w:p w14:paraId="14EF7EE3" w14:textId="77777777" w:rsidR="008C5F3C" w:rsidRPr="008C5F3C" w:rsidRDefault="008C5F3C" w:rsidP="00E53FAC">
            <w:pPr>
              <w:shd w:val="clear" w:color="auto" w:fill="FFFFFF" w:themeFill="background1"/>
              <w:rPr>
                <w:rFonts w:cs="Arial"/>
              </w:rPr>
            </w:pPr>
          </w:p>
          <w:p w14:paraId="14EF7EE4" w14:textId="77777777" w:rsidR="008C5F3C" w:rsidRPr="00575A95" w:rsidRDefault="008C5F3C" w:rsidP="008C5F3C">
            <w:pPr>
              <w:shd w:val="clear" w:color="auto" w:fill="FFFFFF" w:themeFill="background1"/>
              <w:rPr>
                <w:rFonts w:cs="Arial"/>
              </w:rPr>
            </w:pPr>
            <w:r w:rsidRPr="00575A95">
              <w:rPr>
                <w:rFonts w:cs="Arial"/>
              </w:rPr>
              <w:t xml:space="preserve">The successful </w:t>
            </w:r>
            <w:r w:rsidR="00A229A9">
              <w:rPr>
                <w:rFonts w:cs="Arial"/>
              </w:rPr>
              <w:t>C</w:t>
            </w:r>
            <w:r w:rsidRPr="00575A95">
              <w:rPr>
                <w:rFonts w:cs="Arial"/>
              </w:rPr>
              <w:t>andidate will be required to work closely with the EMPLOY Local programme, to reduce duplication, and ensure continuity of service.</w:t>
            </w:r>
          </w:p>
          <w:p w14:paraId="14EF7EE5" w14:textId="77777777" w:rsidR="00872617" w:rsidRPr="008C5F3C" w:rsidRDefault="00872617" w:rsidP="00872617">
            <w:pPr>
              <w:shd w:val="clear" w:color="auto" w:fill="FFFFFF" w:themeFill="background1"/>
              <w:rPr>
                <w:rFonts w:cs="Arial"/>
              </w:rPr>
            </w:pPr>
          </w:p>
          <w:p w14:paraId="14EF7EE6" w14:textId="77777777" w:rsidR="00872617" w:rsidRPr="008C5F3C" w:rsidRDefault="00872617" w:rsidP="00872617">
            <w:pPr>
              <w:shd w:val="clear" w:color="auto" w:fill="FFFFFF" w:themeFill="background1"/>
              <w:rPr>
                <w:rFonts w:cs="Arial"/>
              </w:rPr>
            </w:pPr>
            <w:r w:rsidRPr="008C5F3C">
              <w:rPr>
                <w:rFonts w:cs="Arial"/>
              </w:rPr>
              <w:t>The skills provision</w:t>
            </w:r>
            <w:r w:rsidR="00575A95">
              <w:rPr>
                <w:rFonts w:cs="Arial"/>
              </w:rPr>
              <w:t xml:space="preserve"> </w:t>
            </w:r>
            <w:r w:rsidR="00A229A9">
              <w:rPr>
                <w:rFonts w:cs="Arial"/>
              </w:rPr>
              <w:t xml:space="preserve">delivered </w:t>
            </w:r>
            <w:r w:rsidRPr="008C5F3C">
              <w:rPr>
                <w:rFonts w:cs="Arial"/>
              </w:rPr>
              <w:t>must reflect the needs of the business and should be tailored to fit working practices and demands. It must be delivered on business premises and other appropriate venues.</w:t>
            </w:r>
          </w:p>
          <w:p w14:paraId="14EF7EE7" w14:textId="77777777" w:rsidR="00872617" w:rsidRPr="008C5F3C" w:rsidRDefault="00872617" w:rsidP="00872617">
            <w:pPr>
              <w:shd w:val="clear" w:color="auto" w:fill="FFFFFF" w:themeFill="background1"/>
              <w:rPr>
                <w:rFonts w:cs="Arial"/>
              </w:rPr>
            </w:pPr>
          </w:p>
          <w:p w14:paraId="14EF7EE8" w14:textId="5B268F17" w:rsidR="00AD521F" w:rsidRDefault="00872617" w:rsidP="00872617">
            <w:pPr>
              <w:shd w:val="clear" w:color="auto" w:fill="FFFFFF" w:themeFill="background1"/>
              <w:rPr>
                <w:rFonts w:cs="Arial"/>
              </w:rPr>
            </w:pPr>
            <w:r w:rsidRPr="008C5F3C">
              <w:rPr>
                <w:rFonts w:cs="Arial"/>
              </w:rPr>
              <w:t xml:space="preserve">Accredited units of learning at Level 3 and above in subject areas may also be funded where these do not lead to a full qualification.  The </w:t>
            </w:r>
            <w:r w:rsidR="003670BC">
              <w:rPr>
                <w:rFonts w:cs="Arial"/>
              </w:rPr>
              <w:t>Service</w:t>
            </w:r>
            <w:r w:rsidRPr="008C5F3C">
              <w:rPr>
                <w:rFonts w:cs="Arial"/>
              </w:rPr>
              <w:t xml:space="preserve"> must ensure that the activity does not duplicate or undermine national policy, including policy on grants and loans</w:t>
            </w:r>
            <w:r w:rsidR="00AD521F">
              <w:rPr>
                <w:rFonts w:cs="Arial"/>
              </w:rPr>
              <w:t>.</w:t>
            </w:r>
          </w:p>
          <w:p w14:paraId="14EF7EE9" w14:textId="77777777" w:rsidR="00872617" w:rsidRPr="008C5F3C" w:rsidRDefault="00872617" w:rsidP="00872617">
            <w:pPr>
              <w:shd w:val="clear" w:color="auto" w:fill="FFFFFF" w:themeFill="background1"/>
              <w:rPr>
                <w:rFonts w:cs="Arial"/>
              </w:rPr>
            </w:pPr>
            <w:r w:rsidRPr="008C5F3C">
              <w:rPr>
                <w:rFonts w:cs="Arial"/>
              </w:rPr>
              <w:t xml:space="preserve"> </w:t>
            </w:r>
          </w:p>
          <w:p w14:paraId="14EF7EEA" w14:textId="14A59866" w:rsidR="00872617" w:rsidRPr="008C5F3C" w:rsidRDefault="00872617" w:rsidP="00872617">
            <w:pPr>
              <w:shd w:val="clear" w:color="auto" w:fill="FFFFFF" w:themeFill="background1"/>
              <w:rPr>
                <w:rFonts w:cs="Arial"/>
              </w:rPr>
            </w:pPr>
            <w:r w:rsidRPr="008C5F3C">
              <w:rPr>
                <w:rFonts w:cs="Arial"/>
              </w:rPr>
              <w:t xml:space="preserve">As well as intermediate, technical skills and higher level skills provision the </w:t>
            </w:r>
            <w:r w:rsidR="003670BC">
              <w:rPr>
                <w:rFonts w:cs="Arial"/>
              </w:rPr>
              <w:t>Service</w:t>
            </w:r>
            <w:r w:rsidRPr="008C5F3C">
              <w:rPr>
                <w:rFonts w:cs="Arial"/>
              </w:rPr>
              <w:t xml:space="preserve"> should also support individuals to take up Apprenticeships in the </w:t>
            </w:r>
            <w:r w:rsidR="003D25A1">
              <w:rPr>
                <w:rFonts w:cs="Arial"/>
              </w:rPr>
              <w:t>D2N2 key priority sectors and D2 and N2 employment sectors</w:t>
            </w:r>
            <w:r w:rsidRPr="008C5F3C">
              <w:rPr>
                <w:rFonts w:cs="Arial"/>
              </w:rPr>
              <w:t>, including Higher Apprenticeships.</w:t>
            </w:r>
          </w:p>
          <w:p w14:paraId="14EF7EEB" w14:textId="77777777" w:rsidR="00872617" w:rsidRDefault="00872617" w:rsidP="00872617">
            <w:pPr>
              <w:shd w:val="clear" w:color="auto" w:fill="FFFFFF" w:themeFill="background1"/>
              <w:ind w:left="29"/>
              <w:rPr>
                <w:rFonts w:cs="Arial"/>
                <w:color w:val="000000" w:themeColor="text1"/>
              </w:rPr>
            </w:pPr>
          </w:p>
          <w:p w14:paraId="14EF7EEC" w14:textId="37AF04F2" w:rsidR="004C0EF7" w:rsidRPr="00575A95" w:rsidRDefault="00415D64" w:rsidP="00872617">
            <w:pPr>
              <w:shd w:val="clear" w:color="auto" w:fill="FFFFFF" w:themeFill="background1"/>
              <w:ind w:left="29"/>
              <w:rPr>
                <w:rFonts w:cs="Arial"/>
                <w:b/>
                <w:color w:val="000000" w:themeColor="text1"/>
              </w:rPr>
            </w:pPr>
            <w:r>
              <w:rPr>
                <w:rFonts w:cs="Arial"/>
                <w:b/>
                <w:color w:val="000000" w:themeColor="text1"/>
              </w:rPr>
              <w:t>Theme</w:t>
            </w:r>
            <w:r w:rsidR="004C0EF7" w:rsidRPr="00575A95">
              <w:rPr>
                <w:rFonts w:cs="Arial"/>
                <w:b/>
                <w:color w:val="000000" w:themeColor="text1"/>
              </w:rPr>
              <w:t xml:space="preserve"> 2:  </w:t>
            </w:r>
            <w:r w:rsidR="00A14155" w:rsidRPr="00A14155">
              <w:rPr>
                <w:rFonts w:cs="Arial"/>
                <w:b/>
                <w:color w:val="000000" w:themeColor="text1"/>
              </w:rPr>
              <w:t>Developing a Demand-led Skills System for D2N2</w:t>
            </w:r>
          </w:p>
          <w:p w14:paraId="14EF7EED" w14:textId="77777777" w:rsidR="004C0EF7" w:rsidRDefault="004C0EF7" w:rsidP="00872617">
            <w:pPr>
              <w:shd w:val="clear" w:color="auto" w:fill="FFFFFF" w:themeFill="background1"/>
              <w:ind w:left="29"/>
              <w:rPr>
                <w:rFonts w:cs="Arial"/>
                <w:color w:val="000000" w:themeColor="text1"/>
              </w:rPr>
            </w:pPr>
          </w:p>
          <w:p w14:paraId="14EF7EEE" w14:textId="3F764198" w:rsidR="004C0EF7" w:rsidRPr="008C5F3C" w:rsidRDefault="004C0EF7" w:rsidP="004C0EF7">
            <w:pPr>
              <w:shd w:val="clear" w:color="auto" w:fill="FFFFFF" w:themeFill="background1"/>
              <w:rPr>
                <w:rFonts w:eastAsiaTheme="minorHAnsi" w:cs="Arial"/>
                <w:color w:val="000000"/>
              </w:rPr>
            </w:pPr>
            <w:r w:rsidRPr="008C5F3C">
              <w:rPr>
                <w:rFonts w:cs="Arial"/>
              </w:rPr>
              <w:t xml:space="preserve">The </w:t>
            </w:r>
            <w:r w:rsidR="003670BC">
              <w:rPr>
                <w:rFonts w:cs="Arial"/>
              </w:rPr>
              <w:t>Service</w:t>
            </w:r>
            <w:r w:rsidRPr="008C5F3C">
              <w:rPr>
                <w:rFonts w:cs="Arial"/>
              </w:rPr>
              <w:t xml:space="preserve"> </w:t>
            </w:r>
            <w:r w:rsidR="00A229A9">
              <w:rPr>
                <w:rFonts w:cs="Arial"/>
              </w:rPr>
              <w:t xml:space="preserve">must </w:t>
            </w:r>
            <w:r w:rsidRPr="008C5F3C">
              <w:rPr>
                <w:rFonts w:cs="Arial"/>
              </w:rPr>
              <w:t xml:space="preserve">work closely </w:t>
            </w:r>
            <w:r w:rsidRPr="008C5F3C">
              <w:rPr>
                <w:rFonts w:eastAsiaTheme="minorHAnsi" w:cs="Arial"/>
                <w:color w:val="000000"/>
              </w:rPr>
              <w:t xml:space="preserve">with the employer groups within the D2N2 infrastructure and implement the actions arising from the D2N2 Sector Skills Action Plans.  </w:t>
            </w:r>
            <w:r w:rsidR="00A229A9">
              <w:rPr>
                <w:rFonts w:eastAsiaTheme="minorHAnsi" w:cs="Arial"/>
                <w:color w:val="000000"/>
              </w:rPr>
              <w:t xml:space="preserve">The </w:t>
            </w:r>
            <w:r w:rsidR="003670BC">
              <w:rPr>
                <w:rFonts w:eastAsiaTheme="minorHAnsi" w:cs="Arial"/>
                <w:color w:val="000000"/>
              </w:rPr>
              <w:t>Service</w:t>
            </w:r>
            <w:r w:rsidR="00A229A9">
              <w:rPr>
                <w:rFonts w:eastAsiaTheme="minorHAnsi" w:cs="Arial"/>
                <w:color w:val="000000"/>
              </w:rPr>
              <w:t xml:space="preserve"> must </w:t>
            </w:r>
            <w:r w:rsidRPr="008C5F3C">
              <w:rPr>
                <w:rFonts w:eastAsiaTheme="minorHAnsi" w:cs="Arial"/>
                <w:color w:val="000000"/>
              </w:rPr>
              <w:t>deliver outputs to support economic growth for the D2N2 area.</w:t>
            </w:r>
          </w:p>
          <w:p w14:paraId="14EF7EEF" w14:textId="77777777" w:rsidR="004C0EF7" w:rsidRDefault="004C0EF7" w:rsidP="004C0EF7">
            <w:pPr>
              <w:shd w:val="clear" w:color="auto" w:fill="FFFFFF" w:themeFill="background1"/>
              <w:rPr>
                <w:rFonts w:eastAsiaTheme="minorHAnsi" w:cs="Arial"/>
                <w:color w:val="000000"/>
              </w:rPr>
            </w:pPr>
          </w:p>
          <w:p w14:paraId="14EF7EF0" w14:textId="504A0BF0" w:rsidR="004C0EF7" w:rsidRPr="008C5F3C" w:rsidRDefault="004C0EF7" w:rsidP="004C0EF7">
            <w:pPr>
              <w:shd w:val="clear" w:color="auto" w:fill="FFFFFF" w:themeFill="background1"/>
              <w:rPr>
                <w:rFonts w:cs="Arial"/>
              </w:rPr>
            </w:pPr>
            <w:r w:rsidRPr="008C5F3C">
              <w:rPr>
                <w:rFonts w:cs="Arial"/>
              </w:rPr>
              <w:t xml:space="preserve">The </w:t>
            </w:r>
            <w:r w:rsidR="003670BC">
              <w:rPr>
                <w:rFonts w:cs="Arial"/>
              </w:rPr>
              <w:t>Service</w:t>
            </w:r>
            <w:r w:rsidRPr="008C5F3C">
              <w:rPr>
                <w:rFonts w:cs="Arial"/>
              </w:rPr>
              <w:t xml:space="preserve"> </w:t>
            </w:r>
            <w:r w:rsidR="00A229A9">
              <w:rPr>
                <w:rFonts w:cs="Arial"/>
              </w:rPr>
              <w:t xml:space="preserve">must </w:t>
            </w:r>
            <w:r>
              <w:rPr>
                <w:rFonts w:cs="Arial"/>
              </w:rPr>
              <w:t xml:space="preserve">provide </w:t>
            </w:r>
            <w:r w:rsidRPr="008C5F3C">
              <w:rPr>
                <w:rFonts w:cs="Arial"/>
              </w:rPr>
              <w:t>a skills programme</w:t>
            </w:r>
            <w:r>
              <w:rPr>
                <w:rFonts w:cs="Arial"/>
              </w:rPr>
              <w:t xml:space="preserve"> in response to D2N2s Sector Skills Action Plans</w:t>
            </w:r>
            <w:r w:rsidR="00C24AF7">
              <w:rPr>
                <w:rFonts w:cs="Arial"/>
              </w:rPr>
              <w:t xml:space="preserve"> </w:t>
            </w:r>
            <w:r w:rsidR="00C24AF7" w:rsidRPr="00C24AF7">
              <w:rPr>
                <w:rFonts w:cs="Arial"/>
              </w:rPr>
              <w:t>and Productive Workforce Report</w:t>
            </w:r>
            <w:r w:rsidR="00534DD7">
              <w:rPr>
                <w:rFonts w:cs="Arial"/>
              </w:rPr>
              <w:t>s</w:t>
            </w:r>
            <w:r>
              <w:rPr>
                <w:rFonts w:cs="Arial"/>
              </w:rPr>
              <w:t xml:space="preserve">.  The </w:t>
            </w:r>
            <w:r w:rsidR="003670BC">
              <w:rPr>
                <w:rFonts w:cs="Arial"/>
              </w:rPr>
              <w:t>Service</w:t>
            </w:r>
            <w:r w:rsidR="00A229A9">
              <w:rPr>
                <w:rFonts w:cs="Arial"/>
              </w:rPr>
              <w:t xml:space="preserve"> </w:t>
            </w:r>
            <w:r w:rsidR="005C6102">
              <w:rPr>
                <w:rFonts w:cs="Arial"/>
              </w:rPr>
              <w:t xml:space="preserve">must </w:t>
            </w:r>
            <w:r>
              <w:rPr>
                <w:rFonts w:cs="Arial"/>
              </w:rPr>
              <w:t xml:space="preserve">be </w:t>
            </w:r>
            <w:r w:rsidRPr="008C5F3C">
              <w:rPr>
                <w:rFonts w:cs="Arial"/>
              </w:rPr>
              <w:t xml:space="preserve">tailored to the needs of the D2N2LEP area in order to stimulate a growth in the skills base for businesses that will give the best opportunity to grow the economy and create more and better jobs.  </w:t>
            </w:r>
            <w:r w:rsidR="00C24AF7" w:rsidRPr="00C24AF7">
              <w:rPr>
                <w:rFonts w:cs="Arial"/>
              </w:rPr>
              <w:t xml:space="preserve">The </w:t>
            </w:r>
            <w:r w:rsidR="00A229A9">
              <w:rPr>
                <w:rFonts w:cs="Arial"/>
              </w:rPr>
              <w:t>s</w:t>
            </w:r>
            <w:r w:rsidR="00C24AF7" w:rsidRPr="00C24AF7">
              <w:rPr>
                <w:rFonts w:cs="Arial"/>
              </w:rPr>
              <w:t xml:space="preserve">kills </w:t>
            </w:r>
            <w:r w:rsidR="00A229A9">
              <w:rPr>
                <w:rFonts w:cs="Arial"/>
              </w:rPr>
              <w:t>p</w:t>
            </w:r>
            <w:r w:rsidR="00C24AF7" w:rsidRPr="00C24AF7">
              <w:rPr>
                <w:rFonts w:cs="Arial"/>
              </w:rPr>
              <w:t>rogramme</w:t>
            </w:r>
            <w:r w:rsidR="00A229A9">
              <w:rPr>
                <w:rFonts w:cs="Arial"/>
              </w:rPr>
              <w:t xml:space="preserve"> delivered must </w:t>
            </w:r>
            <w:r w:rsidR="00C24AF7" w:rsidRPr="00C24AF7">
              <w:rPr>
                <w:rFonts w:cs="Arial"/>
              </w:rPr>
              <w:t xml:space="preserve">support employers to voice and influence curriculum design and or delivery changes to existing funded and delivered programmes which do not meet employer and sector needs, and to develop new training provision to meet emerging skills needs of the D2N2 key priority sectors and D2 and N2 Employment sectors.    </w:t>
            </w:r>
          </w:p>
          <w:p w14:paraId="14EF7EF1" w14:textId="77777777" w:rsidR="009B74D7" w:rsidRPr="008C5F3C" w:rsidRDefault="009B74D7" w:rsidP="009B74D7">
            <w:pPr>
              <w:shd w:val="clear" w:color="auto" w:fill="FFFFFF" w:themeFill="background1"/>
              <w:rPr>
                <w:rFonts w:cs="Arial"/>
              </w:rPr>
            </w:pPr>
          </w:p>
          <w:p w14:paraId="14EF7EF2" w14:textId="77777777" w:rsidR="00B735D8" w:rsidRDefault="00A229A9" w:rsidP="004C0EF7">
            <w:pPr>
              <w:shd w:val="clear" w:color="auto" w:fill="FFFFFF" w:themeFill="background1"/>
              <w:ind w:right="113"/>
              <w:rPr>
                <w:rFonts w:eastAsiaTheme="minorHAnsi" w:cs="Arial"/>
                <w:color w:val="000000"/>
              </w:rPr>
            </w:pPr>
            <w:r>
              <w:rPr>
                <w:rFonts w:eastAsiaTheme="minorHAnsi" w:cs="Arial"/>
                <w:color w:val="000000"/>
              </w:rPr>
              <w:t>A d</w:t>
            </w:r>
            <w:r w:rsidR="00C24AF7" w:rsidRPr="00C24AF7">
              <w:rPr>
                <w:rFonts w:eastAsiaTheme="minorHAnsi" w:cs="Arial"/>
                <w:color w:val="000000"/>
              </w:rPr>
              <w:t xml:space="preserve">elivery </w:t>
            </w:r>
            <w:r>
              <w:rPr>
                <w:rFonts w:eastAsiaTheme="minorHAnsi" w:cs="Arial"/>
                <w:color w:val="000000"/>
              </w:rPr>
              <w:t>p</w:t>
            </w:r>
            <w:r w:rsidR="00C24AF7" w:rsidRPr="00C24AF7">
              <w:rPr>
                <w:rFonts w:eastAsiaTheme="minorHAnsi" w:cs="Arial"/>
                <w:color w:val="000000"/>
              </w:rPr>
              <w:t xml:space="preserve">lan </w:t>
            </w:r>
            <w:r w:rsidR="00CD52CC">
              <w:rPr>
                <w:rFonts w:eastAsiaTheme="minorHAnsi" w:cs="Arial"/>
                <w:color w:val="000000"/>
              </w:rPr>
              <w:t xml:space="preserve">must be produced </w:t>
            </w:r>
            <w:r w:rsidR="00C24AF7" w:rsidRPr="00C24AF7">
              <w:rPr>
                <w:rFonts w:eastAsiaTheme="minorHAnsi" w:cs="Arial"/>
                <w:color w:val="000000"/>
              </w:rPr>
              <w:t xml:space="preserve">to deliver the outputs of each </w:t>
            </w:r>
            <w:r w:rsidR="00CD52CC">
              <w:rPr>
                <w:rFonts w:eastAsiaTheme="minorHAnsi" w:cs="Arial"/>
                <w:color w:val="000000"/>
              </w:rPr>
              <w:t>s</w:t>
            </w:r>
            <w:r w:rsidR="00C24AF7" w:rsidRPr="00C24AF7">
              <w:rPr>
                <w:rFonts w:eastAsiaTheme="minorHAnsi" w:cs="Arial"/>
                <w:color w:val="000000"/>
              </w:rPr>
              <w:t xml:space="preserve">kills </w:t>
            </w:r>
            <w:r w:rsidR="00CD52CC">
              <w:rPr>
                <w:rFonts w:eastAsiaTheme="minorHAnsi" w:cs="Arial"/>
                <w:color w:val="000000"/>
              </w:rPr>
              <w:t>p</w:t>
            </w:r>
            <w:r w:rsidR="00C24AF7" w:rsidRPr="00C24AF7">
              <w:rPr>
                <w:rFonts w:eastAsiaTheme="minorHAnsi" w:cs="Arial"/>
                <w:color w:val="000000"/>
              </w:rPr>
              <w:t>rogramme in response to the respective Sector Skills Action Plan, which must be approved by the LEP Governance Board</w:t>
            </w:r>
            <w:r w:rsidR="003F332D">
              <w:rPr>
                <w:rFonts w:eastAsiaTheme="minorHAnsi" w:cs="Arial"/>
                <w:color w:val="000000"/>
              </w:rPr>
              <w:t xml:space="preserve"> and the </w:t>
            </w:r>
            <w:r w:rsidR="00AD521F">
              <w:rPr>
                <w:rFonts w:eastAsiaTheme="minorHAnsi" w:cs="Arial"/>
                <w:color w:val="000000"/>
              </w:rPr>
              <w:t>SFA</w:t>
            </w:r>
            <w:r w:rsidR="00C24AF7" w:rsidRPr="00C24AF7">
              <w:rPr>
                <w:rFonts w:eastAsiaTheme="minorHAnsi" w:cs="Arial"/>
                <w:color w:val="000000"/>
              </w:rPr>
              <w:t xml:space="preserve">.  The </w:t>
            </w:r>
            <w:r w:rsidR="00CD52CC">
              <w:rPr>
                <w:rFonts w:eastAsiaTheme="minorHAnsi" w:cs="Arial"/>
                <w:color w:val="000000"/>
              </w:rPr>
              <w:t>d</w:t>
            </w:r>
            <w:r w:rsidR="00C24AF7" w:rsidRPr="00C24AF7">
              <w:rPr>
                <w:rFonts w:eastAsiaTheme="minorHAnsi" w:cs="Arial"/>
                <w:color w:val="000000"/>
              </w:rPr>
              <w:t xml:space="preserve">elivery </w:t>
            </w:r>
            <w:r w:rsidR="00CD52CC">
              <w:rPr>
                <w:rFonts w:eastAsiaTheme="minorHAnsi" w:cs="Arial"/>
                <w:color w:val="000000"/>
              </w:rPr>
              <w:t>p</w:t>
            </w:r>
            <w:r w:rsidR="00C24AF7" w:rsidRPr="00C24AF7">
              <w:rPr>
                <w:rFonts w:eastAsiaTheme="minorHAnsi" w:cs="Arial"/>
                <w:color w:val="000000"/>
              </w:rPr>
              <w:t xml:space="preserve">lan must be completed within the first 3 months of the contract and will attract 10% of the overall funding to enable set up and coordination with the employer groups. Updates to the </w:t>
            </w:r>
            <w:r w:rsidR="00CD52CC">
              <w:rPr>
                <w:rFonts w:eastAsiaTheme="minorHAnsi" w:cs="Arial"/>
                <w:color w:val="000000"/>
              </w:rPr>
              <w:t>d</w:t>
            </w:r>
            <w:r w:rsidR="00C24AF7" w:rsidRPr="00C24AF7">
              <w:rPr>
                <w:rFonts w:eastAsiaTheme="minorHAnsi" w:cs="Arial"/>
                <w:color w:val="000000"/>
              </w:rPr>
              <w:t xml:space="preserve">elivery </w:t>
            </w:r>
            <w:r w:rsidR="00CD52CC">
              <w:rPr>
                <w:rFonts w:eastAsiaTheme="minorHAnsi" w:cs="Arial"/>
                <w:color w:val="000000"/>
              </w:rPr>
              <w:t>p</w:t>
            </w:r>
            <w:r w:rsidR="00C24AF7" w:rsidRPr="00C24AF7">
              <w:rPr>
                <w:rFonts w:eastAsiaTheme="minorHAnsi" w:cs="Arial"/>
                <w:color w:val="000000"/>
              </w:rPr>
              <w:t>lan must be submitted at month 9 and month 15</w:t>
            </w:r>
            <w:r w:rsidR="003F332D">
              <w:rPr>
                <w:rFonts w:eastAsiaTheme="minorHAnsi" w:cs="Arial"/>
                <w:color w:val="000000"/>
              </w:rPr>
              <w:t>.</w:t>
            </w:r>
            <w:r w:rsidR="00C24AF7" w:rsidRPr="00C24AF7">
              <w:rPr>
                <w:rFonts w:eastAsiaTheme="minorHAnsi" w:cs="Arial"/>
                <w:color w:val="000000"/>
              </w:rPr>
              <w:t xml:space="preserve">  Updates must be approved by the LEP Governance Board</w:t>
            </w:r>
            <w:r w:rsidR="003F332D">
              <w:rPr>
                <w:rFonts w:eastAsiaTheme="minorHAnsi" w:cs="Arial"/>
                <w:color w:val="000000"/>
              </w:rPr>
              <w:t xml:space="preserve"> and the </w:t>
            </w:r>
            <w:r w:rsidR="00AD521F">
              <w:rPr>
                <w:rFonts w:eastAsiaTheme="minorHAnsi" w:cs="Arial"/>
                <w:color w:val="000000"/>
              </w:rPr>
              <w:t>SFA</w:t>
            </w:r>
            <w:r w:rsidR="00C24AF7" w:rsidRPr="00C24AF7">
              <w:rPr>
                <w:rFonts w:eastAsiaTheme="minorHAnsi" w:cs="Arial"/>
                <w:color w:val="000000"/>
              </w:rPr>
              <w:t xml:space="preserve">.  </w:t>
            </w:r>
          </w:p>
          <w:p w14:paraId="14EF7EF3" w14:textId="77777777" w:rsidR="00B735D8" w:rsidRDefault="00B735D8" w:rsidP="004C0EF7">
            <w:pPr>
              <w:shd w:val="clear" w:color="auto" w:fill="FFFFFF" w:themeFill="background1"/>
              <w:ind w:right="113"/>
              <w:rPr>
                <w:rFonts w:eastAsiaTheme="minorHAnsi" w:cs="Arial"/>
                <w:color w:val="000000"/>
              </w:rPr>
            </w:pPr>
          </w:p>
          <w:p w14:paraId="14EF7EF4" w14:textId="116964EB" w:rsidR="00C24AF7" w:rsidRDefault="00C24AF7" w:rsidP="004C0EF7">
            <w:pPr>
              <w:shd w:val="clear" w:color="auto" w:fill="FFFFFF" w:themeFill="background1"/>
              <w:ind w:right="113"/>
              <w:rPr>
                <w:rFonts w:eastAsiaTheme="minorHAnsi" w:cs="Arial"/>
                <w:color w:val="000000"/>
              </w:rPr>
            </w:pPr>
            <w:r w:rsidRPr="00C24AF7">
              <w:rPr>
                <w:rFonts w:eastAsiaTheme="minorHAnsi" w:cs="Arial"/>
                <w:color w:val="000000"/>
              </w:rPr>
              <w:t xml:space="preserve">The agreed elements of the </w:t>
            </w:r>
            <w:r w:rsidR="00CD52CC">
              <w:rPr>
                <w:rFonts w:eastAsiaTheme="minorHAnsi" w:cs="Arial"/>
                <w:color w:val="000000"/>
              </w:rPr>
              <w:t>d</w:t>
            </w:r>
            <w:r w:rsidRPr="00C24AF7">
              <w:rPr>
                <w:rFonts w:eastAsiaTheme="minorHAnsi" w:cs="Arial"/>
                <w:color w:val="000000"/>
              </w:rPr>
              <w:t xml:space="preserve">elivery </w:t>
            </w:r>
            <w:r w:rsidR="00CD52CC">
              <w:rPr>
                <w:rFonts w:eastAsiaTheme="minorHAnsi" w:cs="Arial"/>
                <w:color w:val="000000"/>
              </w:rPr>
              <w:t>p</w:t>
            </w:r>
            <w:r w:rsidRPr="00C24AF7">
              <w:rPr>
                <w:rFonts w:eastAsiaTheme="minorHAnsi" w:cs="Arial"/>
                <w:color w:val="000000"/>
              </w:rPr>
              <w:t xml:space="preserve">lan must be outcome based with measureable impacts for the sector, employers and individuals.  In total only 30% of the funding allocation is to be spent on capacity building.  Measureable economic and training outputs are expected from the remaining 70% of the funding, which must be detailed in the </w:t>
            </w:r>
            <w:r w:rsidR="00CD52CC">
              <w:rPr>
                <w:rFonts w:eastAsiaTheme="minorHAnsi" w:cs="Arial"/>
                <w:color w:val="000000"/>
              </w:rPr>
              <w:t>d</w:t>
            </w:r>
            <w:r w:rsidRPr="00C24AF7">
              <w:rPr>
                <w:rFonts w:eastAsiaTheme="minorHAnsi" w:cs="Arial"/>
                <w:color w:val="000000"/>
              </w:rPr>
              <w:t>elivery</w:t>
            </w:r>
            <w:r w:rsidR="00575A95">
              <w:rPr>
                <w:rFonts w:eastAsiaTheme="minorHAnsi" w:cs="Arial"/>
                <w:color w:val="000000"/>
              </w:rPr>
              <w:t xml:space="preserve"> </w:t>
            </w:r>
            <w:r w:rsidR="00CD52CC">
              <w:rPr>
                <w:rFonts w:eastAsiaTheme="minorHAnsi" w:cs="Arial"/>
                <w:color w:val="000000"/>
              </w:rPr>
              <w:t>p</w:t>
            </w:r>
            <w:r w:rsidRPr="00C24AF7">
              <w:rPr>
                <w:rFonts w:eastAsiaTheme="minorHAnsi" w:cs="Arial"/>
                <w:color w:val="000000"/>
              </w:rPr>
              <w:t>lan.  All activity and projects must be approved via the LEP-Led Governance Board</w:t>
            </w:r>
            <w:r w:rsidR="00AD521F">
              <w:rPr>
                <w:rFonts w:eastAsiaTheme="minorHAnsi" w:cs="Arial"/>
                <w:color w:val="000000"/>
              </w:rPr>
              <w:t xml:space="preserve"> and the SFA</w:t>
            </w:r>
            <w:r w:rsidRPr="00C24AF7">
              <w:rPr>
                <w:rFonts w:eastAsiaTheme="minorHAnsi" w:cs="Arial"/>
                <w:color w:val="000000"/>
              </w:rPr>
              <w:t xml:space="preserve">.  It is estimated that there will be 11 </w:t>
            </w:r>
            <w:r w:rsidR="00B735D8">
              <w:rPr>
                <w:rFonts w:eastAsiaTheme="minorHAnsi" w:cs="Arial"/>
                <w:color w:val="000000"/>
              </w:rPr>
              <w:t>d</w:t>
            </w:r>
            <w:r w:rsidRPr="00C24AF7">
              <w:rPr>
                <w:rFonts w:eastAsiaTheme="minorHAnsi" w:cs="Arial"/>
                <w:color w:val="000000"/>
              </w:rPr>
              <w:t xml:space="preserve">elivery </w:t>
            </w:r>
            <w:r w:rsidR="00B735D8">
              <w:rPr>
                <w:rFonts w:eastAsiaTheme="minorHAnsi" w:cs="Arial"/>
                <w:color w:val="000000"/>
              </w:rPr>
              <w:t>p</w:t>
            </w:r>
            <w:r w:rsidRPr="00C24AF7">
              <w:rPr>
                <w:rFonts w:eastAsiaTheme="minorHAnsi" w:cs="Arial"/>
                <w:color w:val="000000"/>
              </w:rPr>
              <w:t xml:space="preserve">lans to meet the needs of </w:t>
            </w:r>
            <w:r w:rsidR="003F332D">
              <w:rPr>
                <w:rFonts w:eastAsiaTheme="minorHAnsi" w:cs="Arial"/>
                <w:color w:val="000000"/>
              </w:rPr>
              <w:t>each</w:t>
            </w:r>
            <w:r w:rsidRPr="00C24AF7">
              <w:rPr>
                <w:rFonts w:eastAsiaTheme="minorHAnsi" w:cs="Arial"/>
                <w:color w:val="000000"/>
              </w:rPr>
              <w:t xml:space="preserve"> sector.  </w:t>
            </w:r>
            <w:r w:rsidR="003D25A1">
              <w:rPr>
                <w:rFonts w:eastAsiaTheme="minorHAnsi" w:cs="Arial"/>
                <w:color w:val="000000"/>
              </w:rPr>
              <w:t>This equates to one for each D2N2 key priority sector, the health and social care sector, and one other from both D2 and N2 employment sectors.</w:t>
            </w:r>
          </w:p>
          <w:p w14:paraId="14EF7EF5" w14:textId="77777777" w:rsidR="00C24AF7" w:rsidRDefault="00C24AF7" w:rsidP="004C0EF7">
            <w:pPr>
              <w:shd w:val="clear" w:color="auto" w:fill="FFFFFF" w:themeFill="background1"/>
              <w:ind w:right="113"/>
              <w:rPr>
                <w:rFonts w:eastAsiaTheme="minorHAnsi" w:cs="Arial"/>
                <w:color w:val="000000"/>
              </w:rPr>
            </w:pPr>
          </w:p>
          <w:p w14:paraId="14EF7EF6" w14:textId="43AD37E0" w:rsidR="00C24AF7" w:rsidRPr="00C24AF7" w:rsidRDefault="00C24AF7" w:rsidP="00C24AF7">
            <w:pPr>
              <w:shd w:val="clear" w:color="auto" w:fill="FFFFFF" w:themeFill="background1"/>
              <w:ind w:right="113"/>
              <w:rPr>
                <w:rFonts w:eastAsiaTheme="minorHAnsi" w:cs="Arial"/>
                <w:color w:val="000000"/>
              </w:rPr>
            </w:pPr>
            <w:r w:rsidRPr="00C24AF7">
              <w:rPr>
                <w:rFonts w:eastAsiaTheme="minorHAnsi" w:cs="Arial"/>
                <w:color w:val="000000"/>
              </w:rPr>
              <w:t xml:space="preserve">In addition to a </w:t>
            </w:r>
            <w:r w:rsidR="00B735D8">
              <w:rPr>
                <w:rFonts w:eastAsiaTheme="minorHAnsi" w:cs="Arial"/>
                <w:color w:val="000000"/>
              </w:rPr>
              <w:t>s</w:t>
            </w:r>
            <w:r w:rsidRPr="00C24AF7">
              <w:rPr>
                <w:rFonts w:eastAsiaTheme="minorHAnsi" w:cs="Arial"/>
                <w:color w:val="000000"/>
              </w:rPr>
              <w:t xml:space="preserve">kills </w:t>
            </w:r>
            <w:r w:rsidR="00B735D8">
              <w:rPr>
                <w:rFonts w:eastAsiaTheme="minorHAnsi" w:cs="Arial"/>
                <w:color w:val="000000"/>
              </w:rPr>
              <w:t>p</w:t>
            </w:r>
            <w:r w:rsidRPr="00C24AF7">
              <w:rPr>
                <w:rFonts w:eastAsiaTheme="minorHAnsi" w:cs="Arial"/>
                <w:color w:val="000000"/>
              </w:rPr>
              <w:t>rogramme in response to the D2N2s Sector Skills Action Plans and Productive Workforce Report</w:t>
            </w:r>
            <w:r w:rsidR="00534DD7">
              <w:rPr>
                <w:rFonts w:eastAsiaTheme="minorHAnsi" w:cs="Arial"/>
                <w:color w:val="000000"/>
              </w:rPr>
              <w:t>s</w:t>
            </w:r>
            <w:r w:rsidRPr="00C24AF7">
              <w:rPr>
                <w:rFonts w:eastAsiaTheme="minorHAnsi" w:cs="Arial"/>
                <w:color w:val="000000"/>
              </w:rPr>
              <w:t xml:space="preserve"> (http://www.d2n2lep.org/skills/skills-and-asks), </w:t>
            </w:r>
            <w:r w:rsidR="00B735D8">
              <w:rPr>
                <w:rFonts w:eastAsiaTheme="minorHAnsi" w:cs="Arial"/>
                <w:color w:val="000000"/>
              </w:rPr>
              <w:t xml:space="preserve">the </w:t>
            </w:r>
            <w:r w:rsidR="000325AF">
              <w:rPr>
                <w:rFonts w:eastAsiaTheme="minorHAnsi" w:cs="Arial"/>
                <w:color w:val="000000"/>
              </w:rPr>
              <w:t xml:space="preserve">activity </w:t>
            </w:r>
            <w:r w:rsidR="00B735D8">
              <w:rPr>
                <w:rFonts w:eastAsiaTheme="minorHAnsi" w:cs="Arial"/>
                <w:color w:val="000000"/>
              </w:rPr>
              <w:t xml:space="preserve">must </w:t>
            </w:r>
            <w:r w:rsidRPr="00C24AF7">
              <w:rPr>
                <w:rFonts w:eastAsiaTheme="minorHAnsi" w:cs="Arial"/>
                <w:color w:val="000000"/>
              </w:rPr>
              <w:t>include:</w:t>
            </w:r>
          </w:p>
          <w:p w14:paraId="14EF7EF7" w14:textId="77777777" w:rsidR="00C24AF7" w:rsidRPr="00C24AF7" w:rsidRDefault="00C24AF7" w:rsidP="00C24AF7">
            <w:pPr>
              <w:shd w:val="clear" w:color="auto" w:fill="FFFFFF" w:themeFill="background1"/>
              <w:ind w:right="113"/>
              <w:rPr>
                <w:rFonts w:eastAsiaTheme="minorHAnsi" w:cs="Arial"/>
                <w:color w:val="000000"/>
              </w:rPr>
            </w:pPr>
          </w:p>
          <w:p w14:paraId="14EF7EF8" w14:textId="77777777" w:rsidR="00C24AF7" w:rsidRPr="00575A95" w:rsidRDefault="00C24AF7" w:rsidP="00575A95">
            <w:pPr>
              <w:pStyle w:val="ListParagraph"/>
              <w:numPr>
                <w:ilvl w:val="1"/>
                <w:numId w:val="37"/>
              </w:numPr>
              <w:shd w:val="clear" w:color="auto" w:fill="FFFFFF" w:themeFill="background1"/>
              <w:ind w:right="113"/>
              <w:rPr>
                <w:rFonts w:eastAsiaTheme="minorHAnsi" w:cs="Arial"/>
                <w:color w:val="000000"/>
              </w:rPr>
            </w:pPr>
            <w:r w:rsidRPr="00575A95">
              <w:rPr>
                <w:rFonts w:eastAsiaTheme="minorHAnsi" w:cs="Arial"/>
                <w:color w:val="000000"/>
              </w:rPr>
              <w:t>Support</w:t>
            </w:r>
            <w:r w:rsidR="00B735D8">
              <w:rPr>
                <w:rFonts w:eastAsiaTheme="minorHAnsi" w:cs="Arial"/>
                <w:color w:val="000000"/>
              </w:rPr>
              <w:t xml:space="preserve"> to</w:t>
            </w:r>
            <w:r w:rsidRPr="00575A95">
              <w:rPr>
                <w:rFonts w:eastAsiaTheme="minorHAnsi" w:cs="Arial"/>
                <w:color w:val="000000"/>
              </w:rPr>
              <w:t xml:space="preserve"> employers to develop the skills of their supply chain </w:t>
            </w:r>
            <w:r w:rsidR="00534DD7" w:rsidRPr="0082000C">
              <w:rPr>
                <w:rFonts w:eastAsiaTheme="minorHAnsi" w:cs="Arial"/>
                <w:color w:val="000000"/>
              </w:rPr>
              <w:t xml:space="preserve">workforce (delivery of up to </w:t>
            </w:r>
            <w:r w:rsidR="0082000C">
              <w:rPr>
                <w:rFonts w:eastAsiaTheme="minorHAnsi" w:cs="Arial"/>
                <w:color w:val="000000"/>
              </w:rPr>
              <w:t>200</w:t>
            </w:r>
            <w:r w:rsidRPr="00575A95">
              <w:rPr>
                <w:rFonts w:eastAsiaTheme="minorHAnsi" w:cs="Arial"/>
                <w:color w:val="000000"/>
              </w:rPr>
              <w:t xml:space="preserve"> employees will be funded from the Regulated Learning and Non Regulated Activity targets).</w:t>
            </w:r>
          </w:p>
          <w:p w14:paraId="14EF7EF9" w14:textId="77777777" w:rsidR="00C24AF7" w:rsidRPr="00575A95" w:rsidRDefault="00B735D8" w:rsidP="00575A95">
            <w:pPr>
              <w:pStyle w:val="ListParagraph"/>
              <w:numPr>
                <w:ilvl w:val="1"/>
                <w:numId w:val="37"/>
              </w:numPr>
              <w:shd w:val="clear" w:color="auto" w:fill="FFFFFF" w:themeFill="background1"/>
              <w:ind w:right="113"/>
              <w:rPr>
                <w:rFonts w:eastAsiaTheme="minorHAnsi" w:cs="Arial"/>
                <w:color w:val="000000"/>
              </w:rPr>
            </w:pPr>
            <w:r>
              <w:rPr>
                <w:rFonts w:eastAsiaTheme="minorHAnsi" w:cs="Arial"/>
                <w:color w:val="000000"/>
              </w:rPr>
              <w:t>The p</w:t>
            </w:r>
            <w:r w:rsidR="00C24AF7" w:rsidRPr="00575A95">
              <w:rPr>
                <w:rFonts w:eastAsiaTheme="minorHAnsi" w:cs="Arial"/>
                <w:color w:val="000000"/>
              </w:rPr>
              <w:t>rovi</w:t>
            </w:r>
            <w:r>
              <w:rPr>
                <w:rFonts w:eastAsiaTheme="minorHAnsi" w:cs="Arial"/>
                <w:color w:val="000000"/>
              </w:rPr>
              <w:t xml:space="preserve">sion of </w:t>
            </w:r>
            <w:r w:rsidR="00C24AF7" w:rsidRPr="00575A95">
              <w:rPr>
                <w:rFonts w:eastAsiaTheme="minorHAnsi" w:cs="Arial"/>
                <w:color w:val="000000"/>
              </w:rPr>
              <w:t>expert advice to organisations / groups seeking to develop strategic skills related proposals which will attract funding into the D2N2 area.</w:t>
            </w:r>
          </w:p>
          <w:p w14:paraId="14EF7EFA" w14:textId="05406E63" w:rsidR="00C24AF7" w:rsidRPr="00575A95" w:rsidRDefault="00B735D8" w:rsidP="00575A95">
            <w:pPr>
              <w:pStyle w:val="ListParagraph"/>
              <w:numPr>
                <w:ilvl w:val="1"/>
                <w:numId w:val="37"/>
              </w:numPr>
              <w:shd w:val="clear" w:color="auto" w:fill="FFFFFF" w:themeFill="background1"/>
              <w:ind w:right="113"/>
              <w:rPr>
                <w:rFonts w:eastAsiaTheme="minorHAnsi" w:cs="Arial"/>
                <w:color w:val="000000"/>
              </w:rPr>
            </w:pPr>
            <w:r>
              <w:rPr>
                <w:rFonts w:eastAsiaTheme="minorHAnsi" w:cs="Arial"/>
                <w:color w:val="000000"/>
              </w:rPr>
              <w:t>A</w:t>
            </w:r>
            <w:r w:rsidR="00C24AF7" w:rsidRPr="00575A95">
              <w:rPr>
                <w:rFonts w:eastAsiaTheme="minorHAnsi" w:cs="Arial"/>
                <w:color w:val="000000"/>
              </w:rPr>
              <w:t>dditional activities to support apprenticeships in the workplace: such as Apprenticeship Standards Development – where employers identify standards are not fit for purpose</w:t>
            </w:r>
            <w:r w:rsidR="000325AF">
              <w:rPr>
                <w:rFonts w:eastAsiaTheme="minorHAnsi" w:cs="Arial"/>
                <w:color w:val="000000"/>
              </w:rPr>
              <w:t>, the activity will</w:t>
            </w:r>
            <w:r w:rsidR="00C24AF7" w:rsidRPr="00575A95">
              <w:rPr>
                <w:rFonts w:eastAsiaTheme="minorHAnsi" w:cs="Arial"/>
                <w:color w:val="000000"/>
              </w:rPr>
              <w:t xml:space="preserve"> facilitate their engagement, and other employers’ involvement, with the Employer </w:t>
            </w:r>
            <w:r w:rsidR="00C24AF7" w:rsidRPr="00575A95">
              <w:rPr>
                <w:rFonts w:eastAsiaTheme="minorHAnsi" w:cs="Arial"/>
                <w:color w:val="000000"/>
              </w:rPr>
              <w:lastRenderedPageBreak/>
              <w:t>Ownership Pilots and Trailblazer programmes to accelerate the development of new frameworks, particularly at technical level. Share and promote best practice with other employers across the D2N2 area.</w:t>
            </w:r>
          </w:p>
          <w:p w14:paraId="14EF7EFB" w14:textId="26BD8F70" w:rsidR="00C24AF7" w:rsidRPr="00575A95" w:rsidRDefault="00B735D8" w:rsidP="00575A95">
            <w:pPr>
              <w:pStyle w:val="ListParagraph"/>
              <w:numPr>
                <w:ilvl w:val="1"/>
                <w:numId w:val="37"/>
              </w:numPr>
              <w:shd w:val="clear" w:color="auto" w:fill="FFFFFF" w:themeFill="background1"/>
              <w:ind w:right="113"/>
              <w:rPr>
                <w:rFonts w:eastAsiaTheme="minorHAnsi" w:cs="Arial"/>
                <w:color w:val="000000"/>
              </w:rPr>
            </w:pPr>
            <w:r>
              <w:rPr>
                <w:rFonts w:eastAsiaTheme="minorHAnsi" w:cs="Arial"/>
                <w:color w:val="000000"/>
              </w:rPr>
              <w:t>The d</w:t>
            </w:r>
            <w:r w:rsidR="00C24AF7" w:rsidRPr="00575A95">
              <w:rPr>
                <w:rFonts w:eastAsiaTheme="minorHAnsi" w:cs="Arial"/>
                <w:color w:val="000000"/>
              </w:rPr>
              <w:t>eliver</w:t>
            </w:r>
            <w:r>
              <w:rPr>
                <w:rFonts w:eastAsiaTheme="minorHAnsi" w:cs="Arial"/>
                <w:color w:val="000000"/>
              </w:rPr>
              <w:t xml:space="preserve">y of </w:t>
            </w:r>
            <w:r w:rsidR="00C24AF7" w:rsidRPr="00575A95">
              <w:rPr>
                <w:rFonts w:eastAsiaTheme="minorHAnsi" w:cs="Arial"/>
                <w:color w:val="000000"/>
              </w:rPr>
              <w:t xml:space="preserve">additional training to complement existing Apprenticeship Frameworks and develop effective progression routes for Apprenticeships, in particular from Level 2 to Level 3.  The </w:t>
            </w:r>
            <w:r w:rsidR="003670BC">
              <w:rPr>
                <w:rFonts w:eastAsiaTheme="minorHAnsi" w:cs="Arial"/>
                <w:color w:val="000000"/>
              </w:rPr>
              <w:t>Service</w:t>
            </w:r>
            <w:r w:rsidR="00C24AF7" w:rsidRPr="00575A95">
              <w:rPr>
                <w:rFonts w:eastAsiaTheme="minorHAnsi" w:cs="Arial"/>
                <w:color w:val="000000"/>
              </w:rPr>
              <w:t xml:space="preserve"> must support vocational progression routes to Higher Education and increase the numbers of Higher and Degree apprentices in the area, highlighting the career opportunities available including progression to Higher and Degree apprenticeships.</w:t>
            </w:r>
          </w:p>
          <w:p w14:paraId="14EF7EFC" w14:textId="77777777" w:rsidR="00C24AF7" w:rsidRPr="00C24AF7" w:rsidRDefault="00C24AF7" w:rsidP="00C24AF7">
            <w:pPr>
              <w:shd w:val="clear" w:color="auto" w:fill="FFFFFF" w:themeFill="background1"/>
              <w:ind w:right="113"/>
              <w:rPr>
                <w:rFonts w:eastAsiaTheme="minorHAnsi" w:cs="Arial"/>
                <w:color w:val="000000"/>
              </w:rPr>
            </w:pPr>
          </w:p>
          <w:p w14:paraId="14EF7EFD" w14:textId="660653FE" w:rsidR="00B735D8" w:rsidRDefault="00C24AF7" w:rsidP="00C24AF7">
            <w:pPr>
              <w:shd w:val="clear" w:color="auto" w:fill="FFFFFF" w:themeFill="background1"/>
              <w:ind w:right="113"/>
              <w:rPr>
                <w:rFonts w:eastAsiaTheme="minorHAnsi" w:cs="Arial"/>
                <w:color w:val="000000"/>
              </w:rPr>
            </w:pPr>
            <w:r w:rsidRPr="00C24AF7">
              <w:rPr>
                <w:rFonts w:eastAsiaTheme="minorHAnsi" w:cs="Arial"/>
                <w:color w:val="000000"/>
              </w:rPr>
              <w:t xml:space="preserve">The </w:t>
            </w:r>
            <w:r w:rsidR="003670BC">
              <w:rPr>
                <w:rFonts w:eastAsiaTheme="minorHAnsi" w:cs="Arial"/>
                <w:color w:val="000000"/>
              </w:rPr>
              <w:t>Service</w:t>
            </w:r>
            <w:r>
              <w:rPr>
                <w:rFonts w:eastAsiaTheme="minorHAnsi" w:cs="Arial"/>
                <w:color w:val="000000"/>
              </w:rPr>
              <w:t>,</w:t>
            </w:r>
            <w:r w:rsidRPr="00C24AF7">
              <w:rPr>
                <w:rFonts w:eastAsiaTheme="minorHAnsi" w:cs="Arial"/>
                <w:color w:val="000000"/>
              </w:rPr>
              <w:t xml:space="preserve"> where supporting employers to develop the skills of their supply chain workforce</w:t>
            </w:r>
            <w:r>
              <w:rPr>
                <w:rFonts w:eastAsiaTheme="minorHAnsi" w:cs="Arial"/>
                <w:color w:val="000000"/>
              </w:rPr>
              <w:t>,</w:t>
            </w:r>
            <w:r w:rsidRPr="00C24AF7">
              <w:rPr>
                <w:rFonts w:eastAsiaTheme="minorHAnsi" w:cs="Arial"/>
                <w:color w:val="000000"/>
              </w:rPr>
              <w:t xml:space="preserve"> will be required to conduct in conjunction with the employer a training needs analysis and workforce development skills plan to identify the skills needed to increase the competitiveness of the employer’s business.  The training needs analysis and workforce development skills plans are required to be undertaken by an appropriately experienced person with sector knowledge and expertise to ensure the plan has credibility with the employer, utilising and building good practice methodologies of employer to employer engagement (</w:t>
            </w:r>
            <w:r w:rsidR="00575A95" w:rsidRPr="00C24AF7">
              <w:rPr>
                <w:rFonts w:eastAsiaTheme="minorHAnsi" w:cs="Arial"/>
                <w:color w:val="000000"/>
              </w:rPr>
              <w:t>e.g.</w:t>
            </w:r>
            <w:r w:rsidRPr="00C24AF7">
              <w:rPr>
                <w:rFonts w:eastAsiaTheme="minorHAnsi" w:cs="Arial"/>
                <w:color w:val="000000"/>
              </w:rPr>
              <w:t xml:space="preserve"> such as the Apprenticeship Ambassador Network).  </w:t>
            </w:r>
          </w:p>
          <w:p w14:paraId="14EF7EFE" w14:textId="77777777" w:rsidR="00B735D8" w:rsidRDefault="00B735D8" w:rsidP="00C24AF7">
            <w:pPr>
              <w:shd w:val="clear" w:color="auto" w:fill="FFFFFF" w:themeFill="background1"/>
              <w:ind w:right="113"/>
              <w:rPr>
                <w:rFonts w:eastAsiaTheme="minorHAnsi" w:cs="Arial"/>
                <w:color w:val="000000"/>
              </w:rPr>
            </w:pPr>
          </w:p>
          <w:p w14:paraId="14EF7EFF" w14:textId="5B5E2AAD" w:rsidR="00C24AF7" w:rsidRDefault="00C24AF7" w:rsidP="00C24AF7">
            <w:pPr>
              <w:shd w:val="clear" w:color="auto" w:fill="FFFFFF" w:themeFill="background1"/>
              <w:ind w:right="113"/>
              <w:rPr>
                <w:rFonts w:eastAsiaTheme="minorHAnsi" w:cs="Arial"/>
                <w:color w:val="000000"/>
              </w:rPr>
            </w:pPr>
            <w:r w:rsidRPr="00C24AF7">
              <w:rPr>
                <w:rFonts w:eastAsiaTheme="minorHAnsi" w:cs="Arial"/>
                <w:color w:val="000000"/>
              </w:rPr>
              <w:t xml:space="preserve">The </w:t>
            </w:r>
            <w:r w:rsidR="003670BC">
              <w:rPr>
                <w:rFonts w:eastAsiaTheme="minorHAnsi" w:cs="Arial"/>
                <w:color w:val="000000"/>
              </w:rPr>
              <w:t>Service</w:t>
            </w:r>
            <w:r w:rsidRPr="00C24AF7">
              <w:rPr>
                <w:rFonts w:eastAsiaTheme="minorHAnsi" w:cs="Arial"/>
                <w:color w:val="000000"/>
              </w:rPr>
              <w:t xml:space="preserve"> must produce assessments of the individual Employees’ current skills profiles to produce the development of an appropriate learning pathway. The </w:t>
            </w:r>
            <w:r w:rsidR="003670BC">
              <w:rPr>
                <w:rFonts w:eastAsiaTheme="minorHAnsi" w:cs="Arial"/>
                <w:color w:val="000000"/>
              </w:rPr>
              <w:t>Service</w:t>
            </w:r>
            <w:r w:rsidRPr="00C24AF7">
              <w:rPr>
                <w:rFonts w:eastAsiaTheme="minorHAnsi" w:cs="Arial"/>
                <w:color w:val="000000"/>
              </w:rPr>
              <w:t xml:space="preserve"> must include providing advice and guidance, personal development planning, skills development and learning and mentoring on an individual basis.  </w:t>
            </w:r>
          </w:p>
          <w:p w14:paraId="14EF7F00" w14:textId="77777777" w:rsidR="004C0EF7" w:rsidRDefault="004C0EF7" w:rsidP="00872617">
            <w:pPr>
              <w:shd w:val="clear" w:color="auto" w:fill="FFFFFF" w:themeFill="background1"/>
              <w:ind w:left="29"/>
              <w:rPr>
                <w:rFonts w:cs="Arial"/>
                <w:color w:val="000000" w:themeColor="text1"/>
              </w:rPr>
            </w:pPr>
          </w:p>
          <w:p w14:paraId="14EF7F01" w14:textId="35C6F3A7" w:rsidR="004C0EF7" w:rsidRPr="00575A95" w:rsidRDefault="004C0EF7" w:rsidP="00872617">
            <w:pPr>
              <w:shd w:val="clear" w:color="auto" w:fill="FFFFFF" w:themeFill="background1"/>
              <w:ind w:left="29"/>
              <w:rPr>
                <w:rFonts w:cs="Arial"/>
                <w:b/>
                <w:color w:val="000000" w:themeColor="text1"/>
              </w:rPr>
            </w:pPr>
            <w:r w:rsidRPr="00575A95">
              <w:rPr>
                <w:rFonts w:cs="Arial"/>
                <w:b/>
                <w:color w:val="000000" w:themeColor="text1"/>
              </w:rPr>
              <w:t>S</w:t>
            </w:r>
            <w:r w:rsidR="00415D64">
              <w:rPr>
                <w:rFonts w:cs="Arial"/>
                <w:b/>
                <w:color w:val="000000" w:themeColor="text1"/>
              </w:rPr>
              <w:t>tandard requirements across Themes</w:t>
            </w:r>
            <w:r w:rsidRPr="00575A95">
              <w:rPr>
                <w:rFonts w:cs="Arial"/>
                <w:b/>
                <w:color w:val="000000" w:themeColor="text1"/>
              </w:rPr>
              <w:t xml:space="preserve"> 1 and 2:</w:t>
            </w:r>
          </w:p>
          <w:p w14:paraId="14EF7F02" w14:textId="77777777" w:rsidR="004C0EF7" w:rsidRPr="008C5F3C" w:rsidRDefault="004C0EF7" w:rsidP="00872617">
            <w:pPr>
              <w:shd w:val="clear" w:color="auto" w:fill="FFFFFF" w:themeFill="background1"/>
              <w:ind w:left="29"/>
              <w:rPr>
                <w:rFonts w:cs="Arial"/>
                <w:color w:val="000000" w:themeColor="text1"/>
              </w:rPr>
            </w:pPr>
          </w:p>
          <w:p w14:paraId="14EF7F03" w14:textId="55C5293E" w:rsidR="00872617" w:rsidRPr="008C5F3C" w:rsidRDefault="00B735D8" w:rsidP="00872617">
            <w:pPr>
              <w:rPr>
                <w:rFonts w:cs="Arial"/>
              </w:rPr>
            </w:pPr>
            <w:r>
              <w:rPr>
                <w:rFonts w:cs="Arial"/>
              </w:rPr>
              <w:t xml:space="preserve">The successful Candidate must report </w:t>
            </w:r>
            <w:r w:rsidR="00575A95">
              <w:rPr>
                <w:rFonts w:cs="Arial"/>
              </w:rPr>
              <w:t xml:space="preserve">on the delivery of the </w:t>
            </w:r>
            <w:r w:rsidR="003670BC">
              <w:rPr>
                <w:rFonts w:cs="Arial"/>
              </w:rPr>
              <w:t>Service</w:t>
            </w:r>
            <w:r>
              <w:rPr>
                <w:rFonts w:cs="Arial"/>
              </w:rPr>
              <w:t xml:space="preserve"> </w:t>
            </w:r>
            <w:r w:rsidR="00872617" w:rsidRPr="008C5F3C">
              <w:rPr>
                <w:rFonts w:cs="Arial"/>
              </w:rPr>
              <w:t>at a sectoral and geographical level in line with LEP Governance.</w:t>
            </w:r>
          </w:p>
          <w:p w14:paraId="14EF7F04" w14:textId="77777777" w:rsidR="00872617" w:rsidRPr="008C5F3C" w:rsidRDefault="00872617" w:rsidP="00872617">
            <w:pPr>
              <w:rPr>
                <w:rFonts w:cs="Arial"/>
              </w:rPr>
            </w:pPr>
          </w:p>
          <w:p w14:paraId="14EF7F05" w14:textId="387C12E0" w:rsidR="00872617" w:rsidRPr="008C5F3C" w:rsidRDefault="00B735D8" w:rsidP="00872617">
            <w:pPr>
              <w:pStyle w:val="Default"/>
            </w:pPr>
            <w:r>
              <w:t>The s</w:t>
            </w:r>
            <w:r w:rsidR="00872617" w:rsidRPr="008C5F3C">
              <w:t xml:space="preserve">uccessful Candidate </w:t>
            </w:r>
            <w:r>
              <w:t xml:space="preserve">must </w:t>
            </w:r>
            <w:r w:rsidR="00872617" w:rsidRPr="008C5F3C">
              <w:t xml:space="preserve">sign the D2N2 Provider Charter and </w:t>
            </w:r>
            <w:r>
              <w:t xml:space="preserve">demonstrate </w:t>
            </w:r>
            <w:r w:rsidR="00872617" w:rsidRPr="008C5F3C">
              <w:t xml:space="preserve">how the </w:t>
            </w:r>
            <w:r w:rsidR="003670BC">
              <w:t>Service</w:t>
            </w:r>
            <w:r>
              <w:t xml:space="preserve"> </w:t>
            </w:r>
            <w:r w:rsidR="00872617" w:rsidRPr="008C5F3C">
              <w:t>meet local needs.</w:t>
            </w:r>
            <w:r w:rsidR="000325AF">
              <w:t xml:space="preserve"> They must encourage all partner</w:t>
            </w:r>
            <w:r w:rsidR="005C6102">
              <w:t>s</w:t>
            </w:r>
            <w:r w:rsidR="000325AF">
              <w:t xml:space="preserve"> deliver</w:t>
            </w:r>
            <w:r w:rsidR="005C6102">
              <w:t>ing SKILLS Local to work to the same principles.</w:t>
            </w:r>
          </w:p>
          <w:p w14:paraId="14EF7F06" w14:textId="77777777" w:rsidR="00872617" w:rsidRPr="008C5F3C" w:rsidRDefault="00872617" w:rsidP="00872617">
            <w:pPr>
              <w:rPr>
                <w:rFonts w:cs="Arial"/>
              </w:rPr>
            </w:pPr>
          </w:p>
          <w:p w14:paraId="14EF7F07" w14:textId="77777777" w:rsidR="00872617" w:rsidRPr="008C5F3C" w:rsidRDefault="00872617" w:rsidP="00872617">
            <w:pPr>
              <w:rPr>
                <w:rFonts w:cs="Arial"/>
              </w:rPr>
            </w:pPr>
            <w:r w:rsidRPr="008C5F3C">
              <w:rPr>
                <w:rFonts w:cs="Arial"/>
              </w:rPr>
              <w:t>As set out in the Core Delivery Principles, the</w:t>
            </w:r>
            <w:r w:rsidR="00B735D8">
              <w:rPr>
                <w:rFonts w:cs="Arial"/>
              </w:rPr>
              <w:t xml:space="preserve"> successful</w:t>
            </w:r>
            <w:r w:rsidRPr="008C5F3C">
              <w:rPr>
                <w:rFonts w:cs="Arial"/>
              </w:rPr>
              <w:t xml:space="preserve"> </w:t>
            </w:r>
            <w:r w:rsidR="00AD521F">
              <w:rPr>
                <w:rFonts w:cs="Arial"/>
              </w:rPr>
              <w:t>C</w:t>
            </w:r>
            <w:r w:rsidRPr="008C5F3C">
              <w:rPr>
                <w:rFonts w:cs="Arial"/>
              </w:rPr>
              <w:t xml:space="preserve">andidate </w:t>
            </w:r>
            <w:r w:rsidR="00B735D8">
              <w:rPr>
                <w:rFonts w:cs="Arial"/>
              </w:rPr>
              <w:t xml:space="preserve">must </w:t>
            </w:r>
            <w:r w:rsidRPr="008C5F3C">
              <w:rPr>
                <w:rFonts w:cs="Arial"/>
              </w:rPr>
              <w:t>develop strong and robust linkages with existing and forthcoming provision. This would include:</w:t>
            </w:r>
          </w:p>
          <w:p w14:paraId="14EF7F08" w14:textId="77777777" w:rsidR="00872617" w:rsidRPr="008C5F3C" w:rsidRDefault="00872617" w:rsidP="00872617">
            <w:pPr>
              <w:numPr>
                <w:ilvl w:val="0"/>
                <w:numId w:val="18"/>
              </w:numPr>
              <w:rPr>
                <w:rFonts w:cs="Arial"/>
              </w:rPr>
            </w:pPr>
            <w:r w:rsidRPr="008C5F3C">
              <w:rPr>
                <w:rFonts w:cs="Arial"/>
              </w:rPr>
              <w:t xml:space="preserve">the D2N2 Growth Hub </w:t>
            </w:r>
          </w:p>
          <w:p w14:paraId="14EF7F09" w14:textId="77777777" w:rsidR="00872617" w:rsidRPr="008C5F3C" w:rsidRDefault="00872617" w:rsidP="00872617">
            <w:pPr>
              <w:numPr>
                <w:ilvl w:val="0"/>
                <w:numId w:val="18"/>
              </w:numPr>
              <w:rPr>
                <w:rFonts w:cs="Arial"/>
              </w:rPr>
            </w:pPr>
            <w:r w:rsidRPr="008C5F3C">
              <w:rPr>
                <w:rFonts w:cs="Arial"/>
              </w:rPr>
              <w:t xml:space="preserve">the Nottingham Jobs Hub </w:t>
            </w:r>
          </w:p>
          <w:p w14:paraId="14EF7F0A" w14:textId="77777777" w:rsidR="00872617" w:rsidRPr="008C5F3C" w:rsidRDefault="00872617" w:rsidP="00872617">
            <w:pPr>
              <w:numPr>
                <w:ilvl w:val="0"/>
                <w:numId w:val="18"/>
              </w:numPr>
              <w:rPr>
                <w:rFonts w:cs="Arial"/>
              </w:rPr>
            </w:pPr>
            <w:r w:rsidRPr="008C5F3C">
              <w:rPr>
                <w:rFonts w:cs="Arial"/>
              </w:rPr>
              <w:t>Derby Apprenticeship Hub</w:t>
            </w:r>
          </w:p>
          <w:p w14:paraId="14EF7F0B" w14:textId="77777777" w:rsidR="00872617" w:rsidRPr="008C5F3C" w:rsidRDefault="00872617" w:rsidP="00872617">
            <w:pPr>
              <w:numPr>
                <w:ilvl w:val="0"/>
                <w:numId w:val="18"/>
              </w:numPr>
              <w:rPr>
                <w:rFonts w:cs="Arial"/>
              </w:rPr>
            </w:pPr>
            <w:r w:rsidRPr="008C5F3C">
              <w:rPr>
                <w:rFonts w:cs="Arial"/>
              </w:rPr>
              <w:t>SFA Opt in programmes: EMPLOY Local,</w:t>
            </w:r>
            <w:r w:rsidR="00697ECA" w:rsidRPr="008C5F3C">
              <w:rPr>
                <w:rFonts w:cs="Arial"/>
              </w:rPr>
              <w:t xml:space="preserve"> Youth Engagement D2N1</w:t>
            </w:r>
            <w:r w:rsidRPr="008C5F3C">
              <w:rPr>
                <w:rFonts w:cs="Arial"/>
              </w:rPr>
              <w:t xml:space="preserve">, CAREERS Local </w:t>
            </w:r>
          </w:p>
          <w:p w14:paraId="14EF7F0C" w14:textId="77777777" w:rsidR="00872617" w:rsidRPr="008C5F3C" w:rsidRDefault="00872617" w:rsidP="00872617">
            <w:pPr>
              <w:numPr>
                <w:ilvl w:val="0"/>
                <w:numId w:val="18"/>
              </w:numPr>
              <w:rPr>
                <w:rFonts w:cs="Arial"/>
              </w:rPr>
            </w:pPr>
            <w:r w:rsidRPr="008C5F3C">
              <w:rPr>
                <w:rFonts w:cs="Arial"/>
              </w:rPr>
              <w:t xml:space="preserve">DWP Opt in programme: INSPIRE Local </w:t>
            </w:r>
          </w:p>
          <w:p w14:paraId="14EF7F0D" w14:textId="77777777" w:rsidR="00872617" w:rsidRPr="008C5F3C" w:rsidRDefault="00872617" w:rsidP="00872617">
            <w:pPr>
              <w:numPr>
                <w:ilvl w:val="0"/>
                <w:numId w:val="18"/>
              </w:numPr>
              <w:rPr>
                <w:rFonts w:cs="Arial"/>
              </w:rPr>
            </w:pPr>
            <w:r w:rsidRPr="008C5F3C">
              <w:rPr>
                <w:rFonts w:cs="Arial"/>
              </w:rPr>
              <w:t xml:space="preserve">BLF Opt in programme: Building Better Opportunities </w:t>
            </w:r>
          </w:p>
          <w:p w14:paraId="14EF7F0E" w14:textId="77777777" w:rsidR="00872617" w:rsidRPr="008C5F3C" w:rsidRDefault="00872617" w:rsidP="00872617">
            <w:pPr>
              <w:numPr>
                <w:ilvl w:val="0"/>
                <w:numId w:val="18"/>
              </w:numPr>
              <w:rPr>
                <w:rFonts w:cs="Arial"/>
              </w:rPr>
            </w:pPr>
            <w:r w:rsidRPr="008C5F3C">
              <w:rPr>
                <w:rFonts w:cs="Arial"/>
              </w:rPr>
              <w:t>Open calls – ‘Higher Skills Development’, 'Develop Sector Growth’ and ‘Enterprise, Innovation and Pathways’</w:t>
            </w:r>
          </w:p>
          <w:p w14:paraId="14EF7F0F" w14:textId="77777777" w:rsidR="00872617" w:rsidRPr="008C5F3C" w:rsidRDefault="00872617" w:rsidP="00872617">
            <w:pPr>
              <w:rPr>
                <w:rFonts w:cs="Arial"/>
              </w:rPr>
            </w:pPr>
          </w:p>
          <w:p w14:paraId="14EF7F10" w14:textId="4E12091E" w:rsidR="00872617" w:rsidRPr="008C5F3C" w:rsidRDefault="00B735D8" w:rsidP="00872617">
            <w:pPr>
              <w:rPr>
                <w:rFonts w:cs="Arial"/>
              </w:rPr>
            </w:pPr>
            <w:r>
              <w:rPr>
                <w:rFonts w:cs="Arial"/>
              </w:rPr>
              <w:lastRenderedPageBreak/>
              <w:t>T</w:t>
            </w:r>
            <w:r w:rsidR="00872617" w:rsidRPr="008C5F3C">
              <w:rPr>
                <w:rFonts w:cs="Arial"/>
              </w:rPr>
              <w:t xml:space="preserve">he successful Candidate </w:t>
            </w:r>
            <w:r>
              <w:rPr>
                <w:rFonts w:cs="Arial"/>
              </w:rPr>
              <w:t xml:space="preserve">must </w:t>
            </w:r>
            <w:r w:rsidR="00872617" w:rsidRPr="008C5F3C">
              <w:rPr>
                <w:rFonts w:cs="Arial"/>
              </w:rPr>
              <w:t xml:space="preserve">work with the Sheffield City Region LEP to simplify the business offer and signpost employers in the overlap areas to the support which best meets their needs, and to record and report all activity to D2N2 LEP governance. </w:t>
            </w:r>
            <w:r w:rsidR="007F0102">
              <w:rPr>
                <w:rFonts w:cs="Arial"/>
              </w:rPr>
              <w:t xml:space="preserve">In localities that border other LEP areas, it will be useful for the successful Candidate to be aware of and share any support </w:t>
            </w:r>
            <w:r w:rsidR="00E8445A">
              <w:rPr>
                <w:rFonts w:cs="Arial"/>
              </w:rPr>
              <w:t xml:space="preserve">and </w:t>
            </w:r>
            <w:r w:rsidR="007F0102">
              <w:rPr>
                <w:rFonts w:cs="Arial"/>
              </w:rPr>
              <w:t>opportunities which may be of value to D2N2 business.</w:t>
            </w:r>
          </w:p>
          <w:p w14:paraId="14EF7F11" w14:textId="77777777" w:rsidR="00872617" w:rsidRPr="008C5F3C" w:rsidRDefault="00872617" w:rsidP="00872617">
            <w:pPr>
              <w:rPr>
                <w:rFonts w:cs="Arial"/>
              </w:rPr>
            </w:pPr>
          </w:p>
          <w:p w14:paraId="14EF7F12" w14:textId="77777777" w:rsidR="00872617" w:rsidRPr="008C5F3C" w:rsidRDefault="00872617" w:rsidP="00872617">
            <w:pPr>
              <w:pStyle w:val="ListParagraph"/>
              <w:ind w:left="0" w:right="113"/>
              <w:rPr>
                <w:rFonts w:cs="Arial"/>
              </w:rPr>
            </w:pPr>
            <w:r w:rsidRPr="008C5F3C">
              <w:rPr>
                <w:rFonts w:cs="Arial"/>
              </w:rPr>
              <w:t xml:space="preserve">The D2N2 Growth Hub offers a one-stop-shop support and advice service to local SMEs covering all aspects of business development including: finance, business regulation, marketing etc.  </w:t>
            </w:r>
            <w:r w:rsidR="00697ECA" w:rsidRPr="008C5F3C">
              <w:rPr>
                <w:rFonts w:cs="Arial"/>
              </w:rPr>
              <w:t>The</w:t>
            </w:r>
            <w:r w:rsidR="004C0EF7">
              <w:rPr>
                <w:rFonts w:cs="Arial"/>
              </w:rPr>
              <w:t xml:space="preserve"> successful Candidate </w:t>
            </w:r>
            <w:r w:rsidR="00B735D8">
              <w:rPr>
                <w:rFonts w:cs="Arial"/>
              </w:rPr>
              <w:t xml:space="preserve">must </w:t>
            </w:r>
            <w:r w:rsidR="004C0EF7">
              <w:rPr>
                <w:rFonts w:cs="Arial"/>
              </w:rPr>
              <w:t>record a</w:t>
            </w:r>
            <w:r w:rsidR="00697ECA" w:rsidRPr="008C5F3C">
              <w:rPr>
                <w:rFonts w:cs="Arial"/>
              </w:rPr>
              <w:t xml:space="preserve">ll </w:t>
            </w:r>
            <w:r w:rsidRPr="008C5F3C">
              <w:rPr>
                <w:rFonts w:cs="Arial"/>
              </w:rPr>
              <w:t xml:space="preserve">employer data </w:t>
            </w:r>
            <w:r w:rsidR="00697ECA" w:rsidRPr="008C5F3C">
              <w:rPr>
                <w:rFonts w:cs="Arial"/>
              </w:rPr>
              <w:t xml:space="preserve">for the SKILLS Local programme </w:t>
            </w:r>
            <w:r w:rsidRPr="008C5F3C">
              <w:rPr>
                <w:rFonts w:cs="Arial"/>
              </w:rPr>
              <w:t>on the Growth Hub CRM system</w:t>
            </w:r>
            <w:r w:rsidR="004C0EF7">
              <w:rPr>
                <w:rFonts w:cs="Arial"/>
              </w:rPr>
              <w:t xml:space="preserve"> (please note that there will be a cost to the Candidate to access this)</w:t>
            </w:r>
            <w:r w:rsidRPr="008C5F3C">
              <w:rPr>
                <w:rFonts w:cs="Arial"/>
              </w:rPr>
              <w:t xml:space="preserve">.  The successful </w:t>
            </w:r>
            <w:r w:rsidR="004C0EF7">
              <w:rPr>
                <w:rFonts w:cs="Arial"/>
              </w:rPr>
              <w:t>Candidate</w:t>
            </w:r>
            <w:r w:rsidRPr="008C5F3C">
              <w:rPr>
                <w:rFonts w:cs="Arial"/>
              </w:rPr>
              <w:t xml:space="preserve"> </w:t>
            </w:r>
            <w:r w:rsidR="00B735D8">
              <w:rPr>
                <w:rFonts w:cs="Arial"/>
              </w:rPr>
              <w:t xml:space="preserve"> must </w:t>
            </w:r>
            <w:r w:rsidRPr="008C5F3C">
              <w:rPr>
                <w:rFonts w:cs="Arial"/>
              </w:rPr>
              <w:t xml:space="preserve">make referrals, where appropriate, into the Growth Hub so that employers can be given holistic support to enable them to grow their business, this includes </w:t>
            </w:r>
            <w:r w:rsidR="00697ECA" w:rsidRPr="008C5F3C">
              <w:rPr>
                <w:rFonts w:cs="Arial"/>
              </w:rPr>
              <w:t>referrals to other ESF programmes, particularly EMPLOY Local for recruitment of new staff.</w:t>
            </w:r>
          </w:p>
          <w:p w14:paraId="14EF7F13" w14:textId="77777777" w:rsidR="00872617" w:rsidRPr="008C5F3C" w:rsidRDefault="00872617" w:rsidP="00872617">
            <w:pPr>
              <w:pStyle w:val="ListParagraph"/>
              <w:ind w:left="0" w:right="113"/>
              <w:rPr>
                <w:rFonts w:cs="Arial"/>
              </w:rPr>
            </w:pPr>
          </w:p>
          <w:p w14:paraId="14EF7F14" w14:textId="77777777" w:rsidR="00872617" w:rsidRPr="008C5F3C" w:rsidRDefault="00B735D8" w:rsidP="00872617">
            <w:pPr>
              <w:autoSpaceDE w:val="0"/>
              <w:autoSpaceDN w:val="0"/>
              <w:adjustRightInd w:val="0"/>
              <w:rPr>
                <w:rFonts w:eastAsiaTheme="minorHAnsi" w:cs="Arial"/>
                <w:color w:val="000000"/>
              </w:rPr>
            </w:pPr>
            <w:r>
              <w:rPr>
                <w:rFonts w:eastAsiaTheme="minorHAnsi" w:cs="Arial"/>
                <w:color w:val="000000"/>
              </w:rPr>
              <w:t xml:space="preserve">The successful </w:t>
            </w:r>
            <w:r w:rsidR="00872617" w:rsidRPr="008C5F3C">
              <w:rPr>
                <w:rFonts w:eastAsiaTheme="minorHAnsi" w:cs="Arial"/>
                <w:color w:val="000000"/>
              </w:rPr>
              <w:t xml:space="preserve">Candidate </w:t>
            </w:r>
            <w:r>
              <w:rPr>
                <w:rFonts w:eastAsiaTheme="minorHAnsi" w:cs="Arial"/>
                <w:color w:val="000000"/>
              </w:rPr>
              <w:t>must</w:t>
            </w:r>
            <w:r w:rsidR="00872617" w:rsidRPr="008C5F3C">
              <w:rPr>
                <w:rFonts w:eastAsiaTheme="minorHAnsi" w:cs="Arial"/>
                <w:color w:val="000000"/>
              </w:rPr>
              <w:t xml:space="preserve"> engage with other ESF funded providers as part of the D2N2 governance structure to assist with client referral, sharing of good practice and performance management of all projects. </w:t>
            </w:r>
          </w:p>
          <w:p w14:paraId="14EF7F15" w14:textId="77777777" w:rsidR="00872617" w:rsidRPr="008C5F3C" w:rsidRDefault="00872617" w:rsidP="00872617">
            <w:pPr>
              <w:rPr>
                <w:rFonts w:cs="Arial"/>
              </w:rPr>
            </w:pPr>
          </w:p>
          <w:p w14:paraId="14EF7F16" w14:textId="77777777" w:rsidR="00872617" w:rsidRPr="008C5F3C" w:rsidRDefault="00872617" w:rsidP="00872617">
            <w:pPr>
              <w:rPr>
                <w:rFonts w:cs="Arial"/>
                <w:color w:val="000000" w:themeColor="text1"/>
                <w:szCs w:val="22"/>
              </w:rPr>
            </w:pPr>
            <w:r w:rsidRPr="008C5F3C">
              <w:rPr>
                <w:rFonts w:cs="Arial"/>
                <w:color w:val="000000" w:themeColor="text1"/>
                <w:szCs w:val="22"/>
              </w:rPr>
              <w:t>The successful Candidate must work with organisations undertaking similar and complementary s</w:t>
            </w:r>
            <w:r w:rsidR="00697ECA" w:rsidRPr="008C5F3C">
              <w:rPr>
                <w:rFonts w:cs="Arial"/>
                <w:color w:val="000000" w:themeColor="text1"/>
                <w:szCs w:val="22"/>
              </w:rPr>
              <w:t xml:space="preserve">upport and delivery activities </w:t>
            </w:r>
            <w:r w:rsidRPr="008C5F3C">
              <w:rPr>
                <w:rFonts w:cs="Arial"/>
                <w:color w:val="000000" w:themeColor="text1"/>
                <w:szCs w:val="22"/>
              </w:rPr>
              <w:t xml:space="preserve">to reduce duplication, share good practice, ensure added value and contribute to a seamless and integrated delivery infrastructure.  The successful Candidate </w:t>
            </w:r>
            <w:r w:rsidR="00B735D8">
              <w:rPr>
                <w:rFonts w:cs="Arial"/>
                <w:color w:val="000000" w:themeColor="text1"/>
                <w:szCs w:val="22"/>
              </w:rPr>
              <w:t xml:space="preserve">must </w:t>
            </w:r>
            <w:r w:rsidRPr="008C5F3C">
              <w:rPr>
                <w:rFonts w:cs="Arial"/>
                <w:color w:val="000000" w:themeColor="text1"/>
                <w:szCs w:val="22"/>
              </w:rPr>
              <w:t xml:space="preserve">report activities to the D2N2 </w:t>
            </w:r>
            <w:r w:rsidR="00697ECA" w:rsidRPr="008C5F3C">
              <w:rPr>
                <w:rFonts w:cs="Arial"/>
                <w:color w:val="000000" w:themeColor="text1"/>
                <w:szCs w:val="22"/>
              </w:rPr>
              <w:t>LEP Governance structure.</w:t>
            </w:r>
          </w:p>
          <w:p w14:paraId="14EF7F17" w14:textId="77777777" w:rsidR="006B0663" w:rsidRPr="008C5F3C" w:rsidRDefault="006B0663" w:rsidP="00872617">
            <w:pPr>
              <w:rPr>
                <w:rFonts w:cs="Arial"/>
                <w:color w:val="000000" w:themeColor="text1"/>
                <w:szCs w:val="22"/>
              </w:rPr>
            </w:pPr>
          </w:p>
          <w:p w14:paraId="14EF7F18" w14:textId="3B82FEF4" w:rsidR="006B0663" w:rsidRPr="008C5F3C" w:rsidRDefault="006B0663" w:rsidP="006B0663">
            <w:pPr>
              <w:rPr>
                <w:rFonts w:cs="Arial"/>
              </w:rPr>
            </w:pPr>
            <w:r w:rsidRPr="008C5F3C">
              <w:rPr>
                <w:rFonts w:cs="Arial"/>
              </w:rPr>
              <w:t>Target groups for th</w:t>
            </w:r>
            <w:r w:rsidR="00B735D8">
              <w:rPr>
                <w:rFonts w:cs="Arial"/>
              </w:rPr>
              <w:t xml:space="preserve">e  </w:t>
            </w:r>
            <w:r w:rsidR="003670BC">
              <w:rPr>
                <w:rFonts w:cs="Arial"/>
              </w:rPr>
              <w:t>Service</w:t>
            </w:r>
            <w:r w:rsidR="00B735D8">
              <w:rPr>
                <w:rFonts w:cs="Arial"/>
              </w:rPr>
              <w:t xml:space="preserve"> </w:t>
            </w:r>
            <w:r w:rsidRPr="008C5F3C">
              <w:rPr>
                <w:rFonts w:cs="Arial"/>
              </w:rPr>
              <w:t xml:space="preserve">are: </w:t>
            </w:r>
          </w:p>
          <w:p w14:paraId="14EF7F19" w14:textId="77777777" w:rsidR="006B0663" w:rsidRPr="008C5F3C" w:rsidRDefault="006B0663" w:rsidP="006B0663">
            <w:pPr>
              <w:pStyle w:val="ListParagraph"/>
              <w:ind w:left="0" w:right="113"/>
              <w:rPr>
                <w:rFonts w:cs="Arial"/>
              </w:rPr>
            </w:pPr>
          </w:p>
          <w:p w14:paraId="14EF7F1A" w14:textId="77777777" w:rsidR="006B0663" w:rsidRDefault="006B0663" w:rsidP="006B0663">
            <w:pPr>
              <w:rPr>
                <w:rFonts w:cs="Arial"/>
              </w:rPr>
            </w:pPr>
            <w:r w:rsidRPr="008C5F3C">
              <w:rPr>
                <w:rFonts w:cs="Arial"/>
              </w:rPr>
              <w:t>Individuals who</w:t>
            </w:r>
            <w:r w:rsidR="009A56D7">
              <w:rPr>
                <w:rFonts w:cs="Arial"/>
              </w:rPr>
              <w:t xml:space="preserve"> are</w:t>
            </w:r>
            <w:r w:rsidRPr="008C5F3C">
              <w:rPr>
                <w:rFonts w:cs="Arial"/>
              </w:rPr>
              <w:t xml:space="preserve"> 19 and over who are employed in a business employing no more than 250 staff, including the following: </w:t>
            </w:r>
          </w:p>
          <w:p w14:paraId="3E0D9BF2" w14:textId="77777777" w:rsidR="00C97A8A" w:rsidRPr="008C5F3C" w:rsidRDefault="00C97A8A" w:rsidP="006B0663">
            <w:pPr>
              <w:rPr>
                <w:rFonts w:cs="Arial"/>
              </w:rPr>
            </w:pPr>
          </w:p>
          <w:p w14:paraId="14EF7F1B" w14:textId="77777777" w:rsidR="006B0663" w:rsidRPr="008C5F3C" w:rsidRDefault="006B0663" w:rsidP="006B0663">
            <w:pPr>
              <w:pStyle w:val="ListParagraph"/>
              <w:numPr>
                <w:ilvl w:val="0"/>
                <w:numId w:val="29"/>
              </w:numPr>
              <w:rPr>
                <w:rStyle w:val="Hyperlink"/>
                <w:rFonts w:cs="Arial"/>
                <w:color w:val="auto"/>
                <w:sz w:val="24"/>
                <w:szCs w:val="24"/>
                <w:u w:val="none"/>
              </w:rPr>
            </w:pPr>
            <w:r w:rsidRPr="00575A95">
              <w:rPr>
                <w:rFonts w:cs="Arial"/>
              </w:rPr>
              <w:t xml:space="preserve">Low skilled </w:t>
            </w:r>
          </w:p>
          <w:p w14:paraId="14EF7F1C" w14:textId="77777777" w:rsidR="006B0663" w:rsidRPr="008C5F3C" w:rsidRDefault="006B0663" w:rsidP="006B0663">
            <w:pPr>
              <w:pStyle w:val="ListParagraph"/>
              <w:numPr>
                <w:ilvl w:val="0"/>
                <w:numId w:val="29"/>
              </w:numPr>
              <w:rPr>
                <w:rStyle w:val="Hyperlink"/>
                <w:rFonts w:cs="Arial"/>
                <w:color w:val="auto"/>
                <w:sz w:val="24"/>
                <w:szCs w:val="24"/>
                <w:u w:val="none"/>
              </w:rPr>
            </w:pPr>
            <w:r w:rsidRPr="008C5F3C">
              <w:rPr>
                <w:rStyle w:val="Hyperlink"/>
                <w:rFonts w:cs="Arial"/>
                <w:color w:val="auto"/>
                <w:sz w:val="24"/>
                <w:szCs w:val="24"/>
                <w:u w:val="none"/>
              </w:rPr>
              <w:t>Under-employed</w:t>
            </w:r>
          </w:p>
          <w:p w14:paraId="14EF7F1D" w14:textId="77777777" w:rsidR="006B0663" w:rsidRPr="008C5F3C" w:rsidRDefault="006B0663" w:rsidP="006B0663">
            <w:pPr>
              <w:pStyle w:val="ListParagraph"/>
              <w:numPr>
                <w:ilvl w:val="0"/>
                <w:numId w:val="29"/>
              </w:numPr>
              <w:rPr>
                <w:rStyle w:val="Hyperlink"/>
                <w:rFonts w:cs="Arial"/>
                <w:color w:val="auto"/>
                <w:sz w:val="24"/>
                <w:szCs w:val="24"/>
                <w:u w:val="none"/>
              </w:rPr>
            </w:pPr>
            <w:r w:rsidRPr="008C5F3C">
              <w:rPr>
                <w:rStyle w:val="Hyperlink"/>
                <w:rFonts w:cs="Arial"/>
                <w:color w:val="auto"/>
                <w:sz w:val="24"/>
                <w:szCs w:val="24"/>
                <w:u w:val="none"/>
              </w:rPr>
              <w:t>In jobs without training and needing to improve skills</w:t>
            </w:r>
          </w:p>
          <w:p w14:paraId="14EF7F1E" w14:textId="77777777" w:rsidR="006B0663" w:rsidRPr="008C5F3C" w:rsidRDefault="006B0663" w:rsidP="006B0663">
            <w:pPr>
              <w:pStyle w:val="ListParagraph"/>
              <w:numPr>
                <w:ilvl w:val="0"/>
                <w:numId w:val="29"/>
              </w:numPr>
              <w:rPr>
                <w:rStyle w:val="Hyperlink"/>
                <w:rFonts w:cs="Arial"/>
                <w:color w:val="auto"/>
                <w:sz w:val="24"/>
                <w:szCs w:val="24"/>
                <w:u w:val="none"/>
              </w:rPr>
            </w:pPr>
            <w:r w:rsidRPr="008C5F3C">
              <w:rPr>
                <w:rStyle w:val="Hyperlink"/>
                <w:rFonts w:cs="Arial"/>
                <w:color w:val="auto"/>
                <w:sz w:val="24"/>
                <w:szCs w:val="24"/>
                <w:u w:val="none"/>
              </w:rPr>
              <w:t>At risk of redundancy</w:t>
            </w:r>
          </w:p>
          <w:p w14:paraId="14EF7F1F" w14:textId="6C77BD43" w:rsidR="006B0663" w:rsidRPr="008C5F3C" w:rsidRDefault="006B0663" w:rsidP="006B0663">
            <w:pPr>
              <w:pStyle w:val="ListParagraph"/>
              <w:numPr>
                <w:ilvl w:val="1"/>
                <w:numId w:val="29"/>
              </w:numPr>
              <w:rPr>
                <w:rStyle w:val="Hyperlink"/>
                <w:rFonts w:cs="Arial"/>
                <w:color w:val="auto"/>
                <w:sz w:val="24"/>
                <w:szCs w:val="24"/>
                <w:u w:val="none"/>
              </w:rPr>
            </w:pPr>
            <w:r w:rsidRPr="008C5F3C">
              <w:rPr>
                <w:rStyle w:val="Hyperlink"/>
                <w:rFonts w:cs="Arial"/>
                <w:color w:val="auto"/>
                <w:sz w:val="24"/>
                <w:szCs w:val="24"/>
                <w:u w:val="none"/>
              </w:rPr>
              <w:t xml:space="preserve">Working in one of the eight LEP </w:t>
            </w:r>
            <w:r w:rsidR="00F72252">
              <w:rPr>
                <w:rStyle w:val="Hyperlink"/>
                <w:rFonts w:cs="Arial"/>
                <w:color w:val="auto"/>
                <w:sz w:val="24"/>
                <w:szCs w:val="24"/>
                <w:u w:val="none"/>
              </w:rPr>
              <w:t xml:space="preserve">key </w:t>
            </w:r>
            <w:r w:rsidRPr="008C5F3C">
              <w:rPr>
                <w:rStyle w:val="Hyperlink"/>
                <w:rFonts w:cs="Arial"/>
                <w:color w:val="auto"/>
                <w:sz w:val="24"/>
                <w:szCs w:val="24"/>
                <w:u w:val="none"/>
              </w:rPr>
              <w:t xml:space="preserve">priority sectors or additional D2 and N2 </w:t>
            </w:r>
            <w:r w:rsidR="00F72252">
              <w:rPr>
                <w:rStyle w:val="Hyperlink"/>
                <w:rFonts w:cs="Arial"/>
                <w:color w:val="auto"/>
                <w:sz w:val="24"/>
                <w:szCs w:val="24"/>
                <w:u w:val="none"/>
              </w:rPr>
              <w:t>employment</w:t>
            </w:r>
            <w:r w:rsidR="00F72252" w:rsidRPr="008C5F3C">
              <w:rPr>
                <w:rStyle w:val="Hyperlink"/>
                <w:rFonts w:cs="Arial"/>
                <w:color w:val="auto"/>
                <w:sz w:val="24"/>
                <w:szCs w:val="24"/>
                <w:u w:val="none"/>
              </w:rPr>
              <w:t xml:space="preserve"> </w:t>
            </w:r>
            <w:r w:rsidRPr="008C5F3C">
              <w:rPr>
                <w:rStyle w:val="Hyperlink"/>
                <w:rFonts w:cs="Arial"/>
                <w:color w:val="auto"/>
                <w:sz w:val="24"/>
                <w:szCs w:val="24"/>
                <w:u w:val="none"/>
              </w:rPr>
              <w:t>sectors</w:t>
            </w:r>
          </w:p>
          <w:p w14:paraId="14EF7F20" w14:textId="77777777" w:rsidR="006B0663" w:rsidRPr="008C5F3C" w:rsidRDefault="006B0663" w:rsidP="006B0663">
            <w:pPr>
              <w:pStyle w:val="ListParagraph"/>
              <w:numPr>
                <w:ilvl w:val="0"/>
                <w:numId w:val="29"/>
              </w:numPr>
              <w:rPr>
                <w:rStyle w:val="Hyperlink"/>
                <w:rFonts w:cs="Arial"/>
                <w:color w:val="auto"/>
                <w:sz w:val="24"/>
                <w:szCs w:val="24"/>
                <w:u w:val="none"/>
              </w:rPr>
            </w:pPr>
            <w:r w:rsidRPr="008C5F3C">
              <w:rPr>
                <w:rStyle w:val="Hyperlink"/>
                <w:rFonts w:cs="Arial"/>
                <w:color w:val="auto"/>
                <w:sz w:val="24"/>
                <w:szCs w:val="24"/>
                <w:u w:val="none"/>
              </w:rPr>
              <w:t>Recent recruits supported by EMPLOY Local or previously unemployed 3 months before they started work with the eligible employer</w:t>
            </w:r>
          </w:p>
          <w:p w14:paraId="14EF7F21" w14:textId="77777777" w:rsidR="006B0663" w:rsidRPr="00575A95" w:rsidRDefault="006B0663" w:rsidP="006B0663">
            <w:pPr>
              <w:pStyle w:val="ListParagraph"/>
              <w:ind w:left="0"/>
              <w:rPr>
                <w:rFonts w:cs="Arial"/>
              </w:rPr>
            </w:pPr>
          </w:p>
          <w:p w14:paraId="14EF7F22" w14:textId="77777777" w:rsidR="006B0663" w:rsidRPr="00575A95" w:rsidRDefault="006B0663" w:rsidP="003670BC">
            <w:pPr>
              <w:rPr>
                <w:rFonts w:cs="Arial"/>
              </w:rPr>
            </w:pPr>
            <w:r w:rsidRPr="00575A95">
              <w:rPr>
                <w:rFonts w:cs="Arial"/>
              </w:rPr>
              <w:t>Delivery must be in the area of Derby, Derbyshire, Nottingham and Nottinghamshire.</w:t>
            </w:r>
          </w:p>
          <w:p w14:paraId="14EF7F23" w14:textId="77777777" w:rsidR="006B0663" w:rsidRPr="008C5F3C" w:rsidRDefault="006B0663" w:rsidP="003670BC">
            <w:pPr>
              <w:pStyle w:val="ListParagraph"/>
              <w:ind w:left="360"/>
              <w:rPr>
                <w:rFonts w:cs="Arial"/>
              </w:rPr>
            </w:pPr>
          </w:p>
          <w:p w14:paraId="14EF7F24" w14:textId="77777777" w:rsidR="006B0663" w:rsidRPr="00575A95" w:rsidRDefault="006B0663" w:rsidP="003670BC">
            <w:pPr>
              <w:rPr>
                <w:rFonts w:cs="Arial"/>
              </w:rPr>
            </w:pPr>
            <w:r w:rsidRPr="00575A95">
              <w:rPr>
                <w:rFonts w:cs="Arial"/>
              </w:rPr>
              <w:t xml:space="preserve">For SME employer incentives, eligibility of the employer will be based on their business address postcode. </w:t>
            </w:r>
            <w:r w:rsidR="0066616A" w:rsidRPr="00575A95">
              <w:rPr>
                <w:rFonts w:cs="Arial"/>
              </w:rPr>
              <w:t>E</w:t>
            </w:r>
            <w:r w:rsidRPr="00575A95">
              <w:rPr>
                <w:rFonts w:cs="Arial"/>
              </w:rPr>
              <w:t xml:space="preserve">mployer incentives will only be payable to SMEs. </w:t>
            </w:r>
          </w:p>
          <w:p w14:paraId="14EF7F25" w14:textId="77777777" w:rsidR="006B0663" w:rsidRPr="008C5F3C" w:rsidRDefault="006B0663" w:rsidP="003670BC">
            <w:pPr>
              <w:pStyle w:val="ListParagraph"/>
              <w:ind w:left="360"/>
            </w:pPr>
          </w:p>
          <w:p w14:paraId="14EF7F26" w14:textId="4FEC0193" w:rsidR="006B0663" w:rsidRPr="009D65FB" w:rsidRDefault="006B0663" w:rsidP="003670BC">
            <w:pPr>
              <w:rPr>
                <w:rFonts w:cs="Arial"/>
              </w:rPr>
            </w:pPr>
            <w:r w:rsidRPr="008C5F3C">
              <w:lastRenderedPageBreak/>
              <w:t>All SMEs located in the D2N2 area will be eligible to receive support under this project but the D2N2 LEP has identified eight</w:t>
            </w:r>
            <w:r w:rsidR="00F72252">
              <w:t xml:space="preserve"> key</w:t>
            </w:r>
            <w:r w:rsidRPr="008C5F3C">
              <w:t xml:space="preserve"> priority sectors which offer growth potential, highlighted in the D2N2 Skills for Growth Strategy and which will be a focus of the employer activity along with growth employment sectors of the D2 and N2 Skills and Employment Boards.</w:t>
            </w:r>
          </w:p>
          <w:p w14:paraId="14EF7F27" w14:textId="77777777" w:rsidR="006B0663" w:rsidRPr="008C5F3C" w:rsidRDefault="006B0663">
            <w:pPr>
              <w:pStyle w:val="ListParagraph"/>
              <w:rPr>
                <w:rFonts w:cs="Arial"/>
              </w:rPr>
            </w:pPr>
          </w:p>
          <w:p w14:paraId="14EF7F28" w14:textId="77777777" w:rsidR="006B0663" w:rsidRPr="008C5F3C" w:rsidRDefault="006B0663">
            <w:pPr>
              <w:pStyle w:val="Default"/>
              <w:ind w:left="720"/>
            </w:pPr>
            <w:r w:rsidRPr="008C5F3C">
              <w:t xml:space="preserve">D2: </w:t>
            </w:r>
          </w:p>
          <w:p w14:paraId="14EF7F29" w14:textId="77777777" w:rsidR="006B0663" w:rsidRPr="008C5F3C" w:rsidRDefault="006B0663" w:rsidP="00575A95">
            <w:pPr>
              <w:pStyle w:val="Default"/>
              <w:ind w:left="720"/>
            </w:pPr>
            <w:r w:rsidRPr="008C5F3C">
              <w:t>Health and Social Care</w:t>
            </w:r>
          </w:p>
          <w:p w14:paraId="14EF7F2A" w14:textId="77777777" w:rsidR="006B0663" w:rsidRPr="008C5F3C" w:rsidRDefault="006B0663" w:rsidP="00575A95">
            <w:pPr>
              <w:pStyle w:val="Default"/>
              <w:ind w:left="720"/>
            </w:pPr>
            <w:r w:rsidRPr="008C5F3C">
              <w:t>Engineering</w:t>
            </w:r>
          </w:p>
          <w:p w14:paraId="14EF7F2B" w14:textId="77777777" w:rsidR="006B0663" w:rsidRPr="008C5F3C" w:rsidRDefault="006B0663">
            <w:pPr>
              <w:pStyle w:val="Default"/>
              <w:ind w:left="720"/>
            </w:pPr>
          </w:p>
          <w:p w14:paraId="14EF7F2C" w14:textId="77777777" w:rsidR="006B0663" w:rsidRPr="008C5F3C" w:rsidRDefault="006B0663">
            <w:pPr>
              <w:pStyle w:val="Default"/>
              <w:ind w:left="720"/>
            </w:pPr>
            <w:r w:rsidRPr="008C5F3C">
              <w:t>N2:</w:t>
            </w:r>
          </w:p>
          <w:p w14:paraId="14EF7F2D" w14:textId="77777777" w:rsidR="006B0663" w:rsidRPr="008C5F3C" w:rsidRDefault="006B0663" w:rsidP="00575A95">
            <w:pPr>
              <w:pStyle w:val="Default"/>
              <w:ind w:left="720"/>
            </w:pPr>
            <w:r w:rsidRPr="008C5F3C">
              <w:t>Health and Social Care</w:t>
            </w:r>
          </w:p>
          <w:p w14:paraId="14EF7F2E" w14:textId="77777777" w:rsidR="006B0663" w:rsidRPr="008C5F3C" w:rsidRDefault="006B0663" w:rsidP="00575A95">
            <w:pPr>
              <w:pStyle w:val="Default"/>
              <w:ind w:left="720"/>
            </w:pPr>
            <w:r w:rsidRPr="008C5F3C">
              <w:t xml:space="preserve">Professional Services </w:t>
            </w:r>
          </w:p>
          <w:p w14:paraId="14EF7F2F" w14:textId="77777777" w:rsidR="006B0663" w:rsidRPr="008C5F3C" w:rsidRDefault="006B0663" w:rsidP="00575A95">
            <w:pPr>
              <w:pStyle w:val="Default"/>
              <w:ind w:left="720"/>
            </w:pPr>
            <w:r w:rsidRPr="008C5F3C">
              <w:t xml:space="preserve">Retail </w:t>
            </w:r>
          </w:p>
          <w:p w14:paraId="14EF7F30" w14:textId="77777777" w:rsidR="006B0663" w:rsidRPr="008C5F3C" w:rsidRDefault="006B0663">
            <w:pPr>
              <w:rPr>
                <w:rFonts w:cs="Arial"/>
              </w:rPr>
            </w:pPr>
          </w:p>
          <w:p w14:paraId="14EF7F31" w14:textId="77777777" w:rsidR="006B0663" w:rsidRPr="00575A95" w:rsidRDefault="006B0663" w:rsidP="00575A95">
            <w:pPr>
              <w:rPr>
                <w:rFonts w:cs="Arial"/>
              </w:rPr>
            </w:pPr>
            <w:r w:rsidRPr="00575A95">
              <w:rPr>
                <w:rFonts w:cs="Arial"/>
              </w:rPr>
              <w:t xml:space="preserve">Employer incentives will be available to self-employed individuals (e.g. construction workers) who employ an individual through this programme. They are referred to below as a self-employed employer.   </w:t>
            </w:r>
          </w:p>
          <w:p w14:paraId="14EF7F32" w14:textId="77777777" w:rsidR="006B0663" w:rsidRPr="008C5F3C" w:rsidRDefault="006B0663">
            <w:pPr>
              <w:pStyle w:val="ListParagraph"/>
              <w:ind w:left="360"/>
              <w:rPr>
                <w:rFonts w:cs="Arial"/>
              </w:rPr>
            </w:pPr>
          </w:p>
          <w:p w14:paraId="14EF7F33" w14:textId="3DF880B4" w:rsidR="006B0663" w:rsidRPr="00575A95" w:rsidRDefault="006B0663" w:rsidP="00575A95">
            <w:pPr>
              <w:rPr>
                <w:rFonts w:cs="Arial"/>
              </w:rPr>
            </w:pPr>
            <w:r w:rsidRPr="00575A95">
              <w:rPr>
                <w:rFonts w:cs="Arial"/>
              </w:rPr>
              <w:t>If a self-employed employer’s home or business location is outside the D2N2 area but they have a permanent or temporary base in either or</w:t>
            </w:r>
            <w:r w:rsidR="00415D64">
              <w:rPr>
                <w:rFonts w:cs="Arial"/>
              </w:rPr>
              <w:t xml:space="preserve"> both of the two geographic areas</w:t>
            </w:r>
            <w:r w:rsidRPr="00575A95">
              <w:rPr>
                <w:rFonts w:cs="Arial"/>
              </w:rPr>
              <w:t xml:space="preserve"> they will still be eligible for the employer incentives.  The Candidate will be required to hold appropriate evidence and demonstrate that the self-employed employer’s work is of economic benefit to the D2N2 area. An example of this may be that a self-employed plumber, living just over the border of the D2N2 boundary, but who provides plumbing services to houses and businesses in the D2N2 area </w:t>
            </w:r>
            <w:r w:rsidR="00F72252">
              <w:rPr>
                <w:rFonts w:cs="Arial"/>
              </w:rPr>
              <w:t>and employs</w:t>
            </w:r>
            <w:r w:rsidRPr="00575A95">
              <w:rPr>
                <w:rFonts w:cs="Arial"/>
              </w:rPr>
              <w:t xml:space="preserve"> an apprentice plumber</w:t>
            </w:r>
            <w:r w:rsidR="00F72252">
              <w:rPr>
                <w:rFonts w:cs="Arial"/>
              </w:rPr>
              <w:t xml:space="preserve"> who lives in the D2N2 area</w:t>
            </w:r>
            <w:r w:rsidRPr="00575A95">
              <w:rPr>
                <w:rFonts w:cs="Arial"/>
              </w:rPr>
              <w:t xml:space="preserve">. </w:t>
            </w:r>
          </w:p>
          <w:p w14:paraId="14EF7F34" w14:textId="77777777" w:rsidR="006B0663" w:rsidRPr="008C5F3C" w:rsidRDefault="006B0663">
            <w:pPr>
              <w:pStyle w:val="ListParagraph"/>
              <w:ind w:left="360"/>
              <w:rPr>
                <w:rFonts w:cs="Arial"/>
              </w:rPr>
            </w:pPr>
          </w:p>
          <w:p w14:paraId="14EF7F35" w14:textId="77777777" w:rsidR="006B0663" w:rsidRPr="008C5F3C" w:rsidRDefault="006B0663" w:rsidP="00575A95">
            <w:r w:rsidRPr="008C5F3C">
              <w:t>Large companies (250+) will not be able to access funding for their internal skills development but may be able to access funding to support skills development in their supply chains, where these are located in D2N2 and there is an evidenced need.</w:t>
            </w:r>
            <w:r w:rsidRPr="008C5F3C">
              <w:br/>
            </w:r>
          </w:p>
          <w:p w14:paraId="14EF7F36" w14:textId="77777777" w:rsidR="006B0663" w:rsidRPr="008C5F3C" w:rsidRDefault="006B0663" w:rsidP="006B0663">
            <w:pPr>
              <w:rPr>
                <w:rFonts w:cs="Arial"/>
              </w:rPr>
            </w:pPr>
            <w:r w:rsidRPr="008C5F3C">
              <w:rPr>
                <w:rFonts w:cs="Arial"/>
              </w:rPr>
              <w:t>The successful Candidate will be responsible for reporting to the LEP governance structure on a range of economic and performance metrics including to:</w:t>
            </w:r>
          </w:p>
          <w:p w14:paraId="14EF7F37" w14:textId="77777777" w:rsidR="00575A95" w:rsidRDefault="006B0663" w:rsidP="00575A95">
            <w:pPr>
              <w:pStyle w:val="ListParagraph"/>
              <w:numPr>
                <w:ilvl w:val="0"/>
                <w:numId w:val="38"/>
              </w:numPr>
              <w:autoSpaceDE w:val="0"/>
              <w:autoSpaceDN w:val="0"/>
              <w:adjustRightInd w:val="0"/>
              <w:rPr>
                <w:rFonts w:cs="Arial"/>
              </w:rPr>
            </w:pPr>
            <w:r w:rsidRPr="00575A95">
              <w:rPr>
                <w:rFonts w:cs="Arial"/>
              </w:rPr>
              <w:t>share sub-contractor performance data with the LEP.</w:t>
            </w:r>
          </w:p>
          <w:p w14:paraId="14EF7F38" w14:textId="72DB82C0" w:rsidR="00575A95" w:rsidRDefault="006B0663" w:rsidP="00575A95">
            <w:pPr>
              <w:pStyle w:val="ListParagraph"/>
              <w:numPr>
                <w:ilvl w:val="0"/>
                <w:numId w:val="38"/>
              </w:numPr>
              <w:autoSpaceDE w:val="0"/>
              <w:autoSpaceDN w:val="0"/>
              <w:adjustRightInd w:val="0"/>
              <w:rPr>
                <w:rFonts w:cs="Arial"/>
              </w:rPr>
            </w:pPr>
            <w:r w:rsidRPr="00575A95">
              <w:rPr>
                <w:rFonts w:cs="Arial"/>
              </w:rPr>
              <w:t xml:space="preserve">share information on engagement with LEP </w:t>
            </w:r>
            <w:r w:rsidR="00F72252">
              <w:rPr>
                <w:rFonts w:cs="Arial"/>
              </w:rPr>
              <w:t xml:space="preserve">key </w:t>
            </w:r>
            <w:r w:rsidRPr="00575A95">
              <w:rPr>
                <w:rFonts w:cs="Arial"/>
              </w:rPr>
              <w:t>priority sectors</w:t>
            </w:r>
            <w:r w:rsidR="00F72252">
              <w:rPr>
                <w:rFonts w:cs="Arial"/>
              </w:rPr>
              <w:t>, and D2 and N2 employment sectors</w:t>
            </w:r>
            <w:r w:rsidRPr="00575A95">
              <w:rPr>
                <w:rFonts w:cs="Arial"/>
              </w:rPr>
              <w:t>.</w:t>
            </w:r>
          </w:p>
          <w:p w14:paraId="14EF7F39" w14:textId="77777777" w:rsidR="006B0663" w:rsidRPr="00575A95" w:rsidRDefault="006B0663" w:rsidP="00575A95">
            <w:pPr>
              <w:pStyle w:val="ListParagraph"/>
              <w:numPr>
                <w:ilvl w:val="0"/>
                <w:numId w:val="38"/>
              </w:numPr>
              <w:autoSpaceDE w:val="0"/>
              <w:autoSpaceDN w:val="0"/>
              <w:adjustRightInd w:val="0"/>
              <w:rPr>
                <w:rFonts w:cs="Arial"/>
              </w:rPr>
            </w:pPr>
            <w:r w:rsidRPr="00575A95">
              <w:rPr>
                <w:rFonts w:cs="Arial"/>
              </w:rPr>
              <w:t>complete a full Evaluation report.</w:t>
            </w:r>
          </w:p>
          <w:p w14:paraId="14EF7F3A" w14:textId="77777777" w:rsidR="006B0663" w:rsidRPr="008C5F3C" w:rsidRDefault="006B0663" w:rsidP="006B0663"/>
          <w:p w14:paraId="14EF7F3B" w14:textId="77777777" w:rsidR="006B0663" w:rsidRPr="00575A95" w:rsidRDefault="006B0663" w:rsidP="006B0663">
            <w:pPr>
              <w:rPr>
                <w:rFonts w:cs="Arial"/>
              </w:rPr>
            </w:pPr>
            <w:r w:rsidRPr="00575A95">
              <w:rPr>
                <w:rFonts w:cs="Arial"/>
              </w:rPr>
              <w:t xml:space="preserve">In addition to training opportunities, the successful </w:t>
            </w:r>
            <w:r w:rsidR="009D65FB">
              <w:rPr>
                <w:rFonts w:cs="Arial"/>
              </w:rPr>
              <w:t>C</w:t>
            </w:r>
            <w:r w:rsidRPr="00575A95">
              <w:rPr>
                <w:rFonts w:cs="Arial"/>
              </w:rPr>
              <w:t xml:space="preserve">andidate will be expected to </w:t>
            </w:r>
            <w:r w:rsidR="002A1E5B">
              <w:rPr>
                <w:rFonts w:cs="Arial"/>
              </w:rPr>
              <w:t xml:space="preserve">work with employers to </w:t>
            </w:r>
            <w:r w:rsidRPr="00575A95">
              <w:rPr>
                <w:rFonts w:cs="Arial"/>
              </w:rPr>
              <w:t>broker a range of other skills related provision such as work experience, link with local school, graduate placements, traineeships etc.</w:t>
            </w:r>
          </w:p>
          <w:p w14:paraId="14EF7F3C" w14:textId="77777777" w:rsidR="006B0663" w:rsidRPr="00575A95" w:rsidRDefault="006B0663" w:rsidP="006B0663">
            <w:pPr>
              <w:rPr>
                <w:rFonts w:cs="Arial"/>
              </w:rPr>
            </w:pPr>
            <w:r w:rsidRPr="00575A95">
              <w:rPr>
                <w:rFonts w:cs="Arial"/>
              </w:rPr>
              <w:t xml:space="preserve"> </w:t>
            </w:r>
          </w:p>
          <w:p w14:paraId="14EF7F3D" w14:textId="77777777" w:rsidR="006B0663" w:rsidRPr="00575A95" w:rsidRDefault="006B0663" w:rsidP="006B0663">
            <w:pPr>
              <w:rPr>
                <w:rFonts w:cs="Arial"/>
              </w:rPr>
            </w:pPr>
            <w:r w:rsidRPr="00575A95">
              <w:rPr>
                <w:rFonts w:cs="Arial"/>
              </w:rPr>
              <w:t xml:space="preserve">The </w:t>
            </w:r>
            <w:r w:rsidR="009D65FB">
              <w:rPr>
                <w:rFonts w:cs="Arial"/>
              </w:rPr>
              <w:t>successful C</w:t>
            </w:r>
            <w:r w:rsidRPr="00575A95">
              <w:rPr>
                <w:rFonts w:cs="Arial"/>
              </w:rPr>
              <w:t xml:space="preserve">andidate </w:t>
            </w:r>
            <w:r w:rsidR="009D65FB">
              <w:rPr>
                <w:rFonts w:cs="Arial"/>
              </w:rPr>
              <w:t xml:space="preserve"> must </w:t>
            </w:r>
            <w:r w:rsidRPr="00575A95">
              <w:rPr>
                <w:rFonts w:cs="Arial"/>
              </w:rPr>
              <w:t xml:space="preserve"> record data on other characteristics of all </w:t>
            </w:r>
            <w:r w:rsidR="0066616A">
              <w:rPr>
                <w:rFonts w:cs="Arial"/>
              </w:rPr>
              <w:t>individuals</w:t>
            </w:r>
            <w:r w:rsidRPr="00575A95">
              <w:rPr>
                <w:rFonts w:cs="Arial"/>
              </w:rPr>
              <w:t xml:space="preserve"> to ensure it is engaging with other disadvantaged groups including: </w:t>
            </w:r>
          </w:p>
          <w:p w14:paraId="14EF7F3E" w14:textId="77777777" w:rsidR="006B0663" w:rsidRPr="00575A95" w:rsidRDefault="006B0663" w:rsidP="006B0663">
            <w:pPr>
              <w:rPr>
                <w:rFonts w:cs="Arial"/>
              </w:rPr>
            </w:pPr>
          </w:p>
          <w:p w14:paraId="14EF7F3F"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Self-declared accessing welfare benefits</w:t>
            </w:r>
          </w:p>
          <w:p w14:paraId="14EF7F40"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lastRenderedPageBreak/>
              <w:t xml:space="preserve">BME </w:t>
            </w:r>
          </w:p>
          <w:p w14:paraId="14EF7F41"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50+</w:t>
            </w:r>
          </w:p>
          <w:p w14:paraId="14EF7F42"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Females accessing STEM</w:t>
            </w:r>
          </w:p>
          <w:p w14:paraId="14EF7F43"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 xml:space="preserve">Individuals with caring responsibilities </w:t>
            </w:r>
          </w:p>
          <w:p w14:paraId="14EF7F44"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Offenders</w:t>
            </w:r>
          </w:p>
          <w:p w14:paraId="14EF7F45" w14:textId="77777777" w:rsidR="006B0663" w:rsidRPr="00575A95" w:rsidRDefault="006B0663" w:rsidP="00C97A8A">
            <w:pPr>
              <w:pStyle w:val="ListParagraph"/>
              <w:numPr>
                <w:ilvl w:val="0"/>
                <w:numId w:val="38"/>
              </w:numPr>
              <w:autoSpaceDE w:val="0"/>
              <w:autoSpaceDN w:val="0"/>
              <w:adjustRightInd w:val="0"/>
              <w:rPr>
                <w:rFonts w:cs="Arial"/>
              </w:rPr>
            </w:pPr>
            <w:r w:rsidRPr="00575A95">
              <w:rPr>
                <w:rFonts w:cs="Arial"/>
              </w:rPr>
              <w:t xml:space="preserve">Disabled </w:t>
            </w:r>
          </w:p>
          <w:p w14:paraId="14EF7F46" w14:textId="77777777" w:rsidR="006B0663" w:rsidRPr="00575A95" w:rsidRDefault="006B0663" w:rsidP="006B0663">
            <w:pPr>
              <w:rPr>
                <w:rFonts w:cs="Arial"/>
              </w:rPr>
            </w:pPr>
          </w:p>
          <w:p w14:paraId="14EF7F47" w14:textId="77777777" w:rsidR="006B0663" w:rsidRPr="008C5F3C" w:rsidRDefault="006B0663" w:rsidP="006B0663">
            <w:pPr>
              <w:rPr>
                <w:rFonts w:cs="Arial"/>
              </w:rPr>
            </w:pPr>
            <w:r w:rsidRPr="008C5F3C">
              <w:rPr>
                <w:rFonts w:cs="Arial"/>
              </w:rPr>
              <w:t xml:space="preserve">The </w:t>
            </w:r>
            <w:r w:rsidR="009D65FB">
              <w:rPr>
                <w:rFonts w:cs="Arial"/>
              </w:rPr>
              <w:t xml:space="preserve">successful </w:t>
            </w:r>
            <w:r w:rsidRPr="008C5F3C">
              <w:rPr>
                <w:rFonts w:cs="Arial"/>
              </w:rPr>
              <w:t xml:space="preserve">Candidate </w:t>
            </w:r>
            <w:r w:rsidR="009D65FB">
              <w:rPr>
                <w:rFonts w:cs="Arial"/>
              </w:rPr>
              <w:t xml:space="preserve">must </w:t>
            </w:r>
            <w:r w:rsidRPr="008C5F3C">
              <w:rPr>
                <w:rFonts w:cs="Arial"/>
              </w:rPr>
              <w:t xml:space="preserve">record data on training provision delivered which show qualification level (equivalence) and sector.  </w:t>
            </w:r>
          </w:p>
          <w:p w14:paraId="14EF7F48" w14:textId="77777777" w:rsidR="006B0663" w:rsidRPr="008C5F3C" w:rsidRDefault="006B0663" w:rsidP="006B0663">
            <w:pPr>
              <w:rPr>
                <w:rFonts w:cs="Arial"/>
              </w:rPr>
            </w:pPr>
          </w:p>
          <w:p w14:paraId="14EF7F49" w14:textId="77777777" w:rsidR="006B0663" w:rsidRPr="008C5F3C" w:rsidRDefault="006B0663" w:rsidP="006B0663">
            <w:pPr>
              <w:autoSpaceDE w:val="0"/>
              <w:autoSpaceDN w:val="0"/>
              <w:adjustRightInd w:val="0"/>
              <w:rPr>
                <w:rFonts w:cs="Arial"/>
              </w:rPr>
            </w:pPr>
            <w:r w:rsidRPr="00575A95">
              <w:rPr>
                <w:rFonts w:cs="Arial"/>
              </w:rPr>
              <w:t>The Non-Regulated learning aims delivered to employers/employees under IP2.1 must have a</w:t>
            </w:r>
            <w:r w:rsidR="00F16A3D">
              <w:rPr>
                <w:rFonts w:cs="Arial"/>
              </w:rPr>
              <w:t xml:space="preserve"> notional</w:t>
            </w:r>
            <w:r w:rsidRPr="00575A95">
              <w:rPr>
                <w:rFonts w:cs="Arial"/>
              </w:rPr>
              <w:t xml:space="preserve"> NVQ Level</w:t>
            </w:r>
            <w:r w:rsidR="002A1E5B">
              <w:rPr>
                <w:rFonts w:cs="Arial"/>
              </w:rPr>
              <w:t xml:space="preserve"> – this could be full or part qualifications</w:t>
            </w:r>
            <w:r w:rsidRPr="00575A95">
              <w:rPr>
                <w:rFonts w:cs="Arial"/>
              </w:rPr>
              <w:t xml:space="preserve">.  This differs from the ESF Funding Rules, but is a requirement of this specification. </w:t>
            </w:r>
            <w:hyperlink r:id="rId28" w:history="1">
              <w:r w:rsidRPr="00575A95">
                <w:rPr>
                  <w:rStyle w:val="Hyperlink"/>
                  <w:rFonts w:cs="Arial"/>
                  <w:sz w:val="24"/>
                  <w:szCs w:val="24"/>
                </w:rPr>
                <w:t>https://www.gov.uk/government/uploads/system/uploads/attachment_data/file/494599/ESF_2014-20_Funding_Rules_v2_January_2016.pdf</w:t>
              </w:r>
            </w:hyperlink>
            <w:r w:rsidRPr="008C5F3C">
              <w:rPr>
                <w:rFonts w:cs="Arial"/>
              </w:rPr>
              <w:t xml:space="preserve">  </w:t>
            </w:r>
          </w:p>
          <w:p w14:paraId="14EF7F4A" w14:textId="77777777" w:rsidR="006B0663" w:rsidRPr="00575A95" w:rsidRDefault="006B0663" w:rsidP="006B0663">
            <w:pPr>
              <w:rPr>
                <w:rFonts w:cs="Arial"/>
              </w:rPr>
            </w:pPr>
          </w:p>
          <w:p w14:paraId="14EF7F4D" w14:textId="28D80467" w:rsidR="000762BD" w:rsidRPr="00575A95" w:rsidRDefault="002919CC" w:rsidP="000762BD">
            <w:pPr>
              <w:rPr>
                <w:rFonts w:cs="Arial"/>
                <w:lang w:eastAsia="en-GB"/>
              </w:rPr>
            </w:pPr>
            <w:r>
              <w:rPr>
                <w:rFonts w:cs="Arial"/>
                <w:lang w:eastAsia="en-GB"/>
              </w:rPr>
              <w:t xml:space="preserve">The Candidate will be required to provide a </w:t>
            </w:r>
            <w:r w:rsidR="00575A95">
              <w:rPr>
                <w:rFonts w:cs="Arial"/>
                <w:lang w:eastAsia="en-GB"/>
              </w:rPr>
              <w:t>r</w:t>
            </w:r>
            <w:r w:rsidR="00575A95" w:rsidRPr="00575A95">
              <w:rPr>
                <w:rFonts w:cs="Arial"/>
                <w:lang w:eastAsia="en-GB"/>
              </w:rPr>
              <w:t>eport</w:t>
            </w:r>
            <w:r>
              <w:rPr>
                <w:rFonts w:cs="Arial"/>
                <w:lang w:eastAsia="en-GB"/>
              </w:rPr>
              <w:t xml:space="preserve"> detailing</w:t>
            </w:r>
            <w:r w:rsidR="000762BD" w:rsidRPr="00575A95">
              <w:rPr>
                <w:rFonts w:cs="Arial"/>
                <w:lang w:eastAsia="en-GB"/>
              </w:rPr>
              <w:t xml:space="preserve"> new employers</w:t>
            </w:r>
            <w:r>
              <w:rPr>
                <w:rFonts w:cs="Arial"/>
                <w:lang w:eastAsia="en-GB"/>
              </w:rPr>
              <w:t xml:space="preserve"> engaged</w:t>
            </w:r>
            <w:r w:rsidR="000762BD" w:rsidRPr="00575A95">
              <w:rPr>
                <w:rFonts w:cs="Arial"/>
                <w:lang w:eastAsia="en-GB"/>
              </w:rPr>
              <w:t xml:space="preserve"> in the D2N2 key priority sectors and D2 and N2 </w:t>
            </w:r>
            <w:r w:rsidR="00F72252">
              <w:rPr>
                <w:rFonts w:cs="Arial"/>
                <w:lang w:eastAsia="en-GB"/>
              </w:rPr>
              <w:t>employment sectors and geographical location</w:t>
            </w:r>
            <w:r w:rsidR="000762BD" w:rsidRPr="00575A95">
              <w:rPr>
                <w:rFonts w:cs="Arial"/>
                <w:lang w:eastAsia="en-GB"/>
              </w:rPr>
              <w:t>.</w:t>
            </w:r>
          </w:p>
          <w:p w14:paraId="14EF7F4E" w14:textId="77777777" w:rsidR="00AC1F2E" w:rsidRPr="008C5F3C" w:rsidRDefault="00AC1F2E" w:rsidP="0081358C">
            <w:pPr>
              <w:pStyle w:val="ListParagraph"/>
              <w:ind w:left="0" w:right="113"/>
              <w:rPr>
                <w:rFonts w:cs="Arial"/>
                <w:color w:val="000000" w:themeColor="text1"/>
                <w:szCs w:val="22"/>
              </w:rPr>
            </w:pPr>
          </w:p>
        </w:tc>
      </w:tr>
      <w:tr w:rsidR="00967429" w:rsidRPr="008C5F3C" w14:paraId="14EF7F51" w14:textId="77777777" w:rsidTr="00C97A8A">
        <w:trPr>
          <w:trHeight w:val="567"/>
        </w:trPr>
        <w:tc>
          <w:tcPr>
            <w:tcW w:w="9088" w:type="dxa"/>
            <w:shd w:val="clear" w:color="auto" w:fill="D9D9D9" w:themeFill="background1" w:themeFillShade="D9"/>
            <w:vAlign w:val="center"/>
          </w:tcPr>
          <w:p w14:paraId="14EF7F50" w14:textId="77777777" w:rsidR="00967429" w:rsidRPr="008C5F3C" w:rsidRDefault="00A005EF" w:rsidP="00FD3B0A">
            <w:pPr>
              <w:pStyle w:val="SpecificationHeading"/>
            </w:pPr>
            <w:r w:rsidRPr="008C5F3C">
              <w:lastRenderedPageBreak/>
              <w:t>ELIGIBILITY</w:t>
            </w:r>
          </w:p>
        </w:tc>
      </w:tr>
      <w:tr w:rsidR="00967429" w:rsidRPr="008C5F3C" w14:paraId="14EF7F73" w14:textId="77777777" w:rsidTr="000D51DE">
        <w:tc>
          <w:tcPr>
            <w:tcW w:w="9088" w:type="dxa"/>
          </w:tcPr>
          <w:p w14:paraId="14EF7F52" w14:textId="77777777" w:rsidR="001E23AA" w:rsidRPr="008C5F3C" w:rsidRDefault="001E23AA" w:rsidP="002F70E9">
            <w:pPr>
              <w:rPr>
                <w:rFonts w:cs="Arial"/>
                <w:b/>
                <w:u w:val="single"/>
              </w:rPr>
            </w:pPr>
          </w:p>
          <w:p w14:paraId="14EF7F53" w14:textId="77777777" w:rsidR="00A005EF" w:rsidRPr="008C5F3C" w:rsidRDefault="00A005EF" w:rsidP="00A005EF">
            <w:pPr>
              <w:rPr>
                <w:rFonts w:cs="Arial"/>
              </w:rPr>
            </w:pPr>
            <w:r w:rsidRPr="008C5F3C">
              <w:rPr>
                <w:rFonts w:cs="Arial"/>
                <w:b/>
              </w:rPr>
              <w:t>General</w:t>
            </w:r>
          </w:p>
          <w:p w14:paraId="14EF7F54" w14:textId="77777777" w:rsidR="00A005EF" w:rsidRPr="008C5F3C" w:rsidRDefault="00A005EF" w:rsidP="00A005EF">
            <w:pPr>
              <w:rPr>
                <w:rFonts w:cs="Arial"/>
              </w:rPr>
            </w:pPr>
            <w:r w:rsidRPr="008C5F3C">
              <w:rPr>
                <w:rFonts w:cs="Arial"/>
              </w:rPr>
              <w:t xml:space="preserve">General eligibility requirements are set out in : </w:t>
            </w:r>
            <w:r w:rsidR="00025EF8" w:rsidRPr="008C5F3C">
              <w:rPr>
                <w:rFonts w:cs="Arial"/>
              </w:rPr>
              <w:t xml:space="preserve">the </w:t>
            </w:r>
            <w:r w:rsidRPr="008C5F3C">
              <w:rPr>
                <w:rFonts w:cs="Arial"/>
              </w:rPr>
              <w:t>European Social Fund Programme for England 2014-2020</w:t>
            </w:r>
            <w:r w:rsidR="00384AE2" w:rsidRPr="008C5F3C">
              <w:rPr>
                <w:rFonts w:cs="Arial"/>
              </w:rPr>
              <w:t xml:space="preserve"> National Eligibility Rules</w:t>
            </w:r>
            <w:r w:rsidR="00025EF8" w:rsidRPr="008C5F3C">
              <w:rPr>
                <w:rFonts w:cs="Arial"/>
              </w:rPr>
              <w:t xml:space="preserve"> which can be found here: </w:t>
            </w:r>
            <w:hyperlink r:id="rId29" w:history="1">
              <w:r w:rsidR="00475879" w:rsidRPr="008C5F3C">
                <w:rPr>
                  <w:rStyle w:val="Hyperlink"/>
                  <w:rFonts w:cs="Arial"/>
                  <w:sz w:val="24"/>
                  <w:szCs w:val="24"/>
                </w:rPr>
                <w:t>https://www.gov.uk/government/publications/european-structural-and-investment-funds-programme-guidance</w:t>
              </w:r>
            </w:hyperlink>
            <w:r w:rsidR="00475879" w:rsidRPr="008C5F3C">
              <w:rPr>
                <w:rFonts w:cs="Arial"/>
              </w:rPr>
              <w:t xml:space="preserve"> </w:t>
            </w:r>
          </w:p>
          <w:p w14:paraId="14EF7F55" w14:textId="77777777" w:rsidR="006B0663" w:rsidRPr="00575A95" w:rsidRDefault="006B0663" w:rsidP="00E52861">
            <w:pPr>
              <w:rPr>
                <w:rFonts w:cs="Arial"/>
              </w:rPr>
            </w:pPr>
          </w:p>
          <w:p w14:paraId="14EF7F56" w14:textId="77777777" w:rsidR="00394F36" w:rsidRPr="008C5F3C" w:rsidRDefault="00394F36" w:rsidP="00394F36">
            <w:pPr>
              <w:rPr>
                <w:rFonts w:cs="Arial"/>
              </w:rPr>
            </w:pPr>
            <w:r w:rsidRPr="008C5F3C">
              <w:rPr>
                <w:rFonts w:cs="Arial"/>
              </w:rPr>
              <w:t>Please note LEP Specific requirements are subject to the National Eligibility Rules detailed above.</w:t>
            </w:r>
          </w:p>
          <w:p w14:paraId="14EF7F57" w14:textId="77777777" w:rsidR="006B0663" w:rsidRPr="008C5F3C" w:rsidRDefault="006B0663" w:rsidP="00394F36">
            <w:pPr>
              <w:rPr>
                <w:rFonts w:cs="Arial"/>
              </w:rPr>
            </w:pPr>
          </w:p>
          <w:p w14:paraId="14EF7F58" w14:textId="77777777" w:rsidR="006B0663" w:rsidRDefault="006B0663" w:rsidP="006B0663">
            <w:pPr>
              <w:rPr>
                <w:b/>
              </w:rPr>
            </w:pPr>
            <w:r w:rsidRPr="008C5F3C">
              <w:rPr>
                <w:b/>
              </w:rPr>
              <w:t>Investment Priority (IP) 2.1 To increase the skills levels of employed people:</w:t>
            </w:r>
          </w:p>
          <w:p w14:paraId="661DC877" w14:textId="77777777" w:rsidR="00C97A8A" w:rsidRPr="008C5F3C" w:rsidRDefault="00C97A8A" w:rsidP="006B0663">
            <w:pPr>
              <w:rPr>
                <w:b/>
              </w:rPr>
            </w:pPr>
          </w:p>
          <w:p w14:paraId="14EF7F59" w14:textId="77777777" w:rsidR="006B0663" w:rsidRPr="008C5F3C" w:rsidRDefault="006B0663" w:rsidP="006B0663">
            <w:pPr>
              <w:pStyle w:val="ListParagraph"/>
              <w:numPr>
                <w:ilvl w:val="0"/>
                <w:numId w:val="32"/>
              </w:numPr>
              <w:rPr>
                <w:rFonts w:cs="Arial"/>
              </w:rPr>
            </w:pPr>
            <w:r w:rsidRPr="008C5F3C">
              <w:rPr>
                <w:rFonts w:cs="Arial"/>
              </w:rPr>
              <w:t>19+</w:t>
            </w:r>
          </w:p>
          <w:p w14:paraId="14EF7F5A" w14:textId="77777777" w:rsidR="006B0663" w:rsidRPr="008C5F3C" w:rsidRDefault="006B0663" w:rsidP="006B0663">
            <w:pPr>
              <w:pStyle w:val="ListParagraph"/>
              <w:numPr>
                <w:ilvl w:val="0"/>
                <w:numId w:val="32"/>
              </w:numPr>
              <w:rPr>
                <w:rFonts w:cs="Arial"/>
              </w:rPr>
            </w:pPr>
            <w:r w:rsidRPr="008C5F3C">
              <w:rPr>
                <w:rFonts w:cs="Arial"/>
              </w:rPr>
              <w:t>Employed</w:t>
            </w:r>
          </w:p>
          <w:p w14:paraId="14EF7F5B" w14:textId="77777777" w:rsidR="006B0663" w:rsidRPr="00575A95" w:rsidRDefault="006B0663" w:rsidP="006B0663">
            <w:pPr>
              <w:rPr>
                <w:rFonts w:cs="Arial"/>
              </w:rPr>
            </w:pPr>
          </w:p>
          <w:p w14:paraId="14EF7F5C" w14:textId="622FCC6A" w:rsidR="006B0663" w:rsidRPr="008C5F3C" w:rsidRDefault="006B0663" w:rsidP="006B0663">
            <w:pPr>
              <w:rPr>
                <w:rFonts w:ascii="Calibri" w:hAnsi="Calibri"/>
                <w:iCs/>
                <w:sz w:val="22"/>
                <w:szCs w:val="22"/>
              </w:rPr>
            </w:pPr>
            <w:r w:rsidRPr="008C5F3C">
              <w:rPr>
                <w:rFonts w:cs="Arial"/>
                <w:iCs/>
              </w:rPr>
              <w:t xml:space="preserve">In delivering the </w:t>
            </w:r>
            <w:r w:rsidR="003670BC">
              <w:rPr>
                <w:rFonts w:cs="Arial"/>
                <w:iCs/>
              </w:rPr>
              <w:t>Service</w:t>
            </w:r>
            <w:r w:rsidRPr="008C5F3C">
              <w:rPr>
                <w:rFonts w:cs="Arial"/>
                <w:iCs/>
              </w:rPr>
              <w:t xml:space="preserve">, the successful Candidate must take into account and support the targets for the following groups where this is consistent with the other </w:t>
            </w:r>
            <w:r w:rsidR="003670BC">
              <w:rPr>
                <w:rFonts w:cs="Arial"/>
                <w:iCs/>
              </w:rPr>
              <w:t>Service</w:t>
            </w:r>
            <w:r w:rsidRPr="008C5F3C">
              <w:rPr>
                <w:rFonts w:cs="Arial"/>
                <w:iCs/>
              </w:rPr>
              <w:t xml:space="preserve"> requirements for addressing the needs of groups identified as priority and meeting the Service deliverables.</w:t>
            </w:r>
          </w:p>
          <w:tbl>
            <w:tblPr>
              <w:tblW w:w="5954" w:type="dxa"/>
              <w:tblInd w:w="29" w:type="dxa"/>
              <w:tblLayout w:type="fixed"/>
              <w:tblLook w:val="04A0" w:firstRow="1" w:lastRow="0" w:firstColumn="1" w:lastColumn="0" w:noHBand="0" w:noVBand="1"/>
            </w:tblPr>
            <w:tblGrid>
              <w:gridCol w:w="4394"/>
              <w:gridCol w:w="1560"/>
            </w:tblGrid>
            <w:tr w:rsidR="006B0663" w:rsidRPr="00575A95" w14:paraId="14EF7F5F" w14:textId="77777777" w:rsidTr="009A48C0">
              <w:trPr>
                <w:trHeight w:val="504"/>
              </w:trPr>
              <w:tc>
                <w:tcPr>
                  <w:tcW w:w="4394" w:type="dxa"/>
                  <w:shd w:val="clear" w:color="auto" w:fill="auto"/>
                  <w:noWrap/>
                  <w:vAlign w:val="bottom"/>
                  <w:hideMark/>
                </w:tcPr>
                <w:p w14:paraId="14EF7F5D" w14:textId="77777777" w:rsidR="006B0663" w:rsidRPr="00575A95" w:rsidRDefault="006B0663" w:rsidP="006B0663">
                  <w:pPr>
                    <w:rPr>
                      <w:rFonts w:cs="Arial"/>
                      <w:lang w:eastAsia="en-GB"/>
                    </w:rPr>
                  </w:pPr>
                </w:p>
              </w:tc>
              <w:tc>
                <w:tcPr>
                  <w:tcW w:w="1560" w:type="dxa"/>
                  <w:shd w:val="clear" w:color="auto" w:fill="auto"/>
                  <w:vAlign w:val="bottom"/>
                  <w:hideMark/>
                </w:tcPr>
                <w:p w14:paraId="14EF7F5E" w14:textId="77777777" w:rsidR="006B0663" w:rsidRPr="00575A95" w:rsidRDefault="006B0663" w:rsidP="006B0663">
                  <w:pPr>
                    <w:jc w:val="center"/>
                    <w:rPr>
                      <w:rFonts w:cs="Arial"/>
                      <w:b/>
                      <w:bCs/>
                      <w:color w:val="000000"/>
                      <w:lang w:eastAsia="en-GB"/>
                    </w:rPr>
                  </w:pPr>
                  <w:r w:rsidRPr="00575A95">
                    <w:rPr>
                      <w:rFonts w:cs="Arial"/>
                      <w:b/>
                      <w:bCs/>
                      <w:color w:val="000000"/>
                      <w:lang w:eastAsia="en-GB"/>
                    </w:rPr>
                    <w:t>More Developed</w:t>
                  </w:r>
                </w:p>
              </w:tc>
            </w:tr>
            <w:tr w:rsidR="006B0663" w:rsidRPr="00575A95" w14:paraId="14EF7F62" w14:textId="77777777" w:rsidTr="009A48C0">
              <w:trPr>
                <w:trHeight w:val="290"/>
              </w:trPr>
              <w:tc>
                <w:tcPr>
                  <w:tcW w:w="4394" w:type="dxa"/>
                  <w:vAlign w:val="center"/>
                  <w:hideMark/>
                </w:tcPr>
                <w:p w14:paraId="14EF7F60" w14:textId="77777777" w:rsidR="006B0663" w:rsidRPr="00575A95" w:rsidRDefault="006B0663" w:rsidP="006B0663">
                  <w:pPr>
                    <w:rPr>
                      <w:rFonts w:cs="Arial"/>
                      <w:color w:val="000000"/>
                      <w:lang w:eastAsia="en-GB"/>
                    </w:rPr>
                  </w:pPr>
                  <w:r w:rsidRPr="00575A95">
                    <w:rPr>
                      <w:rFonts w:cs="Arial"/>
                      <w:color w:val="000000"/>
                    </w:rPr>
                    <w:t>Participants who are over 50</w:t>
                  </w:r>
                </w:p>
              </w:tc>
              <w:tc>
                <w:tcPr>
                  <w:tcW w:w="1560" w:type="dxa"/>
                  <w:noWrap/>
                  <w:vAlign w:val="bottom"/>
                  <w:hideMark/>
                </w:tcPr>
                <w:p w14:paraId="14EF7F61" w14:textId="77777777" w:rsidR="006B0663" w:rsidRPr="00575A95" w:rsidRDefault="006B0663" w:rsidP="006B0663">
                  <w:pPr>
                    <w:jc w:val="right"/>
                    <w:rPr>
                      <w:rFonts w:cs="Arial"/>
                      <w:color w:val="000000"/>
                    </w:rPr>
                  </w:pPr>
                  <w:r w:rsidRPr="00575A95">
                    <w:rPr>
                      <w:rFonts w:cs="Arial"/>
                      <w:color w:val="000000"/>
                    </w:rPr>
                    <w:t>20%</w:t>
                  </w:r>
                </w:p>
              </w:tc>
            </w:tr>
            <w:tr w:rsidR="006B0663" w:rsidRPr="00575A95" w14:paraId="14EF7F65" w14:textId="77777777" w:rsidTr="009A48C0">
              <w:trPr>
                <w:trHeight w:val="560"/>
              </w:trPr>
              <w:tc>
                <w:tcPr>
                  <w:tcW w:w="4394" w:type="dxa"/>
                  <w:vAlign w:val="center"/>
                  <w:hideMark/>
                </w:tcPr>
                <w:p w14:paraId="14EF7F63" w14:textId="77777777" w:rsidR="006B0663" w:rsidRPr="00575A95" w:rsidRDefault="006B0663" w:rsidP="006B0663">
                  <w:pPr>
                    <w:rPr>
                      <w:rFonts w:cs="Arial"/>
                      <w:color w:val="000000"/>
                    </w:rPr>
                  </w:pPr>
                  <w:r w:rsidRPr="00575A95">
                    <w:rPr>
                      <w:rFonts w:cs="Arial"/>
                      <w:color w:val="000000"/>
                    </w:rPr>
                    <w:t>Participants from ethnic minorities</w:t>
                  </w:r>
                </w:p>
              </w:tc>
              <w:tc>
                <w:tcPr>
                  <w:tcW w:w="1560" w:type="dxa"/>
                  <w:noWrap/>
                  <w:vAlign w:val="bottom"/>
                  <w:hideMark/>
                </w:tcPr>
                <w:p w14:paraId="14EF7F64" w14:textId="77777777" w:rsidR="006B0663" w:rsidRPr="00575A95" w:rsidRDefault="006B0663" w:rsidP="006B0663">
                  <w:pPr>
                    <w:jc w:val="right"/>
                    <w:rPr>
                      <w:rFonts w:cs="Arial"/>
                      <w:color w:val="000000"/>
                    </w:rPr>
                  </w:pPr>
                  <w:r w:rsidRPr="00575A95">
                    <w:rPr>
                      <w:rFonts w:cs="Arial"/>
                      <w:color w:val="000000"/>
                    </w:rPr>
                    <w:t>18%</w:t>
                  </w:r>
                </w:p>
              </w:tc>
            </w:tr>
            <w:tr w:rsidR="006B0663" w:rsidRPr="00575A95" w14:paraId="14EF7F68" w14:textId="77777777" w:rsidTr="009A48C0">
              <w:trPr>
                <w:trHeight w:val="560"/>
              </w:trPr>
              <w:tc>
                <w:tcPr>
                  <w:tcW w:w="4394" w:type="dxa"/>
                  <w:vAlign w:val="center"/>
                  <w:hideMark/>
                </w:tcPr>
                <w:p w14:paraId="14EF7F66" w14:textId="77777777" w:rsidR="006B0663" w:rsidRPr="00575A95" w:rsidRDefault="006B0663" w:rsidP="006B0663">
                  <w:pPr>
                    <w:rPr>
                      <w:rFonts w:cs="Arial"/>
                      <w:color w:val="000000"/>
                    </w:rPr>
                  </w:pPr>
                  <w:r w:rsidRPr="00575A95">
                    <w:rPr>
                      <w:rFonts w:cs="Arial"/>
                      <w:color w:val="000000"/>
                    </w:rPr>
                    <w:t>Participants with disability or health problems</w:t>
                  </w:r>
                </w:p>
              </w:tc>
              <w:tc>
                <w:tcPr>
                  <w:tcW w:w="1560" w:type="dxa"/>
                  <w:noWrap/>
                  <w:vAlign w:val="bottom"/>
                  <w:hideMark/>
                </w:tcPr>
                <w:p w14:paraId="14EF7F67" w14:textId="77777777" w:rsidR="006B0663" w:rsidRPr="00575A95" w:rsidRDefault="006B0663" w:rsidP="006B0663">
                  <w:pPr>
                    <w:jc w:val="right"/>
                    <w:rPr>
                      <w:rFonts w:cs="Arial"/>
                      <w:color w:val="000000"/>
                    </w:rPr>
                  </w:pPr>
                  <w:r w:rsidRPr="00575A95">
                    <w:rPr>
                      <w:rFonts w:cs="Arial"/>
                      <w:color w:val="000000"/>
                    </w:rPr>
                    <w:t>8%</w:t>
                  </w:r>
                </w:p>
              </w:tc>
            </w:tr>
            <w:tr w:rsidR="006B0663" w:rsidRPr="00575A95" w14:paraId="14EF7F6B" w14:textId="77777777" w:rsidTr="009A48C0">
              <w:trPr>
                <w:trHeight w:val="560"/>
              </w:trPr>
              <w:tc>
                <w:tcPr>
                  <w:tcW w:w="4394" w:type="dxa"/>
                  <w:vAlign w:val="center"/>
                  <w:hideMark/>
                </w:tcPr>
                <w:p w14:paraId="14EF7F69" w14:textId="77777777" w:rsidR="006B0663" w:rsidRPr="00575A95" w:rsidRDefault="006B0663" w:rsidP="006B0663">
                  <w:pPr>
                    <w:rPr>
                      <w:rFonts w:cs="Arial"/>
                      <w:color w:val="000000"/>
                    </w:rPr>
                  </w:pPr>
                  <w:r w:rsidRPr="00575A95">
                    <w:rPr>
                      <w:rFonts w:cs="Arial"/>
                      <w:color w:val="000000"/>
                    </w:rPr>
                    <w:lastRenderedPageBreak/>
                    <w:t>Participants who are lone parents</w:t>
                  </w:r>
                </w:p>
              </w:tc>
              <w:tc>
                <w:tcPr>
                  <w:tcW w:w="1560" w:type="dxa"/>
                  <w:noWrap/>
                  <w:vAlign w:val="bottom"/>
                  <w:hideMark/>
                </w:tcPr>
                <w:p w14:paraId="14EF7F6A" w14:textId="77777777" w:rsidR="006B0663" w:rsidRPr="00575A95" w:rsidRDefault="006B0663" w:rsidP="006B0663">
                  <w:pPr>
                    <w:jc w:val="right"/>
                    <w:rPr>
                      <w:rFonts w:cs="Arial"/>
                      <w:color w:val="000000"/>
                    </w:rPr>
                  </w:pPr>
                  <w:r w:rsidRPr="00575A95">
                    <w:rPr>
                      <w:rFonts w:cs="Arial"/>
                      <w:color w:val="000000"/>
                    </w:rPr>
                    <w:t>5%</w:t>
                  </w:r>
                </w:p>
              </w:tc>
            </w:tr>
            <w:tr w:rsidR="006B0663" w:rsidRPr="00575A95" w14:paraId="14EF7F6E" w14:textId="77777777" w:rsidTr="009A48C0">
              <w:trPr>
                <w:trHeight w:val="560"/>
              </w:trPr>
              <w:tc>
                <w:tcPr>
                  <w:tcW w:w="4394" w:type="dxa"/>
                  <w:vAlign w:val="center"/>
                  <w:hideMark/>
                </w:tcPr>
                <w:p w14:paraId="14EF7F6C" w14:textId="77777777" w:rsidR="006B0663" w:rsidRPr="00575A95" w:rsidRDefault="006B0663" w:rsidP="006B0663">
                  <w:pPr>
                    <w:rPr>
                      <w:rFonts w:cs="Arial"/>
                      <w:color w:val="000000"/>
                    </w:rPr>
                  </w:pPr>
                  <w:r w:rsidRPr="00575A95">
                    <w:rPr>
                      <w:rFonts w:cs="Arial"/>
                      <w:color w:val="000000"/>
                    </w:rPr>
                    <w:t>Participants without basic skills</w:t>
                  </w:r>
                </w:p>
              </w:tc>
              <w:tc>
                <w:tcPr>
                  <w:tcW w:w="1560" w:type="dxa"/>
                  <w:noWrap/>
                  <w:vAlign w:val="bottom"/>
                  <w:hideMark/>
                </w:tcPr>
                <w:p w14:paraId="14EF7F6D" w14:textId="77777777" w:rsidR="006B0663" w:rsidRPr="00575A95" w:rsidRDefault="006B0663" w:rsidP="006B0663">
                  <w:pPr>
                    <w:jc w:val="right"/>
                    <w:rPr>
                      <w:rFonts w:cs="Arial"/>
                      <w:color w:val="000000"/>
                    </w:rPr>
                  </w:pPr>
                  <w:r w:rsidRPr="00575A95">
                    <w:rPr>
                      <w:rFonts w:cs="Arial"/>
                      <w:color w:val="000000"/>
                    </w:rPr>
                    <w:t>18%</w:t>
                  </w:r>
                </w:p>
              </w:tc>
            </w:tr>
            <w:tr w:rsidR="006B0663" w:rsidRPr="00575A95" w14:paraId="14EF7F71" w14:textId="77777777" w:rsidTr="009A48C0">
              <w:trPr>
                <w:trHeight w:val="300"/>
              </w:trPr>
              <w:tc>
                <w:tcPr>
                  <w:tcW w:w="4394" w:type="dxa"/>
                  <w:vAlign w:val="center"/>
                  <w:hideMark/>
                </w:tcPr>
                <w:p w14:paraId="14EF7F6F" w14:textId="77777777" w:rsidR="006B0663" w:rsidRPr="00575A95" w:rsidRDefault="006B0663" w:rsidP="006B0663">
                  <w:pPr>
                    <w:rPr>
                      <w:rFonts w:cs="Arial"/>
                      <w:color w:val="000000"/>
                    </w:rPr>
                  </w:pPr>
                  <w:r w:rsidRPr="00575A95">
                    <w:rPr>
                      <w:rFonts w:cs="Arial"/>
                      <w:color w:val="000000"/>
                    </w:rPr>
                    <w:t>Female participants</w:t>
                  </w:r>
                </w:p>
              </w:tc>
              <w:tc>
                <w:tcPr>
                  <w:tcW w:w="1560" w:type="dxa"/>
                  <w:noWrap/>
                  <w:vAlign w:val="bottom"/>
                  <w:hideMark/>
                </w:tcPr>
                <w:p w14:paraId="14EF7F70" w14:textId="77777777" w:rsidR="006B0663" w:rsidRPr="00575A95" w:rsidRDefault="006B0663" w:rsidP="006B0663">
                  <w:pPr>
                    <w:jc w:val="right"/>
                    <w:rPr>
                      <w:rFonts w:cs="Arial"/>
                      <w:color w:val="000000"/>
                    </w:rPr>
                  </w:pPr>
                  <w:r w:rsidRPr="00575A95">
                    <w:rPr>
                      <w:rFonts w:cs="Arial"/>
                      <w:color w:val="000000"/>
                    </w:rPr>
                    <w:t>49%</w:t>
                  </w:r>
                </w:p>
              </w:tc>
            </w:tr>
          </w:tbl>
          <w:p w14:paraId="1E548EE7" w14:textId="77777777" w:rsidR="00CB232C" w:rsidRDefault="00CB232C"/>
          <w:p w14:paraId="14EF7F72" w14:textId="1928D809" w:rsidR="00FD3B0A" w:rsidRPr="008C5F3C" w:rsidRDefault="00FD3B0A" w:rsidP="00225C7E">
            <w:pPr>
              <w:autoSpaceDE w:val="0"/>
              <w:autoSpaceDN w:val="0"/>
              <w:adjustRightInd w:val="0"/>
              <w:rPr>
                <w:rFonts w:cs="Arial"/>
                <w:color w:val="000000"/>
              </w:rPr>
            </w:pPr>
          </w:p>
        </w:tc>
      </w:tr>
      <w:tr w:rsidR="00967429" w:rsidRPr="008C5F3C" w14:paraId="14EF7F75" w14:textId="77777777" w:rsidTr="00C97A8A">
        <w:trPr>
          <w:trHeight w:val="567"/>
        </w:trPr>
        <w:tc>
          <w:tcPr>
            <w:tcW w:w="9088" w:type="dxa"/>
            <w:shd w:val="clear" w:color="auto" w:fill="D9D9D9" w:themeFill="background1" w:themeFillShade="D9"/>
            <w:vAlign w:val="center"/>
          </w:tcPr>
          <w:p w14:paraId="14EF7F74" w14:textId="77777777" w:rsidR="00967429" w:rsidRPr="008C5F3C" w:rsidRDefault="00A005EF" w:rsidP="005E37D8">
            <w:pPr>
              <w:spacing w:before="120" w:after="120"/>
              <w:rPr>
                <w:b/>
                <w:bCs/>
              </w:rPr>
            </w:pPr>
            <w:r w:rsidRPr="008C5F3C">
              <w:rPr>
                <w:b/>
              </w:rPr>
              <w:lastRenderedPageBreak/>
              <w:t>GEOGRAPHY / AREA OF DELIVERY</w:t>
            </w:r>
          </w:p>
        </w:tc>
      </w:tr>
      <w:tr w:rsidR="00967429" w:rsidRPr="008C5F3C" w14:paraId="14EF7F7D" w14:textId="77777777" w:rsidTr="000D51DE">
        <w:trPr>
          <w:trHeight w:val="983"/>
        </w:trPr>
        <w:tc>
          <w:tcPr>
            <w:tcW w:w="9088" w:type="dxa"/>
          </w:tcPr>
          <w:p w14:paraId="14EF7F76" w14:textId="77777777" w:rsidR="00A005EF" w:rsidRPr="008C5F3C" w:rsidRDefault="00A005EF" w:rsidP="00A005EF"/>
          <w:p w14:paraId="14EF7F77" w14:textId="77777777" w:rsidR="007E7731" w:rsidRPr="008C5F3C" w:rsidRDefault="007E7731" w:rsidP="00A005EF">
            <w:pPr>
              <w:rPr>
                <w:b/>
              </w:rPr>
            </w:pPr>
            <w:r w:rsidRPr="008C5F3C">
              <w:rPr>
                <w:b/>
              </w:rPr>
              <w:t>LEP Specific</w:t>
            </w:r>
          </w:p>
          <w:p w14:paraId="14EF7F78" w14:textId="77777777" w:rsidR="007E7731" w:rsidRPr="008C5F3C" w:rsidRDefault="007E7731" w:rsidP="00A005EF">
            <w:pPr>
              <w:rPr>
                <w:b/>
              </w:rPr>
            </w:pPr>
          </w:p>
          <w:p w14:paraId="14EF7F79" w14:textId="51A07172" w:rsidR="00D65DF1" w:rsidRPr="008C5F3C" w:rsidRDefault="00D65DF1" w:rsidP="00D65DF1">
            <w:pPr>
              <w:autoSpaceDE w:val="0"/>
              <w:autoSpaceDN w:val="0"/>
              <w:adjustRightInd w:val="0"/>
              <w:rPr>
                <w:rFonts w:cs="Arial"/>
              </w:rPr>
            </w:pPr>
            <w:r w:rsidRPr="008C5F3C">
              <w:rPr>
                <w:rFonts w:cs="Arial"/>
              </w:rPr>
              <w:t xml:space="preserve">The </w:t>
            </w:r>
            <w:r w:rsidR="003670BC">
              <w:rPr>
                <w:rFonts w:cs="Arial"/>
              </w:rPr>
              <w:t>Service</w:t>
            </w:r>
            <w:r w:rsidRPr="008C5F3C">
              <w:rPr>
                <w:rFonts w:cs="Arial"/>
              </w:rPr>
              <w:t xml:space="preserve"> will be delivered within the Derby, Derbyshire</w:t>
            </w:r>
            <w:r w:rsidR="00F72252">
              <w:rPr>
                <w:rFonts w:cs="Arial"/>
              </w:rPr>
              <w:t>, Nottingham</w:t>
            </w:r>
            <w:r w:rsidRPr="008C5F3C">
              <w:rPr>
                <w:rFonts w:cs="Arial"/>
              </w:rPr>
              <w:t xml:space="preserve"> and Nottinghamshire area.</w:t>
            </w:r>
          </w:p>
          <w:p w14:paraId="14EF7F7A" w14:textId="77777777" w:rsidR="00D65DF1" w:rsidRPr="008C5F3C" w:rsidRDefault="00D65DF1" w:rsidP="00D65DF1">
            <w:pPr>
              <w:autoSpaceDE w:val="0"/>
              <w:autoSpaceDN w:val="0"/>
              <w:adjustRightInd w:val="0"/>
              <w:rPr>
                <w:rFonts w:cs="Arial"/>
              </w:rPr>
            </w:pPr>
          </w:p>
          <w:p w14:paraId="14EF7F7B" w14:textId="64C19CBA" w:rsidR="00D65DF1" w:rsidRPr="00575A95" w:rsidRDefault="00415D64" w:rsidP="00575A95">
            <w:pPr>
              <w:autoSpaceDE w:val="0"/>
              <w:autoSpaceDN w:val="0"/>
              <w:adjustRightInd w:val="0"/>
              <w:rPr>
                <w:rFonts w:cs="Arial"/>
                <w:b/>
              </w:rPr>
            </w:pPr>
            <w:r>
              <w:rPr>
                <w:rFonts w:cs="Arial"/>
                <w:b/>
              </w:rPr>
              <w:t>Theme</w:t>
            </w:r>
            <w:r w:rsidR="00D65DF1" w:rsidRPr="008C5F3C">
              <w:rPr>
                <w:rFonts w:cs="Arial"/>
                <w:b/>
              </w:rPr>
              <w:t xml:space="preserve"> 1</w:t>
            </w:r>
            <w:r>
              <w:rPr>
                <w:rFonts w:cs="Arial"/>
                <w:b/>
              </w:rPr>
              <w:t xml:space="preserve"> and Theme</w:t>
            </w:r>
            <w:r w:rsidR="00BC714B">
              <w:rPr>
                <w:rFonts w:cs="Arial"/>
                <w:b/>
              </w:rPr>
              <w:t xml:space="preserve"> 2</w:t>
            </w:r>
            <w:r w:rsidR="00D65DF1" w:rsidRPr="008C5F3C">
              <w:rPr>
                <w:rFonts w:cs="Arial"/>
                <w:b/>
              </w:rPr>
              <w:t xml:space="preserve">:  Derby, Derbyshire, Nottingham and Nottinghamshire  </w:t>
            </w:r>
            <w:r w:rsidR="00D65DF1" w:rsidRPr="008C5F3C">
              <w:rPr>
                <w:rFonts w:cs="Arial"/>
              </w:rPr>
              <w:t xml:space="preserve">(to support local authority areas: Derby, South Derbyshire, Erewash, Amber Valley, North East Derbyshire, Chesterfield, Bolsover, High Peak, Derbyshire Dale, Nottingham, Bassetlaw, Newark and Sherwood, Mansfield, Gedling, Broxtowe, Ashfield, Rushcliffe. </w:t>
            </w:r>
          </w:p>
          <w:p w14:paraId="14EF7F7C" w14:textId="77777777" w:rsidR="00D65DF1" w:rsidRPr="008C5F3C" w:rsidRDefault="00D65DF1" w:rsidP="00C82916">
            <w:pPr>
              <w:autoSpaceDE w:val="0"/>
              <w:autoSpaceDN w:val="0"/>
              <w:adjustRightInd w:val="0"/>
            </w:pPr>
          </w:p>
        </w:tc>
      </w:tr>
      <w:tr w:rsidR="00967429" w:rsidRPr="008C5F3C" w14:paraId="14EF7F7F" w14:textId="77777777" w:rsidTr="00C97A8A">
        <w:trPr>
          <w:trHeight w:val="567"/>
        </w:trPr>
        <w:tc>
          <w:tcPr>
            <w:tcW w:w="9088" w:type="dxa"/>
            <w:shd w:val="clear" w:color="auto" w:fill="D9D9D9" w:themeFill="background1" w:themeFillShade="D9"/>
            <w:vAlign w:val="center"/>
          </w:tcPr>
          <w:p w14:paraId="14EF7F7E" w14:textId="77777777" w:rsidR="00967429" w:rsidRPr="008C5F3C" w:rsidRDefault="00A005EF" w:rsidP="00DA3E5E">
            <w:pPr>
              <w:spacing w:before="120" w:after="120"/>
              <w:rPr>
                <w:b/>
                <w:bCs/>
              </w:rPr>
            </w:pPr>
            <w:r w:rsidRPr="008C5F3C">
              <w:rPr>
                <w:b/>
              </w:rPr>
              <w:t>FUNDING AND DELIVERABLES</w:t>
            </w:r>
          </w:p>
        </w:tc>
      </w:tr>
      <w:tr w:rsidR="00967429" w:rsidRPr="00EF4406" w14:paraId="14EF8016" w14:textId="77777777" w:rsidTr="00575A95">
        <w:trPr>
          <w:trHeight w:val="1408"/>
        </w:trPr>
        <w:tc>
          <w:tcPr>
            <w:tcW w:w="9088" w:type="dxa"/>
            <w:shd w:val="clear" w:color="auto" w:fill="auto"/>
          </w:tcPr>
          <w:p w14:paraId="14EF7F80" w14:textId="77777777" w:rsidR="007E7731" w:rsidRPr="008C5F3C" w:rsidRDefault="007E7731" w:rsidP="00A005EF">
            <w:pPr>
              <w:rPr>
                <w:rFonts w:cs="Arial"/>
              </w:rPr>
            </w:pPr>
          </w:p>
          <w:p w14:paraId="14EF7F81" w14:textId="77777777" w:rsidR="007E7731" w:rsidRPr="008C5F3C" w:rsidRDefault="007E7731" w:rsidP="00A005EF">
            <w:pPr>
              <w:rPr>
                <w:rFonts w:cs="Arial"/>
                <w:b/>
              </w:rPr>
            </w:pPr>
            <w:r w:rsidRPr="008C5F3C">
              <w:rPr>
                <w:rFonts w:cs="Arial"/>
                <w:b/>
              </w:rPr>
              <w:t>LEP Specific</w:t>
            </w:r>
          </w:p>
          <w:p w14:paraId="14EF7F82" w14:textId="77777777" w:rsidR="007E7731" w:rsidRPr="008C5F3C" w:rsidRDefault="007E7731" w:rsidP="00A005EF">
            <w:pPr>
              <w:rPr>
                <w:rFonts w:cs="Arial"/>
              </w:rPr>
            </w:pPr>
          </w:p>
          <w:p w14:paraId="14EF7F83" w14:textId="77777777" w:rsidR="00315DD7" w:rsidRPr="00575A95" w:rsidRDefault="00315DD7" w:rsidP="00315DD7">
            <w:pPr>
              <w:rPr>
                <w:rFonts w:cs="Arial"/>
              </w:rPr>
            </w:pPr>
            <w:r w:rsidRPr="00575A95">
              <w:rPr>
                <w:rFonts w:cs="Arial"/>
              </w:rPr>
              <w:t>The SKILLS Local programme will operate through a LEP-Led Governance Board which the successful Candidate will be responsible for reporting to through a steering group on a range of economic and performance metrics.</w:t>
            </w:r>
          </w:p>
          <w:p w14:paraId="14EF7F84" w14:textId="77777777" w:rsidR="00315DD7" w:rsidRPr="008C5F3C" w:rsidRDefault="00315DD7" w:rsidP="0070530B">
            <w:pPr>
              <w:rPr>
                <w:rFonts w:cs="Arial"/>
              </w:rPr>
            </w:pPr>
          </w:p>
          <w:p w14:paraId="14EF7F85" w14:textId="77777777" w:rsidR="00BC714B" w:rsidRDefault="0070530B" w:rsidP="0070530B">
            <w:pPr>
              <w:rPr>
                <w:rFonts w:cs="Arial"/>
              </w:rPr>
            </w:pPr>
            <w:r w:rsidRPr="008C5F3C">
              <w:rPr>
                <w:rFonts w:cs="Arial"/>
              </w:rPr>
              <w:t>The funding available under this priority</w:t>
            </w:r>
            <w:r w:rsidR="00BC714B">
              <w:rPr>
                <w:rFonts w:cs="Arial"/>
              </w:rPr>
              <w:t>:</w:t>
            </w:r>
          </w:p>
          <w:p w14:paraId="14EF7F86" w14:textId="77777777" w:rsidR="00BC714B" w:rsidRDefault="00BC714B" w:rsidP="0070530B">
            <w:pPr>
              <w:rPr>
                <w:rFonts w:cs="Arial"/>
              </w:rPr>
            </w:pPr>
          </w:p>
          <w:p w14:paraId="14EF7F87" w14:textId="4C411ACD" w:rsidR="00BC714B" w:rsidRDefault="00415D64" w:rsidP="0070530B">
            <w:pPr>
              <w:rPr>
                <w:rFonts w:cs="Arial"/>
              </w:rPr>
            </w:pPr>
            <w:r>
              <w:rPr>
                <w:rFonts w:cs="Arial"/>
                <w:b/>
              </w:rPr>
              <w:t>Theme</w:t>
            </w:r>
            <w:r w:rsidR="00BC714B" w:rsidRPr="00575A95">
              <w:rPr>
                <w:rFonts w:cs="Arial"/>
                <w:b/>
              </w:rPr>
              <w:t xml:space="preserve"> 1</w:t>
            </w:r>
            <w:r w:rsidR="00961C6F">
              <w:rPr>
                <w:rFonts w:cs="Arial"/>
              </w:rPr>
              <w:t xml:space="preserve"> is £3,528,000 initially.  Up to an additional £1,176,000 will be available during the lifetime of the contract and may be awarded depending on delivery of targets/actual financial spend at performance management review by the D2N2 LEP Governance.</w:t>
            </w:r>
          </w:p>
          <w:p w14:paraId="14EF7F88" w14:textId="77777777" w:rsidR="00961C6F" w:rsidRDefault="00961C6F" w:rsidP="0070530B">
            <w:pPr>
              <w:rPr>
                <w:rFonts w:cs="Arial"/>
              </w:rPr>
            </w:pPr>
          </w:p>
          <w:p w14:paraId="14EF7F89" w14:textId="6029E0A6" w:rsidR="00BC714B" w:rsidRDefault="00415D64" w:rsidP="0070530B">
            <w:pPr>
              <w:rPr>
                <w:rFonts w:cs="Arial"/>
              </w:rPr>
            </w:pPr>
            <w:r>
              <w:rPr>
                <w:rFonts w:cs="Arial"/>
                <w:b/>
              </w:rPr>
              <w:t>Theme</w:t>
            </w:r>
            <w:r w:rsidR="00BC714B" w:rsidRPr="00575A95">
              <w:rPr>
                <w:rFonts w:cs="Arial"/>
                <w:b/>
              </w:rPr>
              <w:t xml:space="preserve"> 2</w:t>
            </w:r>
            <w:r w:rsidR="00961C6F">
              <w:rPr>
                <w:rFonts w:cs="Arial"/>
              </w:rPr>
              <w:t xml:space="preserve"> is £1,197,000 initially.  Up to an additional £399,000 will be available during the lifetime of the contract and may be awarded depending on delivery of targets/actual financial spend at performance management review by the D2N2 LEP Governance.</w:t>
            </w:r>
          </w:p>
          <w:p w14:paraId="14EF7F8A" w14:textId="77777777" w:rsidR="00BC714B" w:rsidRDefault="00BC714B" w:rsidP="0070530B">
            <w:pPr>
              <w:rPr>
                <w:rFonts w:cs="Arial"/>
              </w:rPr>
            </w:pPr>
          </w:p>
          <w:p w14:paraId="14EF7F8B" w14:textId="25992B4B" w:rsidR="00A005EF" w:rsidRPr="008C5F3C" w:rsidRDefault="00BF3B2B" w:rsidP="00A005EF">
            <w:pPr>
              <w:rPr>
                <w:rFonts w:cs="Arial"/>
              </w:rPr>
            </w:pPr>
            <w:r w:rsidRPr="008C5F3C">
              <w:rPr>
                <w:rFonts w:cs="Arial"/>
              </w:rPr>
              <w:t>The funding available</w:t>
            </w:r>
            <w:r w:rsidR="0070530B" w:rsidRPr="008C5F3C" w:rsidDel="0070530B">
              <w:rPr>
                <w:rFonts w:cs="Arial"/>
              </w:rPr>
              <w:t xml:space="preserve"> </w:t>
            </w:r>
            <w:r w:rsidR="0070530B" w:rsidRPr="008C5F3C">
              <w:rPr>
                <w:rFonts w:cs="Arial"/>
              </w:rPr>
              <w:t xml:space="preserve">is </w:t>
            </w:r>
            <w:r w:rsidR="00C107CE" w:rsidRPr="008C5F3C">
              <w:rPr>
                <w:rFonts w:cs="Arial"/>
              </w:rPr>
              <w:t xml:space="preserve">for the period from </w:t>
            </w:r>
            <w:r w:rsidR="003670BC">
              <w:rPr>
                <w:rFonts w:cs="Arial"/>
              </w:rPr>
              <w:t>September</w:t>
            </w:r>
            <w:r w:rsidR="006A28A1" w:rsidRPr="008C5F3C">
              <w:rPr>
                <w:rFonts w:cs="Arial"/>
              </w:rPr>
              <w:t xml:space="preserve"> 2016</w:t>
            </w:r>
            <w:r w:rsidR="00C107CE" w:rsidRPr="008C5F3C">
              <w:rPr>
                <w:rFonts w:cs="Arial"/>
              </w:rPr>
              <w:t xml:space="preserve"> to </w:t>
            </w:r>
            <w:r w:rsidR="006A28A1" w:rsidRPr="008C5F3C">
              <w:rPr>
                <w:rFonts w:cs="Arial"/>
              </w:rPr>
              <w:t>March 2018</w:t>
            </w:r>
            <w:r w:rsidR="00575A95">
              <w:rPr>
                <w:rFonts w:cs="Arial"/>
              </w:rPr>
              <w:t>.  Th</w:t>
            </w:r>
            <w:r w:rsidR="00C107CE" w:rsidRPr="008C5F3C">
              <w:rPr>
                <w:rFonts w:cs="Arial"/>
              </w:rPr>
              <w:t xml:space="preserve">is </w:t>
            </w:r>
            <w:r w:rsidR="009552C2" w:rsidRPr="008C5F3C">
              <w:rPr>
                <w:rFonts w:cs="Arial"/>
              </w:rPr>
              <w:t xml:space="preserve">may be increased if </w:t>
            </w:r>
            <w:r w:rsidR="00475879" w:rsidRPr="008C5F3C">
              <w:rPr>
                <w:rFonts w:cs="Arial"/>
              </w:rPr>
              <w:t>additional funding</w:t>
            </w:r>
            <w:r w:rsidR="009552C2" w:rsidRPr="008C5F3C">
              <w:rPr>
                <w:rFonts w:cs="Arial"/>
              </w:rPr>
              <w:t xml:space="preserve"> becomes available</w:t>
            </w:r>
            <w:r w:rsidR="00C107CE" w:rsidRPr="008C5F3C">
              <w:rPr>
                <w:rFonts w:cs="Arial"/>
              </w:rPr>
              <w:t>.</w:t>
            </w:r>
          </w:p>
          <w:p w14:paraId="14EF7F8C" w14:textId="77777777" w:rsidR="00A005EF" w:rsidRPr="008C5F3C" w:rsidRDefault="00A005EF" w:rsidP="00A005EF">
            <w:pPr>
              <w:rPr>
                <w:b/>
              </w:rPr>
            </w:pPr>
          </w:p>
          <w:p w14:paraId="14EF7F8D" w14:textId="77777777" w:rsidR="00394F36" w:rsidRPr="008C5F3C" w:rsidRDefault="00394F36" w:rsidP="00394F36">
            <w:pPr>
              <w:rPr>
                <w:rFonts w:cs="Arial"/>
              </w:rPr>
            </w:pPr>
            <w:r w:rsidRPr="008C5F3C">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w:t>
            </w:r>
            <w:r w:rsidRPr="008C5F3C">
              <w:rPr>
                <w:rFonts w:cs="Arial"/>
              </w:rPr>
              <w:lastRenderedPageBreak/>
              <w:t xml:space="preserve">deliver the appropriate education &amp; training for each participant to enable them to progress. </w:t>
            </w:r>
          </w:p>
          <w:p w14:paraId="14EF7F8E" w14:textId="77777777" w:rsidR="00394F36" w:rsidRPr="008C5F3C" w:rsidRDefault="00394F36" w:rsidP="00A005EF">
            <w:pPr>
              <w:rPr>
                <w:b/>
              </w:rPr>
            </w:pPr>
          </w:p>
          <w:p w14:paraId="14EF7F8F" w14:textId="77777777" w:rsidR="00A005EF" w:rsidRPr="008C5F3C" w:rsidRDefault="00A005EF" w:rsidP="00A005EF">
            <w:pPr>
              <w:autoSpaceDE w:val="0"/>
              <w:autoSpaceDN w:val="0"/>
              <w:adjustRightInd w:val="0"/>
              <w:rPr>
                <w:rFonts w:cs="Arial"/>
              </w:rPr>
            </w:pPr>
            <w:r w:rsidRPr="008C5F3C">
              <w:rPr>
                <w:rFonts w:cs="Arial"/>
              </w:rPr>
              <w:t>The minimum service deliverables</w:t>
            </w:r>
            <w:r w:rsidR="00FD3B0A" w:rsidRPr="008C5F3C">
              <w:rPr>
                <w:rFonts w:cs="Arial"/>
              </w:rPr>
              <w:t>,</w:t>
            </w:r>
            <w:r w:rsidRPr="008C5F3C">
              <w:rPr>
                <w:rFonts w:cs="Arial"/>
              </w:rPr>
              <w:t xml:space="preserve"> </w:t>
            </w:r>
            <w:r w:rsidR="007E7731" w:rsidRPr="008C5F3C">
              <w:rPr>
                <w:rFonts w:cs="Arial"/>
              </w:rPr>
              <w:t xml:space="preserve">values and volumes </w:t>
            </w:r>
            <w:r w:rsidRPr="008C5F3C">
              <w:rPr>
                <w:rFonts w:cs="Arial"/>
              </w:rPr>
              <w:t>for which evidence must be provided are:</w:t>
            </w:r>
          </w:p>
          <w:p w14:paraId="14EF7F90" w14:textId="77777777" w:rsidR="00C107CE" w:rsidRDefault="00C107CE" w:rsidP="00A005EF">
            <w:pPr>
              <w:autoSpaceDE w:val="0"/>
              <w:autoSpaceDN w:val="0"/>
              <w:adjustRightInd w:val="0"/>
              <w:rPr>
                <w:rFonts w:cs="Arial"/>
              </w:rPr>
            </w:pPr>
          </w:p>
          <w:p w14:paraId="14EF7F91" w14:textId="3EE246CE" w:rsidR="00F714EC" w:rsidRDefault="00415D64" w:rsidP="00A005EF">
            <w:pPr>
              <w:autoSpaceDE w:val="0"/>
              <w:autoSpaceDN w:val="0"/>
              <w:adjustRightInd w:val="0"/>
            </w:pPr>
            <w:r>
              <w:rPr>
                <w:rFonts w:cs="Arial"/>
              </w:rPr>
              <w:t>Theme</w:t>
            </w:r>
            <w:r w:rsidR="00F714EC">
              <w:rPr>
                <w:rFonts w:cs="Arial"/>
              </w:rPr>
              <w:t xml:space="preserve"> 1</w:t>
            </w:r>
            <w:r w:rsidR="007B2848">
              <w:rPr>
                <w:rFonts w:cs="Arial"/>
              </w:rPr>
              <w:t xml:space="preserve"> - </w:t>
            </w:r>
            <w:r w:rsidR="007B2848" w:rsidRPr="00A14155">
              <w:t>Supporting Workforce Development and Business Growth</w:t>
            </w:r>
            <w:r w:rsidR="00575A95">
              <w:t xml:space="preserve"> £3,528,000</w:t>
            </w:r>
          </w:p>
          <w:p w14:paraId="14EF7F92" w14:textId="77777777" w:rsidR="0007540E" w:rsidRDefault="0007540E" w:rsidP="00A005EF">
            <w:pPr>
              <w:autoSpaceDE w:val="0"/>
              <w:autoSpaceDN w:val="0"/>
              <w:adjustRightInd w:val="0"/>
            </w:pPr>
          </w:p>
          <w:tbl>
            <w:tblPr>
              <w:tblW w:w="8926" w:type="dxa"/>
              <w:tblLayout w:type="fixed"/>
              <w:tblLook w:val="04A0" w:firstRow="1" w:lastRow="0" w:firstColumn="1" w:lastColumn="0" w:noHBand="0" w:noVBand="1"/>
            </w:tblPr>
            <w:tblGrid>
              <w:gridCol w:w="4957"/>
              <w:gridCol w:w="1275"/>
              <w:gridCol w:w="1418"/>
              <w:gridCol w:w="1276"/>
            </w:tblGrid>
            <w:tr w:rsidR="0007540E" w:rsidRPr="005A7E84" w14:paraId="14EF7F97" w14:textId="77777777" w:rsidTr="0007540E">
              <w:trPr>
                <w:trHeight w:val="84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F7F93" w14:textId="77777777" w:rsidR="0007540E" w:rsidRPr="005A7E84" w:rsidRDefault="0007540E" w:rsidP="0007540E">
                  <w:pPr>
                    <w:rPr>
                      <w:rFonts w:cs="Arial"/>
                      <w:b/>
                      <w:bCs/>
                      <w:sz w:val="20"/>
                      <w:szCs w:val="20"/>
                      <w:lang w:eastAsia="en-GB"/>
                    </w:rPr>
                  </w:pPr>
                  <w:r w:rsidRPr="005A7E84">
                    <w:rPr>
                      <w:rFonts w:cs="Arial"/>
                      <w:b/>
                      <w:bCs/>
                      <w:sz w:val="20"/>
                      <w:szCs w:val="20"/>
                      <w:lang w:eastAsia="en-GB"/>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F7F94" w14:textId="77777777" w:rsidR="0007540E" w:rsidRPr="005A7E84" w:rsidRDefault="0007540E" w:rsidP="0007540E">
                  <w:pPr>
                    <w:jc w:val="center"/>
                    <w:rPr>
                      <w:rFonts w:cs="Arial"/>
                      <w:b/>
                      <w:bCs/>
                      <w:sz w:val="20"/>
                      <w:szCs w:val="20"/>
                      <w:lang w:eastAsia="en-GB"/>
                    </w:rPr>
                  </w:pPr>
                  <w:r w:rsidRPr="005A7E84">
                    <w:rPr>
                      <w:rFonts w:cs="Arial"/>
                      <w:b/>
                      <w:bCs/>
                      <w:sz w:val="20"/>
                      <w:szCs w:val="20"/>
                      <w:lang w:eastAsia="en-GB"/>
                    </w:rPr>
                    <w:t>Volumes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EF7F95" w14:textId="77777777" w:rsidR="0007540E" w:rsidRPr="005A7E84" w:rsidRDefault="0007540E" w:rsidP="0007540E">
                  <w:pPr>
                    <w:jc w:val="center"/>
                    <w:rPr>
                      <w:rFonts w:cs="Arial"/>
                      <w:b/>
                      <w:bCs/>
                      <w:sz w:val="20"/>
                      <w:szCs w:val="20"/>
                      <w:lang w:eastAsia="en-GB"/>
                    </w:rPr>
                  </w:pPr>
                  <w:r w:rsidRPr="005A7E84">
                    <w:rPr>
                      <w:rFonts w:cs="Arial"/>
                      <w:b/>
                      <w:bCs/>
                      <w:sz w:val="20"/>
                      <w:szCs w:val="20"/>
                      <w:lang w:eastAsia="en-GB"/>
                    </w:rPr>
                    <w:t>Unit Cost Total Value Average per Intervention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EF7F96" w14:textId="77777777" w:rsidR="0007540E" w:rsidRPr="005A7E84" w:rsidRDefault="0007540E" w:rsidP="0007540E">
                  <w:pPr>
                    <w:jc w:val="center"/>
                    <w:rPr>
                      <w:rFonts w:cs="Arial"/>
                      <w:b/>
                      <w:bCs/>
                      <w:sz w:val="20"/>
                      <w:szCs w:val="20"/>
                      <w:lang w:eastAsia="en-GB"/>
                    </w:rPr>
                  </w:pPr>
                  <w:r w:rsidRPr="005A7E84">
                    <w:rPr>
                      <w:rFonts w:cs="Arial"/>
                      <w:b/>
                      <w:bCs/>
                      <w:sz w:val="20"/>
                      <w:szCs w:val="20"/>
                      <w:lang w:eastAsia="en-GB"/>
                    </w:rPr>
                    <w:t>£</w:t>
                  </w:r>
                </w:p>
              </w:tc>
            </w:tr>
            <w:tr w:rsidR="0007540E" w:rsidRPr="005A7E84" w14:paraId="14EF7F9C" w14:textId="77777777" w:rsidTr="0007540E">
              <w:trPr>
                <w:trHeight w:val="300"/>
              </w:trPr>
              <w:tc>
                <w:tcPr>
                  <w:tcW w:w="495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EF7F98" w14:textId="77777777" w:rsidR="0007540E" w:rsidRPr="005A7E84" w:rsidRDefault="0007540E" w:rsidP="0007540E">
                  <w:pPr>
                    <w:rPr>
                      <w:rFonts w:cs="Arial"/>
                      <w:sz w:val="20"/>
                      <w:szCs w:val="20"/>
                      <w:lang w:eastAsia="en-GB"/>
                    </w:rPr>
                  </w:pPr>
                  <w:r w:rsidRPr="005A7E84">
                    <w:rPr>
                      <w:rFonts w:cs="Arial"/>
                      <w:sz w:val="20"/>
                      <w:szCs w:val="20"/>
                      <w:lang w:eastAsia="en-GB"/>
                    </w:rPr>
                    <w:t>SD01 SME Engagement (initial TNA and IAG)</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EF7F99" w14:textId="77777777" w:rsidR="0007540E" w:rsidRPr="005A7E84" w:rsidRDefault="0007540E" w:rsidP="0007540E">
                  <w:pPr>
                    <w:jc w:val="center"/>
                    <w:rPr>
                      <w:rFonts w:cs="Arial"/>
                      <w:sz w:val="20"/>
                      <w:szCs w:val="20"/>
                      <w:lang w:eastAsia="en-GB"/>
                    </w:rPr>
                  </w:pPr>
                  <w:r>
                    <w:rPr>
                      <w:rFonts w:cs="Arial"/>
                      <w:sz w:val="20"/>
                      <w:szCs w:val="20"/>
                      <w:lang w:eastAsia="en-GB"/>
                    </w:rPr>
                    <w:t>1065</w:t>
                  </w:r>
                </w:p>
              </w:tc>
              <w:tc>
                <w:tcPr>
                  <w:tcW w:w="1418" w:type="dxa"/>
                  <w:tcBorders>
                    <w:top w:val="single" w:sz="4" w:space="0" w:color="auto"/>
                    <w:left w:val="nil"/>
                    <w:bottom w:val="single" w:sz="4" w:space="0" w:color="auto"/>
                    <w:right w:val="single" w:sz="4" w:space="0" w:color="auto"/>
                  </w:tcBorders>
                  <w:shd w:val="clear" w:color="D9D9D9" w:fill="D9D9D9"/>
                  <w:noWrap/>
                  <w:vAlign w:val="center"/>
                  <w:hideMark/>
                </w:tcPr>
                <w:p w14:paraId="14EF7F9A" w14:textId="77777777" w:rsidR="0007540E" w:rsidRPr="005A7E84" w:rsidRDefault="0007540E" w:rsidP="0007540E">
                  <w:pPr>
                    <w:jc w:val="center"/>
                    <w:rPr>
                      <w:rFonts w:cs="Arial"/>
                      <w:sz w:val="20"/>
                      <w:szCs w:val="20"/>
                      <w:lang w:eastAsia="en-GB"/>
                    </w:rPr>
                  </w:pPr>
                  <w:r w:rsidRPr="005A7E84">
                    <w:rPr>
                      <w:rFonts w:cs="Arial"/>
                      <w:sz w:val="20"/>
                      <w:szCs w:val="20"/>
                      <w:lang w:eastAsia="en-GB"/>
                    </w:rPr>
                    <w:t>£50</w:t>
                  </w:r>
                </w:p>
              </w:tc>
              <w:tc>
                <w:tcPr>
                  <w:tcW w:w="1276" w:type="dxa"/>
                  <w:tcBorders>
                    <w:top w:val="single" w:sz="4" w:space="0" w:color="auto"/>
                    <w:left w:val="nil"/>
                    <w:bottom w:val="single" w:sz="4" w:space="0" w:color="auto"/>
                    <w:right w:val="single" w:sz="4" w:space="0" w:color="auto"/>
                  </w:tcBorders>
                  <w:shd w:val="clear" w:color="D9D9D9" w:fill="D9D9D9"/>
                  <w:noWrap/>
                  <w:vAlign w:val="center"/>
                  <w:hideMark/>
                </w:tcPr>
                <w:p w14:paraId="14EF7F9B" w14:textId="77777777" w:rsidR="0007540E" w:rsidRPr="005A7E84" w:rsidRDefault="0007540E" w:rsidP="0007540E">
                  <w:pPr>
                    <w:jc w:val="center"/>
                    <w:rPr>
                      <w:rFonts w:cs="Arial"/>
                      <w:sz w:val="20"/>
                      <w:szCs w:val="20"/>
                      <w:lang w:eastAsia="en-GB"/>
                    </w:rPr>
                  </w:pPr>
                  <w:r w:rsidRPr="005A7E84">
                    <w:rPr>
                      <w:rFonts w:cs="Arial"/>
                      <w:sz w:val="20"/>
                      <w:szCs w:val="20"/>
                      <w:lang w:eastAsia="en-GB"/>
                    </w:rPr>
                    <w:t>£53,250</w:t>
                  </w:r>
                </w:p>
              </w:tc>
            </w:tr>
            <w:tr w:rsidR="0007540E" w:rsidRPr="005A7E84" w14:paraId="14EF7FA1" w14:textId="77777777" w:rsidTr="000325AF">
              <w:trPr>
                <w:trHeight w:val="288"/>
              </w:trPr>
              <w:tc>
                <w:tcPr>
                  <w:tcW w:w="495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4EF7F9D" w14:textId="77777777" w:rsidR="0007540E" w:rsidRPr="005A7E84" w:rsidRDefault="0007540E" w:rsidP="0007540E">
                  <w:pPr>
                    <w:rPr>
                      <w:rFonts w:cs="Arial"/>
                      <w:sz w:val="20"/>
                      <w:szCs w:val="20"/>
                      <w:lang w:eastAsia="en-GB"/>
                    </w:rPr>
                  </w:pPr>
                  <w:r w:rsidRPr="005A7E84">
                    <w:rPr>
                      <w:rFonts w:cs="Arial"/>
                      <w:sz w:val="20"/>
                      <w:szCs w:val="20"/>
                      <w:lang w:eastAsia="en-GB"/>
                    </w:rPr>
                    <w:t xml:space="preserve">SD02 Workforce Development Skills Plan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F7F9E" w14:textId="77777777" w:rsidR="0007540E" w:rsidRPr="005A7E84" w:rsidRDefault="0007540E" w:rsidP="0007540E">
                  <w:pPr>
                    <w:jc w:val="center"/>
                    <w:rPr>
                      <w:rFonts w:cs="Arial"/>
                      <w:sz w:val="20"/>
                      <w:szCs w:val="20"/>
                      <w:lang w:eastAsia="en-GB"/>
                    </w:rPr>
                  </w:pPr>
                  <w:r>
                    <w:rPr>
                      <w:rFonts w:cs="Arial"/>
                      <w:sz w:val="20"/>
                      <w:szCs w:val="20"/>
                      <w:lang w:eastAsia="en-GB"/>
                    </w:rPr>
                    <w:t>1065</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9F" w14:textId="77777777" w:rsidR="0007540E" w:rsidRPr="005A7E84" w:rsidRDefault="0007540E" w:rsidP="0007540E">
                  <w:pPr>
                    <w:jc w:val="center"/>
                    <w:rPr>
                      <w:rFonts w:cs="Arial"/>
                      <w:sz w:val="20"/>
                      <w:szCs w:val="20"/>
                      <w:lang w:eastAsia="en-GB"/>
                    </w:rPr>
                  </w:pPr>
                  <w:r w:rsidRPr="005A7E84">
                    <w:rPr>
                      <w:rFonts w:cs="Arial"/>
                      <w:sz w:val="20"/>
                      <w:szCs w:val="20"/>
                      <w:lang w:eastAsia="en-GB"/>
                    </w:rPr>
                    <w:t>£150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A0" w14:textId="77777777" w:rsidR="0007540E" w:rsidRPr="005A7E84" w:rsidRDefault="0007540E" w:rsidP="0007540E">
                  <w:pPr>
                    <w:jc w:val="center"/>
                    <w:rPr>
                      <w:rFonts w:cs="Arial"/>
                      <w:sz w:val="20"/>
                      <w:szCs w:val="20"/>
                      <w:lang w:eastAsia="en-GB"/>
                    </w:rPr>
                  </w:pPr>
                  <w:r w:rsidRPr="005A7E84">
                    <w:rPr>
                      <w:rFonts w:cs="Arial"/>
                      <w:sz w:val="20"/>
                      <w:szCs w:val="20"/>
                      <w:lang w:eastAsia="en-GB"/>
                    </w:rPr>
                    <w:t>£159,750</w:t>
                  </w:r>
                </w:p>
              </w:tc>
            </w:tr>
            <w:tr w:rsidR="0007540E" w:rsidRPr="005A7E84" w14:paraId="14EF7FA6" w14:textId="77777777" w:rsidTr="000325AF">
              <w:trPr>
                <w:trHeight w:val="288"/>
              </w:trPr>
              <w:tc>
                <w:tcPr>
                  <w:tcW w:w="49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EF7FA2" w14:textId="77777777" w:rsidR="0007540E" w:rsidRPr="005A7E84" w:rsidRDefault="0007540E" w:rsidP="0007540E">
                  <w:pPr>
                    <w:rPr>
                      <w:rFonts w:cs="Arial"/>
                      <w:sz w:val="20"/>
                      <w:szCs w:val="20"/>
                      <w:lang w:eastAsia="en-GB"/>
                    </w:rPr>
                  </w:pPr>
                  <w:r w:rsidRPr="005A7E84">
                    <w:rPr>
                      <w:rFonts w:cs="Arial"/>
                      <w:sz w:val="20"/>
                      <w:szCs w:val="20"/>
                      <w:lang w:eastAsia="en-GB"/>
                    </w:rPr>
                    <w:t>ST01 Learner Assessment and Plan</w:t>
                  </w:r>
                </w:p>
              </w:tc>
              <w:tc>
                <w:tcPr>
                  <w:tcW w:w="1275" w:type="dxa"/>
                  <w:tcBorders>
                    <w:top w:val="nil"/>
                    <w:left w:val="single" w:sz="4" w:space="0" w:color="auto"/>
                    <w:bottom w:val="single" w:sz="4" w:space="0" w:color="auto"/>
                    <w:right w:val="single" w:sz="4" w:space="0" w:color="auto"/>
                  </w:tcBorders>
                  <w:shd w:val="clear" w:color="D9D9D9" w:fill="D9D9D9"/>
                  <w:vAlign w:val="center"/>
                  <w:hideMark/>
                </w:tcPr>
                <w:p w14:paraId="14EF7FA3" w14:textId="77777777" w:rsidR="0007540E" w:rsidRPr="005A7E84" w:rsidRDefault="0007540E" w:rsidP="0007540E">
                  <w:pPr>
                    <w:jc w:val="center"/>
                    <w:rPr>
                      <w:rFonts w:cs="Arial"/>
                      <w:sz w:val="20"/>
                      <w:szCs w:val="20"/>
                      <w:lang w:eastAsia="en-GB"/>
                    </w:rPr>
                  </w:pPr>
                  <w:r>
                    <w:rPr>
                      <w:rFonts w:cs="Arial"/>
                      <w:sz w:val="20"/>
                      <w:szCs w:val="20"/>
                      <w:lang w:eastAsia="en-GB"/>
                    </w:rPr>
                    <w:t>3525</w:t>
                  </w:r>
                </w:p>
              </w:tc>
              <w:tc>
                <w:tcPr>
                  <w:tcW w:w="1418" w:type="dxa"/>
                  <w:tcBorders>
                    <w:top w:val="nil"/>
                    <w:left w:val="nil"/>
                    <w:bottom w:val="single" w:sz="4" w:space="0" w:color="auto"/>
                    <w:right w:val="single" w:sz="4" w:space="0" w:color="auto"/>
                  </w:tcBorders>
                  <w:shd w:val="clear" w:color="D9D9D9" w:fill="D9D9D9"/>
                  <w:noWrap/>
                  <w:vAlign w:val="center"/>
                  <w:hideMark/>
                </w:tcPr>
                <w:p w14:paraId="14EF7FA4" w14:textId="77777777" w:rsidR="0007540E" w:rsidRPr="005A7E84" w:rsidRDefault="0007540E" w:rsidP="0007540E">
                  <w:pPr>
                    <w:jc w:val="center"/>
                    <w:rPr>
                      <w:rFonts w:cs="Arial"/>
                      <w:sz w:val="20"/>
                      <w:szCs w:val="20"/>
                      <w:lang w:eastAsia="en-GB"/>
                    </w:rPr>
                  </w:pPr>
                  <w:r w:rsidRPr="005A7E84">
                    <w:rPr>
                      <w:rFonts w:cs="Arial"/>
                      <w:sz w:val="20"/>
                      <w:szCs w:val="20"/>
                      <w:lang w:eastAsia="en-GB"/>
                    </w:rPr>
                    <w:t>£50</w:t>
                  </w:r>
                </w:p>
              </w:tc>
              <w:tc>
                <w:tcPr>
                  <w:tcW w:w="1276" w:type="dxa"/>
                  <w:tcBorders>
                    <w:top w:val="nil"/>
                    <w:left w:val="nil"/>
                    <w:bottom w:val="single" w:sz="4" w:space="0" w:color="auto"/>
                    <w:right w:val="single" w:sz="4" w:space="0" w:color="auto"/>
                  </w:tcBorders>
                  <w:shd w:val="clear" w:color="D9D9D9" w:fill="D9D9D9"/>
                  <w:noWrap/>
                  <w:vAlign w:val="center"/>
                  <w:hideMark/>
                </w:tcPr>
                <w:p w14:paraId="14EF7FA5" w14:textId="77777777" w:rsidR="0007540E" w:rsidRPr="005A7E84" w:rsidRDefault="0007540E" w:rsidP="0007540E">
                  <w:pPr>
                    <w:jc w:val="center"/>
                    <w:rPr>
                      <w:rFonts w:cs="Arial"/>
                      <w:sz w:val="20"/>
                      <w:szCs w:val="20"/>
                      <w:lang w:eastAsia="en-GB"/>
                    </w:rPr>
                  </w:pPr>
                  <w:r w:rsidRPr="005A7E84">
                    <w:rPr>
                      <w:rFonts w:cs="Arial"/>
                      <w:sz w:val="20"/>
                      <w:szCs w:val="20"/>
                      <w:lang w:eastAsia="en-GB"/>
                    </w:rPr>
                    <w:t>£176,250</w:t>
                  </w:r>
                </w:p>
              </w:tc>
            </w:tr>
            <w:tr w:rsidR="0007540E" w:rsidRPr="005A7E84" w14:paraId="14EF7FAB"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4EF7FA7" w14:textId="77777777" w:rsidR="0007540E" w:rsidRPr="005A7E84" w:rsidRDefault="0007540E" w:rsidP="0007540E">
                  <w:pPr>
                    <w:rPr>
                      <w:rFonts w:cs="Arial"/>
                      <w:sz w:val="20"/>
                      <w:szCs w:val="20"/>
                      <w:lang w:eastAsia="en-GB"/>
                    </w:rPr>
                  </w:pPr>
                  <w:r w:rsidRPr="005A7E84">
                    <w:rPr>
                      <w:rFonts w:cs="Arial"/>
                      <w:sz w:val="20"/>
                      <w:szCs w:val="20"/>
                      <w:lang w:eastAsia="en-GB"/>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F7FA8" w14:textId="77777777" w:rsidR="0007540E" w:rsidRPr="005A7E84" w:rsidRDefault="0007540E" w:rsidP="0007540E">
                  <w:pPr>
                    <w:jc w:val="center"/>
                    <w:rPr>
                      <w:rFonts w:cs="Arial"/>
                      <w:sz w:val="20"/>
                      <w:szCs w:val="20"/>
                      <w:lang w:eastAsia="en-GB"/>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A9" w14:textId="77777777" w:rsidR="0007540E" w:rsidRPr="005A7E84" w:rsidRDefault="0007540E" w:rsidP="0007540E">
                  <w:pPr>
                    <w:jc w:val="center"/>
                    <w:rPr>
                      <w:rFonts w:cs="Arial"/>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AA" w14:textId="77777777" w:rsidR="0007540E" w:rsidRPr="005A7E84" w:rsidRDefault="0007540E" w:rsidP="0007540E">
                  <w:pPr>
                    <w:jc w:val="center"/>
                    <w:rPr>
                      <w:rFonts w:cs="Arial"/>
                      <w:sz w:val="20"/>
                      <w:szCs w:val="20"/>
                      <w:lang w:eastAsia="en-GB"/>
                    </w:rPr>
                  </w:pPr>
                  <w:r w:rsidRPr="005A7E84">
                    <w:rPr>
                      <w:rFonts w:cs="Arial"/>
                      <w:sz w:val="20"/>
                      <w:szCs w:val="20"/>
                      <w:lang w:eastAsia="en-GB"/>
                    </w:rPr>
                    <w:t>£840,000</w:t>
                  </w:r>
                </w:p>
              </w:tc>
            </w:tr>
            <w:tr w:rsidR="0007540E" w:rsidRPr="005A7E84" w14:paraId="14EF7FB0" w14:textId="77777777" w:rsidTr="000325AF">
              <w:trPr>
                <w:trHeight w:val="288"/>
              </w:trPr>
              <w:tc>
                <w:tcPr>
                  <w:tcW w:w="495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4EF7FAC" w14:textId="77777777" w:rsidR="0007540E" w:rsidRPr="005A7E84" w:rsidRDefault="0007540E" w:rsidP="0007540E">
                  <w:pPr>
                    <w:rPr>
                      <w:rFonts w:cs="Arial"/>
                      <w:sz w:val="20"/>
                      <w:szCs w:val="20"/>
                      <w:lang w:eastAsia="en-GB"/>
                    </w:rPr>
                  </w:pPr>
                  <w:r w:rsidRPr="005A7E84">
                    <w:rPr>
                      <w:rFonts w:cs="Arial"/>
                      <w:sz w:val="20"/>
                      <w:szCs w:val="20"/>
                      <w:lang w:eastAsia="en-GB"/>
                    </w:rPr>
                    <w:t>NR01 Non Regulated Activity</w:t>
                  </w:r>
                </w:p>
              </w:tc>
              <w:tc>
                <w:tcPr>
                  <w:tcW w:w="1275" w:type="dxa"/>
                  <w:tcBorders>
                    <w:top w:val="nil"/>
                    <w:left w:val="single" w:sz="4" w:space="0" w:color="auto"/>
                    <w:bottom w:val="single" w:sz="4" w:space="0" w:color="auto"/>
                    <w:right w:val="single" w:sz="4" w:space="0" w:color="auto"/>
                  </w:tcBorders>
                  <w:shd w:val="clear" w:color="D9D9D9" w:fill="D9D9D9"/>
                  <w:vAlign w:val="center"/>
                  <w:hideMark/>
                </w:tcPr>
                <w:p w14:paraId="14EF7FAD" w14:textId="77777777" w:rsidR="0007540E" w:rsidRPr="005A7E84" w:rsidRDefault="0007540E" w:rsidP="0007540E">
                  <w:pPr>
                    <w:jc w:val="center"/>
                    <w:rPr>
                      <w:rFonts w:cs="Arial"/>
                      <w:sz w:val="20"/>
                      <w:szCs w:val="20"/>
                      <w:lang w:eastAsia="en-GB"/>
                    </w:rPr>
                  </w:pPr>
                </w:p>
              </w:tc>
              <w:tc>
                <w:tcPr>
                  <w:tcW w:w="1418" w:type="dxa"/>
                  <w:tcBorders>
                    <w:top w:val="nil"/>
                    <w:left w:val="nil"/>
                    <w:bottom w:val="single" w:sz="4" w:space="0" w:color="auto"/>
                    <w:right w:val="single" w:sz="4" w:space="0" w:color="auto"/>
                  </w:tcBorders>
                  <w:shd w:val="clear" w:color="D9D9D9" w:fill="D9D9D9"/>
                  <w:noWrap/>
                  <w:vAlign w:val="center"/>
                  <w:hideMark/>
                </w:tcPr>
                <w:p w14:paraId="14EF7FAE" w14:textId="77777777" w:rsidR="0007540E" w:rsidRPr="005A7E84" w:rsidRDefault="0007540E" w:rsidP="0007540E">
                  <w:pPr>
                    <w:jc w:val="center"/>
                    <w:rPr>
                      <w:rFonts w:cs="Arial"/>
                      <w:sz w:val="20"/>
                      <w:szCs w:val="20"/>
                      <w:lang w:eastAsia="en-GB"/>
                    </w:rPr>
                  </w:pPr>
                </w:p>
              </w:tc>
              <w:tc>
                <w:tcPr>
                  <w:tcW w:w="1276" w:type="dxa"/>
                  <w:tcBorders>
                    <w:top w:val="nil"/>
                    <w:left w:val="nil"/>
                    <w:bottom w:val="single" w:sz="4" w:space="0" w:color="auto"/>
                    <w:right w:val="single" w:sz="4" w:space="0" w:color="auto"/>
                  </w:tcBorders>
                  <w:shd w:val="clear" w:color="D9D9D9" w:fill="D9D9D9"/>
                  <w:noWrap/>
                  <w:vAlign w:val="center"/>
                  <w:hideMark/>
                </w:tcPr>
                <w:p w14:paraId="14EF7FAF" w14:textId="77777777" w:rsidR="0007540E" w:rsidRPr="005A7E84" w:rsidRDefault="0007540E" w:rsidP="0007540E">
                  <w:pPr>
                    <w:jc w:val="center"/>
                    <w:rPr>
                      <w:rFonts w:cs="Arial"/>
                      <w:sz w:val="20"/>
                      <w:szCs w:val="20"/>
                      <w:lang w:eastAsia="en-GB"/>
                    </w:rPr>
                  </w:pPr>
                  <w:r w:rsidRPr="005A7E84">
                    <w:rPr>
                      <w:rFonts w:cs="Arial"/>
                      <w:sz w:val="20"/>
                      <w:szCs w:val="20"/>
                      <w:lang w:eastAsia="en-GB"/>
                    </w:rPr>
                    <w:t>£1,627,500</w:t>
                  </w:r>
                </w:p>
              </w:tc>
            </w:tr>
            <w:tr w:rsidR="0007540E" w:rsidRPr="005A7E84" w14:paraId="14EF7FB5" w14:textId="77777777" w:rsidTr="000325AF">
              <w:trPr>
                <w:trHeight w:val="552"/>
              </w:trPr>
              <w:tc>
                <w:tcPr>
                  <w:tcW w:w="4957" w:type="dxa"/>
                  <w:tcBorders>
                    <w:top w:val="single" w:sz="4" w:space="0" w:color="auto"/>
                    <w:left w:val="single" w:sz="4" w:space="0" w:color="000000"/>
                    <w:bottom w:val="single" w:sz="4" w:space="0" w:color="auto"/>
                    <w:right w:val="single" w:sz="4" w:space="0" w:color="auto"/>
                  </w:tcBorders>
                  <w:shd w:val="clear" w:color="D9D9D9" w:fill="FFFFFF" w:themeFill="background1"/>
                  <w:vAlign w:val="center"/>
                  <w:hideMark/>
                </w:tcPr>
                <w:p w14:paraId="14EF7FB1" w14:textId="77777777" w:rsidR="0007540E" w:rsidRPr="005A7E84" w:rsidRDefault="0007540E" w:rsidP="0007540E">
                  <w:pPr>
                    <w:rPr>
                      <w:rFonts w:cs="Arial"/>
                      <w:sz w:val="20"/>
                      <w:szCs w:val="20"/>
                      <w:lang w:eastAsia="en-GB"/>
                    </w:rPr>
                  </w:pPr>
                  <w:r w:rsidRPr="005A7E84">
                    <w:rPr>
                      <w:rFonts w:cs="Arial"/>
                      <w:sz w:val="20"/>
                      <w:szCs w:val="20"/>
                      <w:lang w:eastAsia="en-GB"/>
                    </w:rPr>
                    <w:t>SD03 Coaching and Mentoring Support to employers for Apprentices of SKILLS Local</w:t>
                  </w:r>
                </w:p>
              </w:tc>
              <w:tc>
                <w:tcPr>
                  <w:tcW w:w="1275" w:type="dxa"/>
                  <w:tcBorders>
                    <w:top w:val="single" w:sz="4" w:space="0" w:color="auto"/>
                    <w:left w:val="single" w:sz="4" w:space="0" w:color="auto"/>
                    <w:bottom w:val="single" w:sz="4" w:space="0" w:color="auto"/>
                    <w:right w:val="single" w:sz="4" w:space="0" w:color="auto"/>
                  </w:tcBorders>
                  <w:shd w:val="clear" w:color="D9D9D9" w:fill="FFFFFF" w:themeFill="background1"/>
                  <w:vAlign w:val="center"/>
                  <w:hideMark/>
                </w:tcPr>
                <w:p w14:paraId="14EF7FB2" w14:textId="77777777" w:rsidR="0007540E" w:rsidRPr="005A7E84" w:rsidRDefault="0007540E" w:rsidP="0007540E">
                  <w:pPr>
                    <w:jc w:val="center"/>
                    <w:rPr>
                      <w:rFonts w:cs="Arial"/>
                      <w:sz w:val="20"/>
                      <w:szCs w:val="20"/>
                      <w:lang w:eastAsia="en-GB"/>
                    </w:rPr>
                  </w:pPr>
                  <w:r>
                    <w:rPr>
                      <w:rFonts w:cs="Arial"/>
                      <w:sz w:val="20"/>
                      <w:szCs w:val="20"/>
                      <w:lang w:eastAsia="en-GB"/>
                    </w:rPr>
                    <w:t>375</w:t>
                  </w:r>
                </w:p>
              </w:tc>
              <w:tc>
                <w:tcPr>
                  <w:tcW w:w="1418"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B3" w14:textId="77777777" w:rsidR="0007540E" w:rsidRPr="005A7E84" w:rsidRDefault="0007540E" w:rsidP="0007540E">
                  <w:pPr>
                    <w:jc w:val="center"/>
                    <w:rPr>
                      <w:rFonts w:cs="Arial"/>
                      <w:sz w:val="20"/>
                      <w:szCs w:val="20"/>
                      <w:lang w:eastAsia="en-GB"/>
                    </w:rPr>
                  </w:pPr>
                  <w:r w:rsidRPr="005A7E84">
                    <w:rPr>
                      <w:rFonts w:cs="Arial"/>
                      <w:sz w:val="20"/>
                      <w:szCs w:val="20"/>
                      <w:lang w:eastAsia="en-GB"/>
                    </w:rPr>
                    <w:t>£200</w:t>
                  </w:r>
                </w:p>
              </w:tc>
              <w:tc>
                <w:tcPr>
                  <w:tcW w:w="1276"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B4" w14:textId="77777777" w:rsidR="0007540E" w:rsidRPr="005A7E84" w:rsidRDefault="0007540E" w:rsidP="0007540E">
                  <w:pPr>
                    <w:jc w:val="center"/>
                    <w:rPr>
                      <w:rFonts w:cs="Arial"/>
                      <w:sz w:val="20"/>
                      <w:szCs w:val="20"/>
                      <w:lang w:eastAsia="en-GB"/>
                    </w:rPr>
                  </w:pPr>
                  <w:r w:rsidRPr="005A7E84">
                    <w:rPr>
                      <w:rFonts w:cs="Arial"/>
                      <w:sz w:val="20"/>
                      <w:szCs w:val="20"/>
                      <w:lang w:eastAsia="en-GB"/>
                    </w:rPr>
                    <w:t>£75,000</w:t>
                  </w:r>
                </w:p>
              </w:tc>
            </w:tr>
            <w:tr w:rsidR="0007540E" w:rsidRPr="005A7E84" w14:paraId="14EF7FBA" w14:textId="77777777" w:rsidTr="000325AF">
              <w:trPr>
                <w:trHeight w:val="552"/>
              </w:trPr>
              <w:tc>
                <w:tcPr>
                  <w:tcW w:w="495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hideMark/>
                </w:tcPr>
                <w:p w14:paraId="14EF7FB6" w14:textId="77777777" w:rsidR="0007540E" w:rsidRPr="005A7E84" w:rsidRDefault="0007540E" w:rsidP="0007540E">
                  <w:pPr>
                    <w:rPr>
                      <w:rFonts w:cs="Arial"/>
                      <w:sz w:val="20"/>
                      <w:szCs w:val="20"/>
                      <w:lang w:eastAsia="en-GB"/>
                    </w:rPr>
                  </w:pPr>
                  <w:r w:rsidRPr="005A7E84">
                    <w:rPr>
                      <w:rFonts w:cs="Arial"/>
                      <w:sz w:val="20"/>
                      <w:szCs w:val="20"/>
                      <w:lang w:eastAsia="en-GB"/>
                    </w:rPr>
                    <w:t>SD04 Employer Incentive - when ROI or business growth of 5% can be evidenced</w:t>
                  </w:r>
                </w:p>
              </w:tc>
              <w:tc>
                <w:tcPr>
                  <w:tcW w:w="1275" w:type="dxa"/>
                  <w:tcBorders>
                    <w:top w:val="nil"/>
                    <w:left w:val="single" w:sz="4" w:space="0" w:color="auto"/>
                    <w:bottom w:val="single" w:sz="4" w:space="0" w:color="auto"/>
                    <w:right w:val="single" w:sz="4" w:space="0" w:color="auto"/>
                  </w:tcBorders>
                  <w:shd w:val="clear" w:color="D9D9D9" w:fill="D9D9D9"/>
                  <w:vAlign w:val="center"/>
                  <w:hideMark/>
                </w:tcPr>
                <w:p w14:paraId="14EF7FB7" w14:textId="77777777" w:rsidR="0007540E" w:rsidRPr="005A7E84" w:rsidRDefault="0007540E" w:rsidP="0007540E">
                  <w:pPr>
                    <w:jc w:val="center"/>
                    <w:rPr>
                      <w:rFonts w:cs="Arial"/>
                      <w:sz w:val="20"/>
                      <w:szCs w:val="20"/>
                      <w:lang w:eastAsia="en-GB"/>
                    </w:rPr>
                  </w:pPr>
                  <w:r>
                    <w:rPr>
                      <w:rFonts w:cs="Arial"/>
                      <w:sz w:val="20"/>
                      <w:szCs w:val="20"/>
                      <w:lang w:eastAsia="en-GB"/>
                    </w:rPr>
                    <w:t>225</w:t>
                  </w:r>
                </w:p>
              </w:tc>
              <w:tc>
                <w:tcPr>
                  <w:tcW w:w="1418" w:type="dxa"/>
                  <w:tcBorders>
                    <w:top w:val="nil"/>
                    <w:left w:val="nil"/>
                    <w:bottom w:val="single" w:sz="4" w:space="0" w:color="auto"/>
                    <w:right w:val="single" w:sz="4" w:space="0" w:color="auto"/>
                  </w:tcBorders>
                  <w:shd w:val="clear" w:color="D9D9D9" w:fill="D9D9D9"/>
                  <w:noWrap/>
                  <w:vAlign w:val="center"/>
                  <w:hideMark/>
                </w:tcPr>
                <w:p w14:paraId="14EF7FB8" w14:textId="77777777" w:rsidR="0007540E" w:rsidRPr="005A7E84" w:rsidRDefault="0007540E" w:rsidP="0007540E">
                  <w:pPr>
                    <w:jc w:val="center"/>
                    <w:rPr>
                      <w:rFonts w:cs="Arial"/>
                      <w:sz w:val="20"/>
                      <w:szCs w:val="20"/>
                      <w:lang w:eastAsia="en-GB"/>
                    </w:rPr>
                  </w:pPr>
                  <w:r w:rsidRPr="005A7E84">
                    <w:rPr>
                      <w:rFonts w:cs="Arial"/>
                      <w:sz w:val="20"/>
                      <w:szCs w:val="20"/>
                      <w:lang w:eastAsia="en-GB"/>
                    </w:rPr>
                    <w:t>£1,000</w:t>
                  </w:r>
                </w:p>
              </w:tc>
              <w:tc>
                <w:tcPr>
                  <w:tcW w:w="1276" w:type="dxa"/>
                  <w:tcBorders>
                    <w:top w:val="nil"/>
                    <w:left w:val="nil"/>
                    <w:bottom w:val="single" w:sz="4" w:space="0" w:color="auto"/>
                    <w:right w:val="single" w:sz="4" w:space="0" w:color="auto"/>
                  </w:tcBorders>
                  <w:shd w:val="clear" w:color="D9D9D9" w:fill="D9D9D9"/>
                  <w:noWrap/>
                  <w:vAlign w:val="center"/>
                  <w:hideMark/>
                </w:tcPr>
                <w:p w14:paraId="14EF7FB9" w14:textId="77777777" w:rsidR="0007540E" w:rsidRPr="005A7E84" w:rsidRDefault="0007540E" w:rsidP="0007540E">
                  <w:pPr>
                    <w:jc w:val="center"/>
                    <w:rPr>
                      <w:rFonts w:cs="Arial"/>
                      <w:sz w:val="20"/>
                      <w:szCs w:val="20"/>
                      <w:lang w:eastAsia="en-GB"/>
                    </w:rPr>
                  </w:pPr>
                  <w:r w:rsidRPr="005A7E84">
                    <w:rPr>
                      <w:rFonts w:cs="Arial"/>
                      <w:sz w:val="20"/>
                      <w:szCs w:val="20"/>
                      <w:lang w:eastAsia="en-GB"/>
                    </w:rPr>
                    <w:t>£225,000</w:t>
                  </w:r>
                </w:p>
              </w:tc>
            </w:tr>
            <w:tr w:rsidR="0007540E" w:rsidRPr="005A7E84" w14:paraId="14EF7FBF"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D9D9D9" w:fill="FFFFFF" w:themeFill="background1"/>
                  <w:vAlign w:val="center"/>
                  <w:hideMark/>
                </w:tcPr>
                <w:p w14:paraId="14EF7FBB" w14:textId="2F0D524C" w:rsidR="0007540E" w:rsidRPr="005A7E84" w:rsidRDefault="002063F5" w:rsidP="0007540E">
                  <w:pPr>
                    <w:rPr>
                      <w:rFonts w:cs="Arial"/>
                      <w:sz w:val="20"/>
                      <w:szCs w:val="20"/>
                      <w:lang w:eastAsia="en-GB"/>
                    </w:rPr>
                  </w:pPr>
                  <w:r>
                    <w:rPr>
                      <w:rFonts w:cs="Arial"/>
                      <w:sz w:val="20"/>
                      <w:szCs w:val="20"/>
                      <w:lang w:eastAsia="en-GB"/>
                    </w:rPr>
                    <w:t>SD09</w:t>
                  </w:r>
                  <w:r w:rsidR="0007540E" w:rsidRPr="005A7E84">
                    <w:rPr>
                      <w:rFonts w:cs="Arial"/>
                      <w:sz w:val="20"/>
                      <w:szCs w:val="20"/>
                      <w:lang w:eastAsia="en-GB"/>
                    </w:rPr>
                    <w:t xml:space="preserve"> Employer Incentive, Interm, Adv and Higher App</w:t>
                  </w:r>
                </w:p>
              </w:tc>
              <w:tc>
                <w:tcPr>
                  <w:tcW w:w="1275" w:type="dxa"/>
                  <w:tcBorders>
                    <w:top w:val="single" w:sz="4" w:space="0" w:color="auto"/>
                    <w:left w:val="single" w:sz="4" w:space="0" w:color="auto"/>
                    <w:bottom w:val="single" w:sz="4" w:space="0" w:color="auto"/>
                    <w:right w:val="single" w:sz="4" w:space="0" w:color="auto"/>
                  </w:tcBorders>
                  <w:shd w:val="clear" w:color="D9D9D9" w:fill="FFFFFF" w:themeFill="background1"/>
                  <w:vAlign w:val="center"/>
                  <w:hideMark/>
                </w:tcPr>
                <w:p w14:paraId="14EF7FBC" w14:textId="77777777" w:rsidR="0007540E" w:rsidRPr="005A7E84" w:rsidRDefault="0007540E" w:rsidP="0007540E">
                  <w:pPr>
                    <w:jc w:val="center"/>
                    <w:rPr>
                      <w:rFonts w:cs="Arial"/>
                      <w:sz w:val="20"/>
                      <w:szCs w:val="20"/>
                      <w:lang w:eastAsia="en-GB"/>
                    </w:rPr>
                  </w:pPr>
                  <w:r>
                    <w:rPr>
                      <w:rFonts w:cs="Arial"/>
                      <w:sz w:val="20"/>
                      <w:szCs w:val="20"/>
                      <w:lang w:eastAsia="en-GB"/>
                    </w:rPr>
                    <w:t>750</w:t>
                  </w:r>
                </w:p>
              </w:tc>
              <w:tc>
                <w:tcPr>
                  <w:tcW w:w="1418"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BD" w14:textId="77777777" w:rsidR="0007540E" w:rsidRPr="005A7E84" w:rsidRDefault="0007540E" w:rsidP="0007540E">
                  <w:pPr>
                    <w:jc w:val="center"/>
                    <w:rPr>
                      <w:rFonts w:cs="Arial"/>
                      <w:sz w:val="20"/>
                      <w:szCs w:val="20"/>
                      <w:lang w:eastAsia="en-GB"/>
                    </w:rPr>
                  </w:pPr>
                  <w:r w:rsidRPr="005A7E84">
                    <w:rPr>
                      <w:rFonts w:cs="Arial"/>
                      <w:sz w:val="20"/>
                      <w:szCs w:val="20"/>
                      <w:lang w:eastAsia="en-GB"/>
                    </w:rPr>
                    <w:t>£300</w:t>
                  </w:r>
                </w:p>
              </w:tc>
              <w:tc>
                <w:tcPr>
                  <w:tcW w:w="1276"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BE" w14:textId="77777777" w:rsidR="0007540E" w:rsidRPr="005A7E84" w:rsidRDefault="0007540E" w:rsidP="0007540E">
                  <w:pPr>
                    <w:jc w:val="center"/>
                    <w:rPr>
                      <w:rFonts w:cs="Arial"/>
                      <w:sz w:val="20"/>
                      <w:szCs w:val="20"/>
                      <w:lang w:eastAsia="en-GB"/>
                    </w:rPr>
                  </w:pPr>
                  <w:r w:rsidRPr="005A7E84">
                    <w:rPr>
                      <w:rFonts w:cs="Arial"/>
                      <w:sz w:val="20"/>
                      <w:szCs w:val="20"/>
                      <w:lang w:eastAsia="en-GB"/>
                    </w:rPr>
                    <w:t>£225,000</w:t>
                  </w:r>
                </w:p>
              </w:tc>
            </w:tr>
            <w:tr w:rsidR="0007540E" w:rsidRPr="005A7E84" w14:paraId="14EF7FC4"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hideMark/>
                </w:tcPr>
                <w:p w14:paraId="14EF7FC0" w14:textId="77777777" w:rsidR="0007540E" w:rsidRPr="005A7E84" w:rsidRDefault="0007540E" w:rsidP="0007540E">
                  <w:pPr>
                    <w:rPr>
                      <w:rFonts w:cs="Arial"/>
                      <w:sz w:val="20"/>
                      <w:szCs w:val="20"/>
                      <w:lang w:eastAsia="en-GB"/>
                    </w:rPr>
                  </w:pPr>
                  <w:r w:rsidRPr="005A7E84">
                    <w:rPr>
                      <w:rFonts w:cs="Arial"/>
                      <w:sz w:val="20"/>
                      <w:szCs w:val="20"/>
                      <w:lang w:eastAsia="en-GB"/>
                    </w:rPr>
                    <w:t>SD05  Employer Incentive - Top up for Advn App</w:t>
                  </w:r>
                </w:p>
              </w:tc>
              <w:tc>
                <w:tcPr>
                  <w:tcW w:w="1275" w:type="dxa"/>
                  <w:tcBorders>
                    <w:top w:val="nil"/>
                    <w:left w:val="single" w:sz="4" w:space="0" w:color="auto"/>
                    <w:bottom w:val="single" w:sz="4" w:space="0" w:color="auto"/>
                    <w:right w:val="single" w:sz="4" w:space="0" w:color="auto"/>
                  </w:tcBorders>
                  <w:shd w:val="clear" w:color="D9D9D9" w:fill="D9D9D9"/>
                  <w:vAlign w:val="center"/>
                  <w:hideMark/>
                </w:tcPr>
                <w:p w14:paraId="14EF7FC1" w14:textId="77777777" w:rsidR="0007540E" w:rsidRPr="005A7E84" w:rsidRDefault="0007540E" w:rsidP="0007540E">
                  <w:pPr>
                    <w:jc w:val="center"/>
                    <w:rPr>
                      <w:rFonts w:cs="Arial"/>
                      <w:sz w:val="20"/>
                      <w:szCs w:val="20"/>
                      <w:lang w:eastAsia="en-GB"/>
                    </w:rPr>
                  </w:pPr>
                  <w:r>
                    <w:rPr>
                      <w:rFonts w:cs="Arial"/>
                      <w:sz w:val="20"/>
                      <w:szCs w:val="20"/>
                      <w:lang w:eastAsia="en-GB"/>
                    </w:rPr>
                    <w:t>225</w:t>
                  </w:r>
                </w:p>
              </w:tc>
              <w:tc>
                <w:tcPr>
                  <w:tcW w:w="1418" w:type="dxa"/>
                  <w:tcBorders>
                    <w:top w:val="nil"/>
                    <w:left w:val="nil"/>
                    <w:bottom w:val="single" w:sz="4" w:space="0" w:color="auto"/>
                    <w:right w:val="single" w:sz="4" w:space="0" w:color="auto"/>
                  </w:tcBorders>
                  <w:shd w:val="clear" w:color="D9D9D9" w:fill="D9D9D9"/>
                  <w:noWrap/>
                  <w:vAlign w:val="center"/>
                  <w:hideMark/>
                </w:tcPr>
                <w:p w14:paraId="14EF7FC2" w14:textId="77777777" w:rsidR="0007540E" w:rsidRPr="005A7E84" w:rsidRDefault="0007540E" w:rsidP="0007540E">
                  <w:pPr>
                    <w:jc w:val="center"/>
                    <w:rPr>
                      <w:rFonts w:cs="Arial"/>
                      <w:sz w:val="20"/>
                      <w:szCs w:val="20"/>
                      <w:lang w:eastAsia="en-GB"/>
                    </w:rPr>
                  </w:pPr>
                  <w:r w:rsidRPr="005A7E84">
                    <w:rPr>
                      <w:rFonts w:cs="Arial"/>
                      <w:sz w:val="20"/>
                      <w:szCs w:val="20"/>
                      <w:lang w:eastAsia="en-GB"/>
                    </w:rPr>
                    <w:t>£150</w:t>
                  </w:r>
                </w:p>
              </w:tc>
              <w:tc>
                <w:tcPr>
                  <w:tcW w:w="1276" w:type="dxa"/>
                  <w:tcBorders>
                    <w:top w:val="nil"/>
                    <w:left w:val="nil"/>
                    <w:bottom w:val="single" w:sz="4" w:space="0" w:color="auto"/>
                    <w:right w:val="single" w:sz="4" w:space="0" w:color="auto"/>
                  </w:tcBorders>
                  <w:shd w:val="clear" w:color="D9D9D9" w:fill="D9D9D9"/>
                  <w:noWrap/>
                  <w:vAlign w:val="center"/>
                  <w:hideMark/>
                </w:tcPr>
                <w:p w14:paraId="14EF7FC3" w14:textId="77777777" w:rsidR="0007540E" w:rsidRPr="005A7E84" w:rsidRDefault="0007540E" w:rsidP="0007540E">
                  <w:pPr>
                    <w:jc w:val="center"/>
                    <w:rPr>
                      <w:rFonts w:cs="Arial"/>
                      <w:sz w:val="20"/>
                      <w:szCs w:val="20"/>
                      <w:lang w:eastAsia="en-GB"/>
                    </w:rPr>
                  </w:pPr>
                  <w:r w:rsidRPr="005A7E84">
                    <w:rPr>
                      <w:rFonts w:cs="Arial"/>
                      <w:sz w:val="20"/>
                      <w:szCs w:val="20"/>
                      <w:lang w:eastAsia="en-GB"/>
                    </w:rPr>
                    <w:t>£33,750</w:t>
                  </w:r>
                </w:p>
              </w:tc>
            </w:tr>
            <w:tr w:rsidR="0007540E" w:rsidRPr="005A7E84" w14:paraId="14EF7FC9"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D9D9D9" w:fill="FFFFFF" w:themeFill="background1"/>
                  <w:vAlign w:val="center"/>
                  <w:hideMark/>
                </w:tcPr>
                <w:p w14:paraId="14EF7FC5" w14:textId="77777777" w:rsidR="0007540E" w:rsidRPr="005A7E84" w:rsidRDefault="0007540E" w:rsidP="0007540E">
                  <w:pPr>
                    <w:rPr>
                      <w:rFonts w:cs="Arial"/>
                      <w:sz w:val="20"/>
                      <w:szCs w:val="20"/>
                      <w:lang w:eastAsia="en-GB"/>
                    </w:rPr>
                  </w:pPr>
                  <w:r w:rsidRPr="005A7E84">
                    <w:rPr>
                      <w:rFonts w:cs="Arial"/>
                      <w:sz w:val="20"/>
                      <w:szCs w:val="20"/>
                      <w:lang w:eastAsia="en-GB"/>
                    </w:rPr>
                    <w:t>SD06 Employer Incentive - Top up for Higher App</w:t>
                  </w:r>
                </w:p>
              </w:tc>
              <w:tc>
                <w:tcPr>
                  <w:tcW w:w="1275" w:type="dxa"/>
                  <w:tcBorders>
                    <w:top w:val="single" w:sz="4" w:space="0" w:color="auto"/>
                    <w:left w:val="single" w:sz="4" w:space="0" w:color="auto"/>
                    <w:bottom w:val="single" w:sz="4" w:space="0" w:color="auto"/>
                    <w:right w:val="single" w:sz="4" w:space="0" w:color="auto"/>
                  </w:tcBorders>
                  <w:shd w:val="clear" w:color="D9D9D9" w:fill="FFFFFF" w:themeFill="background1"/>
                  <w:vAlign w:val="center"/>
                  <w:hideMark/>
                </w:tcPr>
                <w:p w14:paraId="14EF7FC6" w14:textId="77777777" w:rsidR="0007540E" w:rsidRPr="005A7E84" w:rsidRDefault="0007540E" w:rsidP="0007540E">
                  <w:pPr>
                    <w:jc w:val="center"/>
                    <w:rPr>
                      <w:rFonts w:cs="Arial"/>
                      <w:sz w:val="20"/>
                      <w:szCs w:val="20"/>
                      <w:lang w:eastAsia="en-GB"/>
                    </w:rPr>
                  </w:pPr>
                  <w:r>
                    <w:rPr>
                      <w:rFonts w:cs="Arial"/>
                      <w:sz w:val="20"/>
                      <w:szCs w:val="20"/>
                      <w:lang w:eastAsia="en-GB"/>
                    </w:rPr>
                    <w:t>150</w:t>
                  </w:r>
                </w:p>
              </w:tc>
              <w:tc>
                <w:tcPr>
                  <w:tcW w:w="1418"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C7" w14:textId="77777777" w:rsidR="0007540E" w:rsidRPr="005A7E84" w:rsidRDefault="0007540E" w:rsidP="0007540E">
                  <w:pPr>
                    <w:jc w:val="center"/>
                    <w:rPr>
                      <w:rFonts w:cs="Arial"/>
                      <w:sz w:val="20"/>
                      <w:szCs w:val="20"/>
                      <w:lang w:eastAsia="en-GB"/>
                    </w:rPr>
                  </w:pPr>
                  <w:r w:rsidRPr="005A7E84">
                    <w:rPr>
                      <w:rFonts w:cs="Arial"/>
                      <w:sz w:val="20"/>
                      <w:szCs w:val="20"/>
                      <w:lang w:eastAsia="en-GB"/>
                    </w:rPr>
                    <w:t>£500</w:t>
                  </w:r>
                </w:p>
              </w:tc>
              <w:tc>
                <w:tcPr>
                  <w:tcW w:w="1276"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C8" w14:textId="77777777" w:rsidR="0007540E" w:rsidRPr="005A7E84" w:rsidRDefault="0007540E" w:rsidP="0007540E">
                  <w:pPr>
                    <w:jc w:val="center"/>
                    <w:rPr>
                      <w:rFonts w:cs="Arial"/>
                      <w:sz w:val="20"/>
                      <w:szCs w:val="20"/>
                      <w:lang w:eastAsia="en-GB"/>
                    </w:rPr>
                  </w:pPr>
                  <w:r w:rsidRPr="005A7E84">
                    <w:rPr>
                      <w:rFonts w:cs="Arial"/>
                      <w:sz w:val="20"/>
                      <w:szCs w:val="20"/>
                      <w:lang w:eastAsia="en-GB"/>
                    </w:rPr>
                    <w:t>£75,000</w:t>
                  </w:r>
                </w:p>
              </w:tc>
            </w:tr>
            <w:tr w:rsidR="0007540E" w:rsidRPr="005A7E84" w14:paraId="14EF7FCE"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hideMark/>
                </w:tcPr>
                <w:p w14:paraId="14EF7FCA" w14:textId="77777777" w:rsidR="0007540E" w:rsidRPr="005A7E84" w:rsidRDefault="0007540E" w:rsidP="0007540E">
                  <w:pPr>
                    <w:rPr>
                      <w:rFonts w:cs="Arial"/>
                      <w:sz w:val="20"/>
                      <w:szCs w:val="20"/>
                      <w:lang w:eastAsia="en-GB"/>
                    </w:rPr>
                  </w:pPr>
                  <w:r w:rsidRPr="005A7E84">
                    <w:rPr>
                      <w:rFonts w:cs="Arial"/>
                      <w:sz w:val="20"/>
                      <w:szCs w:val="20"/>
                      <w:lang w:eastAsia="en-GB"/>
                    </w:rPr>
                    <w:t>SD07 45% SKILLS Local Targets Achieved</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F7FCB" w14:textId="77777777" w:rsidR="0007540E" w:rsidRPr="005A7E84" w:rsidRDefault="0007540E" w:rsidP="0007540E">
                  <w:pPr>
                    <w:jc w:val="center"/>
                    <w:rPr>
                      <w:rFonts w:cs="Arial"/>
                      <w:sz w:val="20"/>
                      <w:szCs w:val="20"/>
                      <w:lang w:eastAsia="en-GB"/>
                    </w:rPr>
                  </w:pPr>
                  <w:r>
                    <w:rPr>
                      <w:rFonts w:cs="Arial"/>
                      <w:sz w:val="20"/>
                      <w:szCs w:val="20"/>
                      <w:lang w:eastAsia="en-GB"/>
                    </w:rPr>
                    <w:t>1</w:t>
                  </w:r>
                </w:p>
              </w:tc>
              <w:tc>
                <w:tcPr>
                  <w:tcW w:w="1418" w:type="dxa"/>
                  <w:tcBorders>
                    <w:top w:val="nil"/>
                    <w:left w:val="nil"/>
                    <w:bottom w:val="single" w:sz="4" w:space="0" w:color="auto"/>
                    <w:right w:val="single" w:sz="4" w:space="0" w:color="auto"/>
                  </w:tcBorders>
                  <w:shd w:val="clear" w:color="D9D9D9" w:fill="D9D9D9"/>
                  <w:noWrap/>
                  <w:vAlign w:val="center"/>
                  <w:hideMark/>
                </w:tcPr>
                <w:p w14:paraId="14EF7FCC" w14:textId="77777777" w:rsidR="0007540E" w:rsidRPr="005A7E84" w:rsidRDefault="0007540E" w:rsidP="0007540E">
                  <w:pPr>
                    <w:jc w:val="center"/>
                    <w:rPr>
                      <w:rFonts w:cs="Arial"/>
                      <w:sz w:val="20"/>
                      <w:szCs w:val="20"/>
                      <w:lang w:eastAsia="en-GB"/>
                    </w:rPr>
                  </w:pPr>
                  <w:r w:rsidRPr="005A7E84">
                    <w:rPr>
                      <w:rFonts w:cs="Arial"/>
                      <w:sz w:val="20"/>
                      <w:szCs w:val="20"/>
                      <w:lang w:eastAsia="en-GB"/>
                    </w:rPr>
                    <w:t>£18,750</w:t>
                  </w:r>
                </w:p>
              </w:tc>
              <w:tc>
                <w:tcPr>
                  <w:tcW w:w="1276" w:type="dxa"/>
                  <w:tcBorders>
                    <w:top w:val="nil"/>
                    <w:left w:val="nil"/>
                    <w:bottom w:val="single" w:sz="4" w:space="0" w:color="auto"/>
                    <w:right w:val="single" w:sz="4" w:space="0" w:color="auto"/>
                  </w:tcBorders>
                  <w:shd w:val="clear" w:color="D9D9D9" w:fill="D9D9D9"/>
                  <w:noWrap/>
                  <w:vAlign w:val="center"/>
                  <w:hideMark/>
                </w:tcPr>
                <w:p w14:paraId="14EF7FCD" w14:textId="77777777" w:rsidR="0007540E" w:rsidRPr="005A7E84" w:rsidRDefault="0007540E" w:rsidP="0007540E">
                  <w:pPr>
                    <w:jc w:val="center"/>
                    <w:rPr>
                      <w:rFonts w:cs="Arial"/>
                      <w:sz w:val="20"/>
                      <w:szCs w:val="20"/>
                      <w:lang w:eastAsia="en-GB"/>
                    </w:rPr>
                  </w:pPr>
                  <w:r w:rsidRPr="005A7E84">
                    <w:rPr>
                      <w:rFonts w:cs="Arial"/>
                      <w:sz w:val="20"/>
                      <w:szCs w:val="20"/>
                      <w:lang w:eastAsia="en-GB"/>
                    </w:rPr>
                    <w:t>£18,750</w:t>
                  </w:r>
                </w:p>
              </w:tc>
            </w:tr>
            <w:tr w:rsidR="0007540E" w:rsidRPr="005A7E84" w14:paraId="14EF7FD3" w14:textId="77777777" w:rsidTr="000325AF">
              <w:trPr>
                <w:trHeight w:val="288"/>
              </w:trPr>
              <w:tc>
                <w:tcPr>
                  <w:tcW w:w="4957" w:type="dxa"/>
                  <w:tcBorders>
                    <w:top w:val="single" w:sz="4" w:space="0" w:color="auto"/>
                    <w:left w:val="single" w:sz="4" w:space="0" w:color="000000"/>
                    <w:bottom w:val="single" w:sz="4" w:space="0" w:color="auto"/>
                    <w:right w:val="single" w:sz="4" w:space="0" w:color="auto"/>
                  </w:tcBorders>
                  <w:shd w:val="clear" w:color="D9D9D9" w:fill="FFFFFF" w:themeFill="background1"/>
                  <w:vAlign w:val="center"/>
                  <w:hideMark/>
                </w:tcPr>
                <w:p w14:paraId="14EF7FCF" w14:textId="77777777" w:rsidR="0007540E" w:rsidRPr="005A7E84" w:rsidRDefault="0007540E" w:rsidP="0007540E">
                  <w:pPr>
                    <w:rPr>
                      <w:rFonts w:cs="Arial"/>
                      <w:sz w:val="20"/>
                      <w:szCs w:val="20"/>
                      <w:lang w:eastAsia="en-GB"/>
                    </w:rPr>
                  </w:pPr>
                  <w:r w:rsidRPr="005A7E84">
                    <w:rPr>
                      <w:rFonts w:cs="Arial"/>
                      <w:sz w:val="20"/>
                      <w:szCs w:val="20"/>
                      <w:lang w:eastAsia="en-GB"/>
                    </w:rPr>
                    <w:t>SD08 80% SKILLS Local Targets Achieved</w:t>
                  </w:r>
                </w:p>
              </w:tc>
              <w:tc>
                <w:tcPr>
                  <w:tcW w:w="1275" w:type="dxa"/>
                  <w:tcBorders>
                    <w:top w:val="single" w:sz="4" w:space="0" w:color="auto"/>
                    <w:left w:val="single" w:sz="4" w:space="0" w:color="auto"/>
                    <w:bottom w:val="single" w:sz="4" w:space="0" w:color="auto"/>
                    <w:right w:val="single" w:sz="4" w:space="0" w:color="auto"/>
                  </w:tcBorders>
                  <w:shd w:val="clear" w:color="D9D9D9" w:fill="FFFFFF" w:themeFill="background1"/>
                  <w:vAlign w:val="center"/>
                  <w:hideMark/>
                </w:tcPr>
                <w:p w14:paraId="14EF7FD0" w14:textId="77777777" w:rsidR="0007540E" w:rsidRPr="005A7E84" w:rsidRDefault="0007540E" w:rsidP="0007540E">
                  <w:pPr>
                    <w:jc w:val="center"/>
                    <w:rPr>
                      <w:rFonts w:cs="Arial"/>
                      <w:sz w:val="20"/>
                      <w:szCs w:val="20"/>
                      <w:lang w:eastAsia="en-GB"/>
                    </w:rPr>
                  </w:pPr>
                  <w:r>
                    <w:rPr>
                      <w:rFonts w:cs="Arial"/>
                      <w:sz w:val="20"/>
                      <w:szCs w:val="20"/>
                      <w:lang w:eastAsia="en-GB"/>
                    </w:rPr>
                    <w:t>1</w:t>
                  </w:r>
                </w:p>
              </w:tc>
              <w:tc>
                <w:tcPr>
                  <w:tcW w:w="1418"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D1" w14:textId="77777777" w:rsidR="0007540E" w:rsidRPr="005A7E84" w:rsidRDefault="0007540E" w:rsidP="0007540E">
                  <w:pPr>
                    <w:jc w:val="center"/>
                    <w:rPr>
                      <w:rFonts w:cs="Arial"/>
                      <w:sz w:val="20"/>
                      <w:szCs w:val="20"/>
                      <w:lang w:eastAsia="en-GB"/>
                    </w:rPr>
                  </w:pPr>
                  <w:r w:rsidRPr="005A7E84">
                    <w:rPr>
                      <w:rFonts w:cs="Arial"/>
                      <w:sz w:val="20"/>
                      <w:szCs w:val="20"/>
                      <w:lang w:eastAsia="en-GB"/>
                    </w:rPr>
                    <w:t>£18,750</w:t>
                  </w:r>
                </w:p>
              </w:tc>
              <w:tc>
                <w:tcPr>
                  <w:tcW w:w="1276" w:type="dxa"/>
                  <w:tcBorders>
                    <w:top w:val="single" w:sz="4" w:space="0" w:color="auto"/>
                    <w:left w:val="nil"/>
                    <w:bottom w:val="single" w:sz="4" w:space="0" w:color="auto"/>
                    <w:right w:val="single" w:sz="4" w:space="0" w:color="auto"/>
                  </w:tcBorders>
                  <w:shd w:val="clear" w:color="D9D9D9" w:fill="FFFFFF" w:themeFill="background1"/>
                  <w:noWrap/>
                  <w:vAlign w:val="center"/>
                  <w:hideMark/>
                </w:tcPr>
                <w:p w14:paraId="14EF7FD2" w14:textId="77777777" w:rsidR="0007540E" w:rsidRPr="005A7E84" w:rsidRDefault="0007540E" w:rsidP="0007540E">
                  <w:pPr>
                    <w:jc w:val="center"/>
                    <w:rPr>
                      <w:rFonts w:cs="Arial"/>
                      <w:sz w:val="20"/>
                      <w:szCs w:val="20"/>
                      <w:lang w:eastAsia="en-GB"/>
                    </w:rPr>
                  </w:pPr>
                  <w:r w:rsidRPr="005A7E84">
                    <w:rPr>
                      <w:rFonts w:cs="Arial"/>
                      <w:sz w:val="20"/>
                      <w:szCs w:val="20"/>
                      <w:lang w:eastAsia="en-GB"/>
                    </w:rPr>
                    <w:t>£18,750</w:t>
                  </w:r>
                </w:p>
              </w:tc>
            </w:tr>
            <w:tr w:rsidR="0007540E" w:rsidRPr="005A7E84" w14:paraId="14EF7FD8" w14:textId="77777777" w:rsidTr="000325AF">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F7FD4" w14:textId="77777777" w:rsidR="0007540E" w:rsidRPr="005A7E84" w:rsidRDefault="0007540E" w:rsidP="0007540E">
                  <w:pPr>
                    <w:rPr>
                      <w:rFonts w:cs="Arial"/>
                      <w:sz w:val="20"/>
                      <w:szCs w:val="20"/>
                      <w:lang w:eastAsia="en-GB"/>
                    </w:rPr>
                  </w:pPr>
                  <w:r w:rsidRPr="005A7E84">
                    <w:rPr>
                      <w:rFonts w:cs="Arial"/>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F7FD5" w14:textId="77777777" w:rsidR="0007540E" w:rsidRPr="005A7E84" w:rsidRDefault="0007540E" w:rsidP="0007540E">
                  <w:pPr>
                    <w:jc w:val="center"/>
                    <w:rPr>
                      <w:rFonts w:cs="Arial"/>
                      <w:sz w:val="20"/>
                      <w:szCs w:val="20"/>
                      <w:lang w:eastAsia="en-GB"/>
                    </w:rPr>
                  </w:pPr>
                  <w:r w:rsidRPr="005A7E84">
                    <w:rPr>
                      <w:rFonts w:cs="Arial"/>
                      <w:sz w:val="20"/>
                      <w:szCs w:val="20"/>
                      <w:lang w:eastAsia="en-GB"/>
                    </w:rPr>
                    <w:t>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EF7FD6" w14:textId="77777777" w:rsidR="0007540E" w:rsidRPr="005A7E84" w:rsidRDefault="0007540E" w:rsidP="0007540E">
                  <w:pPr>
                    <w:jc w:val="center"/>
                    <w:rPr>
                      <w:rFonts w:cs="Arial"/>
                      <w:sz w:val="20"/>
                      <w:szCs w:val="20"/>
                      <w:lang w:eastAsia="en-GB"/>
                    </w:rPr>
                  </w:pPr>
                </w:p>
              </w:tc>
              <w:tc>
                <w:tcPr>
                  <w:tcW w:w="1276" w:type="dxa"/>
                  <w:tcBorders>
                    <w:top w:val="nil"/>
                    <w:left w:val="nil"/>
                    <w:bottom w:val="single" w:sz="4" w:space="0" w:color="auto"/>
                    <w:right w:val="single" w:sz="4" w:space="0" w:color="auto"/>
                  </w:tcBorders>
                  <w:shd w:val="clear" w:color="D9D9D9" w:fill="D9D9D9"/>
                  <w:noWrap/>
                  <w:vAlign w:val="center"/>
                  <w:hideMark/>
                </w:tcPr>
                <w:p w14:paraId="14EF7FD7" w14:textId="77777777" w:rsidR="0007540E" w:rsidRPr="005A7E84" w:rsidRDefault="0007540E" w:rsidP="0007540E">
                  <w:pPr>
                    <w:jc w:val="center"/>
                    <w:rPr>
                      <w:rFonts w:cs="Arial"/>
                      <w:sz w:val="20"/>
                      <w:szCs w:val="20"/>
                      <w:lang w:eastAsia="en-GB"/>
                    </w:rPr>
                  </w:pPr>
                  <w:r w:rsidRPr="005A7E84">
                    <w:rPr>
                      <w:rFonts w:cs="Arial"/>
                      <w:sz w:val="20"/>
                      <w:szCs w:val="20"/>
                      <w:lang w:eastAsia="en-GB"/>
                    </w:rPr>
                    <w:t>£3,528,000</w:t>
                  </w:r>
                </w:p>
              </w:tc>
            </w:tr>
          </w:tbl>
          <w:p w14:paraId="14EF7FD9" w14:textId="77777777" w:rsidR="0007540E" w:rsidRDefault="0007540E" w:rsidP="00A005EF">
            <w:pPr>
              <w:autoSpaceDE w:val="0"/>
              <w:autoSpaceDN w:val="0"/>
              <w:adjustRightInd w:val="0"/>
            </w:pPr>
          </w:p>
          <w:p w14:paraId="14EF7FDB" w14:textId="10A5235D" w:rsidR="00F714EC" w:rsidRDefault="00415D64" w:rsidP="00A005EF">
            <w:pPr>
              <w:autoSpaceDE w:val="0"/>
              <w:autoSpaceDN w:val="0"/>
              <w:adjustRightInd w:val="0"/>
              <w:rPr>
                <w:rFonts w:cs="Arial"/>
              </w:rPr>
            </w:pPr>
            <w:r>
              <w:rPr>
                <w:rFonts w:cs="Arial"/>
              </w:rPr>
              <w:t>Theme</w:t>
            </w:r>
            <w:r w:rsidR="00F714EC">
              <w:rPr>
                <w:rFonts w:cs="Arial"/>
              </w:rPr>
              <w:t xml:space="preserve"> 2</w:t>
            </w:r>
            <w:r w:rsidR="007B2848">
              <w:rPr>
                <w:rFonts w:cs="Arial"/>
              </w:rPr>
              <w:t xml:space="preserve"> - </w:t>
            </w:r>
            <w:r w:rsidR="007B2848" w:rsidRPr="00A14155">
              <w:t>Developing a Demand-led Skills System for D2N2</w:t>
            </w:r>
            <w:r w:rsidR="00575A95">
              <w:t xml:space="preserve"> £1,197,000</w:t>
            </w:r>
          </w:p>
          <w:p w14:paraId="14EF7FDC" w14:textId="77777777" w:rsidR="00F714EC" w:rsidRDefault="00F714EC" w:rsidP="00A005EF">
            <w:pPr>
              <w:autoSpaceDE w:val="0"/>
              <w:autoSpaceDN w:val="0"/>
              <w:adjustRightInd w:val="0"/>
              <w:rPr>
                <w:rFonts w:cs="Arial"/>
              </w:rPr>
            </w:pPr>
          </w:p>
          <w:tbl>
            <w:tblPr>
              <w:tblW w:w="8500" w:type="dxa"/>
              <w:tblLayout w:type="fixed"/>
              <w:tblLook w:val="04A0" w:firstRow="1" w:lastRow="0" w:firstColumn="1" w:lastColumn="0" w:noHBand="0" w:noVBand="1"/>
            </w:tblPr>
            <w:tblGrid>
              <w:gridCol w:w="4390"/>
              <w:gridCol w:w="1050"/>
              <w:gridCol w:w="1785"/>
              <w:gridCol w:w="1275"/>
            </w:tblGrid>
            <w:tr w:rsidR="00C205A4" w:rsidRPr="005A7E84" w14:paraId="14EF7FE1" w14:textId="77777777" w:rsidTr="000325AF">
              <w:trPr>
                <w:trHeight w:val="840"/>
              </w:trPr>
              <w:tc>
                <w:tcPr>
                  <w:tcW w:w="43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4EF7FDD" w14:textId="77777777" w:rsidR="00C205A4" w:rsidRPr="005A7E84" w:rsidRDefault="00C205A4" w:rsidP="00C205A4">
                  <w:pPr>
                    <w:rPr>
                      <w:rFonts w:cs="Arial"/>
                      <w:b/>
                      <w:bCs/>
                      <w:sz w:val="20"/>
                      <w:szCs w:val="20"/>
                      <w:lang w:eastAsia="en-GB"/>
                    </w:rPr>
                  </w:pPr>
                  <w:r w:rsidRPr="005A7E84">
                    <w:rPr>
                      <w:rFonts w:cs="Arial"/>
                      <w:b/>
                      <w:bCs/>
                      <w:sz w:val="20"/>
                      <w:szCs w:val="20"/>
                      <w:lang w:eastAsia="en-GB"/>
                    </w:rPr>
                    <w:t>Description</w:t>
                  </w:r>
                </w:p>
              </w:tc>
              <w:tc>
                <w:tcPr>
                  <w:tcW w:w="105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4EF7FDE" w14:textId="77777777" w:rsidR="00C205A4" w:rsidRPr="005A7E84" w:rsidRDefault="00C205A4" w:rsidP="00C205A4">
                  <w:pPr>
                    <w:jc w:val="center"/>
                    <w:rPr>
                      <w:rFonts w:cs="Arial"/>
                      <w:b/>
                      <w:bCs/>
                      <w:sz w:val="20"/>
                      <w:szCs w:val="20"/>
                      <w:lang w:eastAsia="en-GB"/>
                    </w:rPr>
                  </w:pPr>
                  <w:r w:rsidRPr="005A7E84">
                    <w:rPr>
                      <w:rFonts w:cs="Arial"/>
                      <w:b/>
                      <w:bCs/>
                      <w:sz w:val="20"/>
                      <w:szCs w:val="20"/>
                      <w:lang w:eastAsia="en-GB"/>
                    </w:rPr>
                    <w:t>Volumes</w:t>
                  </w:r>
                </w:p>
              </w:tc>
              <w:tc>
                <w:tcPr>
                  <w:tcW w:w="1785" w:type="dxa"/>
                  <w:tcBorders>
                    <w:top w:val="single" w:sz="4" w:space="0" w:color="auto"/>
                    <w:left w:val="nil"/>
                    <w:bottom w:val="single" w:sz="12" w:space="0" w:color="auto"/>
                    <w:right w:val="single" w:sz="4" w:space="0" w:color="auto"/>
                  </w:tcBorders>
                  <w:shd w:val="clear" w:color="auto" w:fill="auto"/>
                  <w:vAlign w:val="center"/>
                  <w:hideMark/>
                </w:tcPr>
                <w:p w14:paraId="14EF7FDF" w14:textId="77777777" w:rsidR="00C205A4" w:rsidRPr="005A7E84" w:rsidRDefault="00C205A4" w:rsidP="00C205A4">
                  <w:pPr>
                    <w:jc w:val="center"/>
                    <w:rPr>
                      <w:rFonts w:cs="Arial"/>
                      <w:b/>
                      <w:bCs/>
                      <w:sz w:val="20"/>
                      <w:szCs w:val="20"/>
                      <w:lang w:eastAsia="en-GB"/>
                    </w:rPr>
                  </w:pPr>
                  <w:r w:rsidRPr="005A7E84">
                    <w:rPr>
                      <w:rFonts w:cs="Arial"/>
                      <w:b/>
                      <w:bCs/>
                      <w:sz w:val="20"/>
                      <w:szCs w:val="20"/>
                      <w:lang w:eastAsia="en-GB"/>
                    </w:rPr>
                    <w:t>Unit Cost Total Value Average per Intervention</w:t>
                  </w:r>
                </w:p>
              </w:tc>
              <w:tc>
                <w:tcPr>
                  <w:tcW w:w="1275" w:type="dxa"/>
                  <w:tcBorders>
                    <w:top w:val="single" w:sz="4" w:space="0" w:color="auto"/>
                    <w:left w:val="nil"/>
                    <w:bottom w:val="single" w:sz="12" w:space="0" w:color="auto"/>
                    <w:right w:val="single" w:sz="4" w:space="0" w:color="auto"/>
                  </w:tcBorders>
                  <w:shd w:val="clear" w:color="auto" w:fill="auto"/>
                  <w:vAlign w:val="center"/>
                  <w:hideMark/>
                </w:tcPr>
                <w:p w14:paraId="14EF7FE0" w14:textId="77777777" w:rsidR="00C205A4" w:rsidRPr="005A7E84" w:rsidRDefault="00C205A4" w:rsidP="00C205A4">
                  <w:pPr>
                    <w:jc w:val="center"/>
                    <w:rPr>
                      <w:rFonts w:cs="Arial"/>
                      <w:b/>
                      <w:bCs/>
                      <w:sz w:val="20"/>
                      <w:szCs w:val="20"/>
                      <w:lang w:eastAsia="en-GB"/>
                    </w:rPr>
                  </w:pPr>
                  <w:r w:rsidRPr="005A7E84">
                    <w:rPr>
                      <w:rFonts w:cs="Arial"/>
                      <w:b/>
                      <w:bCs/>
                      <w:sz w:val="20"/>
                      <w:szCs w:val="20"/>
                      <w:lang w:eastAsia="en-GB"/>
                    </w:rPr>
                    <w:t>£</w:t>
                  </w:r>
                </w:p>
              </w:tc>
            </w:tr>
            <w:tr w:rsidR="00C205A4" w:rsidRPr="005A7E84" w14:paraId="14EF7FE6" w14:textId="77777777" w:rsidTr="000325AF">
              <w:trPr>
                <w:trHeight w:val="30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EF7FE2" w14:textId="77777777" w:rsidR="00C205A4" w:rsidRPr="005A7E84" w:rsidRDefault="00C205A4" w:rsidP="00C205A4">
                  <w:pPr>
                    <w:rPr>
                      <w:rFonts w:cs="Arial"/>
                      <w:sz w:val="20"/>
                      <w:szCs w:val="20"/>
                      <w:lang w:eastAsia="en-GB"/>
                    </w:rPr>
                  </w:pPr>
                  <w:r w:rsidRPr="005A7E84">
                    <w:rPr>
                      <w:rFonts w:cs="Arial"/>
                      <w:sz w:val="20"/>
                      <w:szCs w:val="20"/>
                      <w:lang w:eastAsia="en-GB"/>
                    </w:rPr>
                    <w:t>SD01 SME Engagement (initial TNA and IAG)</w:t>
                  </w:r>
                </w:p>
              </w:tc>
              <w:tc>
                <w:tcPr>
                  <w:tcW w:w="105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EF7FE3" w14:textId="77777777" w:rsidR="00C205A4" w:rsidRPr="005A7E84" w:rsidRDefault="00C205A4" w:rsidP="00C205A4">
                  <w:pPr>
                    <w:jc w:val="center"/>
                    <w:rPr>
                      <w:rFonts w:cs="Arial"/>
                      <w:sz w:val="20"/>
                      <w:szCs w:val="20"/>
                      <w:lang w:eastAsia="en-GB"/>
                    </w:rPr>
                  </w:pPr>
                  <w:r>
                    <w:rPr>
                      <w:rFonts w:cs="Arial"/>
                      <w:sz w:val="20"/>
                      <w:szCs w:val="20"/>
                      <w:lang w:eastAsia="en-GB"/>
                    </w:rPr>
                    <w:t>60</w:t>
                  </w:r>
                </w:p>
              </w:tc>
              <w:tc>
                <w:tcPr>
                  <w:tcW w:w="1785" w:type="dxa"/>
                  <w:tcBorders>
                    <w:top w:val="single" w:sz="4" w:space="0" w:color="000000"/>
                    <w:left w:val="nil"/>
                    <w:bottom w:val="single" w:sz="4" w:space="0" w:color="auto"/>
                    <w:right w:val="single" w:sz="4" w:space="0" w:color="auto"/>
                  </w:tcBorders>
                  <w:shd w:val="clear" w:color="D9D9D9" w:fill="D9D9D9"/>
                  <w:noWrap/>
                  <w:vAlign w:val="center"/>
                  <w:hideMark/>
                </w:tcPr>
                <w:p w14:paraId="14EF7FE4" w14:textId="77777777" w:rsidR="00C205A4" w:rsidRPr="005A7E84" w:rsidRDefault="00C205A4" w:rsidP="00C205A4">
                  <w:pPr>
                    <w:jc w:val="center"/>
                    <w:rPr>
                      <w:rFonts w:cs="Arial"/>
                      <w:sz w:val="20"/>
                      <w:szCs w:val="20"/>
                      <w:lang w:eastAsia="en-GB"/>
                    </w:rPr>
                  </w:pPr>
                  <w:r w:rsidRPr="005A7E84">
                    <w:rPr>
                      <w:rFonts w:cs="Arial"/>
                      <w:sz w:val="20"/>
                      <w:szCs w:val="20"/>
                      <w:lang w:eastAsia="en-GB"/>
                    </w:rPr>
                    <w:t>£50</w:t>
                  </w:r>
                </w:p>
              </w:tc>
              <w:tc>
                <w:tcPr>
                  <w:tcW w:w="1275" w:type="dxa"/>
                  <w:tcBorders>
                    <w:top w:val="single" w:sz="4" w:space="0" w:color="000000"/>
                    <w:left w:val="nil"/>
                    <w:bottom w:val="single" w:sz="4" w:space="0" w:color="auto"/>
                    <w:right w:val="single" w:sz="4" w:space="0" w:color="auto"/>
                  </w:tcBorders>
                  <w:shd w:val="clear" w:color="D9D9D9" w:fill="D9D9D9"/>
                  <w:noWrap/>
                  <w:vAlign w:val="center"/>
                  <w:hideMark/>
                </w:tcPr>
                <w:p w14:paraId="14EF7FE5" w14:textId="77777777" w:rsidR="00C205A4" w:rsidRPr="005A7E84" w:rsidRDefault="00C205A4" w:rsidP="00C205A4">
                  <w:pPr>
                    <w:jc w:val="center"/>
                    <w:rPr>
                      <w:rFonts w:cs="Arial"/>
                      <w:sz w:val="20"/>
                      <w:szCs w:val="20"/>
                      <w:lang w:eastAsia="en-GB"/>
                    </w:rPr>
                  </w:pPr>
                  <w:r w:rsidRPr="005A7E84">
                    <w:rPr>
                      <w:rFonts w:cs="Arial"/>
                      <w:sz w:val="20"/>
                      <w:szCs w:val="20"/>
                      <w:lang w:eastAsia="en-GB"/>
                    </w:rPr>
                    <w:t>£3,000</w:t>
                  </w:r>
                </w:p>
              </w:tc>
            </w:tr>
            <w:tr w:rsidR="00C205A4" w:rsidRPr="005A7E84" w14:paraId="14EF7FEB" w14:textId="77777777" w:rsidTr="000325AF">
              <w:trPr>
                <w:trHeight w:val="288"/>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4EF7FE7" w14:textId="77777777" w:rsidR="00C205A4" w:rsidRPr="005A7E84" w:rsidRDefault="00C205A4" w:rsidP="00C205A4">
                  <w:pPr>
                    <w:rPr>
                      <w:rFonts w:cs="Arial"/>
                      <w:sz w:val="20"/>
                      <w:szCs w:val="20"/>
                      <w:lang w:eastAsia="en-GB"/>
                    </w:rPr>
                  </w:pPr>
                  <w:r w:rsidRPr="005A7E84">
                    <w:rPr>
                      <w:rFonts w:cs="Arial"/>
                      <w:sz w:val="20"/>
                      <w:szCs w:val="20"/>
                      <w:lang w:eastAsia="en-GB"/>
                    </w:rPr>
                    <w:t xml:space="preserve">SD02 Workforce Development Skills Plan </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F7FE8" w14:textId="77777777" w:rsidR="00C205A4" w:rsidRPr="005A7E84" w:rsidRDefault="00C205A4" w:rsidP="00C205A4">
                  <w:pPr>
                    <w:jc w:val="center"/>
                    <w:rPr>
                      <w:rFonts w:cs="Arial"/>
                      <w:sz w:val="20"/>
                      <w:szCs w:val="20"/>
                      <w:lang w:eastAsia="en-GB"/>
                    </w:rPr>
                  </w:pPr>
                  <w:r>
                    <w:rPr>
                      <w:rFonts w:cs="Arial"/>
                      <w:sz w:val="20"/>
                      <w:szCs w:val="20"/>
                      <w:lang w:eastAsia="en-GB"/>
                    </w:rPr>
                    <w:t>60</w:t>
                  </w:r>
                </w:p>
              </w:tc>
              <w:tc>
                <w:tcPr>
                  <w:tcW w:w="17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E9" w14:textId="77777777" w:rsidR="00C205A4" w:rsidRPr="005A7E84" w:rsidRDefault="00C205A4" w:rsidP="00C205A4">
                  <w:pPr>
                    <w:jc w:val="center"/>
                    <w:rPr>
                      <w:rFonts w:cs="Arial"/>
                      <w:sz w:val="20"/>
                      <w:szCs w:val="20"/>
                      <w:lang w:eastAsia="en-GB"/>
                    </w:rPr>
                  </w:pPr>
                  <w:r w:rsidRPr="005A7E84">
                    <w:rPr>
                      <w:rFonts w:cs="Arial"/>
                      <w:sz w:val="20"/>
                      <w:szCs w:val="20"/>
                      <w:lang w:eastAsia="en-GB"/>
                    </w:rPr>
                    <w:t>£150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EF7FEA" w14:textId="77777777" w:rsidR="00C205A4" w:rsidRPr="005A7E84" w:rsidRDefault="00C205A4" w:rsidP="00C205A4">
                  <w:pPr>
                    <w:jc w:val="center"/>
                    <w:rPr>
                      <w:rFonts w:cs="Arial"/>
                      <w:sz w:val="20"/>
                      <w:szCs w:val="20"/>
                      <w:lang w:eastAsia="en-GB"/>
                    </w:rPr>
                  </w:pPr>
                  <w:r w:rsidRPr="005A7E84">
                    <w:rPr>
                      <w:rFonts w:cs="Arial"/>
                      <w:sz w:val="20"/>
                      <w:szCs w:val="20"/>
                      <w:lang w:eastAsia="en-GB"/>
                    </w:rPr>
                    <w:t>£9,000</w:t>
                  </w:r>
                </w:p>
              </w:tc>
            </w:tr>
            <w:tr w:rsidR="00C205A4" w:rsidRPr="005A7E84" w14:paraId="14EF7FF0" w14:textId="77777777" w:rsidTr="000325AF">
              <w:trPr>
                <w:trHeight w:val="288"/>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EF7FEC" w14:textId="77777777" w:rsidR="00C205A4" w:rsidRPr="005A7E84" w:rsidRDefault="00C205A4" w:rsidP="00C205A4">
                  <w:pPr>
                    <w:rPr>
                      <w:rFonts w:cs="Arial"/>
                      <w:sz w:val="20"/>
                      <w:szCs w:val="20"/>
                      <w:lang w:eastAsia="en-GB"/>
                    </w:rPr>
                  </w:pPr>
                  <w:r w:rsidRPr="005A7E84">
                    <w:rPr>
                      <w:rFonts w:cs="Arial"/>
                      <w:sz w:val="20"/>
                      <w:szCs w:val="20"/>
                      <w:lang w:eastAsia="en-GB"/>
                    </w:rPr>
                    <w:t>ST01 Learner Assessment and Plan</w:t>
                  </w:r>
                </w:p>
              </w:tc>
              <w:tc>
                <w:tcPr>
                  <w:tcW w:w="1050" w:type="dxa"/>
                  <w:tcBorders>
                    <w:top w:val="nil"/>
                    <w:left w:val="single" w:sz="4" w:space="0" w:color="auto"/>
                    <w:bottom w:val="single" w:sz="4" w:space="0" w:color="auto"/>
                    <w:right w:val="single" w:sz="4" w:space="0" w:color="auto"/>
                  </w:tcBorders>
                  <w:shd w:val="clear" w:color="D9D9D9" w:fill="D9D9D9"/>
                  <w:vAlign w:val="center"/>
                  <w:hideMark/>
                </w:tcPr>
                <w:p w14:paraId="14EF7FED" w14:textId="77777777" w:rsidR="00C205A4" w:rsidRPr="005A7E84" w:rsidRDefault="00C205A4" w:rsidP="00C205A4">
                  <w:pPr>
                    <w:jc w:val="center"/>
                    <w:rPr>
                      <w:rFonts w:cs="Arial"/>
                      <w:sz w:val="20"/>
                      <w:szCs w:val="20"/>
                      <w:lang w:eastAsia="en-GB"/>
                    </w:rPr>
                  </w:pPr>
                  <w:r>
                    <w:rPr>
                      <w:rFonts w:cs="Arial"/>
                      <w:sz w:val="20"/>
                      <w:szCs w:val="20"/>
                      <w:lang w:eastAsia="en-GB"/>
                    </w:rPr>
                    <w:t>257</w:t>
                  </w:r>
                </w:p>
              </w:tc>
              <w:tc>
                <w:tcPr>
                  <w:tcW w:w="1785" w:type="dxa"/>
                  <w:tcBorders>
                    <w:top w:val="nil"/>
                    <w:left w:val="nil"/>
                    <w:bottom w:val="single" w:sz="4" w:space="0" w:color="auto"/>
                    <w:right w:val="single" w:sz="4" w:space="0" w:color="auto"/>
                  </w:tcBorders>
                  <w:shd w:val="clear" w:color="D9D9D9" w:fill="D9D9D9"/>
                  <w:noWrap/>
                  <w:vAlign w:val="center"/>
                  <w:hideMark/>
                </w:tcPr>
                <w:p w14:paraId="14EF7FEE" w14:textId="77777777" w:rsidR="00C205A4" w:rsidRPr="005A7E84" w:rsidRDefault="00C205A4" w:rsidP="00C205A4">
                  <w:pPr>
                    <w:jc w:val="center"/>
                    <w:rPr>
                      <w:rFonts w:cs="Arial"/>
                      <w:sz w:val="20"/>
                      <w:szCs w:val="20"/>
                      <w:lang w:eastAsia="en-GB"/>
                    </w:rPr>
                  </w:pPr>
                  <w:r w:rsidRPr="005A7E84">
                    <w:rPr>
                      <w:rFonts w:cs="Arial"/>
                      <w:sz w:val="20"/>
                      <w:szCs w:val="20"/>
                      <w:lang w:eastAsia="en-GB"/>
                    </w:rPr>
                    <w:t>£50</w:t>
                  </w:r>
                </w:p>
              </w:tc>
              <w:tc>
                <w:tcPr>
                  <w:tcW w:w="1275" w:type="dxa"/>
                  <w:tcBorders>
                    <w:top w:val="nil"/>
                    <w:left w:val="nil"/>
                    <w:bottom w:val="single" w:sz="4" w:space="0" w:color="auto"/>
                    <w:right w:val="single" w:sz="4" w:space="0" w:color="auto"/>
                  </w:tcBorders>
                  <w:shd w:val="clear" w:color="D9D9D9" w:fill="D9D9D9"/>
                  <w:noWrap/>
                  <w:vAlign w:val="center"/>
                  <w:hideMark/>
                </w:tcPr>
                <w:p w14:paraId="14EF7FEF" w14:textId="77777777" w:rsidR="00C205A4" w:rsidRPr="005A7E84" w:rsidRDefault="00C205A4" w:rsidP="00C205A4">
                  <w:pPr>
                    <w:jc w:val="center"/>
                    <w:rPr>
                      <w:rFonts w:cs="Arial"/>
                      <w:sz w:val="20"/>
                      <w:szCs w:val="20"/>
                      <w:lang w:eastAsia="en-GB"/>
                    </w:rPr>
                  </w:pPr>
                  <w:r w:rsidRPr="005A7E84">
                    <w:rPr>
                      <w:rFonts w:cs="Arial"/>
                      <w:sz w:val="20"/>
                      <w:szCs w:val="20"/>
                      <w:lang w:eastAsia="en-GB"/>
                    </w:rPr>
                    <w:t>£12,825</w:t>
                  </w:r>
                </w:p>
              </w:tc>
            </w:tr>
            <w:tr w:rsidR="00C205A4" w:rsidRPr="005A7E84" w14:paraId="14EF7FF5" w14:textId="77777777" w:rsidTr="000325AF">
              <w:trPr>
                <w:trHeight w:val="288"/>
              </w:trPr>
              <w:tc>
                <w:tcPr>
                  <w:tcW w:w="439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4EF7FF1" w14:textId="77777777" w:rsidR="00C205A4" w:rsidRPr="005A7E84" w:rsidRDefault="00C205A4" w:rsidP="00C205A4">
                  <w:pPr>
                    <w:rPr>
                      <w:rFonts w:cs="Arial"/>
                      <w:sz w:val="20"/>
                      <w:szCs w:val="20"/>
                      <w:lang w:eastAsia="en-GB"/>
                    </w:rPr>
                  </w:pPr>
                  <w:r w:rsidRPr="005A7E84">
                    <w:rPr>
                      <w:rFonts w:cs="Arial"/>
                      <w:sz w:val="20"/>
                      <w:szCs w:val="20"/>
                      <w:lang w:eastAsia="en-GB"/>
                    </w:rPr>
                    <w:t>RQ01 Regulated Learning</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4EF7FF2" w14:textId="77777777" w:rsidR="00C205A4" w:rsidRPr="005A7E84" w:rsidRDefault="00C205A4" w:rsidP="00C205A4">
                  <w:pPr>
                    <w:jc w:val="center"/>
                    <w:rPr>
                      <w:rFonts w:cs="Arial"/>
                      <w:sz w:val="20"/>
                      <w:szCs w:val="20"/>
                      <w:lang w:eastAsia="en-GB"/>
                    </w:rPr>
                  </w:pPr>
                </w:p>
              </w:tc>
              <w:tc>
                <w:tcPr>
                  <w:tcW w:w="1785" w:type="dxa"/>
                  <w:tcBorders>
                    <w:top w:val="nil"/>
                    <w:left w:val="nil"/>
                    <w:bottom w:val="single" w:sz="4" w:space="0" w:color="auto"/>
                    <w:right w:val="single" w:sz="4" w:space="0" w:color="auto"/>
                  </w:tcBorders>
                  <w:shd w:val="clear" w:color="auto" w:fill="auto"/>
                  <w:noWrap/>
                  <w:vAlign w:val="center"/>
                  <w:hideMark/>
                </w:tcPr>
                <w:p w14:paraId="14EF7FF3" w14:textId="77777777" w:rsidR="00C205A4" w:rsidRPr="005A7E84" w:rsidRDefault="00C205A4" w:rsidP="00C205A4">
                  <w:pPr>
                    <w:jc w:val="center"/>
                    <w:rPr>
                      <w:rFonts w:cs="Arial"/>
                      <w:sz w:val="20"/>
                      <w:szCs w:val="20"/>
                      <w:lang w:eastAsia="en-GB"/>
                    </w:rPr>
                  </w:pPr>
                </w:p>
              </w:tc>
              <w:tc>
                <w:tcPr>
                  <w:tcW w:w="1275" w:type="dxa"/>
                  <w:tcBorders>
                    <w:top w:val="nil"/>
                    <w:left w:val="nil"/>
                    <w:bottom w:val="single" w:sz="4" w:space="0" w:color="auto"/>
                    <w:right w:val="single" w:sz="4" w:space="0" w:color="auto"/>
                  </w:tcBorders>
                  <w:shd w:val="clear" w:color="auto" w:fill="auto"/>
                  <w:noWrap/>
                  <w:vAlign w:val="center"/>
                  <w:hideMark/>
                </w:tcPr>
                <w:p w14:paraId="14EF7FF4" w14:textId="77777777" w:rsidR="00C205A4" w:rsidRPr="005A7E84" w:rsidRDefault="00C205A4" w:rsidP="00C205A4">
                  <w:pPr>
                    <w:jc w:val="center"/>
                    <w:rPr>
                      <w:rFonts w:cs="Arial"/>
                      <w:sz w:val="20"/>
                      <w:szCs w:val="20"/>
                      <w:lang w:eastAsia="en-GB"/>
                    </w:rPr>
                  </w:pPr>
                  <w:r w:rsidRPr="005A7E84">
                    <w:rPr>
                      <w:rFonts w:cs="Arial"/>
                      <w:sz w:val="20"/>
                      <w:szCs w:val="20"/>
                      <w:lang w:eastAsia="en-GB"/>
                    </w:rPr>
                    <w:t>£112,875</w:t>
                  </w:r>
                </w:p>
              </w:tc>
            </w:tr>
            <w:tr w:rsidR="00C205A4" w:rsidRPr="005A7E84" w14:paraId="14EF7FFA" w14:textId="77777777" w:rsidTr="000325AF">
              <w:trPr>
                <w:trHeight w:val="288"/>
              </w:trPr>
              <w:tc>
                <w:tcPr>
                  <w:tcW w:w="439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4EF7FF6" w14:textId="77777777" w:rsidR="00C205A4" w:rsidRPr="005A7E84" w:rsidRDefault="00C205A4" w:rsidP="00C205A4">
                  <w:pPr>
                    <w:rPr>
                      <w:rFonts w:cs="Arial"/>
                      <w:sz w:val="20"/>
                      <w:szCs w:val="20"/>
                      <w:lang w:eastAsia="en-GB"/>
                    </w:rPr>
                  </w:pPr>
                  <w:r w:rsidRPr="005A7E84">
                    <w:rPr>
                      <w:rFonts w:cs="Arial"/>
                      <w:sz w:val="20"/>
                      <w:szCs w:val="20"/>
                      <w:lang w:eastAsia="en-GB"/>
                    </w:rPr>
                    <w:t>NR01 Non Regulated Activity</w:t>
                  </w:r>
                </w:p>
              </w:tc>
              <w:tc>
                <w:tcPr>
                  <w:tcW w:w="1050" w:type="dxa"/>
                  <w:tcBorders>
                    <w:top w:val="nil"/>
                    <w:left w:val="single" w:sz="4" w:space="0" w:color="auto"/>
                    <w:bottom w:val="single" w:sz="4" w:space="0" w:color="auto"/>
                    <w:right w:val="single" w:sz="4" w:space="0" w:color="auto"/>
                  </w:tcBorders>
                  <w:shd w:val="clear" w:color="D9D9D9" w:fill="D9D9D9"/>
                  <w:vAlign w:val="center"/>
                  <w:hideMark/>
                </w:tcPr>
                <w:p w14:paraId="14EF7FF7" w14:textId="77777777" w:rsidR="00C205A4" w:rsidRPr="005A7E84" w:rsidRDefault="00C205A4" w:rsidP="00C205A4">
                  <w:pPr>
                    <w:jc w:val="center"/>
                    <w:rPr>
                      <w:rFonts w:cs="Arial"/>
                      <w:sz w:val="20"/>
                      <w:szCs w:val="20"/>
                      <w:lang w:eastAsia="en-GB"/>
                    </w:rPr>
                  </w:pPr>
                </w:p>
              </w:tc>
              <w:tc>
                <w:tcPr>
                  <w:tcW w:w="1785" w:type="dxa"/>
                  <w:tcBorders>
                    <w:top w:val="nil"/>
                    <w:left w:val="nil"/>
                    <w:bottom w:val="single" w:sz="4" w:space="0" w:color="auto"/>
                    <w:right w:val="single" w:sz="4" w:space="0" w:color="auto"/>
                  </w:tcBorders>
                  <w:shd w:val="clear" w:color="D9D9D9" w:fill="D9D9D9"/>
                  <w:noWrap/>
                  <w:vAlign w:val="center"/>
                  <w:hideMark/>
                </w:tcPr>
                <w:p w14:paraId="14EF7FF8" w14:textId="77777777" w:rsidR="00C205A4" w:rsidRPr="005A7E84" w:rsidRDefault="00C205A4" w:rsidP="00C205A4">
                  <w:pPr>
                    <w:jc w:val="center"/>
                    <w:rPr>
                      <w:rFonts w:cs="Arial"/>
                      <w:sz w:val="20"/>
                      <w:szCs w:val="20"/>
                      <w:lang w:eastAsia="en-GB"/>
                    </w:rPr>
                  </w:pPr>
                </w:p>
              </w:tc>
              <w:tc>
                <w:tcPr>
                  <w:tcW w:w="1275" w:type="dxa"/>
                  <w:tcBorders>
                    <w:top w:val="nil"/>
                    <w:left w:val="nil"/>
                    <w:bottom w:val="single" w:sz="4" w:space="0" w:color="auto"/>
                    <w:right w:val="single" w:sz="4" w:space="0" w:color="auto"/>
                  </w:tcBorders>
                  <w:shd w:val="clear" w:color="D9D9D9" w:fill="D9D9D9"/>
                  <w:noWrap/>
                  <w:vAlign w:val="center"/>
                  <w:hideMark/>
                </w:tcPr>
                <w:p w14:paraId="14EF7FF9" w14:textId="77777777" w:rsidR="00C205A4" w:rsidRPr="005A7E84" w:rsidRDefault="00C205A4" w:rsidP="00C205A4">
                  <w:pPr>
                    <w:jc w:val="center"/>
                    <w:rPr>
                      <w:rFonts w:cs="Arial"/>
                      <w:sz w:val="20"/>
                      <w:szCs w:val="20"/>
                      <w:lang w:eastAsia="en-GB"/>
                    </w:rPr>
                  </w:pPr>
                  <w:r w:rsidRPr="005A7E84">
                    <w:rPr>
                      <w:rFonts w:cs="Arial"/>
                      <w:sz w:val="20"/>
                      <w:szCs w:val="20"/>
                      <w:lang w:eastAsia="en-GB"/>
                    </w:rPr>
                    <w:t>£69,300</w:t>
                  </w:r>
                </w:p>
              </w:tc>
            </w:tr>
            <w:tr w:rsidR="00C205A4" w:rsidRPr="005A7E84" w14:paraId="14EF7FFF" w14:textId="77777777" w:rsidTr="000325AF">
              <w:trPr>
                <w:trHeight w:val="288"/>
              </w:trPr>
              <w:tc>
                <w:tcPr>
                  <w:tcW w:w="439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4EF7FFB" w14:textId="77777777" w:rsidR="00C205A4" w:rsidRPr="005A7E84" w:rsidRDefault="00C205A4" w:rsidP="00C205A4">
                  <w:pPr>
                    <w:rPr>
                      <w:rFonts w:cs="Arial"/>
                      <w:sz w:val="20"/>
                      <w:szCs w:val="20"/>
                      <w:lang w:eastAsia="en-GB"/>
                    </w:rPr>
                  </w:pPr>
                  <w:r w:rsidRPr="005A7E84">
                    <w:rPr>
                      <w:rFonts w:cs="Arial"/>
                      <w:sz w:val="20"/>
                      <w:szCs w:val="20"/>
                      <w:lang w:eastAsia="en-GB"/>
                    </w:rPr>
                    <w:t>SD03 Development Plan - month 3</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4EF7FFC" w14:textId="77777777" w:rsidR="00C205A4" w:rsidRPr="005A7E84" w:rsidRDefault="00C205A4" w:rsidP="00C205A4">
                  <w:pPr>
                    <w:jc w:val="center"/>
                    <w:rPr>
                      <w:rFonts w:cs="Arial"/>
                      <w:sz w:val="20"/>
                      <w:szCs w:val="20"/>
                      <w:lang w:eastAsia="en-GB"/>
                    </w:rPr>
                  </w:pPr>
                  <w:r>
                    <w:rPr>
                      <w:rFonts w:cs="Arial"/>
                      <w:sz w:val="20"/>
                      <w:szCs w:val="20"/>
                      <w:lang w:eastAsia="en-GB"/>
                    </w:rPr>
                    <w:t>11</w:t>
                  </w:r>
                </w:p>
              </w:tc>
              <w:tc>
                <w:tcPr>
                  <w:tcW w:w="1785" w:type="dxa"/>
                  <w:tcBorders>
                    <w:top w:val="nil"/>
                    <w:left w:val="nil"/>
                    <w:bottom w:val="single" w:sz="4" w:space="0" w:color="auto"/>
                    <w:right w:val="single" w:sz="4" w:space="0" w:color="000000"/>
                  </w:tcBorders>
                  <w:shd w:val="clear" w:color="auto" w:fill="auto"/>
                  <w:noWrap/>
                  <w:vAlign w:val="center"/>
                  <w:hideMark/>
                </w:tcPr>
                <w:p w14:paraId="14EF7FFD" w14:textId="77777777" w:rsidR="00C205A4" w:rsidRPr="005A7E84" w:rsidRDefault="00C205A4" w:rsidP="00C205A4">
                  <w:pPr>
                    <w:jc w:val="center"/>
                    <w:rPr>
                      <w:rFonts w:cs="Arial"/>
                      <w:sz w:val="20"/>
                      <w:szCs w:val="20"/>
                      <w:lang w:eastAsia="en-GB"/>
                    </w:rPr>
                  </w:pPr>
                  <w:r w:rsidRPr="005A7E84">
                    <w:rPr>
                      <w:rFonts w:cs="Arial"/>
                      <w:sz w:val="20"/>
                      <w:szCs w:val="20"/>
                      <w:lang w:eastAsia="en-GB"/>
                    </w:rPr>
                    <w:t>£18,750</w:t>
                  </w:r>
                </w:p>
              </w:tc>
              <w:tc>
                <w:tcPr>
                  <w:tcW w:w="1275" w:type="dxa"/>
                  <w:tcBorders>
                    <w:top w:val="nil"/>
                    <w:left w:val="nil"/>
                    <w:bottom w:val="single" w:sz="4" w:space="0" w:color="auto"/>
                    <w:right w:val="single" w:sz="4" w:space="0" w:color="auto"/>
                  </w:tcBorders>
                  <w:shd w:val="clear" w:color="auto" w:fill="auto"/>
                  <w:noWrap/>
                  <w:vAlign w:val="center"/>
                  <w:hideMark/>
                </w:tcPr>
                <w:p w14:paraId="14EF7FFE" w14:textId="77777777" w:rsidR="00C205A4" w:rsidRPr="005A7E84" w:rsidRDefault="00C205A4" w:rsidP="00C205A4">
                  <w:pPr>
                    <w:jc w:val="center"/>
                    <w:rPr>
                      <w:rFonts w:cs="Arial"/>
                      <w:sz w:val="20"/>
                      <w:szCs w:val="20"/>
                      <w:lang w:eastAsia="en-GB"/>
                    </w:rPr>
                  </w:pPr>
                  <w:r w:rsidRPr="005A7E84">
                    <w:rPr>
                      <w:rFonts w:cs="Arial"/>
                      <w:sz w:val="20"/>
                      <w:szCs w:val="20"/>
                      <w:lang w:eastAsia="en-GB"/>
                    </w:rPr>
                    <w:t>£206,250</w:t>
                  </w:r>
                </w:p>
              </w:tc>
            </w:tr>
            <w:tr w:rsidR="00C205A4" w:rsidRPr="005A7E84" w14:paraId="14EF8004" w14:textId="77777777" w:rsidTr="000325AF">
              <w:trPr>
                <w:trHeight w:val="288"/>
              </w:trPr>
              <w:tc>
                <w:tcPr>
                  <w:tcW w:w="439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4EF8000" w14:textId="77777777" w:rsidR="00C205A4" w:rsidRPr="005A7E84" w:rsidRDefault="00C205A4" w:rsidP="00C205A4">
                  <w:pPr>
                    <w:rPr>
                      <w:rFonts w:cs="Arial"/>
                      <w:sz w:val="20"/>
                      <w:szCs w:val="20"/>
                      <w:lang w:eastAsia="en-GB"/>
                    </w:rPr>
                  </w:pPr>
                  <w:r w:rsidRPr="005A7E84">
                    <w:rPr>
                      <w:rFonts w:cs="Arial"/>
                      <w:sz w:val="20"/>
                      <w:szCs w:val="20"/>
                      <w:lang w:eastAsia="en-GB"/>
                    </w:rPr>
                    <w:t>SD04 Development Plan - month 9</w:t>
                  </w:r>
                </w:p>
              </w:tc>
              <w:tc>
                <w:tcPr>
                  <w:tcW w:w="1050" w:type="dxa"/>
                  <w:tcBorders>
                    <w:top w:val="nil"/>
                    <w:left w:val="single" w:sz="4" w:space="0" w:color="auto"/>
                    <w:bottom w:val="single" w:sz="4" w:space="0" w:color="auto"/>
                    <w:right w:val="single" w:sz="4" w:space="0" w:color="auto"/>
                  </w:tcBorders>
                  <w:shd w:val="clear" w:color="D9D9D9" w:fill="D9D9D9"/>
                  <w:vAlign w:val="center"/>
                  <w:hideMark/>
                </w:tcPr>
                <w:p w14:paraId="14EF8001" w14:textId="77777777" w:rsidR="00C205A4" w:rsidRPr="005A7E84" w:rsidRDefault="00C205A4" w:rsidP="00C205A4">
                  <w:pPr>
                    <w:jc w:val="center"/>
                    <w:rPr>
                      <w:rFonts w:cs="Arial"/>
                      <w:sz w:val="20"/>
                      <w:szCs w:val="20"/>
                      <w:lang w:eastAsia="en-GB"/>
                    </w:rPr>
                  </w:pPr>
                  <w:r>
                    <w:rPr>
                      <w:rFonts w:cs="Arial"/>
                      <w:sz w:val="20"/>
                      <w:szCs w:val="20"/>
                      <w:lang w:eastAsia="en-GB"/>
                    </w:rPr>
                    <w:t>11</w:t>
                  </w:r>
                </w:p>
              </w:tc>
              <w:tc>
                <w:tcPr>
                  <w:tcW w:w="1785" w:type="dxa"/>
                  <w:tcBorders>
                    <w:top w:val="nil"/>
                    <w:left w:val="nil"/>
                    <w:bottom w:val="single" w:sz="4" w:space="0" w:color="auto"/>
                    <w:right w:val="single" w:sz="4" w:space="0" w:color="auto"/>
                  </w:tcBorders>
                  <w:shd w:val="clear" w:color="D9D9D9" w:fill="D9D9D9"/>
                  <w:noWrap/>
                  <w:vAlign w:val="center"/>
                  <w:hideMark/>
                </w:tcPr>
                <w:p w14:paraId="14EF8002" w14:textId="77777777" w:rsidR="00C205A4" w:rsidRPr="005A7E84" w:rsidRDefault="00C205A4" w:rsidP="00C205A4">
                  <w:pPr>
                    <w:jc w:val="center"/>
                    <w:rPr>
                      <w:rFonts w:cs="Arial"/>
                      <w:sz w:val="20"/>
                      <w:szCs w:val="20"/>
                      <w:lang w:eastAsia="en-GB"/>
                    </w:rPr>
                  </w:pPr>
                  <w:r w:rsidRPr="005A7E84">
                    <w:rPr>
                      <w:rFonts w:cs="Arial"/>
                      <w:sz w:val="20"/>
                      <w:szCs w:val="20"/>
                      <w:lang w:eastAsia="en-GB"/>
                    </w:rPr>
                    <w:t>£18,750</w:t>
                  </w:r>
                </w:p>
              </w:tc>
              <w:tc>
                <w:tcPr>
                  <w:tcW w:w="1275" w:type="dxa"/>
                  <w:tcBorders>
                    <w:top w:val="nil"/>
                    <w:left w:val="nil"/>
                    <w:bottom w:val="single" w:sz="4" w:space="0" w:color="auto"/>
                    <w:right w:val="single" w:sz="4" w:space="0" w:color="auto"/>
                  </w:tcBorders>
                  <w:shd w:val="clear" w:color="D9D9D9" w:fill="D9D9D9"/>
                  <w:noWrap/>
                  <w:vAlign w:val="center"/>
                  <w:hideMark/>
                </w:tcPr>
                <w:p w14:paraId="14EF8003" w14:textId="77777777" w:rsidR="00C205A4" w:rsidRPr="005A7E84" w:rsidRDefault="00C205A4" w:rsidP="00C205A4">
                  <w:pPr>
                    <w:jc w:val="center"/>
                    <w:rPr>
                      <w:rFonts w:cs="Arial"/>
                      <w:sz w:val="20"/>
                      <w:szCs w:val="20"/>
                      <w:lang w:eastAsia="en-GB"/>
                    </w:rPr>
                  </w:pPr>
                  <w:r w:rsidRPr="005A7E84">
                    <w:rPr>
                      <w:rFonts w:cs="Arial"/>
                      <w:sz w:val="20"/>
                      <w:szCs w:val="20"/>
                      <w:lang w:eastAsia="en-GB"/>
                    </w:rPr>
                    <w:t>£206,250</w:t>
                  </w:r>
                </w:p>
              </w:tc>
            </w:tr>
            <w:tr w:rsidR="00C205A4" w:rsidRPr="005A7E84" w14:paraId="14EF8009" w14:textId="77777777" w:rsidTr="000325AF">
              <w:trPr>
                <w:trHeight w:val="288"/>
              </w:trPr>
              <w:tc>
                <w:tcPr>
                  <w:tcW w:w="439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4EF8005" w14:textId="77777777" w:rsidR="00C205A4" w:rsidRPr="005A7E84" w:rsidRDefault="00C205A4" w:rsidP="00C205A4">
                  <w:pPr>
                    <w:rPr>
                      <w:rFonts w:cs="Arial"/>
                      <w:sz w:val="20"/>
                      <w:szCs w:val="20"/>
                      <w:lang w:eastAsia="en-GB"/>
                    </w:rPr>
                  </w:pPr>
                  <w:r w:rsidRPr="005A7E84">
                    <w:rPr>
                      <w:rFonts w:cs="Arial"/>
                      <w:sz w:val="20"/>
                      <w:szCs w:val="20"/>
                      <w:lang w:eastAsia="en-GB"/>
                    </w:rPr>
                    <w:t>SD05 Development Plan - month 15</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4EF8006" w14:textId="77777777" w:rsidR="00C205A4" w:rsidRPr="005A7E84" w:rsidRDefault="00C205A4" w:rsidP="00C205A4">
                  <w:pPr>
                    <w:jc w:val="center"/>
                    <w:rPr>
                      <w:rFonts w:cs="Arial"/>
                      <w:sz w:val="20"/>
                      <w:szCs w:val="20"/>
                      <w:lang w:eastAsia="en-GB"/>
                    </w:rPr>
                  </w:pPr>
                  <w:r>
                    <w:rPr>
                      <w:rFonts w:cs="Arial"/>
                      <w:sz w:val="20"/>
                      <w:szCs w:val="20"/>
                      <w:lang w:eastAsia="en-GB"/>
                    </w:rPr>
                    <w:t>11</w:t>
                  </w:r>
                </w:p>
              </w:tc>
              <w:tc>
                <w:tcPr>
                  <w:tcW w:w="1785" w:type="dxa"/>
                  <w:tcBorders>
                    <w:top w:val="nil"/>
                    <w:left w:val="nil"/>
                    <w:bottom w:val="single" w:sz="4" w:space="0" w:color="auto"/>
                    <w:right w:val="single" w:sz="4" w:space="0" w:color="auto"/>
                  </w:tcBorders>
                  <w:shd w:val="clear" w:color="auto" w:fill="auto"/>
                  <w:noWrap/>
                  <w:vAlign w:val="center"/>
                  <w:hideMark/>
                </w:tcPr>
                <w:p w14:paraId="14EF8007" w14:textId="77777777" w:rsidR="00C205A4" w:rsidRPr="005A7E84" w:rsidRDefault="00C205A4" w:rsidP="00C205A4">
                  <w:pPr>
                    <w:jc w:val="center"/>
                    <w:rPr>
                      <w:rFonts w:cs="Arial"/>
                      <w:sz w:val="20"/>
                      <w:szCs w:val="20"/>
                      <w:lang w:eastAsia="en-GB"/>
                    </w:rPr>
                  </w:pPr>
                  <w:r w:rsidRPr="005A7E84">
                    <w:rPr>
                      <w:rFonts w:cs="Arial"/>
                      <w:sz w:val="20"/>
                      <w:szCs w:val="20"/>
                      <w:lang w:eastAsia="en-GB"/>
                    </w:rPr>
                    <w:t>£52,500</w:t>
                  </w:r>
                </w:p>
              </w:tc>
              <w:tc>
                <w:tcPr>
                  <w:tcW w:w="1275" w:type="dxa"/>
                  <w:tcBorders>
                    <w:top w:val="nil"/>
                    <w:left w:val="nil"/>
                    <w:bottom w:val="single" w:sz="4" w:space="0" w:color="auto"/>
                    <w:right w:val="single" w:sz="4" w:space="0" w:color="auto"/>
                  </w:tcBorders>
                  <w:shd w:val="clear" w:color="auto" w:fill="auto"/>
                  <w:noWrap/>
                  <w:vAlign w:val="center"/>
                  <w:hideMark/>
                </w:tcPr>
                <w:p w14:paraId="14EF8008" w14:textId="77777777" w:rsidR="00C205A4" w:rsidRPr="005A7E84" w:rsidRDefault="00C205A4" w:rsidP="00C205A4">
                  <w:pPr>
                    <w:jc w:val="center"/>
                    <w:rPr>
                      <w:rFonts w:cs="Arial"/>
                      <w:sz w:val="20"/>
                      <w:szCs w:val="20"/>
                      <w:lang w:eastAsia="en-GB"/>
                    </w:rPr>
                  </w:pPr>
                  <w:r w:rsidRPr="005A7E84">
                    <w:rPr>
                      <w:rFonts w:cs="Arial"/>
                      <w:sz w:val="20"/>
                      <w:szCs w:val="20"/>
                      <w:lang w:eastAsia="en-GB"/>
                    </w:rPr>
                    <w:t>£577,500</w:t>
                  </w:r>
                </w:p>
              </w:tc>
            </w:tr>
            <w:tr w:rsidR="00C205A4" w:rsidRPr="005A7E84" w14:paraId="14EF800E" w14:textId="77777777" w:rsidTr="000325AF">
              <w:trPr>
                <w:trHeight w:val="288"/>
              </w:trPr>
              <w:tc>
                <w:tcPr>
                  <w:tcW w:w="439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14EF800A" w14:textId="77777777" w:rsidR="00C205A4" w:rsidRPr="005A7E84" w:rsidRDefault="00C205A4" w:rsidP="00C205A4">
                  <w:pPr>
                    <w:rPr>
                      <w:rFonts w:cs="Arial"/>
                      <w:sz w:val="20"/>
                      <w:szCs w:val="20"/>
                      <w:lang w:eastAsia="en-GB"/>
                    </w:rPr>
                  </w:pPr>
                  <w:r w:rsidRPr="005A7E84">
                    <w:rPr>
                      <w:rFonts w:cs="Arial"/>
                      <w:sz w:val="20"/>
                      <w:szCs w:val="20"/>
                      <w:lang w:eastAsia="en-GB"/>
                    </w:rPr>
                    <w:t>Total</w:t>
                  </w:r>
                </w:p>
              </w:tc>
              <w:tc>
                <w:tcPr>
                  <w:tcW w:w="105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14EF800B" w14:textId="77777777" w:rsidR="00C205A4" w:rsidRPr="005A7E84" w:rsidRDefault="00C205A4" w:rsidP="00C205A4">
                  <w:pPr>
                    <w:jc w:val="center"/>
                    <w:rPr>
                      <w:rFonts w:cs="Arial"/>
                      <w:sz w:val="20"/>
                      <w:szCs w:val="20"/>
                      <w:lang w:eastAsia="en-GB"/>
                    </w:rPr>
                  </w:pPr>
                  <w:r w:rsidRPr="005A7E84">
                    <w:rPr>
                      <w:rFonts w:cs="Arial"/>
                      <w:sz w:val="20"/>
                      <w:szCs w:val="20"/>
                      <w:lang w:eastAsia="en-GB"/>
                    </w:rPr>
                    <w:t> </w:t>
                  </w:r>
                </w:p>
              </w:tc>
              <w:tc>
                <w:tcPr>
                  <w:tcW w:w="17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4EF800C" w14:textId="77777777" w:rsidR="00C205A4" w:rsidRPr="005A7E84" w:rsidRDefault="00C205A4" w:rsidP="00C205A4">
                  <w:pPr>
                    <w:jc w:val="center"/>
                    <w:rPr>
                      <w:rFonts w:cs="Arial"/>
                      <w:sz w:val="20"/>
                      <w:szCs w:val="20"/>
                      <w:lang w:eastAsia="en-GB"/>
                    </w:rPr>
                  </w:pPr>
                </w:p>
              </w:tc>
              <w:tc>
                <w:tcPr>
                  <w:tcW w:w="1275" w:type="dxa"/>
                  <w:tcBorders>
                    <w:top w:val="nil"/>
                    <w:left w:val="nil"/>
                    <w:bottom w:val="single" w:sz="4" w:space="0" w:color="auto"/>
                    <w:right w:val="single" w:sz="4" w:space="0" w:color="auto"/>
                  </w:tcBorders>
                  <w:shd w:val="clear" w:color="D9D9D9" w:fill="D9D9D9"/>
                  <w:noWrap/>
                  <w:vAlign w:val="center"/>
                  <w:hideMark/>
                </w:tcPr>
                <w:p w14:paraId="14EF800D" w14:textId="77777777" w:rsidR="00C205A4" w:rsidRPr="005A7E84" w:rsidRDefault="00C205A4" w:rsidP="00C205A4">
                  <w:pPr>
                    <w:jc w:val="center"/>
                    <w:rPr>
                      <w:rFonts w:cs="Arial"/>
                      <w:sz w:val="20"/>
                      <w:szCs w:val="20"/>
                      <w:lang w:eastAsia="en-GB"/>
                    </w:rPr>
                  </w:pPr>
                  <w:r w:rsidRPr="005A7E84">
                    <w:rPr>
                      <w:rFonts w:cs="Arial"/>
                      <w:sz w:val="20"/>
                      <w:szCs w:val="20"/>
                      <w:lang w:eastAsia="en-GB"/>
                    </w:rPr>
                    <w:t>£1,197,000</w:t>
                  </w:r>
                </w:p>
              </w:tc>
            </w:tr>
          </w:tbl>
          <w:p w14:paraId="14EF800F" w14:textId="77777777" w:rsidR="0007540E" w:rsidRDefault="0007540E" w:rsidP="00A005EF">
            <w:pPr>
              <w:autoSpaceDE w:val="0"/>
              <w:autoSpaceDN w:val="0"/>
              <w:adjustRightInd w:val="0"/>
              <w:rPr>
                <w:rFonts w:cs="Arial"/>
              </w:rPr>
            </w:pPr>
          </w:p>
          <w:p w14:paraId="14EF8010" w14:textId="77777777" w:rsidR="0007540E" w:rsidRDefault="0007540E" w:rsidP="00A005EF">
            <w:pPr>
              <w:autoSpaceDE w:val="0"/>
              <w:autoSpaceDN w:val="0"/>
              <w:adjustRightInd w:val="0"/>
              <w:rPr>
                <w:rFonts w:cs="Arial"/>
              </w:rPr>
            </w:pPr>
          </w:p>
          <w:p w14:paraId="14EF8011" w14:textId="77777777" w:rsidR="00F16A3D" w:rsidRDefault="00C205A4">
            <w:pPr>
              <w:rPr>
                <w:rFonts w:cs="Arial"/>
              </w:rPr>
            </w:pPr>
            <w:r>
              <w:rPr>
                <w:rFonts w:cs="Arial"/>
              </w:rPr>
              <w:t>T</w:t>
            </w:r>
            <w:r w:rsidR="00F101C6" w:rsidRPr="00575A95">
              <w:rPr>
                <w:rFonts w:cs="Arial"/>
              </w:rPr>
              <w:t>he D2N2 LEP is committed to the SKILLS Lo</w:t>
            </w:r>
            <w:r w:rsidR="00315DD7" w:rsidRPr="00575A95">
              <w:rPr>
                <w:rFonts w:cs="Arial"/>
              </w:rPr>
              <w:t>cal programme contributing</w:t>
            </w:r>
            <w:r w:rsidR="00F101C6" w:rsidRPr="00575A95">
              <w:rPr>
                <w:rFonts w:cs="Arial"/>
              </w:rPr>
              <w:t xml:space="preserve"> to a step change in skills provision for the D2N2 area in line with the D</w:t>
            </w:r>
            <w:r w:rsidR="00315DD7" w:rsidRPr="00575A95">
              <w:rPr>
                <w:rFonts w:cs="Arial"/>
              </w:rPr>
              <w:t xml:space="preserve">2N2 Skills for Growth Strategy, and as such, the </w:t>
            </w:r>
            <w:r w:rsidR="00F101C6" w:rsidRPr="00575A95">
              <w:rPr>
                <w:rFonts w:cs="Arial"/>
              </w:rPr>
              <w:t xml:space="preserve">contract deliverables will be expected to achieve </w:t>
            </w:r>
            <w:r w:rsidR="00315DD7" w:rsidRPr="00575A95">
              <w:rPr>
                <w:rFonts w:cs="Arial"/>
              </w:rPr>
              <w:lastRenderedPageBreak/>
              <w:t xml:space="preserve">specified outputs against targets of an agreed Delivery Plan jointly between the LEP and the successful Candidate.  </w:t>
            </w:r>
            <w:r w:rsidR="00FA1DA7" w:rsidRPr="008C5F3C">
              <w:rPr>
                <w:rFonts w:cs="Arial"/>
              </w:rPr>
              <w:t>Performance management may change the volumes and mix of specified outputs during the life of the contract.</w:t>
            </w:r>
            <w:r w:rsidR="00BC714B">
              <w:rPr>
                <w:rFonts w:cs="Arial"/>
              </w:rPr>
              <w:t xml:space="preserve"> </w:t>
            </w:r>
          </w:p>
          <w:p w14:paraId="14EF8012" w14:textId="77777777" w:rsidR="00F16A3D" w:rsidRDefault="00F16A3D">
            <w:pPr>
              <w:rPr>
                <w:rFonts w:cs="Arial"/>
              </w:rPr>
            </w:pPr>
          </w:p>
          <w:p w14:paraId="14EF8013" w14:textId="6A4A591B" w:rsidR="00315DD7" w:rsidRPr="0066616A" w:rsidRDefault="00415D64">
            <w:pPr>
              <w:rPr>
                <w:rFonts w:cs="Arial"/>
                <w:b/>
                <w:bCs/>
                <w:i/>
                <w:iCs/>
              </w:rPr>
            </w:pPr>
            <w:r>
              <w:rPr>
                <w:rFonts w:cs="Arial"/>
                <w:b/>
                <w:i/>
              </w:rPr>
              <w:t>In Theme</w:t>
            </w:r>
            <w:r w:rsidR="00BC714B" w:rsidRPr="003670BC">
              <w:rPr>
                <w:rFonts w:cs="Arial"/>
                <w:b/>
                <w:i/>
              </w:rPr>
              <w:t xml:space="preserve"> 1</w:t>
            </w:r>
            <w:r w:rsidR="00FA1DA7" w:rsidRPr="003670BC">
              <w:rPr>
                <w:rFonts w:cs="Arial"/>
              </w:rPr>
              <w:t xml:space="preserve"> </w:t>
            </w:r>
            <w:r w:rsidR="00BC714B" w:rsidRPr="003670BC">
              <w:rPr>
                <w:rFonts w:cs="Arial"/>
                <w:b/>
                <w:bCs/>
                <w:i/>
                <w:iCs/>
              </w:rPr>
              <w:t>t</w:t>
            </w:r>
            <w:r w:rsidR="00BF3B2B" w:rsidRPr="003670BC">
              <w:rPr>
                <w:rFonts w:cs="Arial"/>
                <w:b/>
                <w:bCs/>
                <w:i/>
                <w:iCs/>
              </w:rPr>
              <w:t>here will be £</w:t>
            </w:r>
            <w:r w:rsidR="00F16A3D" w:rsidRPr="003670BC">
              <w:rPr>
                <w:rFonts w:cs="Arial"/>
                <w:b/>
                <w:bCs/>
                <w:i/>
                <w:iCs/>
              </w:rPr>
              <w:t>37,500</w:t>
            </w:r>
            <w:r w:rsidR="00AD100B" w:rsidRPr="003670BC">
              <w:rPr>
                <w:rFonts w:cs="Arial"/>
                <w:b/>
                <w:bCs/>
                <w:i/>
                <w:iCs/>
              </w:rPr>
              <w:t xml:space="preserve"> </w:t>
            </w:r>
            <w:r w:rsidR="00BF3B2B" w:rsidRPr="003670BC">
              <w:rPr>
                <w:rFonts w:cs="Arial"/>
                <w:b/>
                <w:bCs/>
                <w:i/>
                <w:iCs/>
              </w:rPr>
              <w:t xml:space="preserve">set aside for the successful delivery of at least 80% of the outputs against targets of </w:t>
            </w:r>
            <w:r w:rsidR="00315DD7" w:rsidRPr="003670BC">
              <w:rPr>
                <w:rFonts w:cs="Arial"/>
                <w:b/>
                <w:bCs/>
                <w:i/>
                <w:iCs/>
              </w:rPr>
              <w:t>the agreed Delivery Plan.  The payment will be made at 2 delivery points during the lifetime of the project at March 17 and at March 18.</w:t>
            </w:r>
            <w:r w:rsidR="00BC714B" w:rsidRPr="003670BC">
              <w:rPr>
                <w:rFonts w:cs="Arial"/>
                <w:b/>
                <w:bCs/>
                <w:i/>
                <w:iCs/>
              </w:rPr>
              <w:t xml:space="preserve">  </w:t>
            </w:r>
            <w:r w:rsidR="00BC714B" w:rsidRPr="00575A95">
              <w:rPr>
                <w:rFonts w:cs="Arial"/>
                <w:bCs/>
                <w:iCs/>
              </w:rPr>
              <w:t>The Candidate will be required to achieve delivery point 1</w:t>
            </w:r>
            <w:r w:rsidR="00F16A3D">
              <w:rPr>
                <w:rFonts w:cs="Arial"/>
                <w:bCs/>
                <w:iCs/>
              </w:rPr>
              <w:t xml:space="preserve"> (SD07)</w:t>
            </w:r>
            <w:r w:rsidR="00BC714B" w:rsidRPr="00575A95">
              <w:rPr>
                <w:rFonts w:cs="Arial"/>
                <w:bCs/>
                <w:iCs/>
              </w:rPr>
              <w:t xml:space="preserve"> in order to achieve delivery point 2</w:t>
            </w:r>
            <w:r w:rsidR="00F16A3D">
              <w:rPr>
                <w:rFonts w:cs="Arial"/>
                <w:bCs/>
                <w:iCs/>
              </w:rPr>
              <w:t xml:space="preserve"> (SD08)</w:t>
            </w:r>
            <w:r w:rsidR="00BC714B" w:rsidRPr="00575A95">
              <w:rPr>
                <w:rFonts w:cs="Arial"/>
                <w:bCs/>
                <w:iCs/>
              </w:rPr>
              <w:t>.</w:t>
            </w:r>
            <w:r w:rsidR="00F16A3D">
              <w:rPr>
                <w:rFonts w:cs="Arial"/>
                <w:bCs/>
                <w:iCs/>
              </w:rPr>
              <w:t xml:space="preserve">  The Candidate will be given a breakdown of the targets for SD07 and SD08, which are expected to be delivered through the project.  The targets will be confirmed at the initial meeting between the SFA and LEP – payment of these deliverables will be expected to be on delivery of these targets, however it will be for the LEP to agree that adequate progress has been made before payment is made.</w:t>
            </w:r>
            <w:r w:rsidR="007A0F8B">
              <w:rPr>
                <w:rFonts w:cs="Arial"/>
                <w:bCs/>
                <w:iCs/>
              </w:rPr>
              <w:t xml:space="preserve">  The Candidate will be required to submit a monthly progress report in relation to the targets agreed for SD07 and SD08.</w:t>
            </w:r>
          </w:p>
          <w:p w14:paraId="14EF8014" w14:textId="77777777" w:rsidR="00261045" w:rsidRPr="00575A95" w:rsidRDefault="00261045" w:rsidP="00575A95">
            <w:pPr>
              <w:shd w:val="clear" w:color="auto" w:fill="FFFFFF" w:themeFill="background1"/>
              <w:tabs>
                <w:tab w:val="left" w:pos="2760"/>
              </w:tabs>
              <w:rPr>
                <w:rFonts w:cs="Arial"/>
                <w:b/>
                <w:bCs/>
                <w:i/>
                <w:iCs/>
              </w:rPr>
            </w:pPr>
          </w:p>
          <w:p w14:paraId="14EF8015" w14:textId="77777777" w:rsidR="00344FA1" w:rsidRPr="00DB2FA1" w:rsidRDefault="00344FA1" w:rsidP="00575A95">
            <w:pPr>
              <w:rPr>
                <w:rFonts w:cs="Arial"/>
                <w:b/>
              </w:rPr>
            </w:pPr>
          </w:p>
        </w:tc>
      </w:tr>
    </w:tbl>
    <w:p w14:paraId="14EF8017" w14:textId="77777777" w:rsidR="00A005EF" w:rsidRDefault="00A005EF" w:rsidP="00745E18"/>
    <w:sectPr w:rsidR="00A005EF" w:rsidSect="0014799D">
      <w:headerReference w:type="default" r:id="rId30"/>
      <w:footerReference w:type="default" r:id="rId31"/>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ADB4" w14:textId="77777777" w:rsidR="00A37062" w:rsidRDefault="00A37062">
      <w:r>
        <w:separator/>
      </w:r>
    </w:p>
  </w:endnote>
  <w:endnote w:type="continuationSeparator" w:id="0">
    <w:p w14:paraId="4EE1AACC" w14:textId="77777777" w:rsidR="00A37062" w:rsidRDefault="00A3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4EF8025" w14:textId="77777777" w:rsidR="003670BC" w:rsidRDefault="003670BC">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670BC" w14:paraId="14EF8028" w14:textId="77777777" w:rsidTr="009808AC">
          <w:tc>
            <w:tcPr>
              <w:tcW w:w="4908" w:type="dxa"/>
            </w:tcPr>
            <w:p w14:paraId="14EF8026" w14:textId="77777777" w:rsidR="003670BC" w:rsidRDefault="003670BC" w:rsidP="009808AC">
              <w:pPr>
                <w:pStyle w:val="Footer"/>
              </w:pPr>
            </w:p>
          </w:tc>
          <w:tc>
            <w:tcPr>
              <w:tcW w:w="3869" w:type="dxa"/>
            </w:tcPr>
            <w:p w14:paraId="14EF8027" w14:textId="77777777" w:rsidR="003670BC" w:rsidRDefault="003670BC"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7328AA">
                <w:rPr>
                  <w:b/>
                  <w:bCs/>
                  <w:noProof/>
                </w:rPr>
                <w:t>20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328AA">
                <w:rPr>
                  <w:b/>
                  <w:bCs/>
                  <w:noProof/>
                </w:rPr>
                <w:t>27</w:t>
              </w:r>
              <w:r>
                <w:rPr>
                  <w:b/>
                  <w:bCs/>
                </w:rPr>
                <w:fldChar w:fldCharType="end"/>
              </w:r>
            </w:p>
          </w:tc>
        </w:tr>
      </w:tbl>
      <w:p w14:paraId="14EF8029" w14:textId="77777777" w:rsidR="003670BC" w:rsidRDefault="00A37062">
        <w:pPr>
          <w:pStyle w:val="Footer"/>
          <w:jc w:val="right"/>
        </w:pPr>
      </w:p>
    </w:sdtContent>
  </w:sdt>
  <w:p w14:paraId="14EF802A" w14:textId="77777777" w:rsidR="003670BC" w:rsidRDefault="00367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7EA0D" w14:textId="77777777" w:rsidR="00A37062" w:rsidRDefault="00A37062">
      <w:r>
        <w:separator/>
      </w:r>
    </w:p>
  </w:footnote>
  <w:footnote w:type="continuationSeparator" w:id="0">
    <w:p w14:paraId="58114A78" w14:textId="77777777" w:rsidR="00A37062" w:rsidRDefault="00A37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4EF8024" w14:textId="77777777" w:rsidR="003670BC" w:rsidRDefault="00A37062">
        <w:pPr>
          <w:pStyle w:val="Header"/>
        </w:pPr>
        <w:r>
          <w:rPr>
            <w:noProof/>
            <w:lang w:val="en-US"/>
          </w:rPr>
          <w:pict w14:anchorId="14EF8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42B7E"/>
    <w:multiLevelType w:val="hybridMultilevel"/>
    <w:tmpl w:val="78C23B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45C645B"/>
    <w:multiLevelType w:val="hybridMultilevel"/>
    <w:tmpl w:val="9D94B2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B2F22"/>
    <w:multiLevelType w:val="hybridMultilevel"/>
    <w:tmpl w:val="A934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C1A685C"/>
    <w:multiLevelType w:val="hybridMultilevel"/>
    <w:tmpl w:val="BA12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5843FA"/>
    <w:multiLevelType w:val="hybridMultilevel"/>
    <w:tmpl w:val="A56C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54191"/>
    <w:multiLevelType w:val="hybridMultilevel"/>
    <w:tmpl w:val="793EA63A"/>
    <w:lvl w:ilvl="0" w:tplc="08090001">
      <w:start w:val="1"/>
      <w:numFmt w:val="bullet"/>
      <w:lvlText w:val=""/>
      <w:lvlJc w:val="left"/>
      <w:pPr>
        <w:ind w:left="360" w:hanging="360"/>
      </w:pPr>
      <w:rPr>
        <w:rFonts w:ascii="Symbol" w:hAnsi="Symbol" w:hint="default"/>
      </w:rPr>
    </w:lvl>
    <w:lvl w:ilvl="1" w:tplc="ABD24286">
      <w:start w:val="3"/>
      <w:numFmt w:val="bullet"/>
      <w:lvlText w:val="-"/>
      <w:lvlJc w:val="left"/>
      <w:pPr>
        <w:tabs>
          <w:tab w:val="num" w:pos="1080"/>
        </w:tabs>
        <w:ind w:left="1080" w:hanging="36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9A3588"/>
    <w:multiLevelType w:val="hybridMultilevel"/>
    <w:tmpl w:val="4F3AEC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4C2967"/>
    <w:multiLevelType w:val="hybridMultilevel"/>
    <w:tmpl w:val="3384B25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2A7A61"/>
    <w:multiLevelType w:val="hybridMultilevel"/>
    <w:tmpl w:val="34AE66FE"/>
    <w:lvl w:ilvl="0" w:tplc="08090001">
      <w:start w:val="1"/>
      <w:numFmt w:val="lowerLetter"/>
      <w:lvlText w:val="%1."/>
      <w:lvlJc w:val="left"/>
      <w:pPr>
        <w:ind w:left="720" w:hanging="360"/>
      </w:pPr>
      <w:rPr>
        <w:rFonts w:cs="Times New Roman" w:hint="default"/>
      </w:rPr>
    </w:lvl>
    <w:lvl w:ilvl="1" w:tplc="08090003">
      <w:start w:val="1"/>
      <w:numFmt w:val="lowerLetter"/>
      <w:lvlText w:val="%2."/>
      <w:lvlJc w:val="left"/>
      <w:pPr>
        <w:ind w:left="1440" w:hanging="360"/>
      </w:pPr>
      <w:rPr>
        <w:rFonts w:cs="Times New Roman"/>
      </w:rPr>
    </w:lvl>
    <w:lvl w:ilvl="2" w:tplc="08090005">
      <w:start w:val="1"/>
      <w:numFmt w:val="lowerRoman"/>
      <w:lvlText w:val="%3."/>
      <w:lvlJc w:val="right"/>
      <w:pPr>
        <w:ind w:left="2160" w:hanging="180"/>
      </w:pPr>
      <w:rPr>
        <w:rFonts w:cs="Times New Roman"/>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15" w15:restartNumberingAfterBreak="0">
    <w:nsid w:val="31303155"/>
    <w:multiLevelType w:val="hybridMultilevel"/>
    <w:tmpl w:val="9C38A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F50043"/>
    <w:multiLevelType w:val="hybridMultilevel"/>
    <w:tmpl w:val="8B4E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538EA"/>
    <w:multiLevelType w:val="hybridMultilevel"/>
    <w:tmpl w:val="35F68FA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A994A79"/>
    <w:multiLevelType w:val="hybridMultilevel"/>
    <w:tmpl w:val="CA721C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6F635B"/>
    <w:multiLevelType w:val="hybridMultilevel"/>
    <w:tmpl w:val="CF3CC628"/>
    <w:lvl w:ilvl="0" w:tplc="6574A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840446"/>
    <w:multiLevelType w:val="hybridMultilevel"/>
    <w:tmpl w:val="EFC29A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34B61EB"/>
    <w:multiLevelType w:val="hybridMultilevel"/>
    <w:tmpl w:val="71B82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11AC5"/>
    <w:multiLevelType w:val="hybridMultilevel"/>
    <w:tmpl w:val="B4CCA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C2C6B"/>
    <w:multiLevelType w:val="hybridMultilevel"/>
    <w:tmpl w:val="9954DBE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1F233A"/>
    <w:multiLevelType w:val="hybridMultilevel"/>
    <w:tmpl w:val="4E0E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761CA6"/>
    <w:multiLevelType w:val="hybridMultilevel"/>
    <w:tmpl w:val="9BCC57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19007C"/>
    <w:multiLevelType w:val="hybridMultilevel"/>
    <w:tmpl w:val="8AB0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9" w15:restartNumberingAfterBreak="0">
    <w:nsid w:val="589D3D38"/>
    <w:multiLevelType w:val="hybridMultilevel"/>
    <w:tmpl w:val="829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D5B34"/>
    <w:multiLevelType w:val="hybridMultilevel"/>
    <w:tmpl w:val="5C26A5B0"/>
    <w:lvl w:ilvl="0" w:tplc="08090001">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3" w15:restartNumberingAfterBreak="0">
    <w:nsid w:val="72E34F13"/>
    <w:multiLevelType w:val="hybridMultilevel"/>
    <w:tmpl w:val="B59CB6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785E0C"/>
    <w:multiLevelType w:val="hybridMultilevel"/>
    <w:tmpl w:val="74D0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17875"/>
    <w:multiLevelType w:val="hybridMultilevel"/>
    <w:tmpl w:val="F4D89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00084"/>
    <w:multiLevelType w:val="hybridMultilevel"/>
    <w:tmpl w:val="F51CE68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abstractNumId w:val="5"/>
  </w:num>
  <w:num w:numId="2">
    <w:abstractNumId w:val="37"/>
  </w:num>
  <w:num w:numId="3">
    <w:abstractNumId w:val="32"/>
  </w:num>
  <w:num w:numId="4">
    <w:abstractNumId w:val="32"/>
  </w:num>
  <w:num w:numId="5">
    <w:abstractNumId w:val="6"/>
  </w:num>
  <w:num w:numId="6">
    <w:abstractNumId w:val="0"/>
  </w:num>
  <w:num w:numId="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8"/>
  </w:num>
  <w:num w:numId="11">
    <w:abstractNumId w:val="7"/>
  </w:num>
  <w:num w:numId="12">
    <w:abstractNumId w:val="14"/>
  </w:num>
  <w:num w:numId="13">
    <w:abstractNumId w:val="25"/>
  </w:num>
  <w:num w:numId="14">
    <w:abstractNumId w:val="13"/>
  </w:num>
  <w:num w:numId="15">
    <w:abstractNumId w:val="36"/>
  </w:num>
  <w:num w:numId="16">
    <w:abstractNumId w:val="11"/>
  </w:num>
  <w:num w:numId="17">
    <w:abstractNumId w:val="4"/>
  </w:num>
  <w:num w:numId="18">
    <w:abstractNumId w:val="23"/>
  </w:num>
  <w:num w:numId="19">
    <w:abstractNumId w:val="34"/>
  </w:num>
  <w:num w:numId="20">
    <w:abstractNumId w:val="22"/>
  </w:num>
  <w:num w:numId="21">
    <w:abstractNumId w:val="15"/>
  </w:num>
  <w:num w:numId="22">
    <w:abstractNumId w:val="31"/>
  </w:num>
  <w:num w:numId="23">
    <w:abstractNumId w:val="8"/>
  </w:num>
  <w:num w:numId="24">
    <w:abstractNumId w:val="19"/>
  </w:num>
  <w:num w:numId="25">
    <w:abstractNumId w:val="33"/>
  </w:num>
  <w:num w:numId="26">
    <w:abstractNumId w:val="29"/>
  </w:num>
  <w:num w:numId="27">
    <w:abstractNumId w:val="21"/>
  </w:num>
  <w:num w:numId="28">
    <w:abstractNumId w:val="18"/>
  </w:num>
  <w:num w:numId="29">
    <w:abstractNumId w:val="24"/>
  </w:num>
  <w:num w:numId="30">
    <w:abstractNumId w:val="3"/>
  </w:num>
  <w:num w:numId="31">
    <w:abstractNumId w:val="26"/>
  </w:num>
  <w:num w:numId="32">
    <w:abstractNumId w:val="30"/>
  </w:num>
  <w:num w:numId="33">
    <w:abstractNumId w:val="2"/>
  </w:num>
  <w:num w:numId="34">
    <w:abstractNumId w:val="12"/>
  </w:num>
  <w:num w:numId="35">
    <w:abstractNumId w:val="27"/>
  </w:num>
  <w:num w:numId="36">
    <w:abstractNumId w:val="16"/>
  </w:num>
  <w:num w:numId="37">
    <w:abstractNumId w:val="17"/>
  </w:num>
  <w:num w:numId="38">
    <w:abstractNumId w:val="38"/>
  </w:num>
  <w:num w:numId="39">
    <w:abstractNumId w:val="1"/>
  </w:num>
  <w:num w:numId="4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25AF"/>
    <w:rsid w:val="00033BE9"/>
    <w:rsid w:val="00034C95"/>
    <w:rsid w:val="00036518"/>
    <w:rsid w:val="000419AD"/>
    <w:rsid w:val="000426C3"/>
    <w:rsid w:val="00044B29"/>
    <w:rsid w:val="00045543"/>
    <w:rsid w:val="000457C3"/>
    <w:rsid w:val="0004585A"/>
    <w:rsid w:val="00045DF4"/>
    <w:rsid w:val="000511D0"/>
    <w:rsid w:val="00055B31"/>
    <w:rsid w:val="00057A72"/>
    <w:rsid w:val="00061405"/>
    <w:rsid w:val="000616F5"/>
    <w:rsid w:val="00061C01"/>
    <w:rsid w:val="00065977"/>
    <w:rsid w:val="0006613A"/>
    <w:rsid w:val="0006724D"/>
    <w:rsid w:val="0007093F"/>
    <w:rsid w:val="000730F1"/>
    <w:rsid w:val="0007540E"/>
    <w:rsid w:val="000762BD"/>
    <w:rsid w:val="00087B1E"/>
    <w:rsid w:val="00090908"/>
    <w:rsid w:val="000935EF"/>
    <w:rsid w:val="00094335"/>
    <w:rsid w:val="000976D1"/>
    <w:rsid w:val="000A0728"/>
    <w:rsid w:val="000A5C48"/>
    <w:rsid w:val="000A5F84"/>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07848"/>
    <w:rsid w:val="00110113"/>
    <w:rsid w:val="00111F99"/>
    <w:rsid w:val="0012138E"/>
    <w:rsid w:val="00123C60"/>
    <w:rsid w:val="00131443"/>
    <w:rsid w:val="0013204A"/>
    <w:rsid w:val="001330F4"/>
    <w:rsid w:val="00133A11"/>
    <w:rsid w:val="00136327"/>
    <w:rsid w:val="00137737"/>
    <w:rsid w:val="00143A7D"/>
    <w:rsid w:val="0014799D"/>
    <w:rsid w:val="0015011A"/>
    <w:rsid w:val="001535BC"/>
    <w:rsid w:val="001545B4"/>
    <w:rsid w:val="00155F96"/>
    <w:rsid w:val="00162E7B"/>
    <w:rsid w:val="00171CCB"/>
    <w:rsid w:val="0017418C"/>
    <w:rsid w:val="00174E73"/>
    <w:rsid w:val="00190EDA"/>
    <w:rsid w:val="001913DF"/>
    <w:rsid w:val="00191EFE"/>
    <w:rsid w:val="0019279D"/>
    <w:rsid w:val="001931FA"/>
    <w:rsid w:val="00194CEF"/>
    <w:rsid w:val="00195C99"/>
    <w:rsid w:val="001A0525"/>
    <w:rsid w:val="001A1174"/>
    <w:rsid w:val="001A34A6"/>
    <w:rsid w:val="001A4B05"/>
    <w:rsid w:val="001A4B42"/>
    <w:rsid w:val="001A5133"/>
    <w:rsid w:val="001A564A"/>
    <w:rsid w:val="001B0B95"/>
    <w:rsid w:val="001B180A"/>
    <w:rsid w:val="001B2E91"/>
    <w:rsid w:val="001C0F4B"/>
    <w:rsid w:val="001C5ABA"/>
    <w:rsid w:val="001C6BE0"/>
    <w:rsid w:val="001D0D50"/>
    <w:rsid w:val="001D14EA"/>
    <w:rsid w:val="001D1AC8"/>
    <w:rsid w:val="001E04A4"/>
    <w:rsid w:val="001E1416"/>
    <w:rsid w:val="001E1EA5"/>
    <w:rsid w:val="001E23AA"/>
    <w:rsid w:val="001E3703"/>
    <w:rsid w:val="001E435E"/>
    <w:rsid w:val="001E45D5"/>
    <w:rsid w:val="001E48F1"/>
    <w:rsid w:val="001E4DC7"/>
    <w:rsid w:val="001E5188"/>
    <w:rsid w:val="001E6A24"/>
    <w:rsid w:val="001E712C"/>
    <w:rsid w:val="001E73E3"/>
    <w:rsid w:val="001F0385"/>
    <w:rsid w:val="001F0D61"/>
    <w:rsid w:val="001F0E6A"/>
    <w:rsid w:val="001F5ADC"/>
    <w:rsid w:val="001F683C"/>
    <w:rsid w:val="001F687D"/>
    <w:rsid w:val="001F7D10"/>
    <w:rsid w:val="002007BA"/>
    <w:rsid w:val="002008A0"/>
    <w:rsid w:val="00200BC6"/>
    <w:rsid w:val="0020278B"/>
    <w:rsid w:val="00202EA7"/>
    <w:rsid w:val="0020486E"/>
    <w:rsid w:val="002063F5"/>
    <w:rsid w:val="00207E67"/>
    <w:rsid w:val="00210134"/>
    <w:rsid w:val="0021080C"/>
    <w:rsid w:val="00212817"/>
    <w:rsid w:val="00220677"/>
    <w:rsid w:val="002211F9"/>
    <w:rsid w:val="00225C7E"/>
    <w:rsid w:val="00226225"/>
    <w:rsid w:val="00230104"/>
    <w:rsid w:val="00231AA7"/>
    <w:rsid w:val="002325E4"/>
    <w:rsid w:val="00234B05"/>
    <w:rsid w:val="002369B8"/>
    <w:rsid w:val="00236EB2"/>
    <w:rsid w:val="00244732"/>
    <w:rsid w:val="00246ACC"/>
    <w:rsid w:val="0025417A"/>
    <w:rsid w:val="00254DC6"/>
    <w:rsid w:val="00261045"/>
    <w:rsid w:val="00261A57"/>
    <w:rsid w:val="00261BD3"/>
    <w:rsid w:val="00272D93"/>
    <w:rsid w:val="00273291"/>
    <w:rsid w:val="00274F72"/>
    <w:rsid w:val="002754B4"/>
    <w:rsid w:val="00275DF2"/>
    <w:rsid w:val="00281694"/>
    <w:rsid w:val="0028229D"/>
    <w:rsid w:val="002833D9"/>
    <w:rsid w:val="002914C4"/>
    <w:rsid w:val="002919CC"/>
    <w:rsid w:val="00294130"/>
    <w:rsid w:val="00294684"/>
    <w:rsid w:val="00294FCA"/>
    <w:rsid w:val="002A10EA"/>
    <w:rsid w:val="002A1E5B"/>
    <w:rsid w:val="002A21F4"/>
    <w:rsid w:val="002A4103"/>
    <w:rsid w:val="002A5006"/>
    <w:rsid w:val="002A5E6B"/>
    <w:rsid w:val="002B2730"/>
    <w:rsid w:val="002B2B9C"/>
    <w:rsid w:val="002B7967"/>
    <w:rsid w:val="002B7A00"/>
    <w:rsid w:val="002C1169"/>
    <w:rsid w:val="002C3DD0"/>
    <w:rsid w:val="002C62CF"/>
    <w:rsid w:val="002C72A2"/>
    <w:rsid w:val="002D5A8E"/>
    <w:rsid w:val="002D7D91"/>
    <w:rsid w:val="002E25F4"/>
    <w:rsid w:val="002E3B40"/>
    <w:rsid w:val="002E53B9"/>
    <w:rsid w:val="002E67C8"/>
    <w:rsid w:val="002F2910"/>
    <w:rsid w:val="002F4192"/>
    <w:rsid w:val="002F67EA"/>
    <w:rsid w:val="002F70E9"/>
    <w:rsid w:val="002F71DB"/>
    <w:rsid w:val="00301CA8"/>
    <w:rsid w:val="003035E8"/>
    <w:rsid w:val="00303609"/>
    <w:rsid w:val="00303EFB"/>
    <w:rsid w:val="003045E2"/>
    <w:rsid w:val="00307FC5"/>
    <w:rsid w:val="0031325C"/>
    <w:rsid w:val="003146D9"/>
    <w:rsid w:val="00315DD7"/>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670BC"/>
    <w:rsid w:val="00370ADD"/>
    <w:rsid w:val="003711BA"/>
    <w:rsid w:val="00372BC6"/>
    <w:rsid w:val="00376B4D"/>
    <w:rsid w:val="003815F3"/>
    <w:rsid w:val="003817E6"/>
    <w:rsid w:val="00384AE2"/>
    <w:rsid w:val="00385D97"/>
    <w:rsid w:val="003903BC"/>
    <w:rsid w:val="00391879"/>
    <w:rsid w:val="00394F36"/>
    <w:rsid w:val="003A017D"/>
    <w:rsid w:val="003A3761"/>
    <w:rsid w:val="003A457D"/>
    <w:rsid w:val="003A4747"/>
    <w:rsid w:val="003A4850"/>
    <w:rsid w:val="003A703E"/>
    <w:rsid w:val="003A723F"/>
    <w:rsid w:val="003B0CB7"/>
    <w:rsid w:val="003B44C9"/>
    <w:rsid w:val="003B6ACC"/>
    <w:rsid w:val="003B6D47"/>
    <w:rsid w:val="003C070A"/>
    <w:rsid w:val="003C218D"/>
    <w:rsid w:val="003C3FC1"/>
    <w:rsid w:val="003D0098"/>
    <w:rsid w:val="003D25A1"/>
    <w:rsid w:val="003D58B2"/>
    <w:rsid w:val="003D5D97"/>
    <w:rsid w:val="003E3DEA"/>
    <w:rsid w:val="003E657D"/>
    <w:rsid w:val="003F332D"/>
    <w:rsid w:val="003F57F0"/>
    <w:rsid w:val="003F7E73"/>
    <w:rsid w:val="00404490"/>
    <w:rsid w:val="004050CC"/>
    <w:rsid w:val="00407ED0"/>
    <w:rsid w:val="00412EFF"/>
    <w:rsid w:val="0041542B"/>
    <w:rsid w:val="00415AB1"/>
    <w:rsid w:val="00415D64"/>
    <w:rsid w:val="00416BE3"/>
    <w:rsid w:val="004241A1"/>
    <w:rsid w:val="00430AA9"/>
    <w:rsid w:val="00430C43"/>
    <w:rsid w:val="004404D5"/>
    <w:rsid w:val="0044066C"/>
    <w:rsid w:val="0044287C"/>
    <w:rsid w:val="00442DA3"/>
    <w:rsid w:val="00444DB8"/>
    <w:rsid w:val="00446876"/>
    <w:rsid w:val="00447E3D"/>
    <w:rsid w:val="004524C7"/>
    <w:rsid w:val="00454193"/>
    <w:rsid w:val="00454504"/>
    <w:rsid w:val="00457BC3"/>
    <w:rsid w:val="00464432"/>
    <w:rsid w:val="00464787"/>
    <w:rsid w:val="00471029"/>
    <w:rsid w:val="00475425"/>
    <w:rsid w:val="00475879"/>
    <w:rsid w:val="004815E5"/>
    <w:rsid w:val="004825CA"/>
    <w:rsid w:val="00483E0B"/>
    <w:rsid w:val="00485130"/>
    <w:rsid w:val="00487CFD"/>
    <w:rsid w:val="004A2467"/>
    <w:rsid w:val="004A34B5"/>
    <w:rsid w:val="004A45BD"/>
    <w:rsid w:val="004A5EE0"/>
    <w:rsid w:val="004B6441"/>
    <w:rsid w:val="004B698A"/>
    <w:rsid w:val="004B701F"/>
    <w:rsid w:val="004B7AFB"/>
    <w:rsid w:val="004B7B72"/>
    <w:rsid w:val="004C0EF7"/>
    <w:rsid w:val="004C2299"/>
    <w:rsid w:val="004C5399"/>
    <w:rsid w:val="004C6E5B"/>
    <w:rsid w:val="004C726D"/>
    <w:rsid w:val="004C7C23"/>
    <w:rsid w:val="004D0E61"/>
    <w:rsid w:val="004D1EA6"/>
    <w:rsid w:val="004D45FA"/>
    <w:rsid w:val="004D7820"/>
    <w:rsid w:val="004E5C17"/>
    <w:rsid w:val="004F54B2"/>
    <w:rsid w:val="005005F6"/>
    <w:rsid w:val="00501198"/>
    <w:rsid w:val="0050287E"/>
    <w:rsid w:val="00503222"/>
    <w:rsid w:val="00503817"/>
    <w:rsid w:val="0050687A"/>
    <w:rsid w:val="0051008E"/>
    <w:rsid w:val="0051414C"/>
    <w:rsid w:val="00515602"/>
    <w:rsid w:val="00517252"/>
    <w:rsid w:val="0052301F"/>
    <w:rsid w:val="0052417A"/>
    <w:rsid w:val="00524B4A"/>
    <w:rsid w:val="00525050"/>
    <w:rsid w:val="00526F80"/>
    <w:rsid w:val="00527247"/>
    <w:rsid w:val="00532143"/>
    <w:rsid w:val="005325A3"/>
    <w:rsid w:val="00533590"/>
    <w:rsid w:val="00534DD7"/>
    <w:rsid w:val="00546D27"/>
    <w:rsid w:val="00552431"/>
    <w:rsid w:val="00552885"/>
    <w:rsid w:val="005530E1"/>
    <w:rsid w:val="005532B7"/>
    <w:rsid w:val="0055442A"/>
    <w:rsid w:val="0055522F"/>
    <w:rsid w:val="005574E2"/>
    <w:rsid w:val="00567FE1"/>
    <w:rsid w:val="00570163"/>
    <w:rsid w:val="0057560E"/>
    <w:rsid w:val="00575A04"/>
    <w:rsid w:val="00575A95"/>
    <w:rsid w:val="00580A30"/>
    <w:rsid w:val="00581451"/>
    <w:rsid w:val="00581C17"/>
    <w:rsid w:val="00582B96"/>
    <w:rsid w:val="005844BD"/>
    <w:rsid w:val="00584D89"/>
    <w:rsid w:val="00584F79"/>
    <w:rsid w:val="00587150"/>
    <w:rsid w:val="00590073"/>
    <w:rsid w:val="005913DB"/>
    <w:rsid w:val="00591DF9"/>
    <w:rsid w:val="00592A3B"/>
    <w:rsid w:val="00596FF4"/>
    <w:rsid w:val="005A0E22"/>
    <w:rsid w:val="005A19C2"/>
    <w:rsid w:val="005A1D76"/>
    <w:rsid w:val="005A233C"/>
    <w:rsid w:val="005A3B4D"/>
    <w:rsid w:val="005B0619"/>
    <w:rsid w:val="005B25BE"/>
    <w:rsid w:val="005B3498"/>
    <w:rsid w:val="005B4B9E"/>
    <w:rsid w:val="005C04A2"/>
    <w:rsid w:val="005C350D"/>
    <w:rsid w:val="005C44C5"/>
    <w:rsid w:val="005C5996"/>
    <w:rsid w:val="005C6102"/>
    <w:rsid w:val="005C74C2"/>
    <w:rsid w:val="005D2D1A"/>
    <w:rsid w:val="005D2FF1"/>
    <w:rsid w:val="005D3214"/>
    <w:rsid w:val="005D3E38"/>
    <w:rsid w:val="005D77FE"/>
    <w:rsid w:val="005E0E16"/>
    <w:rsid w:val="005E1FA1"/>
    <w:rsid w:val="005E317E"/>
    <w:rsid w:val="005E37D8"/>
    <w:rsid w:val="005E3A1D"/>
    <w:rsid w:val="005E5435"/>
    <w:rsid w:val="005F081E"/>
    <w:rsid w:val="005F1102"/>
    <w:rsid w:val="00601DC5"/>
    <w:rsid w:val="00601F38"/>
    <w:rsid w:val="00607A17"/>
    <w:rsid w:val="006106F1"/>
    <w:rsid w:val="00622E87"/>
    <w:rsid w:val="006254BD"/>
    <w:rsid w:val="006321E9"/>
    <w:rsid w:val="00651A1C"/>
    <w:rsid w:val="00655E68"/>
    <w:rsid w:val="006573C2"/>
    <w:rsid w:val="00663C28"/>
    <w:rsid w:val="0066616A"/>
    <w:rsid w:val="006701D5"/>
    <w:rsid w:val="00670BF4"/>
    <w:rsid w:val="0067125E"/>
    <w:rsid w:val="00673325"/>
    <w:rsid w:val="00674549"/>
    <w:rsid w:val="00675660"/>
    <w:rsid w:val="006769F9"/>
    <w:rsid w:val="00680408"/>
    <w:rsid w:val="00681463"/>
    <w:rsid w:val="00683123"/>
    <w:rsid w:val="00683FE3"/>
    <w:rsid w:val="0068445E"/>
    <w:rsid w:val="00685FB5"/>
    <w:rsid w:val="00692CED"/>
    <w:rsid w:val="00697265"/>
    <w:rsid w:val="00697ECA"/>
    <w:rsid w:val="006A28A1"/>
    <w:rsid w:val="006A3798"/>
    <w:rsid w:val="006A4FD3"/>
    <w:rsid w:val="006B0663"/>
    <w:rsid w:val="006B0A4D"/>
    <w:rsid w:val="006B2902"/>
    <w:rsid w:val="006B58FF"/>
    <w:rsid w:val="006B627F"/>
    <w:rsid w:val="006B6B87"/>
    <w:rsid w:val="006B7267"/>
    <w:rsid w:val="006C00C2"/>
    <w:rsid w:val="006C5495"/>
    <w:rsid w:val="006C64F5"/>
    <w:rsid w:val="006C75C3"/>
    <w:rsid w:val="006D1041"/>
    <w:rsid w:val="006D484F"/>
    <w:rsid w:val="006D5858"/>
    <w:rsid w:val="006E31CF"/>
    <w:rsid w:val="006E4BB8"/>
    <w:rsid w:val="006E609B"/>
    <w:rsid w:val="006E6BB9"/>
    <w:rsid w:val="006E6DED"/>
    <w:rsid w:val="006E7CEE"/>
    <w:rsid w:val="006F33C3"/>
    <w:rsid w:val="006F520C"/>
    <w:rsid w:val="007002C7"/>
    <w:rsid w:val="0070487E"/>
    <w:rsid w:val="0070530B"/>
    <w:rsid w:val="0070702A"/>
    <w:rsid w:val="007121E9"/>
    <w:rsid w:val="007167C9"/>
    <w:rsid w:val="0072012D"/>
    <w:rsid w:val="00721D14"/>
    <w:rsid w:val="007221B7"/>
    <w:rsid w:val="007235F3"/>
    <w:rsid w:val="007328AA"/>
    <w:rsid w:val="00733C44"/>
    <w:rsid w:val="00734B1E"/>
    <w:rsid w:val="007362B9"/>
    <w:rsid w:val="00736E23"/>
    <w:rsid w:val="00740BBC"/>
    <w:rsid w:val="00741E70"/>
    <w:rsid w:val="00742085"/>
    <w:rsid w:val="00745E18"/>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0F8B"/>
    <w:rsid w:val="007A1505"/>
    <w:rsid w:val="007A1663"/>
    <w:rsid w:val="007A38DA"/>
    <w:rsid w:val="007A3B66"/>
    <w:rsid w:val="007A4CDA"/>
    <w:rsid w:val="007A63F7"/>
    <w:rsid w:val="007B2848"/>
    <w:rsid w:val="007B305F"/>
    <w:rsid w:val="007B33D4"/>
    <w:rsid w:val="007C1168"/>
    <w:rsid w:val="007C1C00"/>
    <w:rsid w:val="007C294F"/>
    <w:rsid w:val="007C2B80"/>
    <w:rsid w:val="007C4E59"/>
    <w:rsid w:val="007D184B"/>
    <w:rsid w:val="007D25C3"/>
    <w:rsid w:val="007E2C13"/>
    <w:rsid w:val="007E2F31"/>
    <w:rsid w:val="007E5629"/>
    <w:rsid w:val="007E67F3"/>
    <w:rsid w:val="007E7731"/>
    <w:rsid w:val="007F0102"/>
    <w:rsid w:val="007F51F2"/>
    <w:rsid w:val="007F575A"/>
    <w:rsid w:val="007F61A6"/>
    <w:rsid w:val="008040A8"/>
    <w:rsid w:val="00806C56"/>
    <w:rsid w:val="00812EC6"/>
    <w:rsid w:val="0081358C"/>
    <w:rsid w:val="008139C0"/>
    <w:rsid w:val="008144A8"/>
    <w:rsid w:val="00816535"/>
    <w:rsid w:val="0081783D"/>
    <w:rsid w:val="0082000C"/>
    <w:rsid w:val="008200B8"/>
    <w:rsid w:val="00824A00"/>
    <w:rsid w:val="008441FE"/>
    <w:rsid w:val="00856A9A"/>
    <w:rsid w:val="0086257F"/>
    <w:rsid w:val="00863D5D"/>
    <w:rsid w:val="008648EA"/>
    <w:rsid w:val="00865DD0"/>
    <w:rsid w:val="00866F8D"/>
    <w:rsid w:val="00871CDC"/>
    <w:rsid w:val="00872617"/>
    <w:rsid w:val="008751AB"/>
    <w:rsid w:val="008755C5"/>
    <w:rsid w:val="00876AF1"/>
    <w:rsid w:val="00884042"/>
    <w:rsid w:val="00885437"/>
    <w:rsid w:val="00887561"/>
    <w:rsid w:val="00887CC4"/>
    <w:rsid w:val="008914FB"/>
    <w:rsid w:val="00891C05"/>
    <w:rsid w:val="00892D58"/>
    <w:rsid w:val="00893B59"/>
    <w:rsid w:val="008A35F2"/>
    <w:rsid w:val="008A7BFE"/>
    <w:rsid w:val="008A7FE0"/>
    <w:rsid w:val="008B04DC"/>
    <w:rsid w:val="008B0638"/>
    <w:rsid w:val="008B13CC"/>
    <w:rsid w:val="008B301A"/>
    <w:rsid w:val="008B3265"/>
    <w:rsid w:val="008B7307"/>
    <w:rsid w:val="008B787A"/>
    <w:rsid w:val="008C04D4"/>
    <w:rsid w:val="008C148F"/>
    <w:rsid w:val="008C5F3C"/>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16B79"/>
    <w:rsid w:val="00920D7A"/>
    <w:rsid w:val="00921B80"/>
    <w:rsid w:val="00924AF6"/>
    <w:rsid w:val="00936137"/>
    <w:rsid w:val="009367F3"/>
    <w:rsid w:val="0094091E"/>
    <w:rsid w:val="00941323"/>
    <w:rsid w:val="009442A6"/>
    <w:rsid w:val="0094472B"/>
    <w:rsid w:val="00945E4C"/>
    <w:rsid w:val="00946A67"/>
    <w:rsid w:val="009503A7"/>
    <w:rsid w:val="009549AE"/>
    <w:rsid w:val="009552C2"/>
    <w:rsid w:val="009612F7"/>
    <w:rsid w:val="00961C6F"/>
    <w:rsid w:val="00965A85"/>
    <w:rsid w:val="00966299"/>
    <w:rsid w:val="00967429"/>
    <w:rsid w:val="00975D7E"/>
    <w:rsid w:val="00977A6E"/>
    <w:rsid w:val="009801EC"/>
    <w:rsid w:val="009808AC"/>
    <w:rsid w:val="009840A5"/>
    <w:rsid w:val="009907A3"/>
    <w:rsid w:val="009924E0"/>
    <w:rsid w:val="009945CA"/>
    <w:rsid w:val="009A48C0"/>
    <w:rsid w:val="009A48CE"/>
    <w:rsid w:val="009A56D7"/>
    <w:rsid w:val="009A79E6"/>
    <w:rsid w:val="009B020D"/>
    <w:rsid w:val="009B1A4D"/>
    <w:rsid w:val="009B485E"/>
    <w:rsid w:val="009B5E3F"/>
    <w:rsid w:val="009B6412"/>
    <w:rsid w:val="009B666D"/>
    <w:rsid w:val="009B74D7"/>
    <w:rsid w:val="009C1A29"/>
    <w:rsid w:val="009D12A3"/>
    <w:rsid w:val="009D12C5"/>
    <w:rsid w:val="009D13EE"/>
    <w:rsid w:val="009D327E"/>
    <w:rsid w:val="009D3D53"/>
    <w:rsid w:val="009D404E"/>
    <w:rsid w:val="009D55C8"/>
    <w:rsid w:val="009D65FB"/>
    <w:rsid w:val="009E0CB1"/>
    <w:rsid w:val="009E20A3"/>
    <w:rsid w:val="009E46A2"/>
    <w:rsid w:val="009E7A30"/>
    <w:rsid w:val="009F1166"/>
    <w:rsid w:val="009F2BFB"/>
    <w:rsid w:val="009F51A8"/>
    <w:rsid w:val="00A005EF"/>
    <w:rsid w:val="00A040AC"/>
    <w:rsid w:val="00A06583"/>
    <w:rsid w:val="00A077AE"/>
    <w:rsid w:val="00A11AEC"/>
    <w:rsid w:val="00A14155"/>
    <w:rsid w:val="00A1546F"/>
    <w:rsid w:val="00A1567A"/>
    <w:rsid w:val="00A1751C"/>
    <w:rsid w:val="00A205A2"/>
    <w:rsid w:val="00A2263A"/>
    <w:rsid w:val="00A228E4"/>
    <w:rsid w:val="00A229A9"/>
    <w:rsid w:val="00A254AE"/>
    <w:rsid w:val="00A3031B"/>
    <w:rsid w:val="00A31AB9"/>
    <w:rsid w:val="00A37062"/>
    <w:rsid w:val="00A402FE"/>
    <w:rsid w:val="00A4045A"/>
    <w:rsid w:val="00A406BC"/>
    <w:rsid w:val="00A4147F"/>
    <w:rsid w:val="00A477D1"/>
    <w:rsid w:val="00A524B5"/>
    <w:rsid w:val="00A56BB1"/>
    <w:rsid w:val="00A60220"/>
    <w:rsid w:val="00A605B5"/>
    <w:rsid w:val="00A62B87"/>
    <w:rsid w:val="00A63E89"/>
    <w:rsid w:val="00A6430E"/>
    <w:rsid w:val="00A668E8"/>
    <w:rsid w:val="00A76A58"/>
    <w:rsid w:val="00A77852"/>
    <w:rsid w:val="00A813F8"/>
    <w:rsid w:val="00A818CD"/>
    <w:rsid w:val="00A85142"/>
    <w:rsid w:val="00A857B7"/>
    <w:rsid w:val="00A87E0F"/>
    <w:rsid w:val="00A926B4"/>
    <w:rsid w:val="00A933DA"/>
    <w:rsid w:val="00A93F46"/>
    <w:rsid w:val="00AA0653"/>
    <w:rsid w:val="00AA0B4C"/>
    <w:rsid w:val="00AA2D57"/>
    <w:rsid w:val="00AA35C7"/>
    <w:rsid w:val="00AA3E5C"/>
    <w:rsid w:val="00AA5676"/>
    <w:rsid w:val="00AB15F5"/>
    <w:rsid w:val="00AB276E"/>
    <w:rsid w:val="00AB37C6"/>
    <w:rsid w:val="00AB4EEA"/>
    <w:rsid w:val="00AB5F90"/>
    <w:rsid w:val="00AB732C"/>
    <w:rsid w:val="00AC1A53"/>
    <w:rsid w:val="00AC1F2E"/>
    <w:rsid w:val="00AC286A"/>
    <w:rsid w:val="00AC384B"/>
    <w:rsid w:val="00AC3AC1"/>
    <w:rsid w:val="00AD0B65"/>
    <w:rsid w:val="00AD100B"/>
    <w:rsid w:val="00AD521F"/>
    <w:rsid w:val="00AD6D2B"/>
    <w:rsid w:val="00AE01E8"/>
    <w:rsid w:val="00AE2E02"/>
    <w:rsid w:val="00AF0CF1"/>
    <w:rsid w:val="00AF1F45"/>
    <w:rsid w:val="00AF3545"/>
    <w:rsid w:val="00AF6AC9"/>
    <w:rsid w:val="00B02931"/>
    <w:rsid w:val="00B035E7"/>
    <w:rsid w:val="00B048EE"/>
    <w:rsid w:val="00B05C27"/>
    <w:rsid w:val="00B05CE4"/>
    <w:rsid w:val="00B06A9F"/>
    <w:rsid w:val="00B10E3C"/>
    <w:rsid w:val="00B13229"/>
    <w:rsid w:val="00B15E45"/>
    <w:rsid w:val="00B20E5C"/>
    <w:rsid w:val="00B21ED4"/>
    <w:rsid w:val="00B24C29"/>
    <w:rsid w:val="00B24D65"/>
    <w:rsid w:val="00B3130F"/>
    <w:rsid w:val="00B3399A"/>
    <w:rsid w:val="00B348CF"/>
    <w:rsid w:val="00B37256"/>
    <w:rsid w:val="00B45094"/>
    <w:rsid w:val="00B505CF"/>
    <w:rsid w:val="00B52D80"/>
    <w:rsid w:val="00B5379B"/>
    <w:rsid w:val="00B5677B"/>
    <w:rsid w:val="00B56C5A"/>
    <w:rsid w:val="00B64855"/>
    <w:rsid w:val="00B650A9"/>
    <w:rsid w:val="00B6696F"/>
    <w:rsid w:val="00B66CC6"/>
    <w:rsid w:val="00B70FB2"/>
    <w:rsid w:val="00B72CC8"/>
    <w:rsid w:val="00B735D8"/>
    <w:rsid w:val="00B87752"/>
    <w:rsid w:val="00B93DDE"/>
    <w:rsid w:val="00BA04E3"/>
    <w:rsid w:val="00BA120C"/>
    <w:rsid w:val="00BA1865"/>
    <w:rsid w:val="00BA2334"/>
    <w:rsid w:val="00BB06DA"/>
    <w:rsid w:val="00BB2D3C"/>
    <w:rsid w:val="00BC07D7"/>
    <w:rsid w:val="00BC1BDC"/>
    <w:rsid w:val="00BC357A"/>
    <w:rsid w:val="00BC3D6D"/>
    <w:rsid w:val="00BC4384"/>
    <w:rsid w:val="00BC714B"/>
    <w:rsid w:val="00BC7F87"/>
    <w:rsid w:val="00BD16C9"/>
    <w:rsid w:val="00BD40A0"/>
    <w:rsid w:val="00BD660A"/>
    <w:rsid w:val="00BD7FA4"/>
    <w:rsid w:val="00BE4001"/>
    <w:rsid w:val="00BE49F7"/>
    <w:rsid w:val="00BF0EC3"/>
    <w:rsid w:val="00BF2DD7"/>
    <w:rsid w:val="00BF3B2B"/>
    <w:rsid w:val="00C00A3A"/>
    <w:rsid w:val="00C0243B"/>
    <w:rsid w:val="00C1049A"/>
    <w:rsid w:val="00C107CE"/>
    <w:rsid w:val="00C13B19"/>
    <w:rsid w:val="00C13DE3"/>
    <w:rsid w:val="00C14DC6"/>
    <w:rsid w:val="00C205A4"/>
    <w:rsid w:val="00C20DCE"/>
    <w:rsid w:val="00C23F30"/>
    <w:rsid w:val="00C24AF7"/>
    <w:rsid w:val="00C3030B"/>
    <w:rsid w:val="00C34EC6"/>
    <w:rsid w:val="00C3711A"/>
    <w:rsid w:val="00C42542"/>
    <w:rsid w:val="00C425C8"/>
    <w:rsid w:val="00C4536B"/>
    <w:rsid w:val="00C47F4E"/>
    <w:rsid w:val="00C5289B"/>
    <w:rsid w:val="00C6044B"/>
    <w:rsid w:val="00C60796"/>
    <w:rsid w:val="00C6219F"/>
    <w:rsid w:val="00C641E9"/>
    <w:rsid w:val="00C644F5"/>
    <w:rsid w:val="00C7641A"/>
    <w:rsid w:val="00C80FAC"/>
    <w:rsid w:val="00C82916"/>
    <w:rsid w:val="00C8302D"/>
    <w:rsid w:val="00C84DE2"/>
    <w:rsid w:val="00C86B99"/>
    <w:rsid w:val="00C87D58"/>
    <w:rsid w:val="00C87D6D"/>
    <w:rsid w:val="00C91701"/>
    <w:rsid w:val="00C92574"/>
    <w:rsid w:val="00C9718A"/>
    <w:rsid w:val="00C97A8A"/>
    <w:rsid w:val="00CA13F9"/>
    <w:rsid w:val="00CA3317"/>
    <w:rsid w:val="00CA6149"/>
    <w:rsid w:val="00CA6D69"/>
    <w:rsid w:val="00CB232C"/>
    <w:rsid w:val="00CB241F"/>
    <w:rsid w:val="00CB61CE"/>
    <w:rsid w:val="00CB6BB7"/>
    <w:rsid w:val="00CC1802"/>
    <w:rsid w:val="00CD52CC"/>
    <w:rsid w:val="00CE146F"/>
    <w:rsid w:val="00CE1B6E"/>
    <w:rsid w:val="00CE298D"/>
    <w:rsid w:val="00CE6114"/>
    <w:rsid w:val="00CF0BD1"/>
    <w:rsid w:val="00D01B68"/>
    <w:rsid w:val="00D27E14"/>
    <w:rsid w:val="00D40CC3"/>
    <w:rsid w:val="00D4509F"/>
    <w:rsid w:val="00D470D5"/>
    <w:rsid w:val="00D47BED"/>
    <w:rsid w:val="00D501D9"/>
    <w:rsid w:val="00D52ABC"/>
    <w:rsid w:val="00D535E6"/>
    <w:rsid w:val="00D53805"/>
    <w:rsid w:val="00D60891"/>
    <w:rsid w:val="00D60AFD"/>
    <w:rsid w:val="00D6167E"/>
    <w:rsid w:val="00D65DF1"/>
    <w:rsid w:val="00D67580"/>
    <w:rsid w:val="00D70054"/>
    <w:rsid w:val="00D73447"/>
    <w:rsid w:val="00D75418"/>
    <w:rsid w:val="00D76FA8"/>
    <w:rsid w:val="00D83C27"/>
    <w:rsid w:val="00D90744"/>
    <w:rsid w:val="00D92E9F"/>
    <w:rsid w:val="00D934F2"/>
    <w:rsid w:val="00DA37E3"/>
    <w:rsid w:val="00DA39DA"/>
    <w:rsid w:val="00DA3E5E"/>
    <w:rsid w:val="00DA7651"/>
    <w:rsid w:val="00DB1353"/>
    <w:rsid w:val="00DB2FA1"/>
    <w:rsid w:val="00DB5C0F"/>
    <w:rsid w:val="00DC0326"/>
    <w:rsid w:val="00DC07B1"/>
    <w:rsid w:val="00DC5127"/>
    <w:rsid w:val="00DC7B87"/>
    <w:rsid w:val="00DD44CA"/>
    <w:rsid w:val="00DD47E2"/>
    <w:rsid w:val="00DD6338"/>
    <w:rsid w:val="00DE0CAB"/>
    <w:rsid w:val="00DE18A3"/>
    <w:rsid w:val="00DE19E4"/>
    <w:rsid w:val="00DE1B57"/>
    <w:rsid w:val="00DE4672"/>
    <w:rsid w:val="00DE5AF6"/>
    <w:rsid w:val="00DF4569"/>
    <w:rsid w:val="00DF61FC"/>
    <w:rsid w:val="00E01EF4"/>
    <w:rsid w:val="00E0685C"/>
    <w:rsid w:val="00E076C0"/>
    <w:rsid w:val="00E11599"/>
    <w:rsid w:val="00E16FCB"/>
    <w:rsid w:val="00E20E90"/>
    <w:rsid w:val="00E21F98"/>
    <w:rsid w:val="00E24CC5"/>
    <w:rsid w:val="00E275C2"/>
    <w:rsid w:val="00E37B6C"/>
    <w:rsid w:val="00E413C6"/>
    <w:rsid w:val="00E41BB7"/>
    <w:rsid w:val="00E43DDB"/>
    <w:rsid w:val="00E44261"/>
    <w:rsid w:val="00E45544"/>
    <w:rsid w:val="00E52861"/>
    <w:rsid w:val="00E53FAC"/>
    <w:rsid w:val="00E55D00"/>
    <w:rsid w:val="00E56D8F"/>
    <w:rsid w:val="00E579C7"/>
    <w:rsid w:val="00E57D32"/>
    <w:rsid w:val="00E627AE"/>
    <w:rsid w:val="00E74099"/>
    <w:rsid w:val="00E751A1"/>
    <w:rsid w:val="00E75F4C"/>
    <w:rsid w:val="00E82E42"/>
    <w:rsid w:val="00E838E3"/>
    <w:rsid w:val="00E83E07"/>
    <w:rsid w:val="00E8445A"/>
    <w:rsid w:val="00E84720"/>
    <w:rsid w:val="00E90ED9"/>
    <w:rsid w:val="00E93E97"/>
    <w:rsid w:val="00E942D9"/>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1C6"/>
    <w:rsid w:val="00F10244"/>
    <w:rsid w:val="00F118A0"/>
    <w:rsid w:val="00F11CC0"/>
    <w:rsid w:val="00F16A3D"/>
    <w:rsid w:val="00F17CE2"/>
    <w:rsid w:val="00F20CFE"/>
    <w:rsid w:val="00F20E79"/>
    <w:rsid w:val="00F2255D"/>
    <w:rsid w:val="00F22D1A"/>
    <w:rsid w:val="00F24C41"/>
    <w:rsid w:val="00F35014"/>
    <w:rsid w:val="00F351EC"/>
    <w:rsid w:val="00F3689D"/>
    <w:rsid w:val="00F37CFF"/>
    <w:rsid w:val="00F40B69"/>
    <w:rsid w:val="00F41B74"/>
    <w:rsid w:val="00F43132"/>
    <w:rsid w:val="00F45857"/>
    <w:rsid w:val="00F523D2"/>
    <w:rsid w:val="00F5623E"/>
    <w:rsid w:val="00F5711C"/>
    <w:rsid w:val="00F61A20"/>
    <w:rsid w:val="00F6210F"/>
    <w:rsid w:val="00F66474"/>
    <w:rsid w:val="00F66553"/>
    <w:rsid w:val="00F714EC"/>
    <w:rsid w:val="00F72252"/>
    <w:rsid w:val="00F722BB"/>
    <w:rsid w:val="00F72938"/>
    <w:rsid w:val="00F822DA"/>
    <w:rsid w:val="00F87D3E"/>
    <w:rsid w:val="00F91298"/>
    <w:rsid w:val="00F9192C"/>
    <w:rsid w:val="00F925C5"/>
    <w:rsid w:val="00FA1DA7"/>
    <w:rsid w:val="00FA346F"/>
    <w:rsid w:val="00FA5F66"/>
    <w:rsid w:val="00FB549B"/>
    <w:rsid w:val="00FB5BC3"/>
    <w:rsid w:val="00FC0576"/>
    <w:rsid w:val="00FC3A08"/>
    <w:rsid w:val="00FD0099"/>
    <w:rsid w:val="00FD05D4"/>
    <w:rsid w:val="00FD3B0A"/>
    <w:rsid w:val="00FD4ABD"/>
    <w:rsid w:val="00FD6A0C"/>
    <w:rsid w:val="00FD6B67"/>
    <w:rsid w:val="00FE39CF"/>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EF7DB2"/>
  <w15:docId w15:val="{01F66141-E0AB-4D8D-86AE-4EEA0F75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2754B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locked/>
    <w:rsid w:val="00AE2E02"/>
    <w:rPr>
      <w:rFonts w:ascii="Arial" w:hAnsi="Arial"/>
      <w:sz w:val="24"/>
      <w:szCs w:val="24"/>
      <w:lang w:eastAsia="en-US"/>
    </w:rPr>
  </w:style>
  <w:style w:type="character" w:styleId="PlaceholderText">
    <w:name w:val="Placeholder Text"/>
    <w:basedOn w:val="DefaultParagraphFont"/>
    <w:uiPriority w:val="99"/>
    <w:semiHidden/>
    <w:rsid w:val="0081358C"/>
    <w:rPr>
      <w:color w:val="808080"/>
    </w:rPr>
  </w:style>
  <w:style w:type="paragraph" w:styleId="PlainText">
    <w:name w:val="Plain Text"/>
    <w:basedOn w:val="Normal"/>
    <w:link w:val="PlainTextChar"/>
    <w:uiPriority w:val="99"/>
    <w:semiHidden/>
    <w:unhideWhenUsed/>
    <w:rsid w:val="000365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36518"/>
    <w:rPr>
      <w:rFonts w:ascii="Calibri" w:eastAsiaTheme="minorHAnsi" w:hAnsi="Calibri" w:cstheme="minorBidi"/>
      <w:sz w:val="22"/>
      <w:szCs w:val="21"/>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2754B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0055">
      <w:bodyDiv w:val="1"/>
      <w:marLeft w:val="0"/>
      <w:marRight w:val="0"/>
      <w:marTop w:val="0"/>
      <w:marBottom w:val="0"/>
      <w:divBdr>
        <w:top w:val="none" w:sz="0" w:space="0" w:color="auto"/>
        <w:left w:val="none" w:sz="0" w:space="0" w:color="auto"/>
        <w:bottom w:val="none" w:sz="0" w:space="0" w:color="auto"/>
        <w:right w:val="none" w:sz="0" w:space="0" w:color="auto"/>
      </w:divBdr>
    </w:div>
    <w:div w:id="22060299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9549654">
      <w:bodyDiv w:val="1"/>
      <w:marLeft w:val="0"/>
      <w:marRight w:val="0"/>
      <w:marTop w:val="0"/>
      <w:marBottom w:val="0"/>
      <w:divBdr>
        <w:top w:val="none" w:sz="0" w:space="0" w:color="auto"/>
        <w:left w:val="none" w:sz="0" w:space="0" w:color="auto"/>
        <w:bottom w:val="none" w:sz="0" w:space="0" w:color="auto"/>
        <w:right w:val="none" w:sz="0" w:space="0" w:color="auto"/>
      </w:divBdr>
    </w:div>
    <w:div w:id="446438096">
      <w:bodyDiv w:val="1"/>
      <w:marLeft w:val="0"/>
      <w:marRight w:val="0"/>
      <w:marTop w:val="0"/>
      <w:marBottom w:val="0"/>
      <w:divBdr>
        <w:top w:val="none" w:sz="0" w:space="0" w:color="auto"/>
        <w:left w:val="none" w:sz="0" w:space="0" w:color="auto"/>
        <w:bottom w:val="none" w:sz="0" w:space="0" w:color="auto"/>
        <w:right w:val="none" w:sz="0" w:space="0" w:color="auto"/>
      </w:divBdr>
    </w:div>
    <w:div w:id="448817099">
      <w:bodyDiv w:val="1"/>
      <w:marLeft w:val="0"/>
      <w:marRight w:val="0"/>
      <w:marTop w:val="0"/>
      <w:marBottom w:val="0"/>
      <w:divBdr>
        <w:top w:val="none" w:sz="0" w:space="0" w:color="auto"/>
        <w:left w:val="none" w:sz="0" w:space="0" w:color="auto"/>
        <w:bottom w:val="none" w:sz="0" w:space="0" w:color="auto"/>
        <w:right w:val="none" w:sz="0" w:space="0" w:color="auto"/>
      </w:divBdr>
    </w:div>
    <w:div w:id="612060669">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32642342">
      <w:bodyDiv w:val="1"/>
      <w:marLeft w:val="0"/>
      <w:marRight w:val="0"/>
      <w:marTop w:val="0"/>
      <w:marBottom w:val="0"/>
      <w:divBdr>
        <w:top w:val="none" w:sz="0" w:space="0" w:color="auto"/>
        <w:left w:val="none" w:sz="0" w:space="0" w:color="auto"/>
        <w:bottom w:val="none" w:sz="0" w:space="0" w:color="auto"/>
        <w:right w:val="none" w:sz="0" w:space="0" w:color="auto"/>
      </w:divBdr>
    </w:div>
    <w:div w:id="1222517302">
      <w:bodyDiv w:val="1"/>
      <w:marLeft w:val="0"/>
      <w:marRight w:val="0"/>
      <w:marTop w:val="0"/>
      <w:marBottom w:val="0"/>
      <w:divBdr>
        <w:top w:val="none" w:sz="0" w:space="0" w:color="auto"/>
        <w:left w:val="none" w:sz="0" w:space="0" w:color="auto"/>
        <w:bottom w:val="none" w:sz="0" w:space="0" w:color="auto"/>
        <w:right w:val="none" w:sz="0" w:space="0" w:color="auto"/>
      </w:divBdr>
    </w:div>
    <w:div w:id="1336806005">
      <w:bodyDiv w:val="1"/>
      <w:marLeft w:val="0"/>
      <w:marRight w:val="0"/>
      <w:marTop w:val="0"/>
      <w:marBottom w:val="0"/>
      <w:divBdr>
        <w:top w:val="none" w:sz="0" w:space="0" w:color="auto"/>
        <w:left w:val="none" w:sz="0" w:space="0" w:color="auto"/>
        <w:bottom w:val="none" w:sz="0" w:space="0" w:color="auto"/>
        <w:right w:val="none" w:sz="0" w:space="0" w:color="auto"/>
      </w:divBdr>
    </w:div>
    <w:div w:id="1431900631">
      <w:bodyDiv w:val="1"/>
      <w:marLeft w:val="0"/>
      <w:marRight w:val="0"/>
      <w:marTop w:val="0"/>
      <w:marBottom w:val="0"/>
      <w:divBdr>
        <w:top w:val="none" w:sz="0" w:space="0" w:color="auto"/>
        <w:left w:val="none" w:sz="0" w:space="0" w:color="auto"/>
        <w:bottom w:val="none" w:sz="0" w:space="0" w:color="auto"/>
        <w:right w:val="none" w:sz="0" w:space="0" w:color="auto"/>
      </w:divBdr>
    </w:div>
    <w:div w:id="1836260608">
      <w:bodyDiv w:val="1"/>
      <w:marLeft w:val="0"/>
      <w:marRight w:val="0"/>
      <w:marTop w:val="0"/>
      <w:marBottom w:val="0"/>
      <w:divBdr>
        <w:top w:val="none" w:sz="0" w:space="0" w:color="auto"/>
        <w:left w:val="none" w:sz="0" w:space="0" w:color="auto"/>
        <w:bottom w:val="none" w:sz="0" w:space="0" w:color="auto"/>
        <w:right w:val="none" w:sz="0" w:space="0" w:color="auto"/>
      </w:divBdr>
    </w:div>
    <w:div w:id="1843396778">
      <w:bodyDiv w:val="1"/>
      <w:marLeft w:val="0"/>
      <w:marRight w:val="0"/>
      <w:marTop w:val="0"/>
      <w:marBottom w:val="0"/>
      <w:divBdr>
        <w:top w:val="none" w:sz="0" w:space="0" w:color="auto"/>
        <w:left w:val="none" w:sz="0" w:space="0" w:color="auto"/>
        <w:bottom w:val="none" w:sz="0" w:space="0" w:color="auto"/>
        <w:right w:val="none" w:sz="0" w:space="0" w:color="auto"/>
      </w:divBdr>
    </w:div>
    <w:div w:id="1915580896">
      <w:bodyDiv w:val="1"/>
      <w:marLeft w:val="0"/>
      <w:marRight w:val="0"/>
      <w:marTop w:val="0"/>
      <w:marBottom w:val="0"/>
      <w:divBdr>
        <w:top w:val="none" w:sz="0" w:space="0" w:color="auto"/>
        <w:left w:val="none" w:sz="0" w:space="0" w:color="auto"/>
        <w:bottom w:val="none" w:sz="0" w:space="0" w:color="auto"/>
        <w:right w:val="none" w:sz="0" w:space="0" w:color="auto"/>
      </w:divBdr>
    </w:div>
    <w:div w:id="1916234706">
      <w:bodyDiv w:val="1"/>
      <w:marLeft w:val="0"/>
      <w:marRight w:val="0"/>
      <w:marTop w:val="0"/>
      <w:marBottom w:val="0"/>
      <w:divBdr>
        <w:top w:val="none" w:sz="0" w:space="0" w:color="auto"/>
        <w:left w:val="none" w:sz="0" w:space="0" w:color="auto"/>
        <w:bottom w:val="none" w:sz="0" w:space="0" w:color="auto"/>
        <w:right w:val="none" w:sz="0" w:space="0" w:color="auto"/>
      </w:divBdr>
    </w:div>
    <w:div w:id="1963799437">
      <w:bodyDiv w:val="1"/>
      <w:marLeft w:val="0"/>
      <w:marRight w:val="0"/>
      <w:marTop w:val="0"/>
      <w:marBottom w:val="0"/>
      <w:divBdr>
        <w:top w:val="none" w:sz="0" w:space="0" w:color="auto"/>
        <w:left w:val="none" w:sz="0" w:space="0" w:color="auto"/>
        <w:bottom w:val="none" w:sz="0" w:space="0" w:color="auto"/>
        <w:right w:val="none" w:sz="0" w:space="0" w:color="auto"/>
      </w:divBdr>
    </w:div>
    <w:div w:id="1974485570">
      <w:bodyDiv w:val="1"/>
      <w:marLeft w:val="0"/>
      <w:marRight w:val="0"/>
      <w:marTop w:val="0"/>
      <w:marBottom w:val="0"/>
      <w:divBdr>
        <w:top w:val="none" w:sz="0" w:space="0" w:color="auto"/>
        <w:left w:val="none" w:sz="0" w:space="0" w:color="auto"/>
        <w:bottom w:val="none" w:sz="0" w:space="0" w:color="auto"/>
        <w:right w:val="none" w:sz="0" w:space="0" w:color="auto"/>
      </w:divBdr>
    </w:div>
    <w:div w:id="20918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d2n2lep.org/skills" TargetMode="External"/><Relationship Id="rId26" Type="http://schemas.openxmlformats.org/officeDocument/2006/relationships/hyperlink" Target="http://www.d2n2skills.co.uk/home/201/d2n2-provider-charter" TargetMode="External"/><Relationship Id="rId3" Type="http://schemas.openxmlformats.org/officeDocument/2006/relationships/customXml" Target="../customXml/item3.xml"/><Relationship Id="rId21" Type="http://schemas.openxmlformats.org/officeDocument/2006/relationships/hyperlink" Target="http://www.derby.gov.uk/environment-and-planning/regeneration/economic-strateg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2n2lep.org/EUFunding" TargetMode="External"/><Relationship Id="rId25" Type="http://schemas.openxmlformats.org/officeDocument/2006/relationships/hyperlink" Target="http://www.d2n2lep.org/Skills/Employability-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2n2lep.org/write/Documents/D2N2_ESIF_Strategy_May_2014__web.pdf" TargetMode="External"/><Relationship Id="rId20" Type="http://schemas.openxmlformats.org/officeDocument/2006/relationships/hyperlink" Target="https://www.derbyshire.gov.uk/business/economic/derbyshire_economic_strategy/default.asp" TargetMode="External"/><Relationship Id="rId29"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2n2lep.org/Skills-Consultative-Task-Group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2n2lep.org/Growth" TargetMode="External"/><Relationship Id="rId23" Type="http://schemas.openxmlformats.org/officeDocument/2006/relationships/hyperlink" Target="http://www.n2skillsandemployment.co.uk/reports/n2-skills-employment-framework-2015-2020/" TargetMode="External"/><Relationship Id="rId28" Type="http://schemas.openxmlformats.org/officeDocument/2006/relationships/hyperlink" Target="https://www.gov.uk/government/uploads/system/uploads/attachment_data/file/494599/ESF_2014-20_Funding_Rules_v2_January_2016.pdf" TargetMode="External"/><Relationship Id="rId10" Type="http://schemas.openxmlformats.org/officeDocument/2006/relationships/footnotes" Target="footnotes.xml"/><Relationship Id="rId19" Type="http://schemas.openxmlformats.org/officeDocument/2006/relationships/hyperlink" Target="http://www.d2n2lep.org/write/Documents/Final_D2N2_Apprenticeship_Growth_Plan_-_April_2014.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n2skillsandemployment.co.uk/our-priorities/" TargetMode="External"/><Relationship Id="rId27" Type="http://schemas.openxmlformats.org/officeDocument/2006/relationships/hyperlink" Target="http://www.d2n2lep.org/EUFunding/D2N2-ESIF-Core-Delivery-Principle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33461CC4-5E74-4C26-A09F-39E1E902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CF3A0A4E-DF3A-49B3-9565-D01E14B4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7052</Words>
  <Characters>40198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47156</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5</cp:revision>
  <cp:lastPrinted>2016-04-21T17:43:00Z</cp:lastPrinted>
  <dcterms:created xsi:type="dcterms:W3CDTF">2016-06-30T13:04:00Z</dcterms:created>
  <dcterms:modified xsi:type="dcterms:W3CDTF">2016-07-01T07:01:00Z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