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97" w:rsidRDefault="00F22C42" w:rsidP="00F67870">
      <w:pPr>
        <w:jc w:val="center"/>
        <w:rPr>
          <w:sz w:val="36"/>
          <w:szCs w:val="36"/>
        </w:rPr>
      </w:pPr>
      <w:r w:rsidRPr="00F67870">
        <w:rPr>
          <w:sz w:val="36"/>
          <w:szCs w:val="36"/>
        </w:rPr>
        <w:t>Job Description</w:t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57"/>
        <w:gridCol w:w="7032"/>
      </w:tblGrid>
      <w:tr w:rsidR="00F67870" w:rsidRPr="00D04606" w:rsidTr="00AD71A2">
        <w:trPr>
          <w:jc w:val="center"/>
        </w:trPr>
        <w:tc>
          <w:tcPr>
            <w:tcW w:w="2857" w:type="dxa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D04606">
              <w:rPr>
                <w:rFonts w:ascii="Arial" w:hAnsi="Arial" w:cs="Arial"/>
                <w:b/>
              </w:rPr>
              <w:t>Role Title:</w:t>
            </w:r>
          </w:p>
        </w:tc>
        <w:tc>
          <w:tcPr>
            <w:tcW w:w="7032" w:type="dxa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Substance Misuse Nurse</w:t>
            </w:r>
            <w:r w:rsidR="00E410D3">
              <w:rPr>
                <w:rFonts w:ascii="Arial" w:hAnsi="Arial" w:cs="Arial"/>
              </w:rPr>
              <w:t xml:space="preserve"> (RMN / RGN)</w:t>
            </w:r>
          </w:p>
        </w:tc>
      </w:tr>
      <w:tr w:rsidR="00F67870" w:rsidRPr="00D04606" w:rsidTr="00AD71A2">
        <w:trPr>
          <w:jc w:val="center"/>
        </w:trPr>
        <w:tc>
          <w:tcPr>
            <w:tcW w:w="2857" w:type="dxa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D04606">
              <w:rPr>
                <w:rFonts w:ascii="Arial" w:hAnsi="Arial" w:cs="Arial"/>
                <w:b/>
              </w:rPr>
              <w:t>Service:</w:t>
            </w:r>
          </w:p>
        </w:tc>
        <w:tc>
          <w:tcPr>
            <w:tcW w:w="7032" w:type="dxa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Brook Drive</w:t>
            </w:r>
          </w:p>
        </w:tc>
      </w:tr>
      <w:tr w:rsidR="00F67870" w:rsidRPr="00D04606" w:rsidTr="00AD71A2">
        <w:trPr>
          <w:jc w:val="center"/>
        </w:trPr>
        <w:tc>
          <w:tcPr>
            <w:tcW w:w="2857" w:type="dxa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D04606">
              <w:rPr>
                <w:rFonts w:ascii="Arial" w:hAnsi="Arial" w:cs="Arial"/>
                <w:b/>
              </w:rPr>
              <w:t xml:space="preserve">Reporting to: </w:t>
            </w:r>
          </w:p>
        </w:tc>
        <w:tc>
          <w:tcPr>
            <w:tcW w:w="7032" w:type="dxa"/>
          </w:tcPr>
          <w:p w:rsidR="00F67870" w:rsidRPr="00D04606" w:rsidRDefault="00A153A8" w:rsidP="008F022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 Team Leader</w:t>
            </w:r>
          </w:p>
        </w:tc>
      </w:tr>
    </w:tbl>
    <w:p w:rsidR="00F67870" w:rsidRDefault="00F67870" w:rsidP="00F67870">
      <w:pPr>
        <w:jc w:val="center"/>
        <w:rPr>
          <w:sz w:val="36"/>
          <w:szCs w:val="36"/>
        </w:rPr>
      </w:pPr>
    </w:p>
    <w:tbl>
      <w:tblPr>
        <w:tblW w:w="964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67870" w:rsidRPr="00D04606" w:rsidTr="00E70D2D">
        <w:tc>
          <w:tcPr>
            <w:tcW w:w="9640" w:type="dxa"/>
            <w:shd w:val="clear" w:color="auto" w:fill="A6A6A6" w:themeFill="background1" w:themeFillShade="A6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4606">
              <w:rPr>
                <w:rFonts w:ascii="Arial" w:hAnsi="Arial" w:cs="Arial"/>
                <w:b/>
                <w:sz w:val="24"/>
                <w:szCs w:val="24"/>
              </w:rPr>
              <w:t>Purpose of Role</w:t>
            </w:r>
          </w:p>
        </w:tc>
      </w:tr>
      <w:tr w:rsidR="00F67870" w:rsidRPr="00D04606" w:rsidTr="00E70D2D">
        <w:tc>
          <w:tcPr>
            <w:tcW w:w="9640" w:type="dxa"/>
          </w:tcPr>
          <w:p w:rsidR="00F67870" w:rsidRPr="00660B8E" w:rsidRDefault="00660B8E" w:rsidP="00660B8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en-GB"/>
              </w:rPr>
            </w:pPr>
            <w:r w:rsidRPr="00660B8E">
              <w:rPr>
                <w:rFonts w:ascii="Arial" w:eastAsiaTheme="minorEastAsia" w:hAnsi="Arial" w:cs="Arial"/>
                <w:lang w:eastAsia="en-GB"/>
              </w:rPr>
              <w:t>Equinox Brook Drive is looking for a highly capable and motivated Nurses who will be able to help carry out the day to day running of a busy</w:t>
            </w:r>
            <w:r>
              <w:rPr>
                <w:rFonts w:ascii="Arial" w:eastAsiaTheme="minorEastAsia" w:hAnsi="Arial" w:cs="Arial"/>
                <w:lang w:eastAsia="en-GB"/>
              </w:rPr>
              <w:t xml:space="preserve"> 26</w:t>
            </w:r>
            <w:r w:rsidRPr="00660B8E">
              <w:rPr>
                <w:rFonts w:ascii="Arial" w:eastAsiaTheme="minorEastAsia" w:hAnsi="Arial" w:cs="Arial"/>
                <w:lang w:eastAsia="en-GB"/>
              </w:rPr>
              <w:t xml:space="preserve"> bed residential drug and alcohol detox unit. If you are dynamic and driven with an attention to detail, ability to problem solve and can</w:t>
            </w:r>
            <w:r>
              <w:rPr>
                <w:rFonts w:ascii="Arial" w:eastAsiaTheme="minorEastAsia" w:hAnsi="Arial" w:cs="Arial"/>
                <w:lang w:eastAsia="en-GB"/>
              </w:rPr>
              <w:t xml:space="preserve"> relate to this client group</w:t>
            </w:r>
            <w:r w:rsidRPr="00660B8E">
              <w:rPr>
                <w:rFonts w:ascii="Arial" w:eastAsiaTheme="minorEastAsia" w:hAnsi="Arial" w:cs="Arial"/>
                <w:lang w:eastAsia="en-GB"/>
              </w:rPr>
              <w:t xml:space="preserve"> then this could be the perfect role for you.</w:t>
            </w:r>
          </w:p>
        </w:tc>
      </w:tr>
    </w:tbl>
    <w:p w:rsidR="00F67870" w:rsidRDefault="00F67870" w:rsidP="00F67870">
      <w:pPr>
        <w:jc w:val="center"/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5"/>
      </w:tblGrid>
      <w:tr w:rsidR="00F67870" w:rsidRPr="00D04606" w:rsidTr="00E70D2D">
        <w:trPr>
          <w:jc w:val="center"/>
        </w:trPr>
        <w:tc>
          <w:tcPr>
            <w:tcW w:w="9545" w:type="dxa"/>
            <w:shd w:val="clear" w:color="auto" w:fill="A6A6A6" w:themeFill="background1" w:themeFillShade="A6"/>
          </w:tcPr>
          <w:p w:rsidR="00F67870" w:rsidRPr="00D04606" w:rsidRDefault="00F67870" w:rsidP="008F022E">
            <w:pPr>
              <w:spacing w:before="24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04606">
              <w:rPr>
                <w:rFonts w:ascii="Arial" w:hAnsi="Arial" w:cs="Arial"/>
                <w:b/>
              </w:rPr>
              <w:t>Main Responsibility</w:t>
            </w:r>
          </w:p>
        </w:tc>
      </w:tr>
      <w:tr w:rsidR="00F67870" w:rsidRPr="00D04606" w:rsidTr="00E70D2D">
        <w:trPr>
          <w:jc w:val="center"/>
        </w:trPr>
        <w:tc>
          <w:tcPr>
            <w:tcW w:w="9545" w:type="dxa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Implement the service’s policies and procedures in order to deliver t</w:t>
            </w:r>
            <w:r w:rsidR="00E410D3">
              <w:rPr>
                <w:rFonts w:ascii="Arial" w:hAnsi="Arial" w:cs="Arial"/>
              </w:rPr>
              <w:t>he successful medical detox from alcohol + substances.</w:t>
            </w:r>
          </w:p>
        </w:tc>
      </w:tr>
      <w:tr w:rsidR="00F67870" w:rsidRPr="00D04606" w:rsidTr="00E70D2D">
        <w:trPr>
          <w:jc w:val="center"/>
        </w:trPr>
        <w:tc>
          <w:tcPr>
            <w:tcW w:w="9545" w:type="dxa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 xml:space="preserve">Provide key work and support planning for service users to help successful completion of their detoxification programme. </w:t>
            </w:r>
          </w:p>
        </w:tc>
      </w:tr>
      <w:tr w:rsidR="00F67870" w:rsidRPr="00D04606" w:rsidTr="00E70D2D">
        <w:trPr>
          <w:jc w:val="center"/>
        </w:trPr>
        <w:tc>
          <w:tcPr>
            <w:tcW w:w="9545" w:type="dxa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 xml:space="preserve">Provide appropriate </w:t>
            </w:r>
            <w:r w:rsidRPr="00B64B52">
              <w:rPr>
                <w:rFonts w:ascii="Arial" w:hAnsi="Arial" w:cs="Arial"/>
                <w:color w:val="000000" w:themeColor="text1"/>
              </w:rPr>
              <w:t>nursing and psychosocial interventions, including group work programme, administering medication and supervising the physical withdrawal of service users within appropriate clinical governance frameworks.</w:t>
            </w:r>
            <w:r w:rsidRPr="00D04606">
              <w:rPr>
                <w:rFonts w:ascii="Arial" w:hAnsi="Arial" w:cs="Arial"/>
              </w:rPr>
              <w:t xml:space="preserve"> </w:t>
            </w:r>
          </w:p>
        </w:tc>
      </w:tr>
      <w:tr w:rsidR="00660B8E" w:rsidRPr="00D04606" w:rsidTr="00E70D2D">
        <w:trPr>
          <w:jc w:val="center"/>
        </w:trPr>
        <w:tc>
          <w:tcPr>
            <w:tcW w:w="9545" w:type="dxa"/>
          </w:tcPr>
          <w:p w:rsidR="00660B8E" w:rsidRPr="00D04606" w:rsidRDefault="00660B8E" w:rsidP="008F022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8513F">
              <w:rPr>
                <w:rFonts w:ascii="Arial" w:hAnsi="Arial" w:cs="Arial"/>
              </w:rPr>
              <w:t>To maintain an environment whereby service users are given choice and</w:t>
            </w:r>
            <w:r>
              <w:rPr>
                <w:rFonts w:ascii="Arial" w:hAnsi="Arial" w:cs="Arial"/>
              </w:rPr>
              <w:t xml:space="preserve"> </w:t>
            </w:r>
            <w:r w:rsidRPr="00F8513F">
              <w:rPr>
                <w:rFonts w:ascii="Arial" w:hAnsi="Arial" w:cs="Arial"/>
              </w:rPr>
              <w:t>involved as much as possible in</w:t>
            </w:r>
            <w:r>
              <w:rPr>
                <w:rFonts w:ascii="Arial" w:hAnsi="Arial" w:cs="Arial"/>
              </w:rPr>
              <w:t xml:space="preserve"> their treatment and service provision.</w:t>
            </w:r>
          </w:p>
        </w:tc>
      </w:tr>
      <w:tr w:rsidR="00F67870" w:rsidRPr="00D04606" w:rsidTr="00E70D2D">
        <w:trPr>
          <w:jc w:val="center"/>
        </w:trPr>
        <w:tc>
          <w:tcPr>
            <w:tcW w:w="9545" w:type="dxa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Assist service users to identify their aftercare options and liaise with Care Managers to ensure that service users have appropriate arrangements in place.</w:t>
            </w:r>
          </w:p>
        </w:tc>
      </w:tr>
      <w:tr w:rsidR="00F67870" w:rsidRPr="00D04606" w:rsidTr="00E70D2D">
        <w:trPr>
          <w:jc w:val="center"/>
        </w:trPr>
        <w:tc>
          <w:tcPr>
            <w:tcW w:w="9545" w:type="dxa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 xml:space="preserve">Monitor service users’ health care and wellbeing needs throughout the detoxification process, arranging referrals to GP and/or providing personal care interventions as required. </w:t>
            </w:r>
          </w:p>
        </w:tc>
      </w:tr>
      <w:tr w:rsidR="00F67870" w:rsidRPr="00D04606" w:rsidTr="00E70D2D">
        <w:trPr>
          <w:jc w:val="center"/>
        </w:trPr>
        <w:tc>
          <w:tcPr>
            <w:tcW w:w="9545" w:type="dxa"/>
          </w:tcPr>
          <w:p w:rsidR="00F67870" w:rsidRPr="00D04606" w:rsidRDefault="00F67870" w:rsidP="008F022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Maintain a standard of care as required by Purchasers, CQC and Equinox in order to deliver a safe and effective service.</w:t>
            </w:r>
          </w:p>
        </w:tc>
      </w:tr>
    </w:tbl>
    <w:p w:rsidR="00F67870" w:rsidRDefault="00F67870" w:rsidP="00F67870">
      <w:pPr>
        <w:jc w:val="center"/>
        <w:rPr>
          <w:sz w:val="36"/>
          <w:szCs w:val="36"/>
        </w:rPr>
      </w:pPr>
    </w:p>
    <w:p w:rsidR="00781B0C" w:rsidRDefault="00781B0C" w:rsidP="00F67870">
      <w:pPr>
        <w:jc w:val="center"/>
        <w:rPr>
          <w:sz w:val="36"/>
          <w:szCs w:val="36"/>
        </w:rPr>
      </w:pPr>
    </w:p>
    <w:p w:rsidR="00781B0C" w:rsidRDefault="00781B0C" w:rsidP="00F67870">
      <w:pPr>
        <w:jc w:val="center"/>
        <w:rPr>
          <w:sz w:val="36"/>
          <w:szCs w:val="36"/>
        </w:rPr>
      </w:pPr>
      <w:bookmarkStart w:id="0" w:name="_GoBack"/>
      <w:bookmarkEnd w:id="0"/>
    </w:p>
    <w:p w:rsidR="00F67870" w:rsidRDefault="00FB06A6" w:rsidP="00FB06A6">
      <w:pPr>
        <w:rPr>
          <w:sz w:val="36"/>
          <w:szCs w:val="36"/>
        </w:rPr>
      </w:pPr>
      <w:r>
        <w:rPr>
          <w:sz w:val="36"/>
          <w:szCs w:val="36"/>
        </w:rPr>
        <w:lastRenderedPageBreak/>
        <w:t>Persons Specification</w:t>
      </w: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67870" w:rsidRPr="00D04606" w:rsidTr="00F67870">
        <w:tc>
          <w:tcPr>
            <w:tcW w:w="8330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:rsidR="00F67870" w:rsidRPr="00D04606" w:rsidRDefault="00F67870" w:rsidP="008F022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04606">
              <w:rPr>
                <w:rFonts w:ascii="Arial" w:hAnsi="Arial" w:cs="Arial"/>
                <w:b/>
              </w:rPr>
              <w:t>Experience</w:t>
            </w:r>
          </w:p>
        </w:tc>
      </w:tr>
      <w:tr w:rsidR="00F67870" w:rsidRPr="00D04606" w:rsidTr="008F022E">
        <w:trPr>
          <w:trHeight w:val="1788"/>
        </w:trPr>
        <w:tc>
          <w:tcPr>
            <w:tcW w:w="8330" w:type="dxa"/>
          </w:tcPr>
          <w:p w:rsidR="00F67870" w:rsidRPr="00D04606" w:rsidRDefault="00F67870" w:rsidP="00F6787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Tier 4 treatment service provision</w:t>
            </w:r>
          </w:p>
          <w:p w:rsidR="00F67870" w:rsidRPr="00D04606" w:rsidRDefault="00F67870" w:rsidP="00F6787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Recovery focused service provision</w:t>
            </w:r>
          </w:p>
          <w:p w:rsidR="00F67870" w:rsidRPr="00D04606" w:rsidRDefault="00F67870" w:rsidP="00F6787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Experience of providing a detoxification service to people with substance misuse problems</w:t>
            </w:r>
          </w:p>
          <w:p w:rsidR="00F67870" w:rsidRPr="00D04606" w:rsidRDefault="00F67870" w:rsidP="00F6787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Experience of providing a group work programme to service users.</w:t>
            </w:r>
          </w:p>
          <w:p w:rsidR="00F67870" w:rsidRPr="00D04606" w:rsidRDefault="00F67870" w:rsidP="00F6787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 xml:space="preserve">Support planning, </w:t>
            </w:r>
            <w:r w:rsidR="00712894">
              <w:rPr>
                <w:rFonts w:ascii="Arial" w:hAnsi="Arial" w:cs="Arial"/>
              </w:rPr>
              <w:t>key-working and risk assessment + risk planning / actions</w:t>
            </w:r>
          </w:p>
        </w:tc>
      </w:tr>
    </w:tbl>
    <w:p w:rsidR="00F67870" w:rsidRDefault="00F67870" w:rsidP="00FB06A6">
      <w:pPr>
        <w:rPr>
          <w:sz w:val="36"/>
          <w:szCs w:val="36"/>
        </w:rPr>
      </w:pP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67870" w:rsidRPr="00D04606" w:rsidTr="00F67870">
        <w:tc>
          <w:tcPr>
            <w:tcW w:w="8330" w:type="dxa"/>
            <w:shd w:val="clear" w:color="auto" w:fill="A6A6A6" w:themeFill="background1" w:themeFillShade="A6"/>
          </w:tcPr>
          <w:p w:rsidR="00F67870" w:rsidRPr="00D04606" w:rsidRDefault="00F67870" w:rsidP="008F022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04606">
              <w:rPr>
                <w:rFonts w:ascii="Arial" w:hAnsi="Arial" w:cs="Arial"/>
                <w:b/>
              </w:rPr>
              <w:t>Knowledge/Qualifications</w:t>
            </w:r>
          </w:p>
        </w:tc>
      </w:tr>
      <w:tr w:rsidR="00F67870" w:rsidTr="008F022E">
        <w:tc>
          <w:tcPr>
            <w:tcW w:w="8330" w:type="dxa"/>
          </w:tcPr>
          <w:p w:rsidR="00F67870" w:rsidRPr="00D04606" w:rsidRDefault="00F67870" w:rsidP="00F6787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First level RN qualification</w:t>
            </w:r>
          </w:p>
          <w:p w:rsidR="00F67870" w:rsidRPr="00D04606" w:rsidRDefault="00F67870" w:rsidP="00F6787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Up to date certification in anaphylaxis, inoculations, First Aid &amp; CPR</w:t>
            </w:r>
          </w:p>
          <w:p w:rsidR="00F67870" w:rsidRPr="00D04606" w:rsidRDefault="00F67870" w:rsidP="00F6787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Knowledge of CQC outcomes framework</w:t>
            </w:r>
          </w:p>
          <w:p w:rsidR="00F67870" w:rsidRPr="00D04606" w:rsidRDefault="00F67870" w:rsidP="00F6787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Knowledge of relevant NICE and DoH guidance and protocols</w:t>
            </w:r>
          </w:p>
          <w:p w:rsidR="00F67870" w:rsidRPr="00D04606" w:rsidRDefault="00F67870" w:rsidP="00F6787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Evidence of continuous professional development</w:t>
            </w:r>
          </w:p>
          <w:p w:rsidR="00F67870" w:rsidRDefault="00F67870" w:rsidP="00F67870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4606">
              <w:rPr>
                <w:rFonts w:ascii="Arial" w:hAnsi="Arial" w:cs="Arial"/>
              </w:rPr>
              <w:t>Knowledge of regulatory frameworks for social care and treatment</w:t>
            </w:r>
          </w:p>
        </w:tc>
      </w:tr>
    </w:tbl>
    <w:p w:rsidR="00F67870" w:rsidRPr="00F67870" w:rsidRDefault="00F67870" w:rsidP="00F67870">
      <w:pPr>
        <w:jc w:val="center"/>
        <w:rPr>
          <w:sz w:val="36"/>
          <w:szCs w:val="36"/>
        </w:rPr>
      </w:pPr>
    </w:p>
    <w:sectPr w:rsidR="00F67870" w:rsidRPr="00F67870" w:rsidSect="00EA5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38A1"/>
    <w:multiLevelType w:val="hybridMultilevel"/>
    <w:tmpl w:val="33DA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41B9D"/>
    <w:multiLevelType w:val="hybridMultilevel"/>
    <w:tmpl w:val="2FB4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42"/>
    <w:rsid w:val="004B2C81"/>
    <w:rsid w:val="00660B8E"/>
    <w:rsid w:val="00712894"/>
    <w:rsid w:val="0076548A"/>
    <w:rsid w:val="00781B0C"/>
    <w:rsid w:val="00A153A8"/>
    <w:rsid w:val="00A76C2F"/>
    <w:rsid w:val="00AD71A2"/>
    <w:rsid w:val="00C54D65"/>
    <w:rsid w:val="00E410D3"/>
    <w:rsid w:val="00E70D2D"/>
    <w:rsid w:val="00EA53DF"/>
    <w:rsid w:val="00F22C42"/>
    <w:rsid w:val="00F67870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8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8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99337C3F</Template>
  <TotalTime>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bbaker</dc:creator>
  <cp:keywords/>
  <dc:description/>
  <cp:lastModifiedBy>Marcin Syzdek</cp:lastModifiedBy>
  <cp:revision>4</cp:revision>
  <cp:lastPrinted>2013-07-17T13:22:00Z</cp:lastPrinted>
  <dcterms:created xsi:type="dcterms:W3CDTF">2017-08-11T14:49:00Z</dcterms:created>
  <dcterms:modified xsi:type="dcterms:W3CDTF">2018-08-15T13:29:00Z</dcterms:modified>
</cp:coreProperties>
</file>