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D261" w14:textId="4C411187" w:rsidR="00A939D2" w:rsidRDefault="7806B669" w:rsidP="0F08EE11">
      <w:pPr>
        <w:spacing w:after="200" w:line="259" w:lineRule="auto"/>
        <w:jc w:val="right"/>
        <w:rPr>
          <w:rFonts w:eastAsia="Calibri" w:cs="Calibri"/>
          <w:color w:val="000000" w:themeColor="text1"/>
        </w:rPr>
      </w:pPr>
      <w:r>
        <w:rPr>
          <w:noProof/>
        </w:rPr>
        <w:drawing>
          <wp:inline distT="0" distB="0" distL="0" distR="0" wp14:anchorId="61D811DD" wp14:editId="4A1963B1">
            <wp:extent cx="1971675" cy="847725"/>
            <wp:effectExtent l="0" t="0" r="0" b="0"/>
            <wp:docPr id="1661245752" name="Picture 166124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4425EFE3" w14:textId="77777777" w:rsidR="00D05D90" w:rsidRDefault="00D05D90" w:rsidP="0F08EE11">
      <w:pPr>
        <w:spacing w:after="200" w:line="259" w:lineRule="auto"/>
        <w:rPr>
          <w:rFonts w:ascii="Arial" w:eastAsia="Arial" w:hAnsi="Arial"/>
          <w:b/>
          <w:bCs/>
          <w:color w:val="000000" w:themeColor="text1"/>
          <w:sz w:val="31"/>
          <w:szCs w:val="31"/>
        </w:rPr>
      </w:pPr>
    </w:p>
    <w:p w14:paraId="0ED1245A" w14:textId="2C9DFDFF" w:rsidR="00A939D2" w:rsidRDefault="7806B669" w:rsidP="0F08EE11">
      <w:pPr>
        <w:spacing w:after="200" w:line="259" w:lineRule="auto"/>
        <w:rPr>
          <w:rFonts w:ascii="Arial" w:eastAsia="Arial" w:hAnsi="Arial"/>
          <w:color w:val="000000" w:themeColor="text1"/>
          <w:sz w:val="31"/>
          <w:szCs w:val="31"/>
        </w:rPr>
      </w:pPr>
      <w:r w:rsidRPr="0F08EE11">
        <w:rPr>
          <w:rFonts w:ascii="Arial" w:eastAsia="Arial" w:hAnsi="Arial"/>
          <w:b/>
          <w:bCs/>
          <w:color w:val="000000" w:themeColor="text1"/>
          <w:sz w:val="31"/>
          <w:szCs w:val="31"/>
        </w:rPr>
        <w:t xml:space="preserve">ESN Royal London Hospital Proof of Concept  </w:t>
      </w:r>
    </w:p>
    <w:p w14:paraId="5E7A1AEF" w14:textId="1D72ED53" w:rsidR="00A939D2" w:rsidRDefault="7806B669" w:rsidP="0F08EE11">
      <w:pPr>
        <w:keepNext/>
        <w:rPr>
          <w:rFonts w:ascii="Arial" w:eastAsia="Arial" w:hAnsi="Arial"/>
          <w:color w:val="000000" w:themeColor="text1"/>
          <w:sz w:val="31"/>
          <w:szCs w:val="31"/>
        </w:rPr>
      </w:pPr>
      <w:r w:rsidRPr="0F08EE11">
        <w:rPr>
          <w:rFonts w:ascii="Arial" w:eastAsia="Arial" w:hAnsi="Arial"/>
          <w:b/>
          <w:bCs/>
          <w:color w:val="000000" w:themeColor="text1"/>
          <w:sz w:val="31"/>
          <w:szCs w:val="31"/>
        </w:rPr>
        <w:t>Contract Ref: C25949</w:t>
      </w:r>
    </w:p>
    <w:p w14:paraId="2FFE5D84" w14:textId="0B7ABE45" w:rsidR="00A939D2" w:rsidRDefault="00531A0F" w:rsidP="0F08EE11">
      <w:pPr>
        <w:keepNext/>
        <w:rPr>
          <w:rFonts w:ascii="Arial" w:eastAsia="Arial" w:hAnsi="Arial"/>
          <w:color w:val="000000" w:themeColor="text1"/>
          <w:sz w:val="31"/>
          <w:szCs w:val="31"/>
        </w:rPr>
      </w:pPr>
      <w:r>
        <w:rPr>
          <w:rFonts w:ascii="Arial" w:eastAsia="Arial" w:hAnsi="Arial"/>
          <w:b/>
          <w:bCs/>
          <w:color w:val="000000" w:themeColor="text1"/>
          <w:sz w:val="31"/>
          <w:szCs w:val="31"/>
        </w:rPr>
        <w:t>March</w:t>
      </w:r>
      <w:r w:rsidR="7806B669" w:rsidRPr="0F08EE11">
        <w:rPr>
          <w:rFonts w:ascii="Arial" w:eastAsia="Arial" w:hAnsi="Arial"/>
          <w:b/>
          <w:bCs/>
          <w:color w:val="000000" w:themeColor="text1"/>
          <w:sz w:val="31"/>
          <w:szCs w:val="31"/>
        </w:rPr>
        <w:t xml:space="preserve"> 2024</w:t>
      </w:r>
    </w:p>
    <w:p w14:paraId="00000001" w14:textId="3C5C9583" w:rsidR="00A939D2" w:rsidRDefault="00A939D2" w:rsidP="0F08EE11">
      <w:pPr>
        <w:pBdr>
          <w:top w:val="nil"/>
          <w:left w:val="nil"/>
          <w:bottom w:val="nil"/>
          <w:right w:val="nil"/>
          <w:between w:val="nil"/>
        </w:pBdr>
        <w:tabs>
          <w:tab w:val="center" w:pos="4513"/>
          <w:tab w:val="right" w:pos="9026"/>
        </w:tabs>
        <w:spacing w:after="0"/>
        <w:jc w:val="left"/>
        <w:rPr>
          <w:rFonts w:ascii="Arial" w:eastAsia="Arial" w:hAnsi="Arial"/>
          <w:b/>
          <w:bCs/>
          <w:smallCaps/>
          <w:color w:val="000000"/>
          <w:sz w:val="36"/>
          <w:szCs w:val="36"/>
        </w:rPr>
      </w:pPr>
    </w:p>
    <w:p w14:paraId="00000002" w14:textId="77777777" w:rsidR="00A939D2" w:rsidRDefault="007467EA">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3" w14:textId="77777777" w:rsidR="00A939D2" w:rsidRDefault="007467EA">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00000004" w14:textId="636A769E"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sz w:val="24"/>
          <w:szCs w:val="24"/>
        </w:rPr>
        <w:t xml:space="preserve">This Schedule shall apply only when so specified by a Buyer that has undertaken a Further </w:t>
      </w:r>
      <w:r w:rsidR="006B7C3B">
        <w:rPr>
          <w:rFonts w:ascii="Arial" w:eastAsia="Arial" w:hAnsi="Arial"/>
          <w:sz w:val="24"/>
          <w:szCs w:val="24"/>
        </w:rPr>
        <w:t>Competition.</w:t>
      </w:r>
      <w:r w:rsidR="006B7C3B">
        <w:rPr>
          <w:rFonts w:ascii="Arial" w:eastAsia="Arial" w:hAnsi="Arial"/>
          <w:color w:val="000000"/>
          <w:sz w:val="24"/>
          <w:szCs w:val="24"/>
        </w:rPr>
        <w:t xml:space="preserve"> The</w:t>
      </w:r>
      <w:r>
        <w:rPr>
          <w:rFonts w:ascii="Arial" w:eastAsia="Arial" w:hAnsi="Arial"/>
          <w:color w:val="000000"/>
          <w:sz w:val="24"/>
          <w:szCs w:val="24"/>
        </w:rPr>
        <w:t xml:space="preserve"> Buyer and the Supplier recognise that, where specified in Framework Schedule 4 (Framework Management), the Buyer may give CCS the right to enforce the Buyer's rights under this Schedule.</w:t>
      </w:r>
    </w:p>
    <w:p w14:paraId="00000005" w14:textId="77777777" w:rsidR="00A939D2" w:rsidRDefault="007467EA">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00000006"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0" w:name="_heading=h.30j0zll" w:colFirst="0" w:colLast="0"/>
      <w:bookmarkEnd w:id="0"/>
      <w:r>
        <w:rPr>
          <w:rFonts w:ascii="Arial" w:eastAsia="Arial" w:hAnsi="Arial"/>
          <w:color w:val="000000"/>
          <w:sz w:val="24"/>
          <w:szCs w:val="24"/>
        </w:rPr>
        <w:t xml:space="preserve">The Supplier </w:t>
      </w:r>
      <w:r>
        <w:rPr>
          <w:rFonts w:ascii="Arial" w:eastAsia="Arial" w:hAnsi="Arial"/>
          <w:sz w:val="24"/>
          <w:szCs w:val="24"/>
        </w:rPr>
        <w:t xml:space="preserve">shall have an ongoing obligation </w:t>
      </w:r>
      <w:r>
        <w:rPr>
          <w:rFonts w:ascii="Arial" w:eastAsia="Arial" w:hAnsi="Arial"/>
          <w:color w:val="000000"/>
          <w:sz w:val="24"/>
          <w:szCs w:val="24"/>
        </w:rPr>
        <w:t xml:space="preserve">throughout the Contract Period, to identify new or potential improvements to the provision of the </w:t>
      </w:r>
      <w:r>
        <w:rPr>
          <w:rFonts w:ascii="Arial" w:eastAsia="Arial" w:hAnsi="Arial"/>
          <w:sz w:val="24"/>
          <w:szCs w:val="24"/>
        </w:rPr>
        <w:t>Deliverables in accordance with this Call Off Schedule 3</w:t>
      </w:r>
      <w:r>
        <w:rPr>
          <w:rFonts w:ascii="Arial" w:eastAsia="Arial" w:hAnsi="Arial"/>
          <w:color w:val="000000"/>
          <w:sz w:val="24"/>
          <w:szCs w:val="24"/>
        </w:rPr>
        <w:t xml:space="preserve"> with a view to reducing the Buyer’s costs (including the Call-Off Contract Charges) and/or improving the quality and efficiency of the Deliverables and their supply to the Buyer.  </w:t>
      </w:r>
      <w:r>
        <w:rPr>
          <w:rFonts w:ascii="Arial" w:eastAsia="Arial" w:hAnsi="Arial"/>
          <w:sz w:val="24"/>
          <w:szCs w:val="24"/>
        </w:rPr>
        <w:t>As part of this obligation the Supplier shall identify and report to the Buyer once every twelve (12) months regarding:</w:t>
      </w:r>
    </w:p>
    <w:p w14:paraId="00000007" w14:textId="77777777" w:rsidR="00A939D2" w:rsidRDefault="007467EA">
      <w:pPr>
        <w:numPr>
          <w:ilvl w:val="2"/>
          <w:numId w:val="1"/>
        </w:numPr>
        <w:tabs>
          <w:tab w:val="left" w:pos="1134"/>
        </w:tabs>
        <w:spacing w:after="120"/>
        <w:jc w:val="left"/>
      </w:pPr>
      <w:r>
        <w:rPr>
          <w:rFonts w:ascii="Arial" w:eastAsia="Arial" w:hAnsi="Arial"/>
          <w:sz w:val="24"/>
          <w:szCs w:val="24"/>
        </w:rPr>
        <w:t>the emergence of new and evolving relevant technologies which could improve the ICT Environment and/or the provision of the Deliverables, and those technological advances potentially available to the Supplier and the Buyer which the Parties may wish to adopt;</w:t>
      </w:r>
    </w:p>
    <w:p w14:paraId="00000008" w14:textId="77777777" w:rsidR="00A939D2" w:rsidRDefault="007467EA">
      <w:pPr>
        <w:numPr>
          <w:ilvl w:val="2"/>
          <w:numId w:val="1"/>
        </w:numPr>
        <w:tabs>
          <w:tab w:val="left" w:pos="1134"/>
        </w:tabs>
        <w:spacing w:after="120"/>
        <w:jc w:val="left"/>
      </w:pPr>
      <w:r>
        <w:rPr>
          <w:rFonts w:ascii="Arial" w:eastAsia="Arial" w:hAnsi="Arial"/>
          <w:sz w:val="24"/>
          <w:szCs w:val="24"/>
        </w:rPr>
        <w:t>new or potential improvements to the Deliverables or the provision of the Deliverables including in respect of the quality, responsiveness, procedures, benchmarking methods, ways of performing the Services and customer support services in relation to the Deliverables;</w:t>
      </w:r>
    </w:p>
    <w:p w14:paraId="00000009" w14:textId="77777777" w:rsidR="00A939D2" w:rsidRDefault="007467EA">
      <w:pPr>
        <w:numPr>
          <w:ilvl w:val="2"/>
          <w:numId w:val="1"/>
        </w:numPr>
        <w:tabs>
          <w:tab w:val="left" w:pos="1134"/>
        </w:tabs>
        <w:spacing w:after="120"/>
        <w:jc w:val="left"/>
      </w:pPr>
      <w:r>
        <w:rPr>
          <w:rFonts w:ascii="Arial" w:eastAsia="Arial" w:hAnsi="Arial"/>
          <w:sz w:val="24"/>
          <w:szCs w:val="24"/>
        </w:rPr>
        <w:t>changes in business processes and working practices that would enable the Deliverables to be provided at lower cost and/or with greater benefits to the Buyer;</w:t>
      </w:r>
    </w:p>
    <w:p w14:paraId="0000000A" w14:textId="77777777" w:rsidR="00A939D2" w:rsidRDefault="007467EA">
      <w:pPr>
        <w:numPr>
          <w:ilvl w:val="2"/>
          <w:numId w:val="1"/>
        </w:numPr>
        <w:tabs>
          <w:tab w:val="left" w:pos="1134"/>
        </w:tabs>
        <w:spacing w:after="120"/>
        <w:jc w:val="left"/>
      </w:pPr>
      <w:r>
        <w:rPr>
          <w:rFonts w:ascii="Arial" w:eastAsia="Arial" w:hAnsi="Arial"/>
          <w:sz w:val="24"/>
          <w:szCs w:val="24"/>
        </w:rPr>
        <w:lastRenderedPageBreak/>
        <w:t>changes to the ICT Environment, business processes and working practices that would enable reductions in the total energy consumed in the provision of the Deliverables;</w:t>
      </w:r>
    </w:p>
    <w:p w14:paraId="0000000B" w14:textId="77777777" w:rsidR="00A939D2" w:rsidRDefault="007467EA">
      <w:pPr>
        <w:numPr>
          <w:ilvl w:val="2"/>
          <w:numId w:val="1"/>
        </w:numPr>
        <w:tabs>
          <w:tab w:val="left" w:pos="1134"/>
        </w:tabs>
        <w:spacing w:after="120"/>
        <w:jc w:val="left"/>
      </w:pPr>
      <w:r>
        <w:rPr>
          <w:rFonts w:ascii="Arial" w:eastAsia="Arial" w:hAnsi="Arial"/>
          <w:sz w:val="24"/>
          <w:szCs w:val="24"/>
        </w:rPr>
        <w:t>improvements which the Supplier uses or is planning to use with its other customers;</w:t>
      </w:r>
    </w:p>
    <w:p w14:paraId="0000000C" w14:textId="77777777" w:rsidR="00A939D2" w:rsidRDefault="007467EA">
      <w:pPr>
        <w:numPr>
          <w:ilvl w:val="2"/>
          <w:numId w:val="1"/>
        </w:numPr>
        <w:tabs>
          <w:tab w:val="left" w:pos="1134"/>
        </w:tabs>
        <w:spacing w:after="120"/>
        <w:jc w:val="left"/>
      </w:pPr>
      <w:r>
        <w:rPr>
          <w:rFonts w:ascii="Arial" w:eastAsia="Arial" w:hAnsi="Arial"/>
          <w:sz w:val="24"/>
          <w:szCs w:val="24"/>
        </w:rPr>
        <w:t>proposals as to how any investment required for continuous improvement could be shared with other customers of the Supplier;</w:t>
      </w:r>
    </w:p>
    <w:p w14:paraId="0000000D" w14:textId="77777777" w:rsidR="00A939D2" w:rsidRDefault="007467EA">
      <w:pPr>
        <w:numPr>
          <w:ilvl w:val="2"/>
          <w:numId w:val="1"/>
        </w:numPr>
        <w:tabs>
          <w:tab w:val="left" w:pos="1134"/>
        </w:tabs>
        <w:spacing w:after="120"/>
        <w:jc w:val="left"/>
      </w:pPr>
      <w:r>
        <w:rPr>
          <w:rFonts w:ascii="Arial" w:eastAsia="Arial" w:hAnsi="Arial"/>
          <w:sz w:val="24"/>
          <w:szCs w:val="24"/>
        </w:rPr>
        <w:t xml:space="preserve">a </w:t>
      </w:r>
      <w:proofErr w:type="gramStart"/>
      <w:r>
        <w:rPr>
          <w:rFonts w:ascii="Arial" w:eastAsia="Arial" w:hAnsi="Arial"/>
          <w:sz w:val="24"/>
          <w:szCs w:val="24"/>
        </w:rPr>
        <w:t>zero usage</w:t>
      </w:r>
      <w:proofErr w:type="gramEnd"/>
      <w:r>
        <w:rPr>
          <w:rFonts w:ascii="Arial" w:eastAsia="Arial" w:hAnsi="Arial"/>
          <w:sz w:val="24"/>
          <w:szCs w:val="24"/>
        </w:rPr>
        <w:t xml:space="preserve"> report to identify opportunities for cost avoidance; </w:t>
      </w:r>
    </w:p>
    <w:p w14:paraId="0000000E" w14:textId="77777777" w:rsidR="00A939D2" w:rsidRDefault="007467EA">
      <w:pPr>
        <w:numPr>
          <w:ilvl w:val="2"/>
          <w:numId w:val="1"/>
        </w:numPr>
        <w:tabs>
          <w:tab w:val="left" w:pos="1134"/>
        </w:tabs>
        <w:spacing w:after="120"/>
        <w:jc w:val="left"/>
      </w:pPr>
      <w:bookmarkStart w:id="1" w:name="_heading=h.4l9rzeomgdtd" w:colFirst="0" w:colLast="0"/>
      <w:bookmarkEnd w:id="1"/>
      <w:r>
        <w:rPr>
          <w:rFonts w:ascii="Arial" w:eastAsia="Arial" w:hAnsi="Arial"/>
          <w:sz w:val="24"/>
          <w:szCs w:val="24"/>
        </w:rPr>
        <w:t xml:space="preserve">measuring and reducing the sustainability impacts of the Supplier's operations and supply-chains relating to the Deliverables, and identifying opportunities to assist the Buyer in meeting their sustainability objectives; </w:t>
      </w:r>
    </w:p>
    <w:p w14:paraId="0000000F"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rPr>
      </w:pPr>
      <w:bookmarkStart w:id="2" w:name="_heading=h.5pk09hfp5lyl" w:colFirst="0" w:colLast="0"/>
      <w:bookmarkEnd w:id="2"/>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0000010"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0000011"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 w:name="_heading=h.2et92p0" w:colFirst="0" w:colLast="0"/>
      <w:bookmarkEnd w:id="3"/>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0000012"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4" w:name="_heading=h.tyjcwt" w:colFirst="0" w:colLast="0"/>
      <w:bookmarkEnd w:id="4"/>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0000013" w14:textId="2745B5E2"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identified by the Suppl</w:t>
      </w:r>
      <w:r>
        <w:rPr>
          <w:rFonts w:ascii="Arial" w:eastAsia="Arial" w:hAnsi="Arial"/>
          <w:sz w:val="24"/>
          <w:szCs w:val="24"/>
        </w:rPr>
        <w:t xml:space="preserve">ier </w:t>
      </w:r>
      <w:r>
        <w:rPr>
          <w:rFonts w:ascii="Arial" w:eastAsia="Arial" w:hAnsi="Arial"/>
          <w:color w:val="000000"/>
          <w:sz w:val="24"/>
          <w:szCs w:val="24"/>
        </w:rPr>
        <w:t xml:space="preserve">into this </w:t>
      </w:r>
      <w:r w:rsidR="00531A0F">
        <w:rPr>
          <w:rFonts w:ascii="Arial" w:eastAsia="Arial" w:hAnsi="Arial"/>
          <w:color w:val="000000"/>
          <w:sz w:val="24"/>
          <w:szCs w:val="24"/>
        </w:rPr>
        <w:t>Contract, including</w:t>
      </w:r>
      <w:r>
        <w:rPr>
          <w:rFonts w:ascii="Arial" w:eastAsia="Arial" w:hAnsi="Arial"/>
          <w:color w:val="000000"/>
          <w:sz w:val="24"/>
          <w:szCs w:val="24"/>
        </w:rPr>
        <w:t xml:space="preserve"> any impact on the Charges declared by the Supplier as part of that improvement, it must request a Variation in accordance with the Variation Procedure and the Supplier must implement such Variation at no additional cost to the Buyer or CCS.</w:t>
      </w:r>
    </w:p>
    <w:p w14:paraId="00000014" w14:textId="77777777" w:rsidR="00A939D2" w:rsidRDefault="007467EA">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5" w14:textId="77777777" w:rsidR="00A939D2" w:rsidRDefault="007467EA">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6" w14:textId="77777777" w:rsidR="00A939D2" w:rsidRDefault="007467EA">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the Parties agree to meet as soon as reasonably possible following the start of each quarter (or as otherwise agreed between the Parties) to review the Supplier's progress against the Continuous Improvement Plan.</w:t>
      </w:r>
    </w:p>
    <w:p w14:paraId="00000017"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00000018"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9"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Should the Supplier's costs in providing the Deliverables to the Buyer be reduced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any changes implemented, all of the cost savings shall be passed on to the Buyer by way of a consequential and immediate reduction in the Charges for the Deliverables.</w:t>
      </w:r>
    </w:p>
    <w:p w14:paraId="0000001A" w14:textId="77777777" w:rsidR="00A939D2" w:rsidRDefault="007467EA">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At any time during the Contract Period of the Call-Off Contract, the Supplier may make a proposal for gainshare. If the Buyer deems gainshare to be </w:t>
      </w:r>
      <w:proofErr w:type="gramStart"/>
      <w:r>
        <w:rPr>
          <w:rFonts w:ascii="Arial" w:eastAsia="Arial" w:hAnsi="Arial"/>
          <w:color w:val="000000"/>
          <w:sz w:val="24"/>
          <w:szCs w:val="24"/>
        </w:rPr>
        <w:t>applicable</w:t>
      </w:r>
      <w:proofErr w:type="gramEnd"/>
      <w:r>
        <w:rPr>
          <w:rFonts w:ascii="Arial" w:eastAsia="Arial" w:hAnsi="Arial"/>
          <w:color w:val="000000"/>
          <w:sz w:val="24"/>
          <w:szCs w:val="24"/>
        </w:rPr>
        <w:t xml:space="preserve"> then the Supplier shall update the Continuous Improvement Plan so as to include details of the way in which the proposal shall be implemented in accordance with an agreed gainshare ratio.</w:t>
      </w:r>
    </w:p>
    <w:p w14:paraId="0000001B" w14:textId="77777777" w:rsidR="00A939D2" w:rsidRDefault="007467EA">
      <w:pPr>
        <w:numPr>
          <w:ilvl w:val="1"/>
          <w:numId w:val="1"/>
        </w:numPr>
        <w:tabs>
          <w:tab w:val="left" w:pos="1134"/>
        </w:tabs>
        <w:spacing w:after="120"/>
        <w:ind w:hanging="360"/>
        <w:jc w:val="left"/>
      </w:pPr>
      <w:r>
        <w:rPr>
          <w:rFonts w:ascii="Arial" w:eastAsia="Arial" w:hAnsi="Arial"/>
          <w:sz w:val="24"/>
          <w:szCs w:val="24"/>
        </w:rPr>
        <w:t>Notwithstanding anything to the contrary in this Call-Off Contract, the Parties may not change or improve the Deliverables in any way which adversely affects or may adversely affect any relevant PSN Standards or HSCN obligations and processes.</w:t>
      </w:r>
    </w:p>
    <w:sectPr w:rsidR="00A939D2">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3B78" w14:textId="77777777" w:rsidR="00B85221" w:rsidRDefault="00B85221">
      <w:pPr>
        <w:spacing w:after="0"/>
      </w:pPr>
      <w:r>
        <w:separator/>
      </w:r>
    </w:p>
  </w:endnote>
  <w:endnote w:type="continuationSeparator" w:id="0">
    <w:p w14:paraId="36C72B0B" w14:textId="77777777" w:rsidR="00B85221" w:rsidRDefault="00B85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A939D2" w:rsidRDefault="00A939D2">
    <w:pPr>
      <w:tabs>
        <w:tab w:val="center" w:pos="4513"/>
        <w:tab w:val="right" w:pos="9026"/>
      </w:tabs>
      <w:spacing w:after="0"/>
      <w:rPr>
        <w:rFonts w:ascii="Arial" w:eastAsia="Arial" w:hAnsi="Arial"/>
        <w:sz w:val="20"/>
        <w:szCs w:val="20"/>
      </w:rPr>
    </w:pPr>
  </w:p>
  <w:p w14:paraId="00000028" w14:textId="77777777" w:rsidR="00A939D2" w:rsidRDefault="007467EA">
    <w:pPr>
      <w:tabs>
        <w:tab w:val="center" w:pos="4513"/>
        <w:tab w:val="right" w:pos="9026"/>
      </w:tabs>
      <w:spacing w:after="0"/>
      <w:rPr>
        <w:rFonts w:ascii="Arial" w:eastAsia="Arial" w:hAnsi="Arial"/>
        <w:sz w:val="20"/>
        <w:szCs w:val="20"/>
      </w:rPr>
    </w:pPr>
    <w:r>
      <w:rPr>
        <w:rFonts w:ascii="Arial" w:eastAsia="Arial" w:hAnsi="Arial"/>
        <w:sz w:val="20"/>
        <w:szCs w:val="20"/>
      </w:rPr>
      <w:t>Framework Ref: RM6116</w:t>
    </w:r>
  </w:p>
  <w:p w14:paraId="00000029" w14:textId="61E0DFC5" w:rsidR="00A939D2" w:rsidRDefault="007467E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w:t>
    </w:r>
    <w:r>
      <w:rPr>
        <w:rFonts w:ascii="Arial" w:eastAsia="Arial" w:hAnsi="Arial"/>
        <w:sz w:val="20"/>
        <w:szCs w:val="20"/>
      </w:rPr>
      <w:t>1</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0D5234">
      <w:rPr>
        <w:rFonts w:ascii="Arial" w:eastAsia="Arial" w:hAnsi="Arial"/>
        <w:noProof/>
        <w:color w:val="000000"/>
        <w:sz w:val="20"/>
        <w:szCs w:val="20"/>
      </w:rPr>
      <w:t>1</w:t>
    </w:r>
    <w:r>
      <w:rPr>
        <w:rFonts w:ascii="Arial" w:eastAsia="Arial" w:hAnsi="Arial"/>
        <w:color w:val="000000"/>
        <w:sz w:val="20"/>
        <w:szCs w:val="20"/>
      </w:rPr>
      <w:fldChar w:fldCharType="end"/>
    </w:r>
  </w:p>
  <w:p w14:paraId="0000002A" w14:textId="77777777" w:rsidR="00A939D2" w:rsidRDefault="007467EA">
    <w:pPr>
      <w:tabs>
        <w:tab w:val="center" w:pos="4513"/>
        <w:tab w:val="right" w:pos="9026"/>
      </w:tabs>
      <w:spacing w:after="0"/>
      <w:rPr>
        <w:rFonts w:ascii="Arial" w:eastAsia="Arial" w:hAnsi="Arial"/>
        <w:b/>
        <w:smallCaps/>
        <w:sz w:val="24"/>
        <w:szCs w:val="24"/>
      </w:rPr>
    </w:pPr>
    <w:r>
      <w:rPr>
        <w:rFonts w:ascii="Arial" w:eastAsia="Arial" w:hAnsi="Arial"/>
        <w:sz w:val="20"/>
        <w:szCs w:val="20"/>
      </w:rPr>
      <w:t>Model Version: v3.0</w:t>
    </w:r>
  </w:p>
  <w:p w14:paraId="0000002B" w14:textId="77777777" w:rsidR="00A939D2" w:rsidRDefault="00A939D2">
    <w:pPr>
      <w:tabs>
        <w:tab w:val="center" w:pos="4513"/>
        <w:tab w:val="right" w:pos="9026"/>
      </w:tabs>
      <w:spacing w:after="0"/>
      <w:rPr>
        <w:rFonts w:ascii="Arial" w:eastAsia="Arial" w:hAnsi="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A939D2" w:rsidRDefault="00A939D2">
    <w:pPr>
      <w:tabs>
        <w:tab w:val="center" w:pos="4513"/>
        <w:tab w:val="right" w:pos="9026"/>
      </w:tabs>
      <w:spacing w:after="0"/>
      <w:rPr>
        <w:rFonts w:ascii="Arial" w:eastAsia="Arial" w:hAnsi="Arial"/>
        <w:color w:val="A6A6A6"/>
        <w:sz w:val="20"/>
        <w:szCs w:val="20"/>
      </w:rPr>
    </w:pPr>
  </w:p>
  <w:p w14:paraId="00000024" w14:textId="77777777" w:rsidR="00A939D2" w:rsidRDefault="007467EA">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5" w14:textId="77777777" w:rsidR="00A939D2" w:rsidRDefault="007467EA">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sidR="00D83938">
      <w:rPr>
        <w:rFonts w:ascii="Arial" w:eastAsia="Arial" w:hAnsi="Arial"/>
        <w:color w:val="A6A6A6"/>
        <w:sz w:val="20"/>
        <w:szCs w:val="20"/>
      </w:rPr>
      <w:fldChar w:fldCharType="separate"/>
    </w:r>
    <w:r>
      <w:rPr>
        <w:rFonts w:ascii="Arial" w:eastAsia="Arial" w:hAnsi="Arial"/>
        <w:color w:val="A6A6A6"/>
        <w:sz w:val="20"/>
        <w:szCs w:val="20"/>
      </w:rPr>
      <w:fldChar w:fldCharType="end"/>
    </w:r>
  </w:p>
  <w:p w14:paraId="00000026" w14:textId="77777777" w:rsidR="00A939D2" w:rsidRDefault="007467EA">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2722" w14:textId="77777777" w:rsidR="00B85221" w:rsidRDefault="00B85221">
      <w:pPr>
        <w:spacing w:after="0"/>
      </w:pPr>
      <w:r>
        <w:separator/>
      </w:r>
    </w:p>
  </w:footnote>
  <w:footnote w:type="continuationSeparator" w:id="0">
    <w:p w14:paraId="17338C45" w14:textId="77777777" w:rsidR="00B85221" w:rsidRDefault="00B852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A939D2" w:rsidRDefault="007467EA">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20" w14:textId="7E1361E2" w:rsidR="00A939D2" w:rsidRDefault="007467E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r w:rsidR="000D5234" w:rsidRPr="000D5234">
      <w:rPr>
        <w:rFonts w:ascii="Arial" w:eastAsia="Arial" w:hAnsi="Arial"/>
        <w:b/>
        <w:bCs/>
        <w:color w:val="000000" w:themeColor="text1"/>
        <w:sz w:val="31"/>
        <w:szCs w:val="31"/>
      </w:rPr>
      <w:t xml:space="preserve"> </w:t>
    </w:r>
    <w:r w:rsidR="000D5234" w:rsidRPr="000D5234">
      <w:rPr>
        <w:rFonts w:ascii="Arial" w:eastAsia="Arial" w:hAnsi="Arial"/>
        <w:b/>
        <w:bCs/>
        <w:color w:val="000000"/>
        <w:sz w:val="20"/>
        <w:szCs w:val="20"/>
      </w:rPr>
      <w:t>C25949</w:t>
    </w:r>
  </w:p>
  <w:p w14:paraId="00000021" w14:textId="0DD3A557" w:rsidR="00A939D2" w:rsidRDefault="007467E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sidR="000D5234">
      <w:rPr>
        <w:rFonts w:ascii="Arial" w:eastAsia="Arial" w:hAnsi="Arial"/>
        <w:color w:val="000000"/>
        <w:sz w:val="20"/>
        <w:szCs w:val="20"/>
      </w:rPr>
      <w:t>24</w:t>
    </w:r>
  </w:p>
  <w:p w14:paraId="00000022" w14:textId="77777777" w:rsidR="00A939D2" w:rsidRDefault="00A939D2">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A939D2" w:rsidRDefault="00A939D2">
    <w:pPr>
      <w:pBdr>
        <w:top w:val="nil"/>
        <w:left w:val="nil"/>
        <w:bottom w:val="nil"/>
        <w:right w:val="nil"/>
        <w:between w:val="nil"/>
      </w:pBdr>
      <w:tabs>
        <w:tab w:val="center" w:pos="4513"/>
        <w:tab w:val="right" w:pos="9026"/>
      </w:tabs>
      <w:spacing w:after="0"/>
      <w:rPr>
        <w:rFonts w:eastAsia="Calibri" w:cs="Calibri"/>
        <w:color w:val="000000"/>
      </w:rPr>
    </w:pPr>
  </w:p>
  <w:p w14:paraId="0000001D" w14:textId="77777777" w:rsidR="00A939D2" w:rsidRDefault="00A939D2">
    <w:pPr>
      <w:pBdr>
        <w:top w:val="nil"/>
        <w:left w:val="nil"/>
        <w:bottom w:val="nil"/>
        <w:right w:val="nil"/>
        <w:between w:val="nil"/>
      </w:pBdr>
      <w:tabs>
        <w:tab w:val="center" w:pos="4513"/>
        <w:tab w:val="right" w:pos="9026"/>
      </w:tabs>
      <w:spacing w:after="0"/>
      <w:rPr>
        <w:rFonts w:eastAsia="Calibri" w:cs="Calibri"/>
        <w:color w:val="000000"/>
      </w:rPr>
    </w:pPr>
  </w:p>
  <w:p w14:paraId="0000001E" w14:textId="77777777" w:rsidR="00A939D2" w:rsidRDefault="00A939D2">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82001"/>
    <w:multiLevelType w:val="multilevel"/>
    <w:tmpl w:val="FFFFFFFF"/>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C3A22A6"/>
    <w:multiLevelType w:val="multilevel"/>
    <w:tmpl w:val="FFFFFFFF"/>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23427022">
    <w:abstractNumId w:val="1"/>
  </w:num>
  <w:num w:numId="2" w16cid:durableId="10165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D2"/>
    <w:rsid w:val="000D5234"/>
    <w:rsid w:val="00264674"/>
    <w:rsid w:val="00531A0F"/>
    <w:rsid w:val="006B7C3B"/>
    <w:rsid w:val="007467EA"/>
    <w:rsid w:val="00A939D2"/>
    <w:rsid w:val="00A95827"/>
    <w:rsid w:val="00B85221"/>
    <w:rsid w:val="00B97E70"/>
    <w:rsid w:val="00D05D90"/>
    <w:rsid w:val="00D83938"/>
    <w:rsid w:val="00E36C85"/>
    <w:rsid w:val="0F08EE11"/>
    <w:rsid w:val="7806B6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53AA"/>
  <w15:docId w15:val="{639C7E40-505B-4B8B-97E2-2F7604F3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aqpP569rOsH81KCaMVo4uLYRHSA==">AMUW2mUOkYnUtMfcfkE1PgmMzJoA3IcZSwEZq5egRA3G/0X9p6WJek54y/KrATutmMRDRTcWDLPNt3TNg+Q6acvLlEWxyhGgmgPYF0kDNP8JmYaUoa9PkEEb6xN3DGulvfUchEBvhS8i2dQSPnVvLS/Mq3E/ZmxUgJbH3l3r+jjHWALA76hQw5sDwknYiAo6z1oeCV19/xXnJiVB546YVV+kJmjqIwn0ig==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Props1.xml><?xml version="1.0" encoding="utf-8"?>
<ds:datastoreItem xmlns:ds="http://schemas.openxmlformats.org/officeDocument/2006/customXml" ds:itemID="{8133FA84-601B-4700-A195-8B8FE2C58955}"/>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A159DC2-460F-46BC-AA83-8CEB53D31989}">
  <ds:schemaRefs>
    <ds:schemaRef ds:uri="http://schemas.microsoft.com/sharepoint/v3/contenttype/forms"/>
  </ds:schemaRefs>
</ds:datastoreItem>
</file>

<file path=customXml/itemProps4.xml><?xml version="1.0" encoding="utf-8"?>
<ds:datastoreItem xmlns:ds="http://schemas.openxmlformats.org/officeDocument/2006/customXml" ds:itemID="{ACD34306-6E31-4DFF-9739-15FB117C00BB}">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Ampadu</dc:creator>
  <cp:lastModifiedBy>Katie Webb</cp:lastModifiedBy>
  <cp:revision>2</cp:revision>
  <dcterms:created xsi:type="dcterms:W3CDTF">2024-07-31T08:29:00Z</dcterms:created>
  <dcterms:modified xsi:type="dcterms:W3CDTF">2024-07-31T08:29:00Z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vt:lpwstr/>
  </property>
  <property fmtid="{D5CDD505-2E9C-101B-9397-08002B2CF9AE}" pid="11" name="Product Component">
    <vt:lpwstr/>
  </property>
</Properties>
</file>