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39DB4F37" w:rsidR="00C30D6E" w:rsidRDefault="006A3405" w:rsidP="009D6B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7AB744" wp14:editId="57D56D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52900" cy="1696085"/>
            <wp:effectExtent l="0" t="0" r="0" b="0"/>
            <wp:wrapNone/>
            <wp:docPr id="57197951" name="Picture 1" descr="Environment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 Agenc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E0">
        <w:rPr>
          <w:noProof/>
        </w:rPr>
        <w:t>Add EA Logo</w:t>
      </w:r>
    </w:p>
    <w:p w14:paraId="21B5446B" w14:textId="77777777" w:rsidR="006A3405" w:rsidRDefault="006A3405" w:rsidP="009D6BFB">
      <w:pPr>
        <w:rPr>
          <w:noProof/>
        </w:rPr>
      </w:pPr>
    </w:p>
    <w:p w14:paraId="4271270C" w14:textId="77777777" w:rsidR="006A3405" w:rsidRDefault="006A3405" w:rsidP="009D6BFB">
      <w:pPr>
        <w:rPr>
          <w:noProof/>
        </w:rPr>
      </w:pPr>
    </w:p>
    <w:p w14:paraId="6723C06D" w14:textId="77777777" w:rsidR="006A3405" w:rsidRDefault="006A3405" w:rsidP="009D6BFB">
      <w:pPr>
        <w:rPr>
          <w:noProof/>
        </w:rPr>
      </w:pPr>
    </w:p>
    <w:p w14:paraId="6B0A5BC5" w14:textId="77777777" w:rsidR="006A3405" w:rsidRDefault="006A3405" w:rsidP="009D6BFB">
      <w:pPr>
        <w:rPr>
          <w:noProof/>
        </w:rPr>
      </w:pPr>
    </w:p>
    <w:p w14:paraId="5B190470" w14:textId="77777777" w:rsidR="006A3405" w:rsidRDefault="006A3405" w:rsidP="009D6BFB">
      <w:pPr>
        <w:rPr>
          <w:noProof/>
        </w:rPr>
      </w:pPr>
    </w:p>
    <w:p w14:paraId="576ED4DC" w14:textId="77777777" w:rsidR="006A3405" w:rsidRDefault="006A3405" w:rsidP="009D6BFB">
      <w:pPr>
        <w:rPr>
          <w:noProof/>
        </w:rPr>
      </w:pPr>
    </w:p>
    <w:p w14:paraId="6B691681" w14:textId="77777777" w:rsidR="006A3405" w:rsidRDefault="006A3405" w:rsidP="009D6BFB">
      <w:pPr>
        <w:rPr>
          <w:rFonts w:ascii="Arial" w:hAnsi="Arial" w:cs="Arial"/>
          <w:b/>
          <w:bCs/>
        </w:rPr>
      </w:pP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96507B" w:rsidRDefault="00E31A41" w:rsidP="009D6BFB">
      <w:pPr>
        <w:rPr>
          <w:rFonts w:ascii="Arial" w:hAnsi="Arial" w:cs="Arial"/>
          <w:b/>
          <w:bCs/>
          <w:sz w:val="32"/>
          <w:szCs w:val="32"/>
        </w:rPr>
      </w:pP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>Standard Contract for Goods and</w:t>
      </w:r>
      <w:r w:rsidR="001E3F05" w:rsidRPr="0096507B">
        <w:rPr>
          <w:rFonts w:ascii="Arial" w:hAnsi="Arial" w:cs="Arial"/>
          <w:b/>
          <w:bCs/>
          <w:color w:val="00B050"/>
          <w:sz w:val="32"/>
          <w:szCs w:val="32"/>
        </w:rPr>
        <w:t>/or</w:t>
      </w: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 xml:space="preserve"> Services - </w:t>
      </w:r>
      <w:r w:rsidR="00CA4BA2" w:rsidRPr="0096507B">
        <w:rPr>
          <w:rFonts w:ascii="Arial" w:hAnsi="Arial" w:cs="Arial"/>
          <w:b/>
          <w:bCs/>
          <w:color w:val="00B050"/>
          <w:sz w:val="32"/>
          <w:szCs w:val="32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1568"/>
        <w:gridCol w:w="5734"/>
      </w:tblGrid>
      <w:tr w:rsidR="00CA4BA2" w:rsidRPr="00961A47" w14:paraId="73D24E97" w14:textId="77777777" w:rsidTr="001A36AA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50A13447" w:rsidR="00CA4BA2" w:rsidRPr="00EA529F" w:rsidRDefault="00467369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TBC</w:t>
            </w:r>
          </w:p>
        </w:tc>
      </w:tr>
      <w:tr w:rsidR="00CA4BA2" w:rsidRPr="00961A47" w14:paraId="360FADB6" w14:textId="77777777" w:rsidTr="001A36AA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654D975" w14:textId="77777777" w:rsidR="00134658" w:rsidRPr="00134658" w:rsidRDefault="00134658" w:rsidP="001346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34658">
              <w:rPr>
                <w:rFonts w:ascii="Arial" w:hAnsi="Arial" w:cs="Arial"/>
                <w:iCs/>
                <w:sz w:val="18"/>
                <w:szCs w:val="18"/>
              </w:rPr>
              <w:t xml:space="preserve">The Environment Agency acting on behalf of the Department for Environment, </w:t>
            </w:r>
          </w:p>
          <w:p w14:paraId="271A4682" w14:textId="4F76CF1E" w:rsidR="00CA4BA2" w:rsidRPr="00EA529F" w:rsidRDefault="00134658" w:rsidP="001346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134658">
              <w:rPr>
                <w:rFonts w:ascii="Arial" w:hAnsi="Arial" w:cs="Arial"/>
                <w:iCs/>
                <w:sz w:val="18"/>
                <w:szCs w:val="18"/>
              </w:rPr>
              <w:t>Food &amp; Rural Affairs (DEFRA).</w:t>
            </w:r>
          </w:p>
        </w:tc>
      </w:tr>
      <w:tr w:rsidR="00CA4BA2" w:rsidRPr="00961A47" w14:paraId="3C3EA26A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4C3B4438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registered)]</w:t>
            </w:r>
          </w:p>
          <w:p w14:paraId="1BEF0925" w14:textId="77777777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217B7FB0" w:rsidR="007E7D58" w:rsidRPr="007B0C5D" w:rsidRDefault="008D4530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B0C5D">
              <w:rPr>
                <w:rFonts w:ascii="Arial" w:hAnsi="Arial" w:cs="Arial"/>
                <w:iCs/>
                <w:sz w:val="18"/>
                <w:szCs w:val="18"/>
              </w:rPr>
              <w:t>N/A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6114E957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FB05DC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6BCCB617" w:rsidR="007E7D58" w:rsidRPr="00986BDA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001A36AA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7EF6B9D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D453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001A36AA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FABC061" w14:textId="7FE5661D" w:rsidR="007E7D58" w:rsidRDefault="005B1BD6" w:rsidP="00AD352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D3527">
              <w:rPr>
                <w:rFonts w:ascii="Arial" w:hAnsi="Arial" w:cs="Arial"/>
                <w:sz w:val="18"/>
                <w:szCs w:val="18"/>
              </w:rPr>
              <w:t xml:space="preserve">Description: </w:t>
            </w:r>
            <w:r w:rsidR="003F08CC">
              <w:rPr>
                <w:rFonts w:ascii="Arial" w:hAnsi="Arial" w:cs="Arial"/>
                <w:sz w:val="18"/>
                <w:szCs w:val="18"/>
              </w:rPr>
              <w:t>PM</w:t>
            </w:r>
            <w:r w:rsidR="003F5983" w:rsidRPr="003F5983">
              <w:rPr>
                <w:rFonts w:ascii="Arial" w:hAnsi="Arial" w:cs="Arial"/>
                <w:sz w:val="18"/>
                <w:szCs w:val="18"/>
                <w:vertAlign w:val="subscript"/>
              </w:rPr>
              <w:t>10</w:t>
            </w:r>
            <w:r w:rsidR="00E8097B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="00E8097B" w:rsidRPr="00E8097B">
              <w:rPr>
                <w:rFonts w:ascii="Arial" w:hAnsi="Arial" w:cs="Arial"/>
                <w:sz w:val="18"/>
                <w:szCs w:val="18"/>
              </w:rPr>
              <w:t>Refere</w:t>
            </w:r>
            <w:r w:rsidR="00E8097B">
              <w:rPr>
                <w:rFonts w:ascii="Arial" w:hAnsi="Arial" w:cs="Arial"/>
                <w:sz w:val="18"/>
                <w:szCs w:val="18"/>
              </w:rPr>
              <w:t>nce Instrument</w:t>
            </w:r>
            <w:r w:rsidR="00097F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3527">
              <w:rPr>
                <w:rFonts w:ascii="Arial" w:hAnsi="Arial" w:cs="Arial"/>
                <w:sz w:val="18"/>
                <w:szCs w:val="18"/>
              </w:rPr>
              <w:t>Appendix 2 – Specification / Description</w:t>
            </w:r>
            <w:r w:rsidR="00AD352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C138D09" w14:textId="77777777" w:rsidR="00AD3527" w:rsidRPr="00AD3527" w:rsidRDefault="00AD3527" w:rsidP="00AD352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001BF6" w14:textId="77777777" w:rsidR="007E7D58" w:rsidRPr="007B0C5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B0C5D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7B0C5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656DF94" w14:textId="15B46CA3" w:rsidR="007E7D58" w:rsidRPr="00B10E6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7B0C5D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7B0C5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570AC">
              <w:rPr>
                <w:rFonts w:ascii="Arial" w:hAnsi="Arial" w:cs="Arial"/>
                <w:sz w:val="18"/>
                <w:szCs w:val="18"/>
              </w:rPr>
              <w:t xml:space="preserve">Environment Agency Equipment Store, </w:t>
            </w:r>
            <w:r w:rsidR="00E570AC" w:rsidRPr="00E570AC">
              <w:rPr>
                <w:rFonts w:ascii="Arial" w:hAnsi="Arial" w:cs="Arial"/>
                <w:sz w:val="18"/>
                <w:szCs w:val="18"/>
              </w:rPr>
              <w:t>Kingfisher Business Park, London Road, Stroud, Gloucestershire, GL5 2BY.</w:t>
            </w:r>
          </w:p>
          <w:p w14:paraId="0F560FE1" w14:textId="73ABF36A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26A6310E" w14:textId="66DAD935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C1774">
              <w:rPr>
                <w:rFonts w:ascii="Arial" w:hAnsi="Arial" w:cs="Arial"/>
                <w:bCs/>
                <w:iCs/>
                <w:sz w:val="18"/>
                <w:szCs w:val="18"/>
              </w:rPr>
              <w:t>Warranty</w:t>
            </w:r>
            <w:r w:rsidRPr="00233A7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Period: [</w:t>
            </w:r>
            <w:r w:rsidRPr="00233A70">
              <w:rPr>
                <w:rFonts w:ascii="Arial" w:hAnsi="Arial" w:cs="Arial"/>
                <w:bCs/>
                <w:i/>
                <w:sz w:val="18"/>
                <w:szCs w:val="18"/>
                <w:highlight w:val="yellow"/>
              </w:rPr>
              <w:t>Insert warranty period e.g</w:t>
            </w:r>
            <w:r w:rsidRPr="00233A70">
              <w:rPr>
                <w:rFonts w:ascii="Arial" w:hAnsi="Arial" w:cs="Arial"/>
                <w:bCs/>
                <w:i/>
                <w:sz w:val="18"/>
                <w:szCs w:val="18"/>
              </w:rPr>
              <w:t>.</w:t>
            </w:r>
            <w:r w:rsidR="00670945" w:rsidRPr="00233A7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24 months</w:t>
            </w:r>
            <w:r w:rsidR="00233A70" w:rsidRPr="00233A7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from Delivery.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 w:rsidTr="001A36AA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167421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67421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A786758" w14:textId="0F08149F" w:rsidR="007E7D58" w:rsidRPr="00167421" w:rsidRDefault="00167421" w:rsidP="00080F4C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 w:rsidRPr="00167421">
              <w:rPr>
                <w:rFonts w:ascii="Arial" w:hAnsi="Arial" w:cs="Arial"/>
                <w:sz w:val="18"/>
                <w:szCs w:val="18"/>
              </w:rPr>
              <w:t>None.</w:t>
            </w:r>
          </w:p>
        </w:tc>
      </w:tr>
      <w:tr w:rsidR="007E7D58" w:rsidRPr="00961A47" w14:paraId="2A3F6693" w14:textId="77777777" w:rsidTr="001A36AA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7B0C5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7B0C5D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0FBDC7B5" w:rsidR="003E0478" w:rsidRPr="00167421" w:rsidRDefault="002C278A" w:rsidP="003E0478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67421">
              <w:rPr>
                <w:rFonts w:ascii="Arial" w:eastAsia="Arial" w:hAnsi="Arial" w:cs="Arial"/>
                <w:iCs/>
                <w:sz w:val="18"/>
                <w:szCs w:val="18"/>
              </w:rPr>
              <w:t>0</w:t>
            </w:r>
            <w:r w:rsidR="00233A70">
              <w:rPr>
                <w:rFonts w:ascii="Arial" w:eastAsia="Arial" w:hAnsi="Arial" w:cs="Arial"/>
                <w:iCs/>
                <w:sz w:val="18"/>
                <w:szCs w:val="18"/>
              </w:rPr>
              <w:t>6</w:t>
            </w:r>
            <w:r w:rsidRPr="00167421">
              <w:rPr>
                <w:rFonts w:ascii="Arial" w:eastAsia="Arial" w:hAnsi="Arial" w:cs="Arial"/>
                <w:iCs/>
                <w:sz w:val="18"/>
                <w:szCs w:val="18"/>
              </w:rPr>
              <w:t>/</w:t>
            </w:r>
            <w:r w:rsidR="00233A70">
              <w:rPr>
                <w:rFonts w:ascii="Arial" w:eastAsia="Arial" w:hAnsi="Arial" w:cs="Arial"/>
                <w:iCs/>
                <w:sz w:val="18"/>
                <w:szCs w:val="18"/>
              </w:rPr>
              <w:t>11</w:t>
            </w:r>
            <w:r w:rsidRPr="00167421">
              <w:rPr>
                <w:rFonts w:ascii="Arial" w:eastAsia="Arial" w:hAnsi="Arial" w:cs="Arial"/>
                <w:iCs/>
                <w:sz w:val="18"/>
                <w:szCs w:val="18"/>
              </w:rPr>
              <w:t>/2024</w:t>
            </w:r>
            <w:r w:rsidR="003E0478" w:rsidRPr="00167421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</w:p>
          <w:p w14:paraId="37E6BF23" w14:textId="4BF10995" w:rsidR="007E7D58" w:rsidRPr="00167421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</w:p>
        </w:tc>
      </w:tr>
      <w:tr w:rsidR="007E7D58" w:rsidRPr="00961A47" w14:paraId="71B2C04E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7B0C5D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7B0C5D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4A344E50" w:rsidR="007E7D58" w:rsidRPr="00167421" w:rsidRDefault="00DE1DB2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13</w:t>
            </w:r>
            <w:r w:rsidR="00B21941" w:rsidRPr="00167421">
              <w:rPr>
                <w:rFonts w:ascii="Arial" w:eastAsia="Arial" w:hAnsi="Arial" w:cs="Arial"/>
                <w:iCs/>
                <w:sz w:val="18"/>
                <w:szCs w:val="18"/>
              </w:rPr>
              <w:t>/0</w:t>
            </w:r>
            <w:r w:rsidR="00233A70">
              <w:rPr>
                <w:rFonts w:ascii="Arial" w:eastAsia="Arial" w:hAnsi="Arial" w:cs="Arial"/>
                <w:iCs/>
                <w:sz w:val="18"/>
                <w:szCs w:val="18"/>
              </w:rPr>
              <w:t>3</w:t>
            </w:r>
            <w:r w:rsidR="00B21941" w:rsidRPr="00167421">
              <w:rPr>
                <w:rFonts w:ascii="Arial" w:eastAsia="Arial" w:hAnsi="Arial" w:cs="Arial"/>
                <w:iCs/>
                <w:sz w:val="18"/>
                <w:szCs w:val="18"/>
              </w:rPr>
              <w:t>/202</w:t>
            </w:r>
            <w:r w:rsidR="00233A70">
              <w:rPr>
                <w:rFonts w:ascii="Arial" w:eastAsia="Arial" w:hAnsi="Arial" w:cs="Arial"/>
                <w:iCs/>
                <w:sz w:val="18"/>
                <w:szCs w:val="18"/>
              </w:rPr>
              <w:t>5</w:t>
            </w:r>
          </w:p>
          <w:p w14:paraId="2483DC9A" w14:textId="77777777" w:rsidR="007E7D58" w:rsidRPr="00167421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7E7D58" w:rsidRPr="00961A47" w14:paraId="6D89A4FD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Ref99635469"/>
            <w:bookmarkStart w:id="2" w:name="_Ref99635697"/>
            <w:bookmarkStart w:id="3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1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287333D0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4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5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</w:t>
            </w:r>
            <w:r w:rsidRPr="007B0C5D">
              <w:rPr>
                <w:rFonts w:ascii="Arial" w:hAnsi="Arial" w:cs="Arial"/>
                <w:sz w:val="18"/>
                <w:szCs w:val="18"/>
              </w:rPr>
              <w:t>out in Appendix 3 – Charges.</w:t>
            </w:r>
            <w:bookmarkEnd w:id="4"/>
            <w:r w:rsidRPr="007B0C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007B0C5D">
              <w:rPr>
                <w:rFonts w:ascii="Arial" w:hAnsi="Arial" w:cs="Arial"/>
                <w:sz w:val="18"/>
                <w:szCs w:val="18"/>
              </w:rPr>
              <w:t>The Charges are fixed for the duration of the Agreement.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lastRenderedPageBreak/>
              <w:t>Payment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40D34B0D" w14:textId="0B41863B" w:rsidR="0042367D" w:rsidRPr="0042367D" w:rsidRDefault="00DE1DB2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7" w:name="_DV_M104"/>
            <w:bookmarkStart w:id="8" w:name="_DV_M110"/>
            <w:bookmarkEnd w:id="7"/>
            <w:bookmarkEnd w:id="8"/>
            <w:r>
              <w:rPr>
                <w:rFonts w:ascii="Arial" w:hAnsi="Arial" w:cs="Arial"/>
                <w:sz w:val="18"/>
                <w:szCs w:val="18"/>
              </w:rPr>
              <w:t>Prior to payment we will require to receive the supplier Acceptance Form.</w:t>
            </w:r>
            <w:r w:rsidR="00460D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2367D" w:rsidRPr="0042367D">
              <w:rPr>
                <w:rFonts w:ascii="Arial" w:hAnsi="Arial" w:cs="Arial"/>
                <w:sz w:val="18"/>
                <w:szCs w:val="18"/>
              </w:rPr>
              <w:t xml:space="preserve">The Authority’s preference is for all invoices to be sent electronically, quoting a valid </w:t>
            </w:r>
          </w:p>
          <w:p w14:paraId="04F30FFD" w14:textId="77777777" w:rsid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>Purchase Order Number (PO Number), to:</w:t>
            </w:r>
          </w:p>
          <w:p w14:paraId="143E9E5C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B8FD5A" w14:textId="76E4BBF3" w:rsid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EF4896">
                <w:rPr>
                  <w:rStyle w:val="Hyperlink"/>
                  <w:rFonts w:ascii="Arial" w:hAnsi="Arial" w:cs="Arial"/>
                  <w:sz w:val="18"/>
                  <w:szCs w:val="18"/>
                </w:rPr>
                <w:t>APinvoices-ENV-U@gov.sscl.com</w:t>
              </w:r>
            </w:hyperlink>
            <w:r w:rsidR="00FF00F0" w:rsidRPr="00FF00F0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AND </w:t>
            </w:r>
            <w:r w:rsidR="00925FF9">
              <w:rPr>
                <w:rStyle w:val="Hyperlink"/>
                <w:rFonts w:ascii="Arial" w:hAnsi="Arial"/>
                <w:sz w:val="18"/>
                <w:szCs w:val="18"/>
              </w:rPr>
              <w:t>tania.stratford@environment-agency.gov.uk</w:t>
            </w:r>
            <w:r w:rsidRPr="0042367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F52CBF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2DC587D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 xml:space="preserve">Alternatively, you may post to: </w:t>
            </w:r>
          </w:p>
          <w:p w14:paraId="5A3B7160" w14:textId="786C86EA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>SSCL (Environment Agency)</w:t>
            </w:r>
          </w:p>
          <w:p w14:paraId="35795209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>PO Box 797</w:t>
            </w:r>
          </w:p>
          <w:p w14:paraId="0A4CEBCE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>Newport</w:t>
            </w:r>
          </w:p>
          <w:p w14:paraId="43FEEAB8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>Gwent</w:t>
            </w:r>
          </w:p>
          <w:p w14:paraId="257F671E" w14:textId="77777777" w:rsid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>NP10 8FZ</w:t>
            </w:r>
          </w:p>
          <w:p w14:paraId="650ED754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3A3AE4F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 xml:space="preserve">Within 10 Working Days of receipt of your countersigned copy of this Order Form, we </w:t>
            </w:r>
          </w:p>
          <w:p w14:paraId="5962E051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 xml:space="preserve">will send you a unique PO Number. You must be in receipt of a valid PO Number </w:t>
            </w:r>
          </w:p>
          <w:p w14:paraId="4144788A" w14:textId="77777777" w:rsid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>before submitting an invoice.</w:t>
            </w:r>
          </w:p>
          <w:p w14:paraId="42C73CB7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AD11C4C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 xml:space="preserve">To avoid delay in payment it is important that the invoice is compliant with Annex 3 </w:t>
            </w:r>
          </w:p>
          <w:p w14:paraId="43378B77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 xml:space="preserve">Non-compliant invoices will be sent back to you, which may lead to a delay in </w:t>
            </w:r>
          </w:p>
          <w:p w14:paraId="44EE37CF" w14:textId="77777777" w:rsid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 xml:space="preserve">payment. </w:t>
            </w:r>
          </w:p>
          <w:p w14:paraId="3ABC3DC6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DFE967" w14:textId="0CB1EC0F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 xml:space="preserve">If you have a query regarding an outstanding payment, please contact the Authority’s </w:t>
            </w:r>
          </w:p>
          <w:p w14:paraId="0C5F03F5" w14:textId="77777777" w:rsidR="007E7D58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>Authorised Representative(s).</w:t>
            </w:r>
          </w:p>
          <w:p w14:paraId="5AEFA517" w14:textId="0609C8CC" w:rsidR="0042367D" w:rsidRPr="00B46D37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5E8AA1BE" w:rsidR="009179C1" w:rsidRPr="007B0C5D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B0C5D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7B0C5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DD176F" w:rsidRPr="007B0C5D" w:rsidRDefault="00DD176F" w:rsidP="00392B0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6AD95852" w:rsidR="007E7D58" w:rsidRPr="00B46D37" w:rsidRDefault="003A4E0A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Tania Stratford</w:t>
            </w:r>
            <w:r w:rsidR="005A392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5" w:history="1">
              <w:r w:rsidRPr="003A4E0A">
                <w:rPr>
                  <w:rStyle w:val="Hyperlink"/>
                  <w:rFonts w:ascii="Arial" w:hAnsi="Arial" w:cs="Arial"/>
                  <w:sz w:val="18"/>
                  <w:szCs w:val="18"/>
                </w:rPr>
                <w:t>tania.stratford@genvironment-agency.gov.uk</w:t>
              </w:r>
            </w:hyperlink>
            <w:r>
              <w:t xml:space="preserve"> </w:t>
            </w:r>
            <w:r w:rsidR="005A39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0C0897F" w14:textId="77777777" w:rsidR="007E7D58" w:rsidRDefault="007E7D58" w:rsidP="005A392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1F6EA1" w14:textId="77777777" w:rsidR="005A392D" w:rsidRDefault="005A392D" w:rsidP="005A392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Rob Jones, </w:t>
            </w:r>
            <w:hyperlink r:id="rId16" w:history="1">
              <w:r w:rsidRPr="00EF4896">
                <w:rPr>
                  <w:rStyle w:val="Hyperlink"/>
                  <w:rFonts w:ascii="Arial" w:hAnsi="Arial" w:cs="Arial"/>
                  <w:sz w:val="18"/>
                  <w:szCs w:val="18"/>
                </w:rPr>
                <w:t>robf.jones@environment-agency.gov.uk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4CD59E" w14:textId="6A80FAB6" w:rsidR="00ED5D8E" w:rsidRPr="00B46D37" w:rsidRDefault="00ED5D8E" w:rsidP="005A392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2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3"/>
          </w:p>
        </w:tc>
        <w:tc>
          <w:tcPr>
            <w:tcW w:w="3587" w:type="pct"/>
            <w:gridSpan w:val="2"/>
            <w:shd w:val="clear" w:color="auto" w:fill="auto"/>
          </w:tcPr>
          <w:p w14:paraId="699605EB" w14:textId="493B32CC" w:rsidR="007E7D58" w:rsidRPr="00B46D37" w:rsidRDefault="005B1264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</w:tc>
      </w:tr>
      <w:tr w:rsidR="007E7D58" w:rsidRPr="00961A47" w14:paraId="66EB0154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4AC4472A" w14:textId="166F47C8" w:rsidR="007E7D58" w:rsidRPr="00AF611B" w:rsidRDefault="007E7D58" w:rsidP="00AF611B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</w:tc>
      </w:tr>
      <w:tr w:rsidR="007E7D58" w:rsidRPr="00961A47" w14:paraId="0CA426CF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7085" w:type="dxa"/>
              <w:tblLook w:val="04A0" w:firstRow="1" w:lastRow="0" w:firstColumn="1" w:lastColumn="0" w:noHBand="0" w:noVBand="1"/>
            </w:tblPr>
            <w:tblGrid>
              <w:gridCol w:w="4250"/>
              <w:gridCol w:w="2835"/>
            </w:tblGrid>
            <w:tr w:rsidR="007E7D58" w14:paraId="430CB4B5" w14:textId="77777777" w:rsidTr="00AD3527">
              <w:tc>
                <w:tcPr>
                  <w:tcW w:w="4250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AD3527">
              <w:tc>
                <w:tcPr>
                  <w:tcW w:w="4250" w:type="dxa"/>
                </w:tcPr>
                <w:p w14:paraId="597D4E15" w14:textId="567F377A" w:rsidR="007E7D58" w:rsidRPr="00CA4BA2" w:rsidRDefault="004C027C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Environment Agency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3BD6893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5B1264">
                    <w:rPr>
                      <w:rFonts w:ascii="Arial" w:hAnsi="Arial" w:cs="Arial"/>
                      <w:sz w:val="18"/>
                      <w:szCs w:val="18"/>
                    </w:rPr>
                    <w:t>Tania Stratford</w:t>
                  </w:r>
                  <w:r w:rsidR="00E3005D">
                    <w:rPr>
                      <w:rFonts w:ascii="Arial" w:hAnsi="Arial" w:cs="Arial"/>
                      <w:sz w:val="18"/>
                      <w:szCs w:val="18"/>
                    </w:rPr>
                    <w:t>, Contract Manager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342ECDE1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hyperlink r:id="rId17" w:history="1">
                    <w:r w:rsidR="005B1264" w:rsidRPr="003A4E0A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tania.stratford@genvironment-agency.gov.uk</w:t>
                    </w:r>
                  </w:hyperlink>
                  <w:r w:rsidR="005B1264">
                    <w:t xml:space="preserve"> </w:t>
                  </w:r>
                  <w:r w:rsidR="005B126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AD3527">
              <w:trPr>
                <w:gridAfter w:val="1"/>
                <w:wAfter w:w="2835" w:type="dxa"/>
              </w:trPr>
              <w:tc>
                <w:tcPr>
                  <w:tcW w:w="4250" w:type="dxa"/>
                </w:tcPr>
                <w:p w14:paraId="16DE294F" w14:textId="6F9E3454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001A36AA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0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001A36AA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04BBDA17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The Authority may require the Supplier to ensure that any person employed in the </w:t>
            </w:r>
          </w:p>
          <w:p w14:paraId="35AA6039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delivery of the Deliverables has undertaken a Disclosure and Barring Service check. </w:t>
            </w:r>
          </w:p>
          <w:p w14:paraId="643A4990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The Supplier shall ensure that no person who discloses that they have a conviction </w:t>
            </w:r>
          </w:p>
          <w:p w14:paraId="2B2517DE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that is relevant to the nature of the Contract, relevant to the work of the Authority, or </w:t>
            </w:r>
          </w:p>
          <w:p w14:paraId="49117178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lastRenderedPageBreak/>
              <w:t xml:space="preserve">is of a type otherwise advised by the Authority (each such conviction a "Relevant </w:t>
            </w:r>
          </w:p>
          <w:p w14:paraId="3D3AEFEC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Conviction"), or is found by the Supplier to have a Relevant Conviction (whether as a </w:t>
            </w:r>
          </w:p>
          <w:p w14:paraId="1912F6B8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result of a police check, a Disclosure and Barring Service check or otherwise) is </w:t>
            </w:r>
          </w:p>
          <w:p w14:paraId="078FBD59" w14:textId="77777777" w:rsid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>employed or engaged in the provision of any part of the Deliverables.</w:t>
            </w:r>
          </w:p>
          <w:p w14:paraId="0A790A43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05FC444" w14:textId="757BD63E" w:rsid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The Authority’s security / data security requirements are contained </w:t>
            </w:r>
            <w:hyperlink r:id="rId18" w:history="1">
              <w:r w:rsidRPr="00A73F97">
                <w:rPr>
                  <w:rStyle w:val="Hyperlink"/>
                  <w:rFonts w:ascii="Arial" w:hAnsi="Arial" w:cs="Arial"/>
                  <w:sz w:val="18"/>
                  <w:szCs w:val="18"/>
                </w:rPr>
                <w:t>here</w:t>
              </w:r>
            </w:hyperlink>
            <w:r w:rsidRPr="005625C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0DBA495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F942BC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The Authority has corporate commitments to meet Net Zero carbon by 2030 and can </w:t>
            </w:r>
          </w:p>
          <w:p w14:paraId="498224ED" w14:textId="2FC95416" w:rsid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be found </w:t>
            </w:r>
            <w:hyperlink r:id="rId19" w:history="1">
              <w:r w:rsidRPr="00B21FD2">
                <w:rPr>
                  <w:rStyle w:val="Hyperlink"/>
                  <w:rFonts w:ascii="Arial" w:hAnsi="Arial" w:cs="Arial"/>
                  <w:sz w:val="18"/>
                  <w:szCs w:val="18"/>
                </w:rPr>
                <w:t>here</w:t>
              </w:r>
            </w:hyperlink>
            <w:r w:rsidR="00B21FD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46AC803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0CF70E4" w14:textId="7DAE6502" w:rsid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The Authority’s equality and diversity strategy can be found </w:t>
            </w:r>
            <w:hyperlink r:id="rId20" w:history="1">
              <w:r w:rsidRPr="001A603E">
                <w:rPr>
                  <w:rStyle w:val="Hyperlink"/>
                  <w:rFonts w:ascii="Arial" w:hAnsi="Arial" w:cs="Arial"/>
                  <w:sz w:val="18"/>
                  <w:szCs w:val="18"/>
                </w:rPr>
                <w:t>here</w:t>
              </w:r>
            </w:hyperlink>
            <w:r w:rsidR="001A603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ADDE1E3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12A97AB" w14:textId="7A68EA9D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The Authority’s </w:t>
            </w:r>
            <w:hyperlink r:id="rId21" w:history="1">
              <w:r w:rsidRPr="001A603E">
                <w:rPr>
                  <w:rStyle w:val="Hyperlink"/>
                  <w:rFonts w:ascii="Arial" w:hAnsi="Arial" w:cs="Arial"/>
                  <w:sz w:val="18"/>
                  <w:szCs w:val="18"/>
                </w:rPr>
                <w:t>regulatory statement</w:t>
              </w:r>
            </w:hyperlink>
            <w:r w:rsidRPr="005625C5">
              <w:rPr>
                <w:rFonts w:ascii="Arial" w:hAnsi="Arial" w:cs="Arial"/>
                <w:sz w:val="18"/>
                <w:szCs w:val="18"/>
              </w:rPr>
              <w:t xml:space="preserve"> sets out the strategic regulatory goals and </w:t>
            </w:r>
          </w:p>
          <w:p w14:paraId="6A0967D7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>describes the ambitious programme of improvements to the way regulation is</w:t>
            </w:r>
          </w:p>
          <w:p w14:paraId="05E19274" w14:textId="77777777" w:rsid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>delivered.</w:t>
            </w:r>
          </w:p>
          <w:p w14:paraId="6D9A46C2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FFF66B1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For the avoidance of doubt, if other policies of the Authority are referenced in the </w:t>
            </w:r>
          </w:p>
          <w:p w14:paraId="34138465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Conditions and Annexes, those policies will also apply to the Contract on the basis </w:t>
            </w:r>
          </w:p>
          <w:p w14:paraId="17237311" w14:textId="77777777" w:rsidR="007E7D58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described therein. </w:t>
            </w:r>
          </w:p>
          <w:p w14:paraId="00A1E155" w14:textId="6BCAE656" w:rsidR="00A73F97" w:rsidRPr="00060369" w:rsidRDefault="00A73F97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 w:rsidTr="001A36AA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4AB2F94E" w:rsidR="007E7D58" w:rsidRPr="00B8223A" w:rsidRDefault="00B8223A" w:rsidP="00B8223A">
            <w:pPr>
              <w:spacing w:before="120" w:after="120"/>
              <w:rPr>
                <w:rFonts w:ascii="Arial" w:eastAsia="Arial" w:hAnsi="Arial" w:cs="Arial"/>
                <w:bCs/>
                <w:iCs/>
                <w:sz w:val="18"/>
                <w:szCs w:val="18"/>
              </w:rPr>
            </w:pPr>
            <w:r w:rsidRPr="00B8223A">
              <w:rPr>
                <w:rFonts w:ascii="Arial" w:eastAsia="Arial" w:hAnsi="Arial" w:cs="Arial"/>
                <w:bCs/>
                <w:iCs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 w:rsidTr="001A36AA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22BB2A11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 w:rsidTr="001A36AA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1ED51269" w:rsidR="007E7D58" w:rsidRPr="00B8223A" w:rsidRDefault="007E7D58" w:rsidP="00B8223A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8223A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7F58C80D" w:rsidR="0034450F" w:rsidRPr="00694132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694132">
        <w:rPr>
          <w:rStyle w:val="Important"/>
          <w:b w:val="0"/>
          <w:bCs w:val="0"/>
          <w:color w:val="auto"/>
        </w:rPr>
        <w:t>can be located on the</w:t>
      </w:r>
      <w:r w:rsidRPr="00694132">
        <w:rPr>
          <w:rStyle w:val="Important"/>
          <w:color w:val="auto"/>
        </w:rPr>
        <w:t xml:space="preserve"> </w:t>
      </w:r>
      <w:hyperlink r:id="rId22" w:history="1">
        <w:r>
          <w:rPr>
            <w:rStyle w:val="Hyperlink"/>
            <w:rFonts w:ascii="Arial" w:hAnsi="Arial" w:cs="Arial"/>
          </w:rPr>
          <w:t>Environment Agency Website</w:t>
        </w:r>
      </w:hyperlink>
      <w:r>
        <w:rPr>
          <w:rStyle w:val="Important"/>
        </w:rPr>
        <w:t xml:space="preserve"> </w:t>
      </w:r>
      <w:r w:rsidR="00005103">
        <w:rPr>
          <w:rStyle w:val="Important"/>
        </w:rPr>
        <w:t xml:space="preserve"> </w:t>
      </w:r>
      <w:r w:rsidR="00005103" w:rsidRPr="00694132">
        <w:rPr>
          <w:rStyle w:val="Important"/>
          <w:b w:val="0"/>
          <w:bCs w:val="0"/>
          <w:color w:val="auto"/>
        </w:rPr>
        <w:t>and which are</w:t>
      </w:r>
      <w:r w:rsidRPr="00694132">
        <w:rPr>
          <w:rStyle w:val="Important"/>
          <w:b w:val="0"/>
          <w:bCs w:val="0"/>
          <w:color w:val="auto"/>
        </w:rPr>
        <w:t xml:space="preserve"> called ‘Standard Goods &amp; Services Terms and Conditions (EA)’</w:t>
      </w:r>
    </w:p>
    <w:p w14:paraId="234D9B8C" w14:textId="77777777" w:rsidR="00694132" w:rsidRDefault="00694132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BEBE218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7C6243" w14:textId="77777777" w:rsidR="00C979DE" w:rsidRPr="009D6BFB" w:rsidRDefault="00C979DE" w:rsidP="00C979DE">
      <w:pPr>
        <w:rPr>
          <w:b/>
          <w:bCs/>
        </w:rPr>
      </w:pPr>
    </w:p>
    <w:p w14:paraId="11B03250" w14:textId="77777777" w:rsidR="001A085F" w:rsidRPr="00B9322B" w:rsidRDefault="001A085F" w:rsidP="001A085F">
      <w:pPr>
        <w:pStyle w:val="Subheading"/>
        <w:jc w:val="both"/>
        <w:rPr>
          <w:rFonts w:ascii="Arial" w:hAnsi="Arial" w:cs="Arial"/>
          <w:sz w:val="24"/>
          <w:szCs w:val="24"/>
        </w:rPr>
      </w:pPr>
      <w:r w:rsidRPr="00B9322B">
        <w:rPr>
          <w:rFonts w:ascii="Arial" w:hAnsi="Arial" w:cs="Arial"/>
          <w:sz w:val="24"/>
          <w:szCs w:val="24"/>
        </w:rPr>
        <w:t xml:space="preserve">Specification of Requirements </w:t>
      </w:r>
    </w:p>
    <w:p w14:paraId="2F86D5BF" w14:textId="77777777" w:rsidR="001A085F" w:rsidRDefault="001A085F" w:rsidP="001A085F">
      <w:pPr>
        <w:jc w:val="both"/>
        <w:rPr>
          <w:rStyle w:val="Text"/>
          <w:rFonts w:cs="Arial"/>
        </w:rPr>
      </w:pPr>
      <w:r w:rsidRPr="00B9322B">
        <w:rPr>
          <w:rStyle w:val="Text"/>
          <w:rFonts w:cs="Arial"/>
        </w:rPr>
        <w:t xml:space="preserve">The Environment Agency seek to procure two gravimetric reference instruments </w:t>
      </w:r>
      <w:r>
        <w:rPr>
          <w:rStyle w:val="Text"/>
          <w:rFonts w:cs="Arial"/>
        </w:rPr>
        <w:t xml:space="preserve">which </w:t>
      </w:r>
      <w:r w:rsidRPr="00B9322B">
        <w:rPr>
          <w:rStyle w:val="Text"/>
          <w:rFonts w:cs="Arial"/>
        </w:rPr>
        <w:t xml:space="preserve">are intended to be used as part of the UK Particulate Matter </w:t>
      </w:r>
      <w:r>
        <w:rPr>
          <w:rStyle w:val="Text"/>
          <w:rFonts w:cs="Arial"/>
        </w:rPr>
        <w:t xml:space="preserve">(PM) </w:t>
      </w:r>
      <w:r w:rsidRPr="00B9322B">
        <w:rPr>
          <w:rStyle w:val="Text"/>
          <w:rFonts w:cs="Arial"/>
        </w:rPr>
        <w:t>Equivalence Programme where comparison of gravimetric and continuous PM instrument measurements is undertaken.</w:t>
      </w:r>
    </w:p>
    <w:p w14:paraId="62C2BA14" w14:textId="77777777" w:rsidR="001A085F" w:rsidRDefault="001A085F" w:rsidP="001A085F">
      <w:pPr>
        <w:jc w:val="both"/>
        <w:rPr>
          <w:rStyle w:val="Text"/>
          <w:rFonts w:cs="Arial"/>
        </w:rPr>
      </w:pPr>
      <w:r w:rsidRPr="00B9322B">
        <w:rPr>
          <w:rStyle w:val="Text"/>
          <w:rFonts w:cs="Arial"/>
        </w:rPr>
        <w:t>The instruments supplied shall meet the requirements detailed in Table 1</w:t>
      </w:r>
    </w:p>
    <w:p w14:paraId="57D6759F" w14:textId="77777777" w:rsidR="001F3697" w:rsidRPr="00B9322B" w:rsidRDefault="001F3697" w:rsidP="001A085F">
      <w:pPr>
        <w:jc w:val="both"/>
        <w:rPr>
          <w:rStyle w:val="Text"/>
          <w:rFonts w:cs="Arial"/>
        </w:rPr>
      </w:pPr>
    </w:p>
    <w:p w14:paraId="439A04CE" w14:textId="77777777" w:rsidR="00F105CD" w:rsidRDefault="00F105CD" w:rsidP="00F105CD">
      <w:pPr>
        <w:jc w:val="both"/>
        <w:rPr>
          <w:rStyle w:val="Text"/>
          <w:rFonts w:cs="Arial"/>
          <w:b/>
          <w:bCs/>
        </w:rPr>
      </w:pPr>
      <w:r w:rsidRPr="00E34D5C">
        <w:rPr>
          <w:rStyle w:val="Text"/>
          <w:rFonts w:cs="Arial"/>
          <w:b/>
          <w:bCs/>
        </w:rPr>
        <w:t xml:space="preserve">Table 1: Requirements  </w:t>
      </w:r>
    </w:p>
    <w:p w14:paraId="66D05420" w14:textId="77777777" w:rsidR="00F105CD" w:rsidRPr="00E34D5C" w:rsidRDefault="00F105CD" w:rsidP="00F105CD">
      <w:pPr>
        <w:jc w:val="both"/>
        <w:rPr>
          <w:rStyle w:val="Text"/>
          <w:rFonts w:cs="Arial"/>
          <w:b/>
          <w:bCs/>
        </w:rPr>
      </w:pP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1324"/>
        <w:gridCol w:w="7313"/>
      </w:tblGrid>
      <w:tr w:rsidR="00F105CD" w:rsidRPr="00B9322B" w14:paraId="5A12241F" w14:textId="77777777" w:rsidTr="00FB3E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24" w:type="dxa"/>
          </w:tcPr>
          <w:p w14:paraId="06B73E36" w14:textId="77777777" w:rsidR="00F105CD" w:rsidRPr="00031C7B" w:rsidRDefault="00F105CD" w:rsidP="00FB3E94">
            <w:pPr>
              <w:jc w:val="both"/>
              <w:rPr>
                <w:rStyle w:val="Text"/>
                <w:rFonts w:cs="Arial"/>
                <w:color w:val="FFFFFF" w:themeColor="background1"/>
              </w:rPr>
            </w:pPr>
            <w:r>
              <w:rPr>
                <w:rStyle w:val="Text"/>
                <w:rFonts w:cs="Arial"/>
                <w:color w:val="FFFFFF" w:themeColor="background1"/>
              </w:rPr>
              <w:t>I</w:t>
            </w:r>
            <w:r>
              <w:rPr>
                <w:rStyle w:val="Text"/>
                <w:color w:val="FFFFFF" w:themeColor="background1"/>
              </w:rPr>
              <w:t>tem number</w:t>
            </w:r>
          </w:p>
        </w:tc>
        <w:tc>
          <w:tcPr>
            <w:tcW w:w="7313" w:type="dxa"/>
          </w:tcPr>
          <w:p w14:paraId="3EDA5C42" w14:textId="77777777" w:rsidR="00F105CD" w:rsidRPr="00031C7B" w:rsidRDefault="00F105CD" w:rsidP="00FB3E94">
            <w:pPr>
              <w:jc w:val="both"/>
              <w:rPr>
                <w:rStyle w:val="Text"/>
                <w:rFonts w:cs="Arial"/>
                <w:color w:val="FFFFFF" w:themeColor="background1"/>
              </w:rPr>
            </w:pPr>
            <w:r w:rsidRPr="00031C7B">
              <w:rPr>
                <w:rStyle w:val="Text"/>
                <w:rFonts w:cs="Arial"/>
                <w:color w:val="FFFFFF" w:themeColor="background1"/>
              </w:rPr>
              <w:t xml:space="preserve"> Requirement</w:t>
            </w:r>
          </w:p>
        </w:tc>
      </w:tr>
      <w:tr w:rsidR="00F105CD" w:rsidRPr="00B9322B" w14:paraId="11CE8546" w14:textId="77777777" w:rsidTr="00FB3E94">
        <w:tc>
          <w:tcPr>
            <w:tcW w:w="1324" w:type="dxa"/>
          </w:tcPr>
          <w:p w14:paraId="0500926E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>1</w:t>
            </w:r>
          </w:p>
        </w:tc>
        <w:tc>
          <w:tcPr>
            <w:tcW w:w="7313" w:type="dxa"/>
          </w:tcPr>
          <w:p w14:paraId="01FE3F49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>The instrument meets the requirements of EN 12341</w:t>
            </w:r>
            <w:r>
              <w:rPr>
                <w:rStyle w:val="Text"/>
                <w:rFonts w:cs="Arial"/>
              </w:rPr>
              <w:t xml:space="preserve">:2023 and are either undergoing type testing or have a written plan to complete testing within the next two years. </w:t>
            </w:r>
          </w:p>
        </w:tc>
      </w:tr>
      <w:tr w:rsidR="00F105CD" w:rsidRPr="00B9322B" w14:paraId="78715A36" w14:textId="77777777" w:rsidTr="00FB3E94">
        <w:tc>
          <w:tcPr>
            <w:tcW w:w="1324" w:type="dxa"/>
          </w:tcPr>
          <w:p w14:paraId="3ADB9949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>2</w:t>
            </w:r>
          </w:p>
        </w:tc>
        <w:tc>
          <w:tcPr>
            <w:tcW w:w="7313" w:type="dxa"/>
          </w:tcPr>
          <w:p w14:paraId="1594619C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 xml:space="preserve">The instrument </w:t>
            </w:r>
            <w:r>
              <w:rPr>
                <w:rStyle w:val="Text"/>
                <w:rFonts w:cs="Arial"/>
              </w:rPr>
              <w:t>must</w:t>
            </w:r>
            <w:r w:rsidRPr="00B9322B">
              <w:rPr>
                <w:rStyle w:val="Text"/>
                <w:rFonts w:cs="Arial"/>
              </w:rPr>
              <w:t xml:space="preserve"> operate at a </w:t>
            </w:r>
            <w:proofErr w:type="gramStart"/>
            <w:r w:rsidRPr="00B9322B">
              <w:rPr>
                <w:rStyle w:val="Text"/>
                <w:rFonts w:cs="Arial"/>
              </w:rPr>
              <w:t>flow-rate</w:t>
            </w:r>
            <w:proofErr w:type="gramEnd"/>
            <w:r w:rsidRPr="00B9322B">
              <w:rPr>
                <w:rStyle w:val="Text"/>
                <w:rFonts w:cs="Arial"/>
              </w:rPr>
              <w:t xml:space="preserve"> of 2.3</w:t>
            </w:r>
            <w:r w:rsidRPr="00B9322B">
              <w:rPr>
                <w:rFonts w:cs="Arial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m</w:t>
            </w:r>
            <w:r w:rsidRPr="00B7262C">
              <w:rPr>
                <w:rFonts w:cs="Arial"/>
                <w:sz w:val="22"/>
                <w:szCs w:val="22"/>
                <w:vertAlign w:val="superscript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 hr</w:t>
            </w:r>
            <w:r w:rsidRPr="00B7262C">
              <w:rPr>
                <w:rFonts w:cs="Arial"/>
                <w:sz w:val="22"/>
                <w:szCs w:val="22"/>
                <w:vertAlign w:val="superscript"/>
              </w:rPr>
              <w:t>-1</w:t>
            </w:r>
          </w:p>
        </w:tc>
      </w:tr>
      <w:tr w:rsidR="00F105CD" w:rsidRPr="00B9322B" w14:paraId="713049BF" w14:textId="77777777" w:rsidTr="00FB3E94">
        <w:tc>
          <w:tcPr>
            <w:tcW w:w="1324" w:type="dxa"/>
          </w:tcPr>
          <w:p w14:paraId="2F9EC0D4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>3</w:t>
            </w:r>
          </w:p>
        </w:tc>
        <w:tc>
          <w:tcPr>
            <w:tcW w:w="7313" w:type="dxa"/>
          </w:tcPr>
          <w:p w14:paraId="78585E8D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>
              <w:rPr>
                <w:rFonts w:cs="Arial"/>
              </w:rPr>
              <w:t>T</w:t>
            </w:r>
            <w:r>
              <w:t xml:space="preserve">he instrument must be </w:t>
            </w:r>
            <w:r w:rsidRPr="00A92C60">
              <w:rPr>
                <w:rFonts w:cs="Arial"/>
              </w:rPr>
              <w:t xml:space="preserve">capable of using 46.2 </w:t>
            </w:r>
            <w:r>
              <w:rPr>
                <w:rFonts w:cs="Arial"/>
              </w:rPr>
              <w:t>m</w:t>
            </w:r>
            <w:r w:rsidRPr="00A92C60">
              <w:rPr>
                <w:rFonts w:cs="Arial"/>
              </w:rPr>
              <w:t xml:space="preserve">m in diameter filters made of </w:t>
            </w:r>
            <w:proofErr w:type="spellStart"/>
            <w:r w:rsidRPr="00A92C60">
              <w:rPr>
                <w:rFonts w:cs="Arial"/>
              </w:rPr>
              <w:t>Emfab</w:t>
            </w:r>
            <w:proofErr w:type="spellEnd"/>
            <w:r>
              <w:rPr>
                <w:rFonts w:cs="Arial"/>
              </w:rPr>
              <w:t xml:space="preserve"> </w:t>
            </w:r>
            <w:r>
              <w:t>or a filter that performs identically to this material.</w:t>
            </w:r>
          </w:p>
        </w:tc>
      </w:tr>
      <w:tr w:rsidR="00F105CD" w:rsidRPr="00B9322B" w14:paraId="298839F5" w14:textId="77777777" w:rsidTr="00FB3E94">
        <w:tc>
          <w:tcPr>
            <w:tcW w:w="1324" w:type="dxa"/>
          </w:tcPr>
          <w:p w14:paraId="648A0E69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>4</w:t>
            </w:r>
          </w:p>
        </w:tc>
        <w:tc>
          <w:tcPr>
            <w:tcW w:w="7313" w:type="dxa"/>
          </w:tcPr>
          <w:p w14:paraId="1F57ACE3" w14:textId="77777777" w:rsidR="00F105CD" w:rsidRDefault="00F105CD" w:rsidP="00FB3E94">
            <w:pPr>
              <w:jc w:val="both"/>
              <w:rPr>
                <w:rFonts w:cs="Arial"/>
              </w:rPr>
            </w:pPr>
            <w:r w:rsidRPr="00B9322B">
              <w:rPr>
                <w:rStyle w:val="Text"/>
                <w:rFonts w:cs="Arial"/>
              </w:rPr>
              <w:t xml:space="preserve">The instrument has a remote capability </w:t>
            </w:r>
            <w:r>
              <w:rPr>
                <w:rStyle w:val="Text"/>
                <w:rFonts w:cs="Arial"/>
              </w:rPr>
              <w:t xml:space="preserve">via an industrial 4G </w:t>
            </w:r>
            <w:proofErr w:type="gramStart"/>
            <w:r>
              <w:rPr>
                <w:rStyle w:val="Text"/>
                <w:rFonts w:cs="Arial"/>
              </w:rPr>
              <w:t xml:space="preserve">router  </w:t>
            </w:r>
            <w:r w:rsidRPr="00B9322B">
              <w:rPr>
                <w:rStyle w:val="Text"/>
                <w:rFonts w:cs="Arial"/>
              </w:rPr>
              <w:t>for</w:t>
            </w:r>
            <w:proofErr w:type="gramEnd"/>
            <w:r w:rsidRPr="00B9322B">
              <w:rPr>
                <w:rStyle w:val="Text"/>
                <w:rFonts w:cs="Arial"/>
              </w:rPr>
              <w:t xml:space="preserve"> checking </w:t>
            </w:r>
            <w:r w:rsidRPr="00B9322B">
              <w:rPr>
                <w:rFonts w:cs="Arial"/>
              </w:rPr>
              <w:t>the flow rate, alarm notifications and to complete a re-start</w:t>
            </w:r>
            <w:r>
              <w:rPr>
                <w:rFonts w:cs="Arial"/>
              </w:rPr>
              <w:t xml:space="preserve">. </w:t>
            </w:r>
          </w:p>
          <w:p w14:paraId="019032AC" w14:textId="77777777" w:rsidR="00F105CD" w:rsidRDefault="00F105CD" w:rsidP="00FB3E94">
            <w:pPr>
              <w:jc w:val="both"/>
            </w:pPr>
            <w:r>
              <w:t xml:space="preserve">The router should be </w:t>
            </w:r>
            <w:r w:rsidRPr="006D7C4D">
              <w:t xml:space="preserve">secure </w:t>
            </w:r>
            <w:r>
              <w:t xml:space="preserve">so </w:t>
            </w:r>
            <w:r w:rsidRPr="006D7C4D">
              <w:t>we can restrict any incoming internet traffic to specific IP addresses</w:t>
            </w:r>
            <w:r>
              <w:t>, and the customer has access to the IP address used to connect with it via a web portal or other solution</w:t>
            </w:r>
            <w:r w:rsidRPr="006D7C4D">
              <w:t>.</w:t>
            </w:r>
            <w:r>
              <w:t xml:space="preserve"> </w:t>
            </w:r>
          </w:p>
          <w:p w14:paraId="13F4986D" w14:textId="77777777" w:rsidR="00F105CD" w:rsidRPr="00BA1DF1" w:rsidRDefault="00F105CD" w:rsidP="00FB3E94">
            <w:pPr>
              <w:jc w:val="both"/>
              <w:rPr>
                <w:rStyle w:val="Text"/>
              </w:rPr>
            </w:pPr>
            <w:r>
              <w:t xml:space="preserve">Data upgrades to the instrument and the router should be non-automatic to ensure an operator can choose when it is updated.  </w:t>
            </w:r>
          </w:p>
        </w:tc>
      </w:tr>
      <w:tr w:rsidR="00F105CD" w:rsidRPr="00B9322B" w14:paraId="053D13E4" w14:textId="77777777" w:rsidTr="00FB3E94">
        <w:tc>
          <w:tcPr>
            <w:tcW w:w="1324" w:type="dxa"/>
          </w:tcPr>
          <w:p w14:paraId="6A243F5C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>5</w:t>
            </w:r>
          </w:p>
        </w:tc>
        <w:tc>
          <w:tcPr>
            <w:tcW w:w="7313" w:type="dxa"/>
          </w:tcPr>
          <w:p w14:paraId="0B9F9C55" w14:textId="77777777" w:rsidR="00F105CD" w:rsidRPr="00D622DD" w:rsidRDefault="00F105CD" w:rsidP="00FB3E94">
            <w:pPr>
              <w:jc w:val="both"/>
              <w:rPr>
                <w:rStyle w:val="Text"/>
                <w:rFonts w:cs="Arial"/>
                <w:color w:val="FF0000"/>
              </w:rPr>
            </w:pPr>
            <w:r w:rsidRPr="00B9322B">
              <w:rPr>
                <w:rStyle w:val="Text"/>
                <w:rFonts w:cs="Arial"/>
              </w:rPr>
              <w:t xml:space="preserve">The instrument </w:t>
            </w:r>
            <w:r>
              <w:rPr>
                <w:rStyle w:val="Text"/>
                <w:rFonts w:cs="Arial"/>
              </w:rPr>
              <w:t xml:space="preserve">will be </w:t>
            </w:r>
            <w:r w:rsidRPr="00B9322B">
              <w:rPr>
                <w:rStyle w:val="Text"/>
                <w:rFonts w:cs="Arial"/>
              </w:rPr>
              <w:t xml:space="preserve">supplied in a </w:t>
            </w:r>
            <w:r w:rsidRPr="00B9322B">
              <w:rPr>
                <w:rFonts w:cs="Arial"/>
              </w:rPr>
              <w:t xml:space="preserve">suitable </w:t>
            </w:r>
            <w:r>
              <w:rPr>
                <w:rFonts w:cs="Arial"/>
              </w:rPr>
              <w:t xml:space="preserve">IP54 (or better) </w:t>
            </w:r>
            <w:r w:rsidRPr="00B9322B">
              <w:rPr>
                <w:rFonts w:cs="Arial"/>
              </w:rPr>
              <w:t xml:space="preserve">weatherproof outdoor enclosure </w:t>
            </w:r>
          </w:p>
        </w:tc>
      </w:tr>
      <w:tr w:rsidR="00F105CD" w:rsidRPr="00B9322B" w14:paraId="5CD77A77" w14:textId="77777777" w:rsidTr="00FB3E94">
        <w:tc>
          <w:tcPr>
            <w:tcW w:w="1324" w:type="dxa"/>
          </w:tcPr>
          <w:p w14:paraId="1330CF59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>6</w:t>
            </w:r>
          </w:p>
        </w:tc>
        <w:tc>
          <w:tcPr>
            <w:tcW w:w="7313" w:type="dxa"/>
          </w:tcPr>
          <w:p w14:paraId="528F41AD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>
              <w:rPr>
                <w:rFonts w:cs="Arial"/>
              </w:rPr>
              <w:t xml:space="preserve">The instrument can </w:t>
            </w:r>
            <w:r w:rsidRPr="00B9322B">
              <w:rPr>
                <w:rFonts w:cs="Arial"/>
              </w:rPr>
              <w:t>store at least 15 filters</w:t>
            </w:r>
            <w:r>
              <w:rPr>
                <w:rFonts w:cs="Arial"/>
              </w:rPr>
              <w:t xml:space="preserve"> a</w:t>
            </w:r>
            <w:r>
              <w:t>nd automatically changes to the next filter</w:t>
            </w:r>
          </w:p>
        </w:tc>
      </w:tr>
      <w:tr w:rsidR="00F105CD" w:rsidRPr="00B9322B" w14:paraId="40F2EBAE" w14:textId="77777777" w:rsidTr="00FB3E94">
        <w:tc>
          <w:tcPr>
            <w:tcW w:w="1324" w:type="dxa"/>
          </w:tcPr>
          <w:p w14:paraId="5182014B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>7</w:t>
            </w:r>
          </w:p>
        </w:tc>
        <w:tc>
          <w:tcPr>
            <w:tcW w:w="7313" w:type="dxa"/>
          </w:tcPr>
          <w:p w14:paraId="037880D4" w14:textId="77777777" w:rsidR="00F105CD" w:rsidRPr="00F105CD" w:rsidRDefault="00F105CD" w:rsidP="00FB3E94">
            <w:pPr>
              <w:jc w:val="both"/>
              <w:rPr>
                <w:rFonts w:cs="Arial"/>
                <w:b/>
              </w:rPr>
            </w:pPr>
            <w:r w:rsidRPr="00F105CD">
              <w:rPr>
                <w:rStyle w:val="Boldtext"/>
                <w:b w:val="0"/>
              </w:rPr>
              <w:t>The instrument inlet height must be 1.7m</w:t>
            </w:r>
            <w:r w:rsidRPr="00F105CD">
              <w:rPr>
                <w:rStyle w:val="Boldtext"/>
                <w:b w:val="0"/>
                <w:color w:val="auto"/>
              </w:rPr>
              <w:t xml:space="preserve"> for the quotation and it must be possible to purchase different inlet heights in the range 1.5-</w:t>
            </w:r>
            <w:r w:rsidRPr="00F105CD">
              <w:rPr>
                <w:rStyle w:val="Boldtext"/>
                <w:b w:val="0"/>
              </w:rPr>
              <w:t xml:space="preserve">4m. </w:t>
            </w:r>
          </w:p>
        </w:tc>
      </w:tr>
      <w:tr w:rsidR="00F105CD" w:rsidRPr="00B9322B" w14:paraId="70EEF363" w14:textId="77777777" w:rsidTr="00FB3E94">
        <w:tc>
          <w:tcPr>
            <w:tcW w:w="1324" w:type="dxa"/>
          </w:tcPr>
          <w:p w14:paraId="4248418F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>8</w:t>
            </w:r>
          </w:p>
        </w:tc>
        <w:tc>
          <w:tcPr>
            <w:tcW w:w="7313" w:type="dxa"/>
          </w:tcPr>
          <w:p w14:paraId="6907F27F" w14:textId="77777777" w:rsidR="00F105CD" w:rsidRPr="00B9322B" w:rsidRDefault="00F105CD" w:rsidP="00FB3E94">
            <w:pPr>
              <w:jc w:val="both"/>
              <w:rPr>
                <w:rFonts w:cs="Arial"/>
              </w:rPr>
            </w:pPr>
            <w:r w:rsidRPr="00EE77FA">
              <w:rPr>
                <w:rFonts w:cs="Arial"/>
              </w:rPr>
              <w:t>The instrument has s</w:t>
            </w:r>
            <w:r w:rsidRPr="00EE77FA">
              <w:t xml:space="preserve">heath </w:t>
            </w:r>
            <w:r w:rsidRPr="00EE77FA">
              <w:rPr>
                <w:rFonts w:cs="Arial"/>
              </w:rPr>
              <w:t>air cooling of the filter currently being sampled</w:t>
            </w:r>
            <w:r>
              <w:rPr>
                <w:rFonts w:cs="Arial"/>
              </w:rPr>
              <w:t>.</w:t>
            </w:r>
          </w:p>
        </w:tc>
      </w:tr>
      <w:tr w:rsidR="00F105CD" w:rsidRPr="00B9322B" w14:paraId="380D5224" w14:textId="77777777" w:rsidTr="00FB3E94">
        <w:tc>
          <w:tcPr>
            <w:tcW w:w="1324" w:type="dxa"/>
          </w:tcPr>
          <w:p w14:paraId="19FC0378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>9</w:t>
            </w:r>
          </w:p>
        </w:tc>
        <w:tc>
          <w:tcPr>
            <w:tcW w:w="7313" w:type="dxa"/>
          </w:tcPr>
          <w:p w14:paraId="741DD8A6" w14:textId="77777777" w:rsidR="00F105CD" w:rsidRPr="00B967F6" w:rsidRDefault="00F105CD" w:rsidP="00FB3E94">
            <w:pPr>
              <w:jc w:val="both"/>
              <w:rPr>
                <w:rFonts w:cs="Arial"/>
              </w:rPr>
            </w:pPr>
            <w:r w:rsidRPr="00B967F6">
              <w:rPr>
                <w:rFonts w:cs="Arial"/>
              </w:rPr>
              <w:t>T</w:t>
            </w:r>
            <w:r w:rsidRPr="00B967F6">
              <w:t xml:space="preserve">he instrument </w:t>
            </w:r>
            <w:r>
              <w:t>must</w:t>
            </w:r>
            <w:r w:rsidRPr="00B967F6">
              <w:t xml:space="preserve"> operate with an </w:t>
            </w:r>
            <w:r w:rsidRPr="00954978">
              <w:rPr>
                <w:rFonts w:cs="Arial"/>
              </w:rPr>
              <w:t xml:space="preserve">instantaneous flow rate </w:t>
            </w:r>
            <w:r w:rsidRPr="00B967F6">
              <w:rPr>
                <w:rFonts w:cs="Arial"/>
              </w:rPr>
              <w:t xml:space="preserve">that </w:t>
            </w:r>
            <w:r w:rsidRPr="00954978">
              <w:rPr>
                <w:rFonts w:cs="Arial"/>
              </w:rPr>
              <w:t xml:space="preserve">shall not vary by more than 5.0 % of 2.3 </w:t>
            </w:r>
            <w:r>
              <w:rPr>
                <w:rFonts w:cs="Arial"/>
                <w:sz w:val="22"/>
                <w:szCs w:val="22"/>
              </w:rPr>
              <w:t>m</w:t>
            </w:r>
            <w:r w:rsidRPr="00B7262C">
              <w:rPr>
                <w:rFonts w:cs="Arial"/>
                <w:sz w:val="22"/>
                <w:szCs w:val="22"/>
                <w:vertAlign w:val="superscript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 hr</w:t>
            </w:r>
            <w:r w:rsidRPr="00B7262C">
              <w:rPr>
                <w:rFonts w:cs="Arial"/>
                <w:sz w:val="22"/>
                <w:szCs w:val="22"/>
                <w:vertAlign w:val="superscript"/>
              </w:rPr>
              <w:t>-1</w:t>
            </w:r>
            <w:r w:rsidRPr="00954978">
              <w:rPr>
                <w:rFonts w:cs="Arial"/>
              </w:rPr>
              <w:t>, and should a filter become clogged, sampling should be stopped if the flow rate drops and the option to restart immediately and automatically on a new filter shall be available.</w:t>
            </w:r>
          </w:p>
        </w:tc>
      </w:tr>
      <w:tr w:rsidR="00F105CD" w:rsidRPr="00B9322B" w14:paraId="2AF1B8D6" w14:textId="77777777" w:rsidTr="00FB3E94">
        <w:tc>
          <w:tcPr>
            <w:tcW w:w="1324" w:type="dxa"/>
          </w:tcPr>
          <w:p w14:paraId="7214F00A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>10</w:t>
            </w:r>
          </w:p>
        </w:tc>
        <w:tc>
          <w:tcPr>
            <w:tcW w:w="7313" w:type="dxa"/>
          </w:tcPr>
          <w:p w14:paraId="28499BFB" w14:textId="761AC2AF" w:rsidR="00F105CD" w:rsidRPr="00B967F6" w:rsidRDefault="00F105CD" w:rsidP="00FB3E94">
            <w:pPr>
              <w:jc w:val="both"/>
              <w:rPr>
                <w:rFonts w:cs="Arial"/>
              </w:rPr>
            </w:pPr>
            <w:r w:rsidRPr="00B967F6">
              <w:rPr>
                <w:rFonts w:cs="Arial"/>
              </w:rPr>
              <w:t>T</w:t>
            </w:r>
            <w:r w:rsidRPr="00597741">
              <w:rPr>
                <w:rFonts w:cs="Arial"/>
              </w:rPr>
              <w:t xml:space="preserve">he instrument shall be capable of recording </w:t>
            </w:r>
            <w:proofErr w:type="gramStart"/>
            <w:r w:rsidRPr="00597741">
              <w:rPr>
                <w:rFonts w:cs="Arial"/>
              </w:rPr>
              <w:t>24 hour</w:t>
            </w:r>
            <w:proofErr w:type="gramEnd"/>
            <w:r w:rsidRPr="00597741">
              <w:rPr>
                <w:rFonts w:cs="Arial"/>
              </w:rPr>
              <w:t xml:space="preserve"> averages on a single fil</w:t>
            </w:r>
            <w:r w:rsidRPr="00B967F6">
              <w:rPr>
                <w:rFonts w:cs="Arial"/>
              </w:rPr>
              <w:t>t</w:t>
            </w:r>
            <w:r w:rsidRPr="00597741">
              <w:rPr>
                <w:rFonts w:cs="Arial"/>
              </w:rPr>
              <w:t>er of up to 1</w:t>
            </w:r>
            <w:r w:rsidR="003F5983">
              <w:rPr>
                <w:rFonts w:cs="Arial"/>
              </w:rPr>
              <w:t>5</w:t>
            </w:r>
            <w:r w:rsidRPr="00597741">
              <w:rPr>
                <w:rFonts w:cs="Arial"/>
              </w:rPr>
              <w:t xml:space="preserve">0 </w:t>
            </w:r>
            <w:proofErr w:type="spellStart"/>
            <w:r w:rsidRPr="00597741">
              <w:rPr>
                <w:rFonts w:cs="Arial"/>
              </w:rPr>
              <w:t>μg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m-</w:t>
            </w:r>
            <w:r w:rsidRPr="00B7262C">
              <w:rPr>
                <w:rFonts w:cs="Arial"/>
                <w:sz w:val="22"/>
                <w:szCs w:val="22"/>
                <w:vertAlign w:val="superscript"/>
              </w:rPr>
              <w:t>3</w:t>
            </w:r>
            <w:r w:rsidRPr="00597741">
              <w:rPr>
                <w:rFonts w:cs="Arial"/>
              </w:rPr>
              <w:t xml:space="preserve"> for PM</w:t>
            </w:r>
            <w:r w:rsidR="003F5983" w:rsidRPr="003F5983">
              <w:rPr>
                <w:rFonts w:cs="Arial"/>
                <w:vertAlign w:val="subscript"/>
              </w:rPr>
              <w:t>10</w:t>
            </w:r>
            <w:r w:rsidRPr="00597741">
              <w:rPr>
                <w:rFonts w:cs="Arial"/>
              </w:rPr>
              <w:t xml:space="preserve"> without becoming clogged. </w:t>
            </w:r>
          </w:p>
        </w:tc>
      </w:tr>
      <w:tr w:rsidR="00F105CD" w:rsidRPr="00B9322B" w14:paraId="4A15A608" w14:textId="77777777" w:rsidTr="00FB3E94">
        <w:tc>
          <w:tcPr>
            <w:tcW w:w="1324" w:type="dxa"/>
          </w:tcPr>
          <w:p w14:paraId="164CBC9E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>11</w:t>
            </w:r>
          </w:p>
        </w:tc>
        <w:tc>
          <w:tcPr>
            <w:tcW w:w="7313" w:type="dxa"/>
          </w:tcPr>
          <w:p w14:paraId="18ECA8D5" w14:textId="77777777" w:rsidR="00F105CD" w:rsidRPr="00B967F6" w:rsidRDefault="00F105CD" w:rsidP="00FB3E94">
            <w:pPr>
              <w:jc w:val="both"/>
              <w:rPr>
                <w:rFonts w:cs="Arial"/>
              </w:rPr>
            </w:pPr>
            <w:r w:rsidRPr="00B967F6">
              <w:rPr>
                <w:rFonts w:cs="Arial"/>
              </w:rPr>
              <w:t>T</w:t>
            </w:r>
            <w:r w:rsidRPr="006D702A">
              <w:rPr>
                <w:rFonts w:cs="Arial"/>
              </w:rPr>
              <w:t>he instrument shall record at a minimum hourly average flow rate; </w:t>
            </w:r>
            <w:r w:rsidRPr="00B967F6">
              <w:rPr>
                <w:rFonts w:cs="Arial"/>
              </w:rPr>
              <w:t>s</w:t>
            </w:r>
            <w:r w:rsidRPr="006D702A">
              <w:rPr>
                <w:rFonts w:cs="Arial"/>
              </w:rPr>
              <w:t xml:space="preserve">ampling time; sample volume; average air temperature in filter section; </w:t>
            </w:r>
            <w:r w:rsidRPr="00B967F6">
              <w:rPr>
                <w:rFonts w:cs="Arial"/>
              </w:rPr>
              <w:t>a</w:t>
            </w:r>
            <w:r w:rsidRPr="006D702A">
              <w:rPr>
                <w:rFonts w:cs="Arial"/>
              </w:rPr>
              <w:t xml:space="preserve">verage ambient temperature; </w:t>
            </w:r>
            <w:r w:rsidRPr="00B967F6">
              <w:rPr>
                <w:rFonts w:cs="Arial"/>
              </w:rPr>
              <w:t>a</w:t>
            </w:r>
            <w:r w:rsidRPr="006D702A">
              <w:rPr>
                <w:rFonts w:cs="Arial"/>
              </w:rPr>
              <w:t xml:space="preserve">verage temperature of filter storage; and </w:t>
            </w:r>
            <w:r w:rsidRPr="00B967F6">
              <w:rPr>
                <w:rFonts w:cs="Arial"/>
              </w:rPr>
              <w:t>a</w:t>
            </w:r>
            <w:r w:rsidRPr="006D702A">
              <w:rPr>
                <w:rFonts w:cs="Arial"/>
              </w:rPr>
              <w:t>verage ambient pressure. These parameters shall be available for remote download.</w:t>
            </w:r>
          </w:p>
        </w:tc>
      </w:tr>
      <w:tr w:rsidR="00F105CD" w:rsidRPr="00B9322B" w14:paraId="592E23A5" w14:textId="77777777" w:rsidTr="00FB3E94">
        <w:tc>
          <w:tcPr>
            <w:tcW w:w="1324" w:type="dxa"/>
          </w:tcPr>
          <w:p w14:paraId="3B8F52A7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>
              <w:rPr>
                <w:rStyle w:val="Text"/>
                <w:rFonts w:cs="Arial"/>
              </w:rPr>
              <w:t>1</w:t>
            </w:r>
            <w:r>
              <w:rPr>
                <w:rStyle w:val="Text"/>
              </w:rPr>
              <w:t>2</w:t>
            </w:r>
          </w:p>
        </w:tc>
        <w:tc>
          <w:tcPr>
            <w:tcW w:w="7313" w:type="dxa"/>
          </w:tcPr>
          <w:p w14:paraId="0462B108" w14:textId="77777777" w:rsidR="00F105CD" w:rsidRPr="00B9322B" w:rsidRDefault="00F105CD" w:rsidP="00FB3E9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The instrument must come with</w:t>
            </w:r>
            <w:r w:rsidRPr="00B9322B">
              <w:rPr>
                <w:rFonts w:cs="Arial"/>
              </w:rPr>
              <w:t xml:space="preserve"> a minimum warranty of 24 months from delivery</w:t>
            </w:r>
          </w:p>
        </w:tc>
      </w:tr>
      <w:tr w:rsidR="00F105CD" w:rsidRPr="00B9322B" w14:paraId="696501EE" w14:textId="77777777" w:rsidTr="00FB3E94">
        <w:tc>
          <w:tcPr>
            <w:tcW w:w="1324" w:type="dxa"/>
          </w:tcPr>
          <w:p w14:paraId="5A1A636E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>
              <w:rPr>
                <w:rStyle w:val="Text"/>
                <w:rFonts w:cs="Arial"/>
              </w:rPr>
              <w:lastRenderedPageBreak/>
              <w:t>1</w:t>
            </w:r>
            <w:r>
              <w:rPr>
                <w:rStyle w:val="Text"/>
              </w:rPr>
              <w:t>3</w:t>
            </w:r>
          </w:p>
        </w:tc>
        <w:tc>
          <w:tcPr>
            <w:tcW w:w="7313" w:type="dxa"/>
          </w:tcPr>
          <w:p w14:paraId="416561C8" w14:textId="77777777" w:rsidR="00F105CD" w:rsidRPr="00B9322B" w:rsidRDefault="00F105CD" w:rsidP="00FB3E94">
            <w:pPr>
              <w:jc w:val="both"/>
              <w:rPr>
                <w:rFonts w:cs="Arial"/>
              </w:rPr>
            </w:pPr>
            <w:r w:rsidRPr="00E8637E">
              <w:rPr>
                <w:rFonts w:cs="Arial"/>
              </w:rPr>
              <w:t>The supplier should be registered to ISO 9001:2015, where the certification body is accredited by either UKAS or an equivalent body from outside the UK, to ISO/IEC 17021, with the expectation that any quality assurance issues with any manufacturing can be correctly addressed.</w:t>
            </w:r>
          </w:p>
        </w:tc>
      </w:tr>
      <w:tr w:rsidR="00F105CD" w:rsidRPr="00B9322B" w14:paraId="3DFA0C61" w14:textId="77777777" w:rsidTr="00FB3E94">
        <w:tc>
          <w:tcPr>
            <w:tcW w:w="1324" w:type="dxa"/>
          </w:tcPr>
          <w:p w14:paraId="63080437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>
              <w:rPr>
                <w:rStyle w:val="Text"/>
                <w:rFonts w:cs="Arial"/>
              </w:rPr>
              <w:t>1</w:t>
            </w:r>
            <w:r>
              <w:rPr>
                <w:rStyle w:val="Text"/>
              </w:rPr>
              <w:t>4</w:t>
            </w:r>
          </w:p>
        </w:tc>
        <w:tc>
          <w:tcPr>
            <w:tcW w:w="7313" w:type="dxa"/>
          </w:tcPr>
          <w:p w14:paraId="45969C61" w14:textId="77777777" w:rsidR="00F105CD" w:rsidRPr="00B9322B" w:rsidRDefault="00F105CD" w:rsidP="00FB3E94">
            <w:pPr>
              <w:jc w:val="both"/>
              <w:rPr>
                <w:rFonts w:cs="Arial"/>
              </w:rPr>
            </w:pPr>
            <w:r w:rsidRPr="00B9322B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>instrument</w:t>
            </w:r>
            <w:r w:rsidRPr="00B9322B">
              <w:rPr>
                <w:rFonts w:cs="Arial"/>
              </w:rPr>
              <w:t xml:space="preserve"> must be configured for UK use at the point of sale and not require any changes to be made in this respect by the authority at the time of purchase.</w:t>
            </w:r>
          </w:p>
        </w:tc>
      </w:tr>
      <w:tr w:rsidR="00F105CD" w:rsidRPr="00B9322B" w14:paraId="4E97DFB1" w14:textId="77777777" w:rsidTr="00FB3E94">
        <w:tc>
          <w:tcPr>
            <w:tcW w:w="1324" w:type="dxa"/>
          </w:tcPr>
          <w:p w14:paraId="3CB9C898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>
              <w:rPr>
                <w:rStyle w:val="Text"/>
                <w:rFonts w:cs="Arial"/>
              </w:rPr>
              <w:t>1</w:t>
            </w:r>
            <w:r>
              <w:rPr>
                <w:rStyle w:val="Text"/>
              </w:rPr>
              <w:t>5</w:t>
            </w:r>
          </w:p>
        </w:tc>
        <w:tc>
          <w:tcPr>
            <w:tcW w:w="7313" w:type="dxa"/>
          </w:tcPr>
          <w:p w14:paraId="3E514383" w14:textId="77777777" w:rsidR="00F105CD" w:rsidRPr="00175828" w:rsidRDefault="00F105CD" w:rsidP="00FB3E94">
            <w:pPr>
              <w:jc w:val="both"/>
              <w:rPr>
                <w:rFonts w:cs="Arial"/>
                <w:color w:val="FF0000"/>
              </w:rPr>
            </w:pPr>
            <w:r w:rsidRPr="009971A0">
              <w:rPr>
                <w:rFonts w:cs="Arial"/>
                <w:color w:val="auto"/>
              </w:rPr>
              <w:t xml:space="preserve">The Supplier must review and meet relevant sections of the MEICA specifications set out in: Annex </w:t>
            </w:r>
            <w:r>
              <w:rPr>
                <w:rFonts w:cs="Arial"/>
                <w:color w:val="auto"/>
              </w:rPr>
              <w:t>5</w:t>
            </w:r>
            <w:r w:rsidRPr="009971A0">
              <w:rPr>
                <w:rFonts w:cs="Arial"/>
                <w:color w:val="auto"/>
              </w:rPr>
              <w:t xml:space="preserve"> – MEICA - Specification – General Annex </w:t>
            </w:r>
            <w:r>
              <w:rPr>
                <w:rFonts w:cs="Arial"/>
                <w:color w:val="auto"/>
              </w:rPr>
              <w:t>6</w:t>
            </w:r>
            <w:r w:rsidRPr="009971A0">
              <w:rPr>
                <w:rFonts w:cs="Arial"/>
                <w:color w:val="auto"/>
              </w:rPr>
              <w:t xml:space="preserve"> – MEICA - Documentation Annex </w:t>
            </w:r>
            <w:r>
              <w:rPr>
                <w:rFonts w:cs="Arial"/>
                <w:color w:val="auto"/>
              </w:rPr>
              <w:t>7</w:t>
            </w:r>
            <w:r w:rsidRPr="009971A0">
              <w:rPr>
                <w:rFonts w:cs="Arial"/>
                <w:color w:val="auto"/>
              </w:rPr>
              <w:t xml:space="preserve"> – MEICA – Low Voltage Electrical Equipment.</w:t>
            </w:r>
          </w:p>
        </w:tc>
      </w:tr>
      <w:tr w:rsidR="00F105CD" w:rsidRPr="00B9322B" w14:paraId="5BF7BBA3" w14:textId="77777777" w:rsidTr="00FB3E94">
        <w:tc>
          <w:tcPr>
            <w:tcW w:w="1324" w:type="dxa"/>
          </w:tcPr>
          <w:p w14:paraId="336D60BE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>
              <w:rPr>
                <w:rStyle w:val="Text"/>
                <w:rFonts w:cs="Arial"/>
              </w:rPr>
              <w:t>16</w:t>
            </w:r>
          </w:p>
        </w:tc>
        <w:tc>
          <w:tcPr>
            <w:tcW w:w="7313" w:type="dxa"/>
          </w:tcPr>
          <w:p w14:paraId="062531E4" w14:textId="77777777" w:rsidR="00F105CD" w:rsidRPr="00175828" w:rsidRDefault="00F105CD" w:rsidP="00FB3E94">
            <w:pPr>
              <w:jc w:val="both"/>
              <w:rPr>
                <w:rFonts w:cs="Arial"/>
                <w:color w:val="FF0000"/>
              </w:rPr>
            </w:pPr>
            <w:r w:rsidRPr="00653A64">
              <w:rPr>
                <w:rFonts w:cs="Arial"/>
                <w:color w:val="auto"/>
              </w:rPr>
              <w:t>The instrument must be delivered with detailed service and maintenance procedures. This must include a detailed operational manual, a detailed service manual, and a service check ‘Planned Preventative Maintenance’ list.</w:t>
            </w:r>
          </w:p>
        </w:tc>
      </w:tr>
      <w:tr w:rsidR="00F105CD" w:rsidRPr="00B9322B" w14:paraId="481ED054" w14:textId="77777777" w:rsidTr="00FB3E94">
        <w:tc>
          <w:tcPr>
            <w:tcW w:w="1324" w:type="dxa"/>
          </w:tcPr>
          <w:p w14:paraId="49E644D1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>
              <w:rPr>
                <w:rStyle w:val="Text"/>
                <w:rFonts w:cs="Arial"/>
              </w:rPr>
              <w:t>1</w:t>
            </w:r>
            <w:r>
              <w:rPr>
                <w:rStyle w:val="Text"/>
              </w:rPr>
              <w:t>7</w:t>
            </w:r>
          </w:p>
        </w:tc>
        <w:tc>
          <w:tcPr>
            <w:tcW w:w="7313" w:type="dxa"/>
          </w:tcPr>
          <w:p w14:paraId="21EACF48" w14:textId="77777777" w:rsidR="00F105CD" w:rsidRPr="00175828" w:rsidRDefault="00F105CD" w:rsidP="00FB3E94">
            <w:pPr>
              <w:jc w:val="both"/>
              <w:rPr>
                <w:rFonts w:cs="Arial"/>
                <w:color w:val="FF0000"/>
              </w:rPr>
            </w:pPr>
            <w:r w:rsidRPr="00EF6B48">
              <w:rPr>
                <w:rFonts w:cs="Arial"/>
                <w:color w:val="auto"/>
              </w:rPr>
              <w:t>T</w:t>
            </w:r>
            <w:r w:rsidRPr="00EF6B48">
              <w:rPr>
                <w:color w:val="auto"/>
              </w:rPr>
              <w:t xml:space="preserve">here are </w:t>
            </w:r>
            <w:r>
              <w:rPr>
                <w:color w:val="auto"/>
              </w:rPr>
              <w:t xml:space="preserve">existing </w:t>
            </w:r>
            <w:r w:rsidRPr="00EF6B48">
              <w:rPr>
                <w:color w:val="auto"/>
              </w:rPr>
              <w:t xml:space="preserve">trained engineers who </w:t>
            </w:r>
            <w:proofErr w:type="gramStart"/>
            <w:r w:rsidRPr="00EF6B48">
              <w:rPr>
                <w:color w:val="auto"/>
              </w:rPr>
              <w:t>are able to</w:t>
            </w:r>
            <w:proofErr w:type="gramEnd"/>
            <w:r w:rsidRPr="00EF6B48">
              <w:rPr>
                <w:color w:val="auto"/>
              </w:rPr>
              <w:t xml:space="preserve"> respond within 48hrs </w:t>
            </w:r>
            <w:r>
              <w:rPr>
                <w:color w:val="auto"/>
              </w:rPr>
              <w:t>to</w:t>
            </w:r>
            <w:r w:rsidRPr="00EF6B48">
              <w:rPr>
                <w:color w:val="auto"/>
              </w:rPr>
              <w:t xml:space="preserve"> locations within the UK that would enable an equipment support contract to be put in place </w:t>
            </w:r>
            <w:r w:rsidRPr="00EF6B48">
              <w:rPr>
                <w:color w:val="auto"/>
                <w:u w:val="single"/>
              </w:rPr>
              <w:t>after</w:t>
            </w:r>
            <w:r w:rsidRPr="00EF6B48">
              <w:rPr>
                <w:color w:val="auto"/>
              </w:rPr>
              <w:t xml:space="preserve"> the purchase. </w:t>
            </w:r>
          </w:p>
        </w:tc>
      </w:tr>
      <w:tr w:rsidR="00F105CD" w:rsidRPr="00B9322B" w14:paraId="5963C488" w14:textId="77777777" w:rsidTr="00FB3E94">
        <w:tc>
          <w:tcPr>
            <w:tcW w:w="1324" w:type="dxa"/>
          </w:tcPr>
          <w:p w14:paraId="612AF1D1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>
              <w:rPr>
                <w:rStyle w:val="Text"/>
                <w:rFonts w:cs="Arial"/>
              </w:rPr>
              <w:t>1</w:t>
            </w:r>
            <w:r>
              <w:rPr>
                <w:rStyle w:val="Text"/>
              </w:rPr>
              <w:t>8</w:t>
            </w:r>
          </w:p>
        </w:tc>
        <w:tc>
          <w:tcPr>
            <w:tcW w:w="7313" w:type="dxa"/>
          </w:tcPr>
          <w:p w14:paraId="478BCDD2" w14:textId="77777777" w:rsidR="00F105CD" w:rsidRPr="00175828" w:rsidRDefault="00F105CD" w:rsidP="00FB3E94">
            <w:pPr>
              <w:jc w:val="both"/>
              <w:rPr>
                <w:rFonts w:cs="Arial"/>
                <w:color w:val="FF0000"/>
              </w:rPr>
            </w:pPr>
            <w:r w:rsidRPr="00B9322B">
              <w:rPr>
                <w:rFonts w:cs="Arial"/>
              </w:rPr>
              <w:t xml:space="preserve">Parts and consumables shall be supplied </w:t>
            </w:r>
            <w:r>
              <w:rPr>
                <w:rFonts w:cs="Arial"/>
              </w:rPr>
              <w:t>for</w:t>
            </w:r>
            <w:r w:rsidRPr="00B9322B">
              <w:rPr>
                <w:rFonts w:cs="Arial"/>
              </w:rPr>
              <w:t xml:space="preserve"> a minimum </w:t>
            </w:r>
            <w:r>
              <w:rPr>
                <w:rFonts w:cs="Arial"/>
              </w:rPr>
              <w:t>of 10 years after purchase</w:t>
            </w:r>
            <w:r w:rsidRPr="00B9322B">
              <w:rPr>
                <w:rFonts w:cs="Arial"/>
              </w:rPr>
              <w:t xml:space="preserve"> and for as long as possible afterwards.</w:t>
            </w:r>
            <w:r>
              <w:rPr>
                <w:rFonts w:cs="Arial"/>
              </w:rPr>
              <w:t xml:space="preserve"> </w:t>
            </w:r>
          </w:p>
        </w:tc>
      </w:tr>
      <w:tr w:rsidR="00F105CD" w:rsidRPr="00B9322B" w14:paraId="61C96966" w14:textId="77777777" w:rsidTr="00FB3E94">
        <w:tc>
          <w:tcPr>
            <w:tcW w:w="1324" w:type="dxa"/>
          </w:tcPr>
          <w:p w14:paraId="63778E0A" w14:textId="77777777" w:rsidR="00F105CD" w:rsidRDefault="00F105CD" w:rsidP="00FB3E94">
            <w:pPr>
              <w:jc w:val="both"/>
              <w:rPr>
                <w:rStyle w:val="Text"/>
                <w:rFonts w:cs="Arial"/>
              </w:rPr>
            </w:pPr>
            <w:r>
              <w:rPr>
                <w:rStyle w:val="Text"/>
                <w:rFonts w:cs="Arial"/>
              </w:rPr>
              <w:t>1</w:t>
            </w:r>
            <w:r>
              <w:rPr>
                <w:rStyle w:val="Text"/>
              </w:rPr>
              <w:t>9</w:t>
            </w:r>
          </w:p>
        </w:tc>
        <w:tc>
          <w:tcPr>
            <w:tcW w:w="7313" w:type="dxa"/>
          </w:tcPr>
          <w:p w14:paraId="7C910067" w14:textId="77777777" w:rsidR="00F105CD" w:rsidRPr="00B9322B" w:rsidRDefault="00F105CD" w:rsidP="00FB3E94">
            <w:pPr>
              <w:jc w:val="both"/>
              <w:rPr>
                <w:rFonts w:cs="Arial"/>
              </w:rPr>
            </w:pPr>
            <w:r w:rsidRPr="000662D7">
              <w:rPr>
                <w:rFonts w:cs="Arial"/>
              </w:rPr>
              <w:t xml:space="preserve">Instruments must be delivered </w:t>
            </w:r>
            <w:r w:rsidRPr="00811FD8">
              <w:rPr>
                <w:rFonts w:cs="Arial"/>
                <w:u w:val="single"/>
              </w:rPr>
              <w:t>no later than 28th Feb 2025</w:t>
            </w:r>
            <w:r w:rsidRPr="000662D7">
              <w:rPr>
                <w:rFonts w:cs="Arial"/>
              </w:rPr>
              <w:t xml:space="preserve"> - to the Environment Agency equipment store located at </w:t>
            </w:r>
            <w:r w:rsidRPr="000662D7">
              <w:rPr>
                <w:rFonts w:cs="Arial"/>
                <w:i/>
                <w:iCs/>
              </w:rPr>
              <w:t>Kingfisher Business Park, London Road, Stroud, Gloucestershire, GL5 2BY</w:t>
            </w:r>
            <w:r>
              <w:rPr>
                <w:rFonts w:cs="Arial"/>
                <w:i/>
                <w:iCs/>
              </w:rPr>
              <w:t>.</w:t>
            </w:r>
          </w:p>
        </w:tc>
      </w:tr>
    </w:tbl>
    <w:p w14:paraId="028C05E4" w14:textId="77777777" w:rsidR="00666C29" w:rsidRDefault="00666C29" w:rsidP="00C92544">
      <w:pPr>
        <w:jc w:val="center"/>
        <w:rPr>
          <w:b/>
          <w:bCs/>
        </w:rPr>
      </w:pPr>
    </w:p>
    <w:p w14:paraId="0CF5DB05" w14:textId="77777777" w:rsidR="00666C29" w:rsidRDefault="00666C29" w:rsidP="00C92544">
      <w:pPr>
        <w:jc w:val="center"/>
        <w:rPr>
          <w:b/>
          <w:bCs/>
        </w:rPr>
      </w:pPr>
    </w:p>
    <w:p w14:paraId="273CE394" w14:textId="50CABE5D" w:rsidR="004267D0" w:rsidRDefault="00964799" w:rsidP="00C92544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3B1844A4" w14:textId="77777777" w:rsidR="00C92544" w:rsidRDefault="00C92544" w:rsidP="00964799">
      <w:pPr>
        <w:jc w:val="center"/>
        <w:rPr>
          <w:b/>
          <w:bCs/>
        </w:rPr>
      </w:pPr>
    </w:p>
    <w:p w14:paraId="3DE3B298" w14:textId="61BE4D36" w:rsidR="00C92544" w:rsidRDefault="00C92544" w:rsidP="00C92544">
      <w:r w:rsidRPr="00C92544">
        <w:t>Defined terms within this A</w:t>
      </w:r>
      <w:r>
        <w:t>ppendix</w:t>
      </w:r>
      <w:r w:rsidRPr="00C92544">
        <w:t>:</w:t>
      </w:r>
    </w:p>
    <w:p w14:paraId="5FFB8AD2" w14:textId="77777777" w:rsidR="00C92544" w:rsidRPr="00C92544" w:rsidRDefault="00C92544" w:rsidP="00C92544"/>
    <w:p w14:paraId="40A74C2B" w14:textId="08B991FC" w:rsidR="00C92544" w:rsidRPr="00C92544" w:rsidRDefault="00C92544" w:rsidP="00C92544">
      <w:r w:rsidRPr="00C92544">
        <w:rPr>
          <w:b/>
          <w:bCs/>
        </w:rPr>
        <w:t>E-Invoicing:</w:t>
      </w:r>
      <w:r w:rsidRPr="00C92544">
        <w:t xml:space="preserve"> Means invoices created on or submitted to the Authority via the electronic marketplace service.</w:t>
      </w:r>
    </w:p>
    <w:p w14:paraId="045F39C0" w14:textId="77777777" w:rsidR="00C92544" w:rsidRDefault="00C92544" w:rsidP="00C92544">
      <w:pPr>
        <w:rPr>
          <w:b/>
          <w:bCs/>
        </w:rPr>
      </w:pPr>
    </w:p>
    <w:p w14:paraId="15C0243C" w14:textId="77777777" w:rsidR="002D005D" w:rsidRDefault="00C92544" w:rsidP="00C92544">
      <w:r w:rsidRPr="00C92544">
        <w:rPr>
          <w:b/>
          <w:bCs/>
        </w:rPr>
        <w:t>Electronic Invoice:</w:t>
      </w:r>
      <w:r w:rsidRPr="00C92544">
        <w:t xml:space="preserve"> Means an invoice (generally in PDF file format) issued by the Supplier and received by the Authority using electronic means, generally email.</w:t>
      </w:r>
      <w:r w:rsidRPr="00C92544">
        <w:cr/>
      </w:r>
    </w:p>
    <w:p w14:paraId="0FDA71EE" w14:textId="33DF39FB" w:rsidR="00C92544" w:rsidRPr="002D005D" w:rsidRDefault="002D005D" w:rsidP="00C92544">
      <w:pPr>
        <w:rPr>
          <w:b/>
          <w:bCs/>
        </w:rPr>
      </w:pPr>
      <w:r w:rsidRPr="002D005D">
        <w:rPr>
          <w:b/>
          <w:bCs/>
        </w:rPr>
        <w:t>1. Rates and Prices</w:t>
      </w:r>
    </w:p>
    <w:tbl>
      <w:tblPr>
        <w:tblW w:w="11231" w:type="dxa"/>
        <w:tblLook w:val="04A0" w:firstRow="1" w:lastRow="0" w:firstColumn="1" w:lastColumn="0" w:noHBand="0" w:noVBand="1"/>
      </w:tblPr>
      <w:tblGrid>
        <w:gridCol w:w="4111"/>
        <w:gridCol w:w="5880"/>
        <w:gridCol w:w="1240"/>
      </w:tblGrid>
      <w:tr w:rsidR="00FF00F0" w:rsidRPr="00FF00F0" w14:paraId="2075CAE7" w14:textId="77777777" w:rsidTr="00FF00F0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46523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8D219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0CF83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2861F8ED" w14:textId="77777777" w:rsidTr="00FF00F0">
        <w:trPr>
          <w:trHeight w:val="36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F5D290" w14:textId="77777777" w:rsidR="00FF00F0" w:rsidRPr="00FF00F0" w:rsidRDefault="00FF00F0" w:rsidP="00FF00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Item Description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2E9BC591" w14:textId="77777777" w:rsidR="00FF00F0" w:rsidRPr="00FF00F0" w:rsidRDefault="00FF00F0" w:rsidP="00FF00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Total Value in £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70AB1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0E6D0FB5" w14:textId="77777777" w:rsidTr="00FF00F0">
        <w:trPr>
          <w:trHeight w:val="36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9760A8" w14:textId="77777777" w:rsidR="00FF00F0" w:rsidRPr="00FF00F0" w:rsidRDefault="00FF00F0" w:rsidP="00FF00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 Purchase Cost   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3763EE97" w14:textId="77777777" w:rsidR="00FF00F0" w:rsidRPr="00FF00F0" w:rsidRDefault="00FF00F0" w:rsidP="00FF00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4DD5E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6B5E13EE" w14:textId="77777777" w:rsidTr="00FF00F0">
        <w:trPr>
          <w:trHeight w:val="36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003AD8" w14:textId="4532976E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Purchase price for 2 PM</w:t>
            </w:r>
            <w:r w:rsidR="003F5983" w:rsidRPr="003F598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GB" w:eastAsia="en-GB"/>
              </w:rPr>
              <w:t>10</w:t>
            </w: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Ref Instruments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68DE2AC3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£                                                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B60D2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1A19E2D4" w14:textId="77777777" w:rsidTr="00FF00F0">
        <w:trPr>
          <w:trHeight w:val="36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2F81C8" w14:textId="77777777" w:rsidR="00FF00F0" w:rsidRPr="00FF00F0" w:rsidRDefault="00FF00F0" w:rsidP="00FF00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 Delivery costs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209293ED" w14:textId="77777777" w:rsidR="00FF00F0" w:rsidRPr="00FF00F0" w:rsidRDefault="00FF00F0" w:rsidP="00FF00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19C67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7BE702AD" w14:textId="77777777" w:rsidTr="00FF00F0">
        <w:trPr>
          <w:trHeight w:val="7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1F9676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Total Fixed Acceptance form &amp; Delivery Costs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4CDC1697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£                                                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B8416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0EC2B309" w14:textId="77777777" w:rsidTr="00FF00F0">
        <w:trPr>
          <w:trHeight w:val="73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14:paraId="50F547B3" w14:textId="77777777" w:rsidR="00FF00F0" w:rsidRPr="00FF00F0" w:rsidRDefault="00FF00F0" w:rsidP="00FF00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Total for Contract agreed price with Agency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6CCC8919" w14:textId="77777777" w:rsidR="00FF00F0" w:rsidRPr="00FF00F0" w:rsidRDefault="00FF00F0" w:rsidP="00FF00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£                                                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47392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7349D339" w14:textId="77777777" w:rsidTr="00FF00F0">
        <w:trPr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9B84C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D02F73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92192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4EBB4FD5" w14:textId="77777777" w:rsidTr="00FF00F0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93534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B03B4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9D4F2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554D9F9B" w14:textId="77777777" w:rsidTr="00FF00F0">
        <w:trPr>
          <w:trHeight w:val="37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F28B67" w14:textId="77777777" w:rsidR="00FF00F0" w:rsidRPr="00FF00F0" w:rsidRDefault="00FF00F0" w:rsidP="00FF00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5. Optional Extras 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2DDAACE9" w14:textId="7BDA687B" w:rsidR="00FF00F0" w:rsidRPr="00FF00F0" w:rsidRDefault="00FF00F0" w:rsidP="00FF00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Value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82CDB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017C849A" w14:textId="77777777" w:rsidTr="00FF00F0">
        <w:trPr>
          <w:trHeight w:val="36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DF0D32E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eg</w:t>
            </w:r>
            <w:proofErr w:type="spellEnd"/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Cooled Filter storage option</w:t>
            </w:r>
          </w:p>
        </w:tc>
        <w:tc>
          <w:tcPr>
            <w:tcW w:w="5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E24555" w14:textId="54D246A2" w:rsidR="00FF00F0" w:rsidRPr="00FF00F0" w:rsidRDefault="00FF00F0" w:rsidP="00FF00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A9B82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4190FCB6" w14:textId="77777777" w:rsidTr="00FF00F0">
        <w:trPr>
          <w:trHeight w:val="36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0F7A82B" w14:textId="3DD36F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eg</w:t>
            </w:r>
            <w:proofErr w:type="spellEnd"/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Extra PM</w:t>
            </w:r>
            <w:r w:rsidR="003F5983" w:rsidRPr="003F598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GB" w:eastAsia="en-GB"/>
              </w:rPr>
              <w:t>10</w:t>
            </w: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heads</w:t>
            </w:r>
          </w:p>
        </w:tc>
        <w:tc>
          <w:tcPr>
            <w:tcW w:w="5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FB3125" w14:textId="21EC870D" w:rsidR="00FF00F0" w:rsidRPr="00FF00F0" w:rsidRDefault="00FF00F0" w:rsidP="00FF00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92E45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0E5CFA8F" w14:textId="77777777" w:rsidTr="00FF00F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3B9E51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eg</w:t>
            </w:r>
            <w:proofErr w:type="spellEnd"/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Cost to extend the inlet height per 10cm is:</w:t>
            </w:r>
          </w:p>
        </w:tc>
        <w:tc>
          <w:tcPr>
            <w:tcW w:w="5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357F36" w14:textId="0A05BB2B" w:rsidR="00FF00F0" w:rsidRPr="00FF00F0" w:rsidRDefault="00FF00F0" w:rsidP="00FF00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E2923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03E1CADF" w14:textId="77777777" w:rsidTr="00FF00F0">
        <w:trPr>
          <w:trHeight w:val="36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005076F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e.g. Additional filter holders and screens</w:t>
            </w:r>
          </w:p>
        </w:tc>
        <w:tc>
          <w:tcPr>
            <w:tcW w:w="5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FAEBBC" w14:textId="18EA1200" w:rsidR="00FF00F0" w:rsidRPr="00FF00F0" w:rsidRDefault="00FF00F0" w:rsidP="00FF00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29743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765022D0" w14:textId="77777777" w:rsidTr="00FF00F0">
        <w:trPr>
          <w:trHeight w:val="36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308536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e.g. Additional cassettes/magazines</w:t>
            </w:r>
          </w:p>
        </w:tc>
        <w:tc>
          <w:tcPr>
            <w:tcW w:w="5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7324EF" w14:textId="66C1585F" w:rsidR="00FF00F0" w:rsidRPr="00FF00F0" w:rsidRDefault="00FF00F0" w:rsidP="00FF00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CC722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167C8C8C" w14:textId="77777777" w:rsidTr="00FF00F0">
        <w:trPr>
          <w:trHeight w:val="108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B547FFE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e.g. Additional cases for transporting magazines containing filter holders and filters </w:t>
            </w:r>
          </w:p>
        </w:tc>
        <w:tc>
          <w:tcPr>
            <w:tcW w:w="5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BF2BFB" w14:textId="22683491" w:rsidR="00FF00F0" w:rsidRPr="00FF00F0" w:rsidRDefault="00FF00F0" w:rsidP="00FF00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72E01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04A039FE" w14:textId="77777777" w:rsidTr="00FF00F0">
        <w:trPr>
          <w:trHeight w:val="36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3288278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e.g</w:t>
            </w:r>
            <w:proofErr w:type="spellEnd"/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Additional warranty costs</w:t>
            </w:r>
          </w:p>
        </w:tc>
        <w:tc>
          <w:tcPr>
            <w:tcW w:w="5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22047F" w14:textId="12B5626A" w:rsidR="00FF00F0" w:rsidRPr="00FF00F0" w:rsidRDefault="00FF00F0" w:rsidP="00FF00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339E1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0686238A" w14:textId="77777777" w:rsidTr="00FF00F0">
        <w:trPr>
          <w:trHeight w:val="37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DD832B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FDBD71" w14:textId="538D37C6" w:rsidR="00FF00F0" w:rsidRPr="00FF00F0" w:rsidRDefault="00FF00F0" w:rsidP="00FF00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99A6E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0AE13979" w14:textId="77777777" w:rsidTr="00FF00F0">
        <w:trPr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E13BD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812C0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42876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253B5BA3" w14:textId="77777777" w:rsidR="009F520C" w:rsidRDefault="009F520C" w:rsidP="00C110C4">
      <w:pPr>
        <w:jc w:val="center"/>
        <w:rPr>
          <w:b/>
          <w:bCs/>
        </w:rPr>
      </w:pPr>
    </w:p>
    <w:p w14:paraId="4AB237C3" w14:textId="1934A31E" w:rsidR="006418F8" w:rsidRDefault="002D005D" w:rsidP="002D005D">
      <w:pPr>
        <w:rPr>
          <w:b/>
          <w:bCs/>
        </w:rPr>
      </w:pPr>
      <w:r>
        <w:rPr>
          <w:b/>
          <w:bCs/>
        </w:rPr>
        <w:t>2. Currency</w:t>
      </w:r>
    </w:p>
    <w:p w14:paraId="407744CC" w14:textId="77777777" w:rsidR="002D005D" w:rsidRDefault="002D005D" w:rsidP="002D005D">
      <w:pPr>
        <w:rPr>
          <w:b/>
          <w:bCs/>
        </w:rPr>
      </w:pPr>
    </w:p>
    <w:p w14:paraId="4C5A6620" w14:textId="1E39EA07" w:rsidR="001F0FAB" w:rsidRDefault="001F0FAB" w:rsidP="002D005D">
      <w:r>
        <w:t xml:space="preserve">All Supplier invoices shall be expressed in </w:t>
      </w:r>
      <w:r w:rsidR="007F2C06">
        <w:t>sterling,</w:t>
      </w:r>
      <w:r>
        <w:t xml:space="preserve"> or such other currency as shall be permitted by the Authority in writing.</w:t>
      </w:r>
    </w:p>
    <w:p w14:paraId="67F28318" w14:textId="77777777" w:rsidR="001F0FAB" w:rsidRDefault="001F0FAB" w:rsidP="002D005D">
      <w:pPr>
        <w:rPr>
          <w:b/>
          <w:bCs/>
        </w:rPr>
      </w:pPr>
    </w:p>
    <w:p w14:paraId="549D08D5" w14:textId="3725EDD7" w:rsidR="002D005D" w:rsidRPr="009D6BFB" w:rsidRDefault="001F0FAB" w:rsidP="002D005D">
      <w:pPr>
        <w:rPr>
          <w:b/>
          <w:bCs/>
        </w:rPr>
      </w:pPr>
      <w:r>
        <w:rPr>
          <w:b/>
          <w:bCs/>
        </w:rPr>
        <w:t>3. Electronic Invoicing</w:t>
      </w:r>
    </w:p>
    <w:p w14:paraId="52A51595" w14:textId="77777777" w:rsidR="004548CD" w:rsidRDefault="004548CD" w:rsidP="004548CD"/>
    <w:p w14:paraId="38D349AB" w14:textId="0627B76F" w:rsidR="004548CD" w:rsidRPr="004548CD" w:rsidRDefault="004548CD" w:rsidP="004548CD">
      <w:r w:rsidRPr="004548CD">
        <w:t>The Authority shall accept for processing any electronic invoice that it is valid, undisputed and complies with the requirements of the Authority’s e-invoicing system</w:t>
      </w:r>
      <w:r w:rsidR="00810F88">
        <w:t>.</w:t>
      </w:r>
      <w:r w:rsidRPr="004548CD">
        <w:t xml:space="preserve"> </w:t>
      </w:r>
    </w:p>
    <w:p w14:paraId="42E7E3CD" w14:textId="77777777" w:rsidR="00810F88" w:rsidRDefault="00810F88" w:rsidP="00810F88"/>
    <w:p w14:paraId="1CBDF73F" w14:textId="4F13BA88" w:rsidR="004548CD" w:rsidRPr="004548CD" w:rsidRDefault="004548CD" w:rsidP="00810F88">
      <w:r w:rsidRPr="004548CD">
        <w:t xml:space="preserve">The Supplier shall ensure that each invoice is submitted in a PDF format and </w:t>
      </w:r>
    </w:p>
    <w:p w14:paraId="3EC2E25C" w14:textId="77777777" w:rsidR="004548CD" w:rsidRPr="004548CD" w:rsidRDefault="004548CD" w:rsidP="004548CD">
      <w:r w:rsidRPr="004548CD">
        <w:t>contains the following information:</w:t>
      </w:r>
    </w:p>
    <w:p w14:paraId="5572BF48" w14:textId="02C830FC" w:rsidR="004548CD" w:rsidRPr="004548CD" w:rsidRDefault="004548CD" w:rsidP="000D7A48">
      <w:pPr>
        <w:pStyle w:val="ListParagraph"/>
        <w:numPr>
          <w:ilvl w:val="0"/>
          <w:numId w:val="14"/>
        </w:numPr>
      </w:pPr>
      <w:r w:rsidRPr="004548CD">
        <w:t xml:space="preserve">the date of the invoice </w:t>
      </w:r>
    </w:p>
    <w:p w14:paraId="2E212185" w14:textId="774E91FF" w:rsidR="004548CD" w:rsidRPr="004548CD" w:rsidRDefault="004548CD" w:rsidP="000D7A48">
      <w:pPr>
        <w:pStyle w:val="ListParagraph"/>
        <w:numPr>
          <w:ilvl w:val="0"/>
          <w:numId w:val="14"/>
        </w:numPr>
      </w:pPr>
      <w:r w:rsidRPr="004548CD">
        <w:t xml:space="preserve">a unique invoice number </w:t>
      </w:r>
    </w:p>
    <w:p w14:paraId="480FC887" w14:textId="31CF20BC" w:rsidR="004548CD" w:rsidRPr="004548CD" w:rsidRDefault="004548CD" w:rsidP="000D7A48">
      <w:pPr>
        <w:pStyle w:val="ListParagraph"/>
        <w:numPr>
          <w:ilvl w:val="0"/>
          <w:numId w:val="14"/>
        </w:numPr>
      </w:pPr>
      <w:r w:rsidRPr="004548CD">
        <w:t>the period to which the relevant Charge(s) relate</w:t>
      </w:r>
    </w:p>
    <w:p w14:paraId="208CBB63" w14:textId="7A0BB476" w:rsidR="004548CD" w:rsidRPr="004548CD" w:rsidRDefault="004548CD" w:rsidP="000D7A48">
      <w:pPr>
        <w:pStyle w:val="ListParagraph"/>
        <w:numPr>
          <w:ilvl w:val="0"/>
          <w:numId w:val="14"/>
        </w:numPr>
      </w:pPr>
      <w:r w:rsidRPr="004548CD">
        <w:t>the correct reference for the Contract</w:t>
      </w:r>
    </w:p>
    <w:p w14:paraId="51FD7E5C" w14:textId="17CE94A2" w:rsidR="004548CD" w:rsidRPr="004548CD" w:rsidRDefault="004548CD" w:rsidP="000D7A48">
      <w:pPr>
        <w:pStyle w:val="ListParagraph"/>
        <w:numPr>
          <w:ilvl w:val="0"/>
          <w:numId w:val="14"/>
        </w:numPr>
      </w:pPr>
      <w:r w:rsidRPr="004548CD">
        <w:t>a valid Purchase Order Number</w:t>
      </w:r>
    </w:p>
    <w:p w14:paraId="0BE89DD4" w14:textId="66E9765B" w:rsidR="004548CD" w:rsidRPr="004548CD" w:rsidRDefault="004548CD" w:rsidP="000D7A48">
      <w:pPr>
        <w:pStyle w:val="ListParagraph"/>
        <w:numPr>
          <w:ilvl w:val="0"/>
          <w:numId w:val="14"/>
        </w:numPr>
      </w:pPr>
      <w:r w:rsidRPr="004548CD">
        <w:t>a description of the Deliverables</w:t>
      </w:r>
    </w:p>
    <w:p w14:paraId="0233DA91" w14:textId="6E8EE7D0" w:rsidR="004548CD" w:rsidRPr="004548CD" w:rsidRDefault="004548CD" w:rsidP="00FF5D96">
      <w:pPr>
        <w:pStyle w:val="ListParagraph"/>
        <w:numPr>
          <w:ilvl w:val="0"/>
          <w:numId w:val="14"/>
        </w:numPr>
      </w:pPr>
      <w:r w:rsidRPr="004548CD">
        <w:t>a contact name and telephone number of a responsible person in the Supplier's finance department and/or contract manager in the event of administrative queries; and</w:t>
      </w:r>
    </w:p>
    <w:p w14:paraId="66215D3A" w14:textId="076B3DD6" w:rsidR="004548CD" w:rsidRPr="004548CD" w:rsidRDefault="004548CD" w:rsidP="00FF5D96">
      <w:pPr>
        <w:pStyle w:val="ListParagraph"/>
        <w:numPr>
          <w:ilvl w:val="0"/>
          <w:numId w:val="14"/>
        </w:numPr>
      </w:pPr>
      <w:r w:rsidRPr="004548CD">
        <w:t>the banking details for payment to the Supplier via electronic transfer of funds (i.e. name and address of bank, sort code, account name and number).</w:t>
      </w:r>
    </w:p>
    <w:p w14:paraId="6A99F575" w14:textId="77777777" w:rsidR="00FF5D96" w:rsidRDefault="00FF5D96" w:rsidP="004548CD"/>
    <w:p w14:paraId="7124D496" w14:textId="37FF9E25" w:rsidR="004548CD" w:rsidRPr="004548CD" w:rsidRDefault="004548CD" w:rsidP="004548CD">
      <w:r w:rsidRPr="004548CD">
        <w:t xml:space="preserve">The Supplier shall submit all invoices and any requested supporting documentation through the Authority’s e-invoicing system or if that is not possible to: Shared Services Connected Ltd, PO Box 797, Newport, Gwent, NP10 8FZ with a copy (again including any supporting documentation) to such </w:t>
      </w:r>
    </w:p>
    <w:p w14:paraId="6C8CD04E" w14:textId="49997A48" w:rsidR="004548CD" w:rsidRPr="004548CD" w:rsidRDefault="004548CD" w:rsidP="004548CD">
      <w:r w:rsidRPr="004548CD">
        <w:t xml:space="preserve">other person and at such place as the Authority may notify to the Supplier from time to time. </w:t>
      </w:r>
    </w:p>
    <w:p w14:paraId="240BA163" w14:textId="77777777" w:rsidR="00FF5D96" w:rsidRDefault="00FF5D96" w:rsidP="004548CD"/>
    <w:p w14:paraId="7120428F" w14:textId="2A33E602" w:rsidR="004548CD" w:rsidRPr="004548CD" w:rsidRDefault="004548CD" w:rsidP="00FF5D96">
      <w:pPr>
        <w:pStyle w:val="ListParagraph"/>
        <w:numPr>
          <w:ilvl w:val="0"/>
          <w:numId w:val="15"/>
        </w:numPr>
      </w:pPr>
      <w:r w:rsidRPr="004548CD">
        <w:t>Invoices submitted electronically will not be processed if:</w:t>
      </w:r>
    </w:p>
    <w:p w14:paraId="7DA65C76" w14:textId="7D8EBA11" w:rsidR="004548CD" w:rsidRPr="004548CD" w:rsidRDefault="004548CD" w:rsidP="00FF5D96">
      <w:pPr>
        <w:pStyle w:val="ListParagraph"/>
        <w:numPr>
          <w:ilvl w:val="0"/>
          <w:numId w:val="15"/>
        </w:numPr>
      </w:pPr>
      <w:r w:rsidRPr="004548CD">
        <w:t>The electronic submission exceeds 4mb in size.</w:t>
      </w:r>
    </w:p>
    <w:p w14:paraId="72360616" w14:textId="682D95FE" w:rsidR="004548CD" w:rsidRPr="004548CD" w:rsidRDefault="004548CD" w:rsidP="00FF5D96">
      <w:pPr>
        <w:pStyle w:val="ListParagraph"/>
        <w:numPr>
          <w:ilvl w:val="0"/>
          <w:numId w:val="15"/>
        </w:numPr>
      </w:pPr>
      <w:r w:rsidRPr="004548CD">
        <w:lastRenderedPageBreak/>
        <w:t>Is not submitted in a PDF formatted document.</w:t>
      </w:r>
    </w:p>
    <w:p w14:paraId="1D947780" w14:textId="25F5CC5D" w:rsidR="004548CD" w:rsidRPr="004548CD" w:rsidRDefault="004548CD" w:rsidP="00FF5D96">
      <w:pPr>
        <w:pStyle w:val="ListParagraph"/>
        <w:numPr>
          <w:ilvl w:val="0"/>
          <w:numId w:val="15"/>
        </w:numPr>
      </w:pPr>
      <w:r w:rsidRPr="004548CD">
        <w:t>Multiple invoices are submitted in one PDF formatted document.</w:t>
      </w:r>
    </w:p>
    <w:p w14:paraId="7179A66C" w14:textId="0DA15B72" w:rsidR="00DF1F5A" w:rsidRPr="00A56A6A" w:rsidRDefault="00FF5D96" w:rsidP="00260BC4">
      <w:pPr>
        <w:pStyle w:val="ListParagraph"/>
        <w:numPr>
          <w:ilvl w:val="0"/>
          <w:numId w:val="15"/>
        </w:numPr>
        <w:rPr>
          <w:b/>
          <w:bCs/>
        </w:rPr>
      </w:pPr>
      <w:r>
        <w:t>T</w:t>
      </w:r>
      <w:r w:rsidR="004548CD" w:rsidRPr="004548CD">
        <w:t>he formatted PDF is “Password Protected”</w:t>
      </w:r>
    </w:p>
    <w:sectPr w:rsidR="00DF1F5A" w:rsidRPr="00A56A6A" w:rsidSect="00C30D6E">
      <w:footerReference w:type="default" r:id="rId23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6B954" w14:textId="77777777" w:rsidR="00A55190" w:rsidRDefault="00A55190" w:rsidP="006D4D44">
      <w:r>
        <w:separator/>
      </w:r>
    </w:p>
  </w:endnote>
  <w:endnote w:type="continuationSeparator" w:id="0">
    <w:p w14:paraId="627C7255" w14:textId="77777777" w:rsidR="00A55190" w:rsidRDefault="00A55190" w:rsidP="006D4D44">
      <w:r>
        <w:continuationSeparator/>
      </w:r>
    </w:p>
  </w:endnote>
  <w:endnote w:type="continuationNotice" w:id="1">
    <w:p w14:paraId="03FBA8F9" w14:textId="77777777" w:rsidR="00A55190" w:rsidRDefault="00A55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5C4FA8BD" w:rsidR="007E7D58" w:rsidRPr="0096507B" w:rsidRDefault="00E3289E" w:rsidP="0096507B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Order Form </w:t>
    </w:r>
    <w:r w:rsidR="0096507B">
      <w:rPr>
        <w:rFonts w:ascii="Arial" w:hAnsi="Arial" w:cs="Arial"/>
        <w:b/>
        <w:bCs/>
      </w:rPr>
      <w:t>EA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472C1" w14:textId="77777777" w:rsidR="00A55190" w:rsidRDefault="00A55190" w:rsidP="006D4D44">
      <w:r>
        <w:separator/>
      </w:r>
    </w:p>
  </w:footnote>
  <w:footnote w:type="continuationSeparator" w:id="0">
    <w:p w14:paraId="4F1DA0C4" w14:textId="77777777" w:rsidR="00A55190" w:rsidRDefault="00A55190" w:rsidP="006D4D44">
      <w:r>
        <w:continuationSeparator/>
      </w:r>
    </w:p>
  </w:footnote>
  <w:footnote w:type="continuationNotice" w:id="1">
    <w:p w14:paraId="1BB6873D" w14:textId="77777777" w:rsidR="00A55190" w:rsidRDefault="00A551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030E632F"/>
    <w:multiLevelType w:val="hybridMultilevel"/>
    <w:tmpl w:val="7FE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75F1A"/>
    <w:multiLevelType w:val="hybridMultilevel"/>
    <w:tmpl w:val="7460E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73ADB"/>
    <w:multiLevelType w:val="hybridMultilevel"/>
    <w:tmpl w:val="2ECEE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3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10"/>
  </w:num>
  <w:num w:numId="2" w16cid:durableId="48959668">
    <w:abstractNumId w:val="5"/>
  </w:num>
  <w:num w:numId="3" w16cid:durableId="1865634184">
    <w:abstractNumId w:val="3"/>
  </w:num>
  <w:num w:numId="4" w16cid:durableId="1817600806">
    <w:abstractNumId w:val="7"/>
  </w:num>
  <w:num w:numId="5" w16cid:durableId="1411125109">
    <w:abstractNumId w:val="2"/>
  </w:num>
  <w:num w:numId="6" w16cid:durableId="1032612986">
    <w:abstractNumId w:val="11"/>
  </w:num>
  <w:num w:numId="7" w16cid:durableId="57559465">
    <w:abstractNumId w:val="13"/>
  </w:num>
  <w:num w:numId="8" w16cid:durableId="1106075539">
    <w:abstractNumId w:val="12"/>
  </w:num>
  <w:num w:numId="9" w16cid:durableId="385764938">
    <w:abstractNumId w:val="0"/>
  </w:num>
  <w:num w:numId="10" w16cid:durableId="1917786695">
    <w:abstractNumId w:val="14"/>
  </w:num>
  <w:num w:numId="11" w16cid:durableId="2083286213">
    <w:abstractNumId w:val="4"/>
  </w:num>
  <w:num w:numId="12" w16cid:durableId="241069624">
    <w:abstractNumId w:val="6"/>
  </w:num>
  <w:num w:numId="13" w16cid:durableId="821502637">
    <w:abstractNumId w:val="1"/>
  </w:num>
  <w:num w:numId="14" w16cid:durableId="403264342">
    <w:abstractNumId w:val="8"/>
  </w:num>
  <w:num w:numId="15" w16cid:durableId="13941566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7FA0"/>
    <w:rsid w:val="00080F4C"/>
    <w:rsid w:val="00090B3C"/>
    <w:rsid w:val="00093053"/>
    <w:rsid w:val="00097664"/>
    <w:rsid w:val="00097FBF"/>
    <w:rsid w:val="000B50E0"/>
    <w:rsid w:val="000D3162"/>
    <w:rsid w:val="000D4BA5"/>
    <w:rsid w:val="000D6A64"/>
    <w:rsid w:val="000D7A48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4658"/>
    <w:rsid w:val="00137FF0"/>
    <w:rsid w:val="00140E15"/>
    <w:rsid w:val="00152BE0"/>
    <w:rsid w:val="00153E6E"/>
    <w:rsid w:val="00167421"/>
    <w:rsid w:val="0018116A"/>
    <w:rsid w:val="00184C46"/>
    <w:rsid w:val="00191411"/>
    <w:rsid w:val="001A085F"/>
    <w:rsid w:val="001A5EE7"/>
    <w:rsid w:val="001A603E"/>
    <w:rsid w:val="001A7EE6"/>
    <w:rsid w:val="001B4F0A"/>
    <w:rsid w:val="001B717B"/>
    <w:rsid w:val="001C0619"/>
    <w:rsid w:val="001D7DF2"/>
    <w:rsid w:val="001E3F05"/>
    <w:rsid w:val="001E591E"/>
    <w:rsid w:val="001E7197"/>
    <w:rsid w:val="001E7201"/>
    <w:rsid w:val="001E774C"/>
    <w:rsid w:val="001F0FAB"/>
    <w:rsid w:val="001F3697"/>
    <w:rsid w:val="001F3739"/>
    <w:rsid w:val="001F3B9F"/>
    <w:rsid w:val="001F43D2"/>
    <w:rsid w:val="001F56D9"/>
    <w:rsid w:val="001F7295"/>
    <w:rsid w:val="001F7939"/>
    <w:rsid w:val="00204975"/>
    <w:rsid w:val="0020641D"/>
    <w:rsid w:val="002312B7"/>
    <w:rsid w:val="002316D2"/>
    <w:rsid w:val="00233A70"/>
    <w:rsid w:val="002437CA"/>
    <w:rsid w:val="00245322"/>
    <w:rsid w:val="00260BC4"/>
    <w:rsid w:val="00261E81"/>
    <w:rsid w:val="00280C77"/>
    <w:rsid w:val="0028352A"/>
    <w:rsid w:val="0028704B"/>
    <w:rsid w:val="0029726B"/>
    <w:rsid w:val="002A6788"/>
    <w:rsid w:val="002C278A"/>
    <w:rsid w:val="002D005D"/>
    <w:rsid w:val="002D71E6"/>
    <w:rsid w:val="002F35F0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81CD1"/>
    <w:rsid w:val="00392B08"/>
    <w:rsid w:val="00392B73"/>
    <w:rsid w:val="003975F1"/>
    <w:rsid w:val="003A4E0A"/>
    <w:rsid w:val="003C4D8D"/>
    <w:rsid w:val="003E02E2"/>
    <w:rsid w:val="003E0478"/>
    <w:rsid w:val="003E1946"/>
    <w:rsid w:val="003E3F57"/>
    <w:rsid w:val="003F08CC"/>
    <w:rsid w:val="003F2057"/>
    <w:rsid w:val="003F40DF"/>
    <w:rsid w:val="003F5983"/>
    <w:rsid w:val="004028F1"/>
    <w:rsid w:val="00417BD4"/>
    <w:rsid w:val="00420833"/>
    <w:rsid w:val="0042367D"/>
    <w:rsid w:val="00425D5F"/>
    <w:rsid w:val="004267D0"/>
    <w:rsid w:val="00431E7C"/>
    <w:rsid w:val="004414FF"/>
    <w:rsid w:val="004548CD"/>
    <w:rsid w:val="0045719F"/>
    <w:rsid w:val="00460766"/>
    <w:rsid w:val="00460D75"/>
    <w:rsid w:val="004653AC"/>
    <w:rsid w:val="00466581"/>
    <w:rsid w:val="00467369"/>
    <w:rsid w:val="0047390D"/>
    <w:rsid w:val="00485A7F"/>
    <w:rsid w:val="00492860"/>
    <w:rsid w:val="004A3885"/>
    <w:rsid w:val="004A5DDE"/>
    <w:rsid w:val="004A78E6"/>
    <w:rsid w:val="004C027C"/>
    <w:rsid w:val="004D6A40"/>
    <w:rsid w:val="004E3F6D"/>
    <w:rsid w:val="004E401D"/>
    <w:rsid w:val="00502C2A"/>
    <w:rsid w:val="00520DB6"/>
    <w:rsid w:val="005331C6"/>
    <w:rsid w:val="00561D0A"/>
    <w:rsid w:val="005625C5"/>
    <w:rsid w:val="0056575C"/>
    <w:rsid w:val="0056680F"/>
    <w:rsid w:val="00592833"/>
    <w:rsid w:val="005954B9"/>
    <w:rsid w:val="005A002D"/>
    <w:rsid w:val="005A392D"/>
    <w:rsid w:val="005A6439"/>
    <w:rsid w:val="005B1264"/>
    <w:rsid w:val="005B1BD6"/>
    <w:rsid w:val="005B7BA0"/>
    <w:rsid w:val="005D7E88"/>
    <w:rsid w:val="005E3AB1"/>
    <w:rsid w:val="005F21B0"/>
    <w:rsid w:val="00607C0A"/>
    <w:rsid w:val="00622BBD"/>
    <w:rsid w:val="00623BC1"/>
    <w:rsid w:val="0062693F"/>
    <w:rsid w:val="006418F8"/>
    <w:rsid w:val="00643F0F"/>
    <w:rsid w:val="00650E75"/>
    <w:rsid w:val="00661567"/>
    <w:rsid w:val="00666C29"/>
    <w:rsid w:val="00670945"/>
    <w:rsid w:val="00671CDA"/>
    <w:rsid w:val="00675C3D"/>
    <w:rsid w:val="00694132"/>
    <w:rsid w:val="0069576E"/>
    <w:rsid w:val="006A3405"/>
    <w:rsid w:val="006B1941"/>
    <w:rsid w:val="006C1774"/>
    <w:rsid w:val="006C46CB"/>
    <w:rsid w:val="006D3AB7"/>
    <w:rsid w:val="006D4D44"/>
    <w:rsid w:val="006D71EE"/>
    <w:rsid w:val="006F3AA3"/>
    <w:rsid w:val="006F62EF"/>
    <w:rsid w:val="00714685"/>
    <w:rsid w:val="00720A44"/>
    <w:rsid w:val="007368D0"/>
    <w:rsid w:val="00737699"/>
    <w:rsid w:val="00755B7F"/>
    <w:rsid w:val="00772367"/>
    <w:rsid w:val="00775FBA"/>
    <w:rsid w:val="00782853"/>
    <w:rsid w:val="00782BF3"/>
    <w:rsid w:val="00786A8B"/>
    <w:rsid w:val="007940DD"/>
    <w:rsid w:val="007A1EC5"/>
    <w:rsid w:val="007A6ABF"/>
    <w:rsid w:val="007B0C5D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2C06"/>
    <w:rsid w:val="007F72FF"/>
    <w:rsid w:val="00810F88"/>
    <w:rsid w:val="0081473B"/>
    <w:rsid w:val="008162B1"/>
    <w:rsid w:val="0081639D"/>
    <w:rsid w:val="0082099A"/>
    <w:rsid w:val="00824FEA"/>
    <w:rsid w:val="0083401F"/>
    <w:rsid w:val="008373F3"/>
    <w:rsid w:val="00841C2B"/>
    <w:rsid w:val="00852203"/>
    <w:rsid w:val="008736A8"/>
    <w:rsid w:val="00876766"/>
    <w:rsid w:val="0089272A"/>
    <w:rsid w:val="0089641B"/>
    <w:rsid w:val="00897DEE"/>
    <w:rsid w:val="008A5737"/>
    <w:rsid w:val="008A6193"/>
    <w:rsid w:val="008B397E"/>
    <w:rsid w:val="008C06F3"/>
    <w:rsid w:val="008C0AAD"/>
    <w:rsid w:val="008C6DE8"/>
    <w:rsid w:val="008C6DE9"/>
    <w:rsid w:val="008D4530"/>
    <w:rsid w:val="008F21B2"/>
    <w:rsid w:val="008F26D3"/>
    <w:rsid w:val="008F6523"/>
    <w:rsid w:val="0090448C"/>
    <w:rsid w:val="00904553"/>
    <w:rsid w:val="009179C1"/>
    <w:rsid w:val="009240B8"/>
    <w:rsid w:val="00925FF9"/>
    <w:rsid w:val="00931574"/>
    <w:rsid w:val="00937B12"/>
    <w:rsid w:val="0095605E"/>
    <w:rsid w:val="00957A9E"/>
    <w:rsid w:val="00964799"/>
    <w:rsid w:val="0096507B"/>
    <w:rsid w:val="00973FCF"/>
    <w:rsid w:val="00982134"/>
    <w:rsid w:val="00982F06"/>
    <w:rsid w:val="00983BD6"/>
    <w:rsid w:val="00986BDA"/>
    <w:rsid w:val="00987AD1"/>
    <w:rsid w:val="009B2C9D"/>
    <w:rsid w:val="009C2213"/>
    <w:rsid w:val="009D51E3"/>
    <w:rsid w:val="009D5364"/>
    <w:rsid w:val="009D6BFB"/>
    <w:rsid w:val="009E4387"/>
    <w:rsid w:val="009F520C"/>
    <w:rsid w:val="009F6829"/>
    <w:rsid w:val="009F7160"/>
    <w:rsid w:val="00A005B1"/>
    <w:rsid w:val="00A1327E"/>
    <w:rsid w:val="00A14AE1"/>
    <w:rsid w:val="00A242C1"/>
    <w:rsid w:val="00A303A3"/>
    <w:rsid w:val="00A348D3"/>
    <w:rsid w:val="00A55190"/>
    <w:rsid w:val="00A56A6A"/>
    <w:rsid w:val="00A73F97"/>
    <w:rsid w:val="00A81221"/>
    <w:rsid w:val="00A81E57"/>
    <w:rsid w:val="00A82FE8"/>
    <w:rsid w:val="00A96673"/>
    <w:rsid w:val="00A96A21"/>
    <w:rsid w:val="00AD3527"/>
    <w:rsid w:val="00AD73E4"/>
    <w:rsid w:val="00AE364D"/>
    <w:rsid w:val="00AE4917"/>
    <w:rsid w:val="00AE4BE3"/>
    <w:rsid w:val="00AF611B"/>
    <w:rsid w:val="00B10E68"/>
    <w:rsid w:val="00B16F5C"/>
    <w:rsid w:val="00B21941"/>
    <w:rsid w:val="00B21FD2"/>
    <w:rsid w:val="00B23851"/>
    <w:rsid w:val="00B32900"/>
    <w:rsid w:val="00B45454"/>
    <w:rsid w:val="00B46D37"/>
    <w:rsid w:val="00B632B0"/>
    <w:rsid w:val="00B660D0"/>
    <w:rsid w:val="00B76B73"/>
    <w:rsid w:val="00B8223A"/>
    <w:rsid w:val="00B9205B"/>
    <w:rsid w:val="00B95ED5"/>
    <w:rsid w:val="00BA1A16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3D97"/>
    <w:rsid w:val="00C66B2C"/>
    <w:rsid w:val="00C67A7F"/>
    <w:rsid w:val="00C8287E"/>
    <w:rsid w:val="00C92544"/>
    <w:rsid w:val="00C979DE"/>
    <w:rsid w:val="00CA4382"/>
    <w:rsid w:val="00CA4BA2"/>
    <w:rsid w:val="00CB58BC"/>
    <w:rsid w:val="00CD0BC1"/>
    <w:rsid w:val="00CF313C"/>
    <w:rsid w:val="00CF44D8"/>
    <w:rsid w:val="00CF572A"/>
    <w:rsid w:val="00CF68EF"/>
    <w:rsid w:val="00D016D1"/>
    <w:rsid w:val="00D067DB"/>
    <w:rsid w:val="00D109E4"/>
    <w:rsid w:val="00D13D45"/>
    <w:rsid w:val="00D21BA4"/>
    <w:rsid w:val="00D26540"/>
    <w:rsid w:val="00D2736E"/>
    <w:rsid w:val="00D37CE0"/>
    <w:rsid w:val="00D516F6"/>
    <w:rsid w:val="00D833E2"/>
    <w:rsid w:val="00D92643"/>
    <w:rsid w:val="00D929D8"/>
    <w:rsid w:val="00DA5CAA"/>
    <w:rsid w:val="00DC3186"/>
    <w:rsid w:val="00DD176F"/>
    <w:rsid w:val="00DD5B37"/>
    <w:rsid w:val="00DD5CF3"/>
    <w:rsid w:val="00DE1DB2"/>
    <w:rsid w:val="00DE71B5"/>
    <w:rsid w:val="00DF1F5A"/>
    <w:rsid w:val="00E02BF7"/>
    <w:rsid w:val="00E151DE"/>
    <w:rsid w:val="00E177C1"/>
    <w:rsid w:val="00E25618"/>
    <w:rsid w:val="00E3005D"/>
    <w:rsid w:val="00E31A41"/>
    <w:rsid w:val="00E3289E"/>
    <w:rsid w:val="00E42D4F"/>
    <w:rsid w:val="00E4362A"/>
    <w:rsid w:val="00E567F8"/>
    <w:rsid w:val="00E570AC"/>
    <w:rsid w:val="00E71E78"/>
    <w:rsid w:val="00E72C17"/>
    <w:rsid w:val="00E747E2"/>
    <w:rsid w:val="00E767AE"/>
    <w:rsid w:val="00E76D6F"/>
    <w:rsid w:val="00E8097B"/>
    <w:rsid w:val="00E82DFB"/>
    <w:rsid w:val="00E82F01"/>
    <w:rsid w:val="00E95F0F"/>
    <w:rsid w:val="00EA529F"/>
    <w:rsid w:val="00EB5236"/>
    <w:rsid w:val="00ED3EB7"/>
    <w:rsid w:val="00ED5D8E"/>
    <w:rsid w:val="00ED7BB0"/>
    <w:rsid w:val="00ED7D8D"/>
    <w:rsid w:val="00EE40F2"/>
    <w:rsid w:val="00EE572A"/>
    <w:rsid w:val="00EF5104"/>
    <w:rsid w:val="00EF562A"/>
    <w:rsid w:val="00F105CD"/>
    <w:rsid w:val="00F315B1"/>
    <w:rsid w:val="00F31EED"/>
    <w:rsid w:val="00F336BA"/>
    <w:rsid w:val="00F34637"/>
    <w:rsid w:val="00F41BF3"/>
    <w:rsid w:val="00F442CD"/>
    <w:rsid w:val="00F476E9"/>
    <w:rsid w:val="00F5113F"/>
    <w:rsid w:val="00F52B8D"/>
    <w:rsid w:val="00F55C82"/>
    <w:rsid w:val="00F622CE"/>
    <w:rsid w:val="00F638C9"/>
    <w:rsid w:val="00F703C7"/>
    <w:rsid w:val="00F76444"/>
    <w:rsid w:val="00F77094"/>
    <w:rsid w:val="00F81522"/>
    <w:rsid w:val="00F8541A"/>
    <w:rsid w:val="00F8733D"/>
    <w:rsid w:val="00F90CE2"/>
    <w:rsid w:val="00FA2C69"/>
    <w:rsid w:val="00FA703D"/>
    <w:rsid w:val="00FB05DC"/>
    <w:rsid w:val="00FC070D"/>
    <w:rsid w:val="00FC1519"/>
    <w:rsid w:val="00FD57F2"/>
    <w:rsid w:val="00FF00F0"/>
    <w:rsid w:val="00FF5115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BF2E417E-8C2A-0449-AC0E-EFE224BC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table" w:customStyle="1" w:styleId="Table">
    <w:name w:val="Table"/>
    <w:basedOn w:val="TableNormal"/>
    <w:uiPriority w:val="99"/>
    <w:rsid w:val="005A002D"/>
    <w:rPr>
      <w:rFonts w:ascii="Arial" w:hAnsi="Arial"/>
      <w:color w:val="000000"/>
      <w:lang w:val="en-GB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  <w:style w:type="character" w:customStyle="1" w:styleId="Text">
    <w:name w:val="Text"/>
    <w:qFormat/>
    <w:rsid w:val="001A085F"/>
    <w:rPr>
      <w:rFonts w:ascii="Arial" w:hAnsi="Arial"/>
      <w:sz w:val="24"/>
    </w:rPr>
  </w:style>
  <w:style w:type="character" w:customStyle="1" w:styleId="SubheadingChar">
    <w:name w:val="Sub heading Char"/>
    <w:link w:val="Subheading"/>
    <w:locked/>
    <w:rsid w:val="001A085F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1A085F"/>
    <w:pPr>
      <w:spacing w:after="240" w:line="276" w:lineRule="auto"/>
    </w:pPr>
    <w:rPr>
      <w:rFonts w:eastAsiaTheme="minorHAnsi"/>
      <w:b/>
      <w:sz w:val="26"/>
      <w:szCs w:val="26"/>
    </w:rPr>
  </w:style>
  <w:style w:type="character" w:customStyle="1" w:styleId="Boldtext">
    <w:name w:val="Bold text"/>
    <w:uiPriority w:val="1"/>
    <w:qFormat/>
    <w:rsid w:val="001A085F"/>
    <w:rPr>
      <w:rFonts w:ascii="Arial" w:hAnsi="Arial" w:cs="Arial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8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www.gov.uk/government/publications/security-policy-framework/hmg-security-policy-framewor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publications/environment-agency-regulatory-statement/environment-agency-regulatory-statement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tania.stratford@genvironment-agency.gov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robf.jones@environment-agency.gov.uk" TargetMode="External"/><Relationship Id="rId20" Type="http://schemas.openxmlformats.org/officeDocument/2006/relationships/hyperlink" Target="https://www.gov.uk/government/organisations/environment-agency/about/equality-and-diversity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tania.stratford@genvironment-agency.gov.uk" TargetMode="External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www.gov.uk/government/publications/environment-agency-reaching-net-zero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Pinvoices-ENV-U@gov.sscl.com" TargetMode="External"/><Relationship Id="rId22" Type="http://schemas.openxmlformats.org/officeDocument/2006/relationships/hyperlink" Target="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33</Value>
      <Value>31</Value>
      <Value>9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5365c18e-ad1a-4372-9a06-99106379f23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tr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9E7B433FA52494180661DA619D1D45E" ma:contentTypeVersion="37" ma:contentTypeDescription="Create a new document." ma:contentTypeScope="" ma:versionID="00001a41c24f7ddd8313b564a0092ed5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82cd4b0c-8326-4f12-b0f2-5a6010da14d2" xmlns:ns4="5365c18e-ad1a-4372-9a06-99106379f235" targetNamespace="http://schemas.microsoft.com/office/2006/metadata/properties" ma:root="true" ma:fieldsID="e4b2f400ea53eeaf7e9a7e07bfa91973" ns1:_="" ns2:_="" ns3:_="" ns4:_="">
    <xsd:import namespace="http://schemas.microsoft.com/sharepoint/v3"/>
    <xsd:import namespace="662745e8-e224-48e8-a2e3-254862b8c2f5"/>
    <xsd:import namespace="82cd4b0c-8326-4f12-b0f2-5a6010da14d2"/>
    <xsd:import namespace="5365c18e-ad1a-4372-9a06-99106379f23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32008e3-508a-40f6-86c6-2a8f2cdc286a}" ma:internalName="TaxCatchAll" ma:showField="CatchAllData" ma:web="82cd4b0c-8326-4f12-b0f2-5a6010da1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32008e3-508a-40f6-86c6-2a8f2cdc286a}" ma:internalName="TaxCatchAllLabel" ma:readOnly="true" ma:showField="CatchAllDataLabel" ma:web="82cd4b0c-8326-4f12-b0f2-5a6010da1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ional Monitoring" ma:internalName="Team">
      <xsd:simpleType>
        <xsd:restriction base="dms:Text"/>
      </xsd:simpleType>
    </xsd:element>
    <xsd:element name="Topic" ma:index="20" nillable="true" ma:displayName="Topic" ma:default="Monitoring Contrac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d4b0c-8326-4f12-b0f2-5a6010da14d2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5c18e-ad1a-4372-9a06-99106379f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E94EC-3039-42FC-A394-4DA79B9B214C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5365c18e-ad1a-4372-9a06-99106379f23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FD42C08-45E4-4DDE-A5FB-9B342DC4A91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56D665E-08A6-4F59-8BFB-7B7A6B9FD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82cd4b0c-8326-4f12-b0f2-5a6010da14d2"/>
    <ds:schemaRef ds:uri="5365c18e-ad1a-4372-9a06-99106379f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Stratford, Tania</cp:lastModifiedBy>
  <cp:revision>28</cp:revision>
  <dcterms:created xsi:type="dcterms:W3CDTF">2024-10-17T15:10:00Z</dcterms:created>
  <dcterms:modified xsi:type="dcterms:W3CDTF">2024-10-22T09:49:00Z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MediaServiceImageTags">
    <vt:lpwstr/>
  </property>
  <property fmtid="{D5CDD505-2E9C-101B-9397-08002B2CF9AE}" pid="4" name="InformationType">
    <vt:lpwstr/>
  </property>
  <property fmtid="{D5CDD505-2E9C-101B-9397-08002B2CF9AE}" pid="5" name="HOCopyrightLevel">
    <vt:lpwstr>7;#Crown|69589897-2828-4761-976e-717fd8e631c9</vt:lpwstr>
  </property>
  <property fmtid="{D5CDD505-2E9C-101B-9397-08002B2CF9AE}" pid="6" name="HOGovernmentSecurityClassification">
    <vt:lpwstr>6;#Official|14c80daa-741b-422c-9722-f71693c9ede4</vt:lpwstr>
  </property>
  <property fmtid="{D5CDD505-2E9C-101B-9397-08002B2CF9AE}" pid="7" name="ContentTypeId">
    <vt:lpwstr>0x010100A5BF1C78D9F64B679A5EBDE1C6598EBC010069E7B433FA52494180661DA619D1D45E</vt:lpwstr>
  </property>
  <property fmtid="{D5CDD505-2E9C-101B-9397-08002B2CF9AE}" pid="8" name="Distribution">
    <vt:lpwstr>9;#Internal Defra Group|0867f7b3-e76e-40ca-bb1f-5ba341a49230</vt:lpwstr>
  </property>
  <property fmtid="{D5CDD505-2E9C-101B-9397-08002B2CF9AE}" pid="9" name="HOSiteType">
    <vt:lpwstr>31;#Community|144ac7d7-0b9a-42f9-9385-2935294b6de3</vt:lpwstr>
  </property>
  <property fmtid="{D5CDD505-2E9C-101B-9397-08002B2CF9AE}" pid="10" name="OrganisationalUnit">
    <vt:lpwstr>33;#Defra Group Commercial|88c065df-18f9-4530-b972-ea809b7dd96d</vt:lpwstr>
  </property>
</Properties>
</file>