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05197"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2C7620">
      <w:pPr>
        <w:pStyle w:val="Covertitle"/>
      </w:pPr>
    </w:p>
    <w:p w14:paraId="412394D9" w14:textId="77777777" w:rsidR="00BA4F54" w:rsidRDefault="00BA4F54" w:rsidP="002C7620">
      <w:pPr>
        <w:pStyle w:val="Covertitle"/>
      </w:pPr>
    </w:p>
    <w:p w14:paraId="0D12115E" w14:textId="77777777" w:rsidR="00BA4F54" w:rsidRDefault="00BA4F54" w:rsidP="002C7620">
      <w:pPr>
        <w:pStyle w:val="Covertitle"/>
      </w:pPr>
    </w:p>
    <w:p w14:paraId="0930F009" w14:textId="77777777" w:rsidR="00BA4F54" w:rsidRDefault="00BA4F54" w:rsidP="002C7620">
      <w:pPr>
        <w:pStyle w:val="Covertitle"/>
      </w:pPr>
    </w:p>
    <w:p w14:paraId="3575352E" w14:textId="77777777" w:rsidR="00BA4F54" w:rsidRDefault="00BA4F54" w:rsidP="002C7620">
      <w:pPr>
        <w:pStyle w:val="Covertitle"/>
      </w:pPr>
    </w:p>
    <w:p w14:paraId="6C85EA1E" w14:textId="7AD2C897" w:rsidR="000D7C5A" w:rsidRPr="007905D0" w:rsidRDefault="006218B8" w:rsidP="002C7620">
      <w:pPr>
        <w:pStyle w:val="Covertitle"/>
      </w:pPr>
      <w:r>
        <w:t xml:space="preserve">The </w:t>
      </w:r>
      <w:r w:rsidR="00621690">
        <w:t>b</w:t>
      </w:r>
      <w:r>
        <w:t xml:space="preserve">aseline profit </w:t>
      </w:r>
      <w:r w:rsidR="00621690">
        <w:t xml:space="preserve">rate and capital servicing rates </w:t>
      </w:r>
      <w:r w:rsidR="00C67A40">
        <w:t>assurance</w:t>
      </w:r>
      <w:r w:rsidR="00EA6626">
        <w:t xml:space="preserve"> </w:t>
      </w:r>
      <w:r w:rsidR="00621690">
        <w:t xml:space="preserve">services </w:t>
      </w:r>
    </w:p>
    <w:p w14:paraId="68737AE1" w14:textId="1D14F546" w:rsidR="00FF04AE" w:rsidRDefault="006E7794" w:rsidP="002C7620">
      <w:pPr>
        <w:pStyle w:val="Cover-sub-title"/>
        <w:spacing w:after="240"/>
      </w:pPr>
      <w:r>
        <w:t>Specification</w:t>
      </w:r>
    </w:p>
    <w:p w14:paraId="481245B0" w14:textId="29BCF5BE" w:rsidR="006727F9" w:rsidRDefault="006727F9" w:rsidP="002C7620">
      <w:pPr>
        <w:pStyle w:val="Cover-sub-title"/>
        <w:spacing w:after="240"/>
      </w:pPr>
    </w:p>
    <w:p w14:paraId="313DFEDA" w14:textId="77777777" w:rsidR="006B78CE" w:rsidRPr="00EB58B8" w:rsidRDefault="00D219B7" w:rsidP="00EA6626">
      <w:pPr>
        <w:pStyle w:val="Heading2"/>
      </w:pPr>
      <w:r>
        <w:br w:type="page"/>
      </w:r>
      <w:r w:rsidR="00EA6626" w:rsidRPr="00EB58B8">
        <w:lastRenderedPageBreak/>
        <w:t>Introduction</w:t>
      </w:r>
    </w:p>
    <w:p w14:paraId="6FB16ED9" w14:textId="2E871394" w:rsidR="007C3502" w:rsidRDefault="005177DF" w:rsidP="007C3502">
      <w:pPr>
        <w:pStyle w:val="Textnumbered"/>
        <w:tabs>
          <w:tab w:val="clear" w:pos="567"/>
        </w:tabs>
        <w:ind w:left="720" w:hanging="720"/>
      </w:pPr>
      <w:r w:rsidRPr="00FD04FB">
        <w:rPr>
          <w:szCs w:val="22"/>
        </w:rPr>
        <w:t xml:space="preserve">The UK spends over </w:t>
      </w:r>
      <w:r w:rsidRPr="00B152E7">
        <w:rPr>
          <w:szCs w:val="22"/>
        </w:rPr>
        <w:t>£8 billion</w:t>
      </w:r>
      <w:r w:rsidRPr="00FD04FB">
        <w:rPr>
          <w:szCs w:val="22"/>
        </w:rPr>
        <w:t xml:space="preserve"> a year on single source (non-competitive) Ministry of Defence </w:t>
      </w:r>
      <w:r>
        <w:rPr>
          <w:szCs w:val="22"/>
        </w:rPr>
        <w:t xml:space="preserve">(MOD) </w:t>
      </w:r>
      <w:r w:rsidRPr="00FD04FB">
        <w:rPr>
          <w:szCs w:val="22"/>
        </w:rPr>
        <w:t xml:space="preserve">contracts. </w:t>
      </w:r>
      <w:r w:rsidR="007C3502" w:rsidRPr="007C3502">
        <w:t>The Defence Reform Act 2014 and the Single Source Contract Regulations 2014 establish a regulatory framework which includes the following key features in regard to the rate of profit payable on qualifying defence contracts (QDC) and qualifying sub-contracts (QSC</w:t>
      </w:r>
      <w:r w:rsidR="007C3502">
        <w:t>).</w:t>
      </w:r>
    </w:p>
    <w:p w14:paraId="4AF3109F" w14:textId="7B49A1A5" w:rsidR="00FC1D10" w:rsidRPr="007C3502" w:rsidRDefault="007C3502" w:rsidP="007C3502">
      <w:pPr>
        <w:pStyle w:val="Textnumbered"/>
        <w:tabs>
          <w:tab w:val="clear" w:pos="567"/>
        </w:tabs>
        <w:ind w:left="720" w:hanging="720"/>
      </w:pPr>
      <w:r w:rsidRPr="007C3502">
        <w:t>The contract price of a qualifying contract is determined by the formula: price = (CPR x AC) + AC, where CPR is the contract profit rate and AC means the Allowable Costs</w:t>
      </w:r>
      <w:r w:rsidR="0011633B">
        <w:t xml:space="preserve"> determined in accordance </w:t>
      </w:r>
      <w:r w:rsidR="00DC3BEA">
        <w:t xml:space="preserve">with </w:t>
      </w:r>
      <w:r w:rsidR="0011633B">
        <w:t xml:space="preserve">one of </w:t>
      </w:r>
      <w:r w:rsidR="00DC3BEA">
        <w:t xml:space="preserve">the </w:t>
      </w:r>
      <w:r w:rsidR="0011633B">
        <w:t>six regulated pricing methods</w:t>
      </w:r>
      <w:r w:rsidRPr="007C3502">
        <w:t>. The contract profit rate is determined in each case by beginning with a baseline profit rate (BPR) and making adjustments as part of a six-step process. This adjustment process applies rates for capital servicing and a funding adjustment. The Allowable Costs are those related to the delivery of the contract which the parties agree satisfy the test of being Appropriate, Attributable to the contract and Reasonable in the circumstances (the ‘AAR test’).</w:t>
      </w:r>
      <w:r w:rsidR="00FC1D10" w:rsidRPr="007C3502">
        <w:t xml:space="preserve"> </w:t>
      </w:r>
    </w:p>
    <w:p w14:paraId="211A8005" w14:textId="646FB378" w:rsidR="007C3502" w:rsidRPr="007C3502" w:rsidRDefault="007C3502" w:rsidP="007C3502">
      <w:pPr>
        <w:pStyle w:val="Textnumbered"/>
        <w:tabs>
          <w:tab w:val="clear" w:pos="567"/>
        </w:tabs>
        <w:ind w:left="720" w:hanging="720"/>
      </w:pPr>
      <w:r w:rsidRPr="007C3502">
        <w:t>The SSRO makes an annual assessment of the baseline profit rate, capital servicing rates and funding adjustment (the “rates”). The rates are recommended to the Secretary of State no later than the 31st of January in the financial year prior to that in which they will apply.</w:t>
      </w:r>
      <w:r w:rsidR="006607E5">
        <w:t xml:space="preserve"> The Secretary of State </w:t>
      </w:r>
      <w:r w:rsidR="0011633B">
        <w:t>determines</w:t>
      </w:r>
      <w:r w:rsidR="006607E5">
        <w:t xml:space="preserve"> the rates to</w:t>
      </w:r>
      <w:r w:rsidR="0011633B">
        <w:t xml:space="preserve"> be</w:t>
      </w:r>
      <w:r w:rsidR="006607E5">
        <w:t xml:space="preserve"> used not later than </w:t>
      </w:r>
      <w:r w:rsidR="006607E5" w:rsidRPr="007C3502">
        <w:t xml:space="preserve">the </w:t>
      </w:r>
      <w:r w:rsidR="00474476">
        <w:t>15</w:t>
      </w:r>
      <w:r w:rsidR="00474476" w:rsidRPr="00474476">
        <w:t>th</w:t>
      </w:r>
      <w:r w:rsidR="00474476">
        <w:t xml:space="preserve"> </w:t>
      </w:r>
      <w:r w:rsidR="006607E5" w:rsidRPr="007C3502">
        <w:t xml:space="preserve">of </w:t>
      </w:r>
      <w:r w:rsidR="006607E5">
        <w:t>March</w:t>
      </w:r>
      <w:r w:rsidR="006607E5" w:rsidRPr="007C3502">
        <w:t xml:space="preserve"> in the financial year prior to that in which they will apply</w:t>
      </w:r>
      <w:r w:rsidR="006607E5">
        <w:t>.</w:t>
      </w:r>
    </w:p>
    <w:p w14:paraId="10ADF7A4" w14:textId="598124D3" w:rsidR="007C3502" w:rsidRPr="007C3502" w:rsidRDefault="007C3502" w:rsidP="007C3502">
      <w:pPr>
        <w:pStyle w:val="Textnumbered"/>
        <w:tabs>
          <w:tab w:val="clear" w:pos="567"/>
        </w:tabs>
        <w:ind w:left="720" w:hanging="720"/>
      </w:pPr>
      <w:r w:rsidRPr="007C3502">
        <w:t xml:space="preserve">The SSRO’s recommended baseline profit rate for 2017/18 on qualifying defence contracts of 7.46 per cent took effect in April 2017. The </w:t>
      </w:r>
      <w:r w:rsidR="00D44C4B">
        <w:t>S</w:t>
      </w:r>
      <w:r w:rsidR="00FE6D9C">
        <w:t>SRO also recommended a f</w:t>
      </w:r>
      <w:r w:rsidR="00D44C4B">
        <w:t>ixed capital servicing rate of 4.84%, a positive working capital servic</w:t>
      </w:r>
      <w:r w:rsidR="00FE6D9C">
        <w:t>i</w:t>
      </w:r>
      <w:r w:rsidR="00D44C4B">
        <w:t xml:space="preserve">ng rate of 1.37% and a negative working </w:t>
      </w:r>
      <w:r w:rsidR="00FE6D9C">
        <w:t>capital servicing rate of 0.59%. These rates were accepted by the Secretary of State and took effect in April 2017</w:t>
      </w:r>
      <w:r w:rsidRPr="007C3502">
        <w:t xml:space="preserve">. </w:t>
      </w:r>
    </w:p>
    <w:p w14:paraId="13319857" w14:textId="547C299C" w:rsidR="004235D7" w:rsidRDefault="004235D7" w:rsidP="007C3502">
      <w:pPr>
        <w:pStyle w:val="Textnumbered"/>
        <w:tabs>
          <w:tab w:val="clear" w:pos="567"/>
        </w:tabs>
        <w:ind w:left="720" w:hanging="720"/>
      </w:pPr>
      <w:r>
        <w:t xml:space="preserve">The SSRO has a dedicated in-house team that calculates the rates, and has access to the data systems relevant for calculating the rates. </w:t>
      </w:r>
    </w:p>
    <w:p w14:paraId="7D020E6A" w14:textId="441C77ED" w:rsidR="007C3502" w:rsidRPr="007C3502" w:rsidRDefault="007C3502" w:rsidP="007C3502">
      <w:pPr>
        <w:pStyle w:val="Textnumbered"/>
        <w:tabs>
          <w:tab w:val="clear" w:pos="567"/>
        </w:tabs>
        <w:ind w:left="720" w:hanging="720"/>
      </w:pPr>
      <w:r w:rsidRPr="007C3502">
        <w:t>The methodology used to calculate the 2016/17 rates can be found here:</w:t>
      </w:r>
    </w:p>
    <w:p w14:paraId="00B8FE5E" w14:textId="741E6A20" w:rsidR="007C3502" w:rsidRDefault="00BA6033" w:rsidP="007C3502">
      <w:pPr>
        <w:ind w:left="567"/>
        <w:rPr>
          <w:rStyle w:val="Hyperlink"/>
          <w:rFonts w:ascii="Arial" w:hAnsi="Arial" w:cs="Arial"/>
          <w:sz w:val="22"/>
          <w:szCs w:val="22"/>
        </w:rPr>
      </w:pPr>
      <w:hyperlink r:id="rId13" w:history="1">
        <w:r w:rsidR="007C3502" w:rsidRPr="007C3502">
          <w:rPr>
            <w:rStyle w:val="Hyperlink"/>
            <w:rFonts w:ascii="Arial" w:hAnsi="Arial" w:cs="Arial"/>
            <w:sz w:val="22"/>
            <w:szCs w:val="22"/>
          </w:rPr>
          <w:t>https:www.gov.uk/government,publications/2017-contract-profit-rate/single source baseline profit rate, capital servicing rates and funding adjustment methodology 2017/18</w:t>
        </w:r>
      </w:hyperlink>
    </w:p>
    <w:p w14:paraId="3266C75D" w14:textId="2A933A61" w:rsidR="00E6609E" w:rsidRPr="001D3AC1" w:rsidRDefault="00C153E5" w:rsidP="00C153E5">
      <w:pPr>
        <w:pStyle w:val="Heading2"/>
      </w:pPr>
      <w:r w:rsidRPr="001D3AC1">
        <w:t>The Services</w:t>
      </w:r>
    </w:p>
    <w:p w14:paraId="2BAD171E" w14:textId="5CB5F75A" w:rsidR="00C67A40" w:rsidRDefault="00C67A40" w:rsidP="00C67A40">
      <w:pPr>
        <w:pStyle w:val="Textnumbered"/>
      </w:pPr>
      <w:r w:rsidRPr="00FD04FB">
        <w:t xml:space="preserve">The SSRO is seeking </w:t>
      </w:r>
      <w:r>
        <w:t xml:space="preserve">an </w:t>
      </w:r>
      <w:r w:rsidR="00BB3546">
        <w:t xml:space="preserve">independent </w:t>
      </w:r>
      <w:r>
        <w:t xml:space="preserve">assurance service </w:t>
      </w:r>
      <w:r w:rsidRPr="00FD04FB">
        <w:t xml:space="preserve">in relation to the </w:t>
      </w:r>
      <w:r w:rsidRPr="00FD04FB">
        <w:rPr>
          <w:szCs w:val="22"/>
        </w:rPr>
        <w:t>baseline profit rate</w:t>
      </w:r>
      <w:r>
        <w:rPr>
          <w:szCs w:val="22"/>
        </w:rPr>
        <w:t xml:space="preserve"> and</w:t>
      </w:r>
      <w:r w:rsidRPr="00FD04FB">
        <w:rPr>
          <w:szCs w:val="22"/>
        </w:rPr>
        <w:t xml:space="preserve"> capital servicing rates</w:t>
      </w:r>
      <w:r w:rsidRPr="00FD04FB">
        <w:t xml:space="preserve"> that </w:t>
      </w:r>
      <w:r>
        <w:t>it</w:t>
      </w:r>
      <w:r w:rsidRPr="00FD04FB">
        <w:t xml:space="preserve"> will recommend to the Secretary of State </w:t>
      </w:r>
      <w:r w:rsidR="00E31382">
        <w:t>in January 2018</w:t>
      </w:r>
      <w:r w:rsidRPr="00FD04FB">
        <w:t xml:space="preserve">. This </w:t>
      </w:r>
      <w:r>
        <w:t xml:space="preserve">service </w:t>
      </w:r>
      <w:r w:rsidRPr="00FD04FB">
        <w:t xml:space="preserve">will take the form of independent </w:t>
      </w:r>
      <w:r>
        <w:t>assurance</w:t>
      </w:r>
      <w:r w:rsidRPr="00FD04FB">
        <w:t xml:space="preserve"> on the </w:t>
      </w:r>
      <w:r>
        <w:t xml:space="preserve">transfer pricing elements of the </w:t>
      </w:r>
      <w:r w:rsidRPr="00FD04FB">
        <w:t>method</w:t>
      </w:r>
      <w:r>
        <w:t>ology used</w:t>
      </w:r>
      <w:r w:rsidRPr="00FD04FB">
        <w:t xml:space="preserve"> to calculate the rates and the execution of that method</w:t>
      </w:r>
      <w:r>
        <w:t>ology</w:t>
      </w:r>
      <w:r w:rsidRPr="00FD04FB">
        <w:t xml:space="preserve">. The objective will be to provide the SSRO Board with an independent </w:t>
      </w:r>
      <w:r>
        <w:t xml:space="preserve">professional assurance </w:t>
      </w:r>
      <w:r w:rsidRPr="00FD04FB">
        <w:t xml:space="preserve">on </w:t>
      </w:r>
      <w:r>
        <w:t xml:space="preserve">whether </w:t>
      </w:r>
      <w:r w:rsidRPr="00FD04FB">
        <w:t xml:space="preserve">the </w:t>
      </w:r>
      <w:r>
        <w:t>transfer pricing elements of methodology used</w:t>
      </w:r>
      <w:r w:rsidR="0079437C">
        <w:t>,</w:t>
      </w:r>
      <w:r>
        <w:t xml:space="preserve"> and its application to calculate the </w:t>
      </w:r>
      <w:r w:rsidRPr="00FD04FB">
        <w:rPr>
          <w:szCs w:val="22"/>
        </w:rPr>
        <w:t>baseline profit rate</w:t>
      </w:r>
      <w:r>
        <w:rPr>
          <w:szCs w:val="22"/>
        </w:rPr>
        <w:t xml:space="preserve"> and</w:t>
      </w:r>
      <w:r w:rsidRPr="00FD04FB">
        <w:rPr>
          <w:szCs w:val="22"/>
        </w:rPr>
        <w:t xml:space="preserve"> capital servicing rates</w:t>
      </w:r>
      <w:r w:rsidR="0079437C">
        <w:rPr>
          <w:szCs w:val="22"/>
        </w:rPr>
        <w:t>,</w:t>
      </w:r>
      <w:r>
        <w:t xml:space="preserve"> are f</w:t>
      </w:r>
      <w:r w:rsidRPr="00FD04FB">
        <w:t>it for purpose</w:t>
      </w:r>
      <w:r w:rsidR="003D1D68">
        <w:t>,</w:t>
      </w:r>
      <w:r>
        <w:t xml:space="preserve"> and can stand up to scrutiny</w:t>
      </w:r>
      <w:r w:rsidRPr="00FD04FB">
        <w:t>.</w:t>
      </w:r>
    </w:p>
    <w:p w14:paraId="2A5CA3B4" w14:textId="6FA2AE4A" w:rsidR="00C67A40" w:rsidRPr="005120EF" w:rsidRDefault="00C67A40" w:rsidP="00C67A40">
      <w:pPr>
        <w:pStyle w:val="Textnumbered"/>
        <w:rPr>
          <w:rStyle w:val="street-address"/>
        </w:rPr>
      </w:pPr>
      <w:r w:rsidRPr="00FD04FB">
        <w:t xml:space="preserve">To achieve this </w:t>
      </w:r>
      <w:r>
        <w:t xml:space="preserve">the </w:t>
      </w:r>
      <w:r w:rsidRPr="00FD04FB">
        <w:t xml:space="preserve">SSRO will require </w:t>
      </w:r>
      <w:r>
        <w:t>o</w:t>
      </w:r>
      <w:r w:rsidRPr="00FD04FB">
        <w:t>ral and written presentations at two SSRO Board meetings</w:t>
      </w:r>
      <w:r>
        <w:t xml:space="preserve"> of </w:t>
      </w:r>
      <w:r w:rsidR="006A6F54">
        <w:t xml:space="preserve">11 </w:t>
      </w:r>
      <w:r w:rsidRPr="00FD04FB">
        <w:t>December 201</w:t>
      </w:r>
      <w:r>
        <w:t>7</w:t>
      </w:r>
      <w:r w:rsidRPr="00FD04FB">
        <w:t xml:space="preserve"> and </w:t>
      </w:r>
      <w:r w:rsidR="006A6F54">
        <w:t xml:space="preserve">23 </w:t>
      </w:r>
      <w:r w:rsidRPr="00FD04FB">
        <w:t>January 201</w:t>
      </w:r>
      <w:r>
        <w:t>8,</w:t>
      </w:r>
      <w:r w:rsidRPr="00FD04FB">
        <w:t xml:space="preserve"> at </w:t>
      </w:r>
      <w:r w:rsidRPr="00435A73">
        <w:rPr>
          <w:rStyle w:val="street-address"/>
          <w:rFonts w:cs="Arial"/>
          <w:szCs w:val="22"/>
          <w:lang w:val="en"/>
        </w:rPr>
        <w:t>15–17 Furnival Street, London, EC4A 1AB</w:t>
      </w:r>
      <w:r>
        <w:rPr>
          <w:rStyle w:val="street-address"/>
          <w:rFonts w:cs="Arial"/>
          <w:szCs w:val="22"/>
          <w:lang w:val="en"/>
        </w:rPr>
        <w:t>.</w:t>
      </w:r>
    </w:p>
    <w:p w14:paraId="3F010702" w14:textId="7C0968B2" w:rsidR="00C67A40" w:rsidRPr="00EC5EA2" w:rsidRDefault="00C67A40" w:rsidP="00C67A40">
      <w:pPr>
        <w:pStyle w:val="Textnumbered"/>
        <w:rPr>
          <w:rStyle w:val="street-address"/>
        </w:rPr>
      </w:pPr>
      <w:r w:rsidRPr="003965C3">
        <w:rPr>
          <w:rStyle w:val="street-address"/>
          <w:rFonts w:cs="Arial"/>
          <w:szCs w:val="22"/>
          <w:lang w:val="en"/>
        </w:rPr>
        <w:t xml:space="preserve">The assurance </w:t>
      </w:r>
      <w:r w:rsidR="00A32748">
        <w:rPr>
          <w:rStyle w:val="street-address"/>
          <w:rFonts w:cs="Arial"/>
          <w:szCs w:val="22"/>
          <w:lang w:val="en"/>
        </w:rPr>
        <w:t>services</w:t>
      </w:r>
      <w:r w:rsidR="00ED51CC">
        <w:rPr>
          <w:rStyle w:val="street-address"/>
          <w:rFonts w:cs="Arial"/>
          <w:szCs w:val="22"/>
          <w:lang w:val="en"/>
        </w:rPr>
        <w:t xml:space="preserve"> (hereafter referred to as ‘</w:t>
      </w:r>
      <w:r w:rsidR="00BB3546">
        <w:rPr>
          <w:rStyle w:val="street-address"/>
          <w:rFonts w:cs="Arial"/>
          <w:szCs w:val="22"/>
          <w:lang w:val="en"/>
        </w:rPr>
        <w:t xml:space="preserve">the </w:t>
      </w:r>
      <w:r w:rsidR="00ED51CC">
        <w:rPr>
          <w:rStyle w:val="street-address"/>
          <w:rFonts w:cs="Arial"/>
          <w:szCs w:val="22"/>
          <w:lang w:val="en"/>
        </w:rPr>
        <w:t>Assurance’)</w:t>
      </w:r>
      <w:r>
        <w:rPr>
          <w:rStyle w:val="street-address"/>
          <w:rFonts w:cs="Arial"/>
          <w:szCs w:val="22"/>
          <w:lang w:val="en"/>
        </w:rPr>
        <w:t xml:space="preserve"> the SSRO requires are:</w:t>
      </w:r>
    </w:p>
    <w:p w14:paraId="2576B0AB" w14:textId="31D7B84B" w:rsidR="00C67A40" w:rsidRPr="00BD024F" w:rsidRDefault="00C67A40" w:rsidP="00C605BA">
      <w:pPr>
        <w:pStyle w:val="Textnumbered"/>
        <w:numPr>
          <w:ilvl w:val="3"/>
          <w:numId w:val="17"/>
        </w:numPr>
      </w:pPr>
      <w:r>
        <w:rPr>
          <w:rStyle w:val="street-address"/>
          <w:rFonts w:cs="Arial"/>
          <w:szCs w:val="22"/>
          <w:lang w:val="en"/>
        </w:rPr>
        <w:lastRenderedPageBreak/>
        <w:t>A</w:t>
      </w:r>
      <w:r w:rsidRPr="00BD024F">
        <w:t xml:space="preserve">n assessment of whether there is anything arising from developments in transfer pricing guidance since </w:t>
      </w:r>
      <w:r>
        <w:t xml:space="preserve">the SSRO’s methodology </w:t>
      </w:r>
      <w:r w:rsidRPr="00BD024F">
        <w:t>was assessed</w:t>
      </w:r>
      <w:r>
        <w:rPr>
          <w:rStyle w:val="FootnoteReference"/>
        </w:rPr>
        <w:footnoteReference w:id="1"/>
      </w:r>
      <w:r w:rsidRPr="00BD024F">
        <w:t xml:space="preserve"> </w:t>
      </w:r>
      <w:r>
        <w:t xml:space="preserve">in November to December 2016 that </w:t>
      </w:r>
      <w:r w:rsidRPr="00BD024F">
        <w:t xml:space="preserve">needs to </w:t>
      </w:r>
      <w:r>
        <w:t xml:space="preserve">be </w:t>
      </w:r>
      <w:r w:rsidRPr="00BD024F">
        <w:t>consider</w:t>
      </w:r>
      <w:r>
        <w:t>ed</w:t>
      </w:r>
      <w:r w:rsidRPr="00BD024F">
        <w:t xml:space="preserve">. </w:t>
      </w:r>
      <w:r>
        <w:t>This will require reviewing Sections 3 to 7 and Section 10 of the methodology against the guidelines in the updated ‘OECD transfer pricing guidelines for multinational enterprises and tax administrations (2017) edition</w:t>
      </w:r>
      <w:r w:rsidR="00065E3C">
        <w:t>’</w:t>
      </w:r>
      <w:r w:rsidR="00065E3C">
        <w:rPr>
          <w:rStyle w:val="FootnoteReference"/>
        </w:rPr>
        <w:footnoteReference w:id="2"/>
      </w:r>
      <w:r>
        <w:t xml:space="preserve">, </w:t>
      </w:r>
      <w:r w:rsidRPr="00BD024F">
        <w:t>report</w:t>
      </w:r>
      <w:r>
        <w:t>ing</w:t>
      </w:r>
      <w:r w:rsidRPr="00BD024F">
        <w:t xml:space="preserve"> on any area </w:t>
      </w:r>
      <w:r>
        <w:t xml:space="preserve">of the </w:t>
      </w:r>
      <w:r w:rsidRPr="00BD024F">
        <w:t xml:space="preserve">methodology </w:t>
      </w:r>
      <w:r>
        <w:t xml:space="preserve">that is </w:t>
      </w:r>
      <w:r w:rsidRPr="00BD024F">
        <w:t>at risk of no</w:t>
      </w:r>
      <w:r>
        <w:t>t incorporating the relevant latest transfer pricing thinking/</w:t>
      </w:r>
      <w:r w:rsidRPr="00435A73">
        <w:t>principles</w:t>
      </w:r>
      <w:r>
        <w:t>/</w:t>
      </w:r>
      <w:r w:rsidRPr="00435A73">
        <w:t>methods</w:t>
      </w:r>
      <w:r w:rsidRPr="00481987">
        <w:t xml:space="preserve"> </w:t>
      </w:r>
      <w:r>
        <w:t>in that report</w:t>
      </w:r>
      <w:r w:rsidR="00C605BA">
        <w:t>, and providing an opinion resulting from the review</w:t>
      </w:r>
      <w:r>
        <w:t>.</w:t>
      </w:r>
    </w:p>
    <w:p w14:paraId="55645AE6" w14:textId="37F6463D" w:rsidR="00C67A40" w:rsidRDefault="00CB0D15" w:rsidP="00C605BA">
      <w:pPr>
        <w:pStyle w:val="Textnumbered"/>
        <w:numPr>
          <w:ilvl w:val="3"/>
          <w:numId w:val="17"/>
        </w:numPr>
        <w:rPr>
          <w:rFonts w:cs="Arial"/>
          <w:color w:val="000000"/>
          <w:szCs w:val="22"/>
        </w:rPr>
      </w:pPr>
      <w:r>
        <w:rPr>
          <w:rFonts w:cs="Arial"/>
          <w:color w:val="000000"/>
          <w:szCs w:val="22"/>
        </w:rPr>
        <w:t>S</w:t>
      </w:r>
      <w:r w:rsidR="00C67A40" w:rsidRPr="00156773">
        <w:rPr>
          <w:rFonts w:cs="Arial"/>
          <w:color w:val="000000"/>
          <w:szCs w:val="22"/>
        </w:rPr>
        <w:t>crutiny of the comparator companies for each of the four activity types (‘develop and make’, ‘provide and maintain’, ‘ancillary services’ and ‘construction’), based on a</w:t>
      </w:r>
      <w:r w:rsidR="000D1679">
        <w:rPr>
          <w:rFonts w:cs="Arial"/>
          <w:color w:val="000000"/>
          <w:szCs w:val="22"/>
        </w:rPr>
        <w:t xml:space="preserve"> well justified</w:t>
      </w:r>
      <w:r w:rsidR="00C67A40" w:rsidRPr="00156773">
        <w:rPr>
          <w:rFonts w:cs="Arial"/>
          <w:color w:val="000000"/>
          <w:szCs w:val="22"/>
        </w:rPr>
        <w:t xml:space="preserve"> sampling </w:t>
      </w:r>
      <w:r w:rsidR="00C67A40">
        <w:rPr>
          <w:rFonts w:cs="Arial"/>
          <w:color w:val="000000"/>
          <w:szCs w:val="22"/>
        </w:rPr>
        <w:t>technique</w:t>
      </w:r>
      <w:r>
        <w:rPr>
          <w:rFonts w:cs="Arial"/>
          <w:color w:val="000000"/>
          <w:szCs w:val="22"/>
        </w:rPr>
        <w:t xml:space="preserve"> that</w:t>
      </w:r>
      <w:r w:rsidR="00C67A40">
        <w:t xml:space="preserve"> select</w:t>
      </w:r>
      <w:r>
        <w:t>s</w:t>
      </w:r>
      <w:r w:rsidR="00C67A40">
        <w:t xml:space="preserve"> companies from each activity type and </w:t>
      </w:r>
      <w:r w:rsidR="00065E3C">
        <w:t>review</w:t>
      </w:r>
      <w:r>
        <w:t>s</w:t>
      </w:r>
      <w:r w:rsidR="00065E3C">
        <w:t xml:space="preserve"> </w:t>
      </w:r>
      <w:r w:rsidR="00C67A40">
        <w:t xml:space="preserve">them </w:t>
      </w:r>
      <w:r w:rsidR="00C67A40" w:rsidRPr="00E33583">
        <w:rPr>
          <w:rFonts w:cs="Arial"/>
          <w:color w:val="000000"/>
          <w:szCs w:val="22"/>
        </w:rPr>
        <w:t xml:space="preserve">against the </w:t>
      </w:r>
      <w:r w:rsidR="00C67A40">
        <w:rPr>
          <w:rFonts w:cs="Arial"/>
          <w:color w:val="000000"/>
          <w:szCs w:val="22"/>
        </w:rPr>
        <w:t xml:space="preserve">SSRO’s </w:t>
      </w:r>
      <w:r w:rsidR="00C67A40" w:rsidRPr="00E33583">
        <w:rPr>
          <w:rFonts w:cs="Arial"/>
          <w:color w:val="000000"/>
          <w:szCs w:val="22"/>
        </w:rPr>
        <w:t>sel</w:t>
      </w:r>
      <w:r w:rsidR="00C67A40">
        <w:rPr>
          <w:rFonts w:cs="Arial"/>
          <w:color w:val="000000"/>
          <w:szCs w:val="22"/>
        </w:rPr>
        <w:t>ection criteria</w:t>
      </w:r>
      <w:r w:rsidR="00C67A40" w:rsidRPr="00156773">
        <w:rPr>
          <w:rFonts w:cs="Arial"/>
          <w:color w:val="000000"/>
          <w:szCs w:val="22"/>
        </w:rPr>
        <w:t xml:space="preserve"> </w:t>
      </w:r>
      <w:r w:rsidR="00C67A40">
        <w:rPr>
          <w:rFonts w:cs="Arial"/>
          <w:color w:val="000000"/>
          <w:szCs w:val="22"/>
        </w:rPr>
        <w:t>presented in Section 8 ‘review company information’ of the methodology</w:t>
      </w:r>
      <w:r>
        <w:rPr>
          <w:rFonts w:cs="Arial"/>
          <w:color w:val="000000"/>
          <w:szCs w:val="22"/>
        </w:rPr>
        <w:t xml:space="preserve"> sufficient to</w:t>
      </w:r>
      <w:r w:rsidR="00C67A40">
        <w:rPr>
          <w:rFonts w:cs="Arial"/>
          <w:color w:val="000000"/>
          <w:szCs w:val="22"/>
        </w:rPr>
        <w:t xml:space="preserve"> provid</w:t>
      </w:r>
      <w:r>
        <w:rPr>
          <w:rFonts w:cs="Arial"/>
          <w:color w:val="000000"/>
          <w:szCs w:val="22"/>
        </w:rPr>
        <w:t>e</w:t>
      </w:r>
      <w:r w:rsidR="00C67A40">
        <w:rPr>
          <w:rFonts w:cs="Arial"/>
          <w:color w:val="000000"/>
          <w:szCs w:val="22"/>
        </w:rPr>
        <w:t xml:space="preserve"> a</w:t>
      </w:r>
      <w:r>
        <w:rPr>
          <w:rFonts w:cs="Arial"/>
          <w:color w:val="000000"/>
          <w:szCs w:val="22"/>
        </w:rPr>
        <w:t xml:space="preserve"> reasonable</w:t>
      </w:r>
      <w:r w:rsidR="00C67A40">
        <w:rPr>
          <w:rFonts w:cs="Arial"/>
          <w:color w:val="000000"/>
          <w:szCs w:val="22"/>
        </w:rPr>
        <w:t xml:space="preserve"> </w:t>
      </w:r>
      <w:r w:rsidR="00C67A40" w:rsidRPr="00156773">
        <w:rPr>
          <w:rFonts w:cs="Arial"/>
          <w:color w:val="000000"/>
          <w:szCs w:val="22"/>
        </w:rPr>
        <w:t>opinion as to whether these have been selected in accordance with the methodology</w:t>
      </w:r>
      <w:r w:rsidR="00C67A40">
        <w:rPr>
          <w:rFonts w:cs="Arial"/>
          <w:color w:val="000000"/>
          <w:szCs w:val="22"/>
        </w:rPr>
        <w:t xml:space="preserve">. </w:t>
      </w:r>
    </w:p>
    <w:p w14:paraId="06000E0A" w14:textId="2147FB7E" w:rsidR="00C67A40" w:rsidRPr="00ED51CC" w:rsidRDefault="00CB0D15" w:rsidP="00C605BA">
      <w:pPr>
        <w:pStyle w:val="Textnumbered"/>
        <w:numPr>
          <w:ilvl w:val="3"/>
          <w:numId w:val="17"/>
        </w:numPr>
      </w:pPr>
      <w:r>
        <w:rPr>
          <w:rFonts w:cs="Arial"/>
          <w:color w:val="000000"/>
          <w:szCs w:val="22"/>
        </w:rPr>
        <w:t>V</w:t>
      </w:r>
      <w:r w:rsidR="00C67A40" w:rsidRPr="00F77E22">
        <w:rPr>
          <w:rFonts w:cs="Arial"/>
          <w:color w:val="000000"/>
          <w:szCs w:val="22"/>
        </w:rPr>
        <w:t xml:space="preserve">erification of </w:t>
      </w:r>
      <w:r w:rsidR="00C67A40">
        <w:rPr>
          <w:rFonts w:cs="Arial"/>
          <w:color w:val="000000"/>
          <w:szCs w:val="22"/>
        </w:rPr>
        <w:t xml:space="preserve">whether the SSRO’s Microsoft </w:t>
      </w:r>
      <w:r>
        <w:rPr>
          <w:rFonts w:cs="Arial"/>
          <w:color w:val="000000"/>
          <w:szCs w:val="22"/>
        </w:rPr>
        <w:t>E</w:t>
      </w:r>
      <w:r w:rsidRPr="00F77E22">
        <w:rPr>
          <w:rFonts w:cs="Arial"/>
          <w:color w:val="000000"/>
          <w:szCs w:val="22"/>
        </w:rPr>
        <w:t xml:space="preserve">xcel </w:t>
      </w:r>
      <w:r w:rsidR="00C67A40">
        <w:rPr>
          <w:rFonts w:cs="Arial"/>
          <w:color w:val="000000"/>
          <w:szCs w:val="22"/>
        </w:rPr>
        <w:t xml:space="preserve">based </w:t>
      </w:r>
      <w:r w:rsidR="00C67A40" w:rsidRPr="00F77E22">
        <w:rPr>
          <w:rFonts w:cs="Arial"/>
          <w:color w:val="000000"/>
          <w:szCs w:val="22"/>
        </w:rPr>
        <w:t xml:space="preserve">model calculates the </w:t>
      </w:r>
      <w:r w:rsidR="00C67A40" w:rsidRPr="00FD04FB">
        <w:t>201</w:t>
      </w:r>
      <w:r w:rsidR="00C67A40">
        <w:t>8</w:t>
      </w:r>
      <w:r w:rsidR="00C67A40" w:rsidRPr="00FD04FB">
        <w:t>/1</w:t>
      </w:r>
      <w:r w:rsidR="00C67A40">
        <w:t>9</w:t>
      </w:r>
      <w:r w:rsidR="00C67A40" w:rsidRPr="00FD04FB">
        <w:t xml:space="preserve"> </w:t>
      </w:r>
      <w:r w:rsidR="00C67A40" w:rsidRPr="00FD04FB">
        <w:rPr>
          <w:szCs w:val="22"/>
        </w:rPr>
        <w:t>baseline profit rate</w:t>
      </w:r>
      <w:r w:rsidR="00C67A40">
        <w:rPr>
          <w:szCs w:val="22"/>
        </w:rPr>
        <w:t xml:space="preserve"> and</w:t>
      </w:r>
      <w:r w:rsidR="00C67A40" w:rsidRPr="00FD04FB">
        <w:rPr>
          <w:szCs w:val="22"/>
        </w:rPr>
        <w:t xml:space="preserve"> capital servicing rates</w:t>
      </w:r>
      <w:r w:rsidR="00C67A40" w:rsidRPr="00F77E22">
        <w:rPr>
          <w:rFonts w:cs="Arial"/>
          <w:color w:val="000000"/>
          <w:szCs w:val="22"/>
        </w:rPr>
        <w:t xml:space="preserve"> in accordance with </w:t>
      </w:r>
      <w:r w:rsidR="00C67A40">
        <w:rPr>
          <w:rFonts w:cs="Arial"/>
          <w:color w:val="000000"/>
          <w:szCs w:val="22"/>
        </w:rPr>
        <w:t xml:space="preserve">paragraph 3.8 and Sections 9 to 11 of </w:t>
      </w:r>
      <w:r w:rsidR="00C67A40" w:rsidRPr="00F77E22">
        <w:rPr>
          <w:rFonts w:cs="Arial"/>
          <w:color w:val="000000"/>
          <w:szCs w:val="22"/>
        </w:rPr>
        <w:t>the methodology</w:t>
      </w:r>
      <w:r w:rsidR="00C67A40">
        <w:rPr>
          <w:rFonts w:cs="Arial"/>
          <w:color w:val="000000"/>
          <w:szCs w:val="22"/>
        </w:rPr>
        <w:t>,</w:t>
      </w:r>
      <w:r w:rsidR="00C67A40" w:rsidRPr="00F77E22">
        <w:rPr>
          <w:rFonts w:cs="Arial"/>
          <w:color w:val="000000"/>
          <w:szCs w:val="22"/>
        </w:rPr>
        <w:t xml:space="preserve"> and </w:t>
      </w:r>
      <w:r w:rsidR="002275AC">
        <w:rPr>
          <w:rFonts w:cs="Arial"/>
          <w:color w:val="000000"/>
          <w:szCs w:val="22"/>
        </w:rPr>
        <w:t xml:space="preserve">providing an </w:t>
      </w:r>
      <w:r w:rsidR="002275AC" w:rsidRPr="00156773">
        <w:rPr>
          <w:rFonts w:cs="Arial"/>
          <w:color w:val="000000"/>
          <w:szCs w:val="22"/>
        </w:rPr>
        <w:t xml:space="preserve">opinion as to whether these have been </w:t>
      </w:r>
      <w:r w:rsidR="002275AC">
        <w:rPr>
          <w:rFonts w:cs="Arial"/>
          <w:color w:val="000000"/>
          <w:szCs w:val="22"/>
        </w:rPr>
        <w:t xml:space="preserve">calculated </w:t>
      </w:r>
      <w:r w:rsidR="002275AC" w:rsidRPr="00156773">
        <w:rPr>
          <w:rFonts w:cs="Arial"/>
          <w:color w:val="000000"/>
          <w:szCs w:val="22"/>
        </w:rPr>
        <w:t>in accordance with the methodology</w:t>
      </w:r>
      <w:r w:rsidR="00C67A40" w:rsidRPr="00F77E22">
        <w:rPr>
          <w:rFonts w:cs="Arial"/>
          <w:color w:val="000000"/>
          <w:szCs w:val="22"/>
        </w:rPr>
        <w:t>.</w:t>
      </w:r>
    </w:p>
    <w:p w14:paraId="4B273900" w14:textId="295FD60E" w:rsidR="00C67A40" w:rsidRDefault="00ED51CC" w:rsidP="008944F9">
      <w:pPr>
        <w:pStyle w:val="Textnumbered"/>
        <w:numPr>
          <w:ilvl w:val="3"/>
          <w:numId w:val="17"/>
        </w:numPr>
      </w:pPr>
      <w:r>
        <w:t>Presentation</w:t>
      </w:r>
      <w:r w:rsidR="00A32748">
        <w:t xml:space="preserve"> of the findings for the assurance activities 2.3 (a), (b) and (c), to the Board at the two meetings on 11 December 2017 and 23 January 2018</w:t>
      </w:r>
      <w:r w:rsidR="008944F9">
        <w:t xml:space="preserve">. </w:t>
      </w:r>
      <w:r w:rsidR="00C67A40">
        <w:t>The December presentation will cover final assessment of 2.3 (a) and preliminary findings of 2</w:t>
      </w:r>
      <w:r w:rsidR="002E4C43">
        <w:t>.3</w:t>
      </w:r>
      <w:r w:rsidR="00C67A40">
        <w:t xml:space="preserve"> (b) and (c). The January presentation will cover the final assessment of 2</w:t>
      </w:r>
      <w:r w:rsidR="002E4C43">
        <w:t>.3</w:t>
      </w:r>
      <w:r w:rsidR="00C67A40">
        <w:t xml:space="preserve"> (b) and (c).</w:t>
      </w:r>
    </w:p>
    <w:p w14:paraId="4F857869" w14:textId="6FAE6F63" w:rsidR="00A32748" w:rsidRDefault="008944F9" w:rsidP="008944F9">
      <w:pPr>
        <w:pStyle w:val="Textnumbered"/>
        <w:numPr>
          <w:ilvl w:val="3"/>
          <w:numId w:val="17"/>
        </w:numPr>
      </w:pPr>
      <w:r>
        <w:t xml:space="preserve">Providing an opinion for each assurance activity 2.3 (a), (b) and (c) to the Board, </w:t>
      </w:r>
      <w:r w:rsidR="00A32748" w:rsidRPr="00792336">
        <w:t xml:space="preserve">as to whether in their professional </w:t>
      </w:r>
      <w:r w:rsidR="00A32748">
        <w:t xml:space="preserve">independent </w:t>
      </w:r>
      <w:r w:rsidR="00A32748" w:rsidRPr="00792336">
        <w:t>judgement the approach taken by the SSRO was reasonable, appropriate and supportable. This may involve the contractor engaging in any supplementary activities (beyond those set out above) as they deem appropriate and necessary to offer such an opinion</w:t>
      </w:r>
    </w:p>
    <w:p w14:paraId="78AEEB3F" w14:textId="1B2B524A" w:rsidR="001A633B" w:rsidRDefault="00C67A40" w:rsidP="00ED51CC">
      <w:pPr>
        <w:pStyle w:val="Textnumbered"/>
      </w:pPr>
      <w:r>
        <w:t>The SSRO</w:t>
      </w:r>
      <w:r w:rsidRPr="005B6F71">
        <w:t xml:space="preserve"> will need to correspond </w:t>
      </w:r>
      <w:r>
        <w:t xml:space="preserve">at working level </w:t>
      </w:r>
      <w:r w:rsidRPr="005B6F71">
        <w:t xml:space="preserve">with the contractor in a way that enables it to respond to the findings </w:t>
      </w:r>
      <w:r>
        <w:t xml:space="preserve">arising from the above stated review of the methodology used and its application to calculate the </w:t>
      </w:r>
      <w:r w:rsidRPr="00FD04FB">
        <w:t>201</w:t>
      </w:r>
      <w:r>
        <w:t>8</w:t>
      </w:r>
      <w:r w:rsidRPr="00FD04FB">
        <w:t>/1</w:t>
      </w:r>
      <w:r>
        <w:t>9</w:t>
      </w:r>
      <w:r w:rsidRPr="00FD04FB">
        <w:t xml:space="preserve"> </w:t>
      </w:r>
      <w:r w:rsidRPr="00FD04FB">
        <w:rPr>
          <w:szCs w:val="22"/>
        </w:rPr>
        <w:t>baseline profit rate</w:t>
      </w:r>
      <w:r>
        <w:rPr>
          <w:szCs w:val="22"/>
        </w:rPr>
        <w:t xml:space="preserve"> and</w:t>
      </w:r>
      <w:r w:rsidRPr="00FD04FB">
        <w:rPr>
          <w:szCs w:val="22"/>
        </w:rPr>
        <w:t xml:space="preserve"> capital servicing rates</w:t>
      </w:r>
      <w:r>
        <w:t xml:space="preserve"> </w:t>
      </w:r>
      <w:r w:rsidRPr="005B6F71">
        <w:t xml:space="preserve">in good time </w:t>
      </w:r>
      <w:r>
        <w:t>be</w:t>
      </w:r>
      <w:r w:rsidRPr="005B6F71">
        <w:t>for</w:t>
      </w:r>
      <w:r>
        <w:t>e</w:t>
      </w:r>
      <w:r w:rsidRPr="005B6F71">
        <w:t xml:space="preserve"> </w:t>
      </w:r>
      <w:r>
        <w:t xml:space="preserve">the </w:t>
      </w:r>
      <w:r w:rsidRPr="005B6F71">
        <w:t xml:space="preserve">Board meetings. </w:t>
      </w:r>
    </w:p>
    <w:p w14:paraId="5367B15D" w14:textId="14C8FA19" w:rsidR="00C67A40" w:rsidRDefault="001A633B" w:rsidP="00C67A40">
      <w:pPr>
        <w:pStyle w:val="Textnumbered"/>
      </w:pPr>
      <w:r>
        <w:t xml:space="preserve">The SSRO may respond to the findings communicated in 2.6 by making certain changes to the methodology, which will require additional assessment </w:t>
      </w:r>
      <w:r w:rsidRPr="005B6F71">
        <w:t xml:space="preserve">in good time </w:t>
      </w:r>
      <w:r>
        <w:t>be</w:t>
      </w:r>
      <w:r w:rsidRPr="005B6F71">
        <w:t>for</w:t>
      </w:r>
      <w:r>
        <w:t>e</w:t>
      </w:r>
      <w:r w:rsidRPr="005B6F71">
        <w:t xml:space="preserve"> </w:t>
      </w:r>
      <w:r>
        <w:t xml:space="preserve">the </w:t>
      </w:r>
      <w:r w:rsidRPr="005B6F71">
        <w:t>Board meetings</w:t>
      </w:r>
      <w:r>
        <w:t>.</w:t>
      </w:r>
    </w:p>
    <w:p w14:paraId="4C0C2D8D" w14:textId="2BFBD45F" w:rsidR="00C67A40" w:rsidRDefault="00C67A40" w:rsidP="00C67A40">
      <w:pPr>
        <w:pStyle w:val="Textnumbered"/>
      </w:pPr>
      <w:r>
        <w:t xml:space="preserve">The deadline for the final written assurance for the December 2017 Board will be </w:t>
      </w:r>
      <w:r w:rsidR="00213233">
        <w:t xml:space="preserve">23 </w:t>
      </w:r>
      <w:r>
        <w:t xml:space="preserve">November 2017, and that for </w:t>
      </w:r>
      <w:r w:rsidR="002E4C43">
        <w:t xml:space="preserve">the </w:t>
      </w:r>
      <w:r>
        <w:t xml:space="preserve">final written assurance for the January 2018 Board will be </w:t>
      </w:r>
      <w:r w:rsidR="00213233">
        <w:t xml:space="preserve">5 </w:t>
      </w:r>
      <w:r>
        <w:t>January 2018.</w:t>
      </w:r>
    </w:p>
    <w:p w14:paraId="4991030B" w14:textId="77777777" w:rsidR="00C67A40" w:rsidRPr="00FD04FB" w:rsidRDefault="00C67A40" w:rsidP="00C67A40">
      <w:pPr>
        <w:pStyle w:val="Textnumbered"/>
      </w:pPr>
      <w:r w:rsidRPr="00FD04FB">
        <w:t>The SSRO will make available any relevant documentation, data and models related to the methodology and its execution in calculating the 201</w:t>
      </w:r>
      <w:r>
        <w:t>8</w:t>
      </w:r>
      <w:r w:rsidRPr="00FD04FB">
        <w:t>/1</w:t>
      </w:r>
      <w:r>
        <w:t>9</w:t>
      </w:r>
      <w:r w:rsidRPr="00FD04FB">
        <w:t xml:space="preserve"> rates. </w:t>
      </w:r>
    </w:p>
    <w:p w14:paraId="2C984722" w14:textId="6329D940" w:rsidR="002B1483" w:rsidRPr="006949C1" w:rsidRDefault="00AF742E" w:rsidP="002D0B89">
      <w:pPr>
        <w:pStyle w:val="Textnumbered"/>
        <w:tabs>
          <w:tab w:val="clear" w:pos="567"/>
        </w:tabs>
        <w:ind w:left="720" w:hanging="720"/>
      </w:pPr>
      <w:r w:rsidRPr="006949C1">
        <w:lastRenderedPageBreak/>
        <w:t>The t</w:t>
      </w:r>
      <w:r w:rsidR="002B1483" w:rsidRPr="006949C1">
        <w:t>imeliness</w:t>
      </w:r>
      <w:r w:rsidRPr="006949C1">
        <w:t xml:space="preserve"> of services</w:t>
      </w:r>
      <w:r w:rsidR="002B1483" w:rsidRPr="006949C1">
        <w:t xml:space="preserve"> is a particular </w:t>
      </w:r>
      <w:r w:rsidR="00C16B9A">
        <w:t>requirement</w:t>
      </w:r>
      <w:r w:rsidR="002B1483" w:rsidRPr="006949C1">
        <w:t xml:space="preserve">, as the SSRO expects to deliver its functions to exacting timescales and may frequently require rapid responses </w:t>
      </w:r>
      <w:r w:rsidR="00B55F17" w:rsidRPr="006949C1">
        <w:t>at</w:t>
      </w:r>
      <w:r w:rsidR="002B1483" w:rsidRPr="006949C1">
        <w:t xml:space="preserve"> short notice.</w:t>
      </w:r>
    </w:p>
    <w:p w14:paraId="51BAC633" w14:textId="7873B518" w:rsidR="002D0B89" w:rsidRPr="000C38F4" w:rsidRDefault="00CF2591" w:rsidP="00CF2591">
      <w:pPr>
        <w:pStyle w:val="Heading2"/>
      </w:pPr>
      <w:r w:rsidRPr="000C38F4">
        <w:t>Relationship</w:t>
      </w:r>
    </w:p>
    <w:p w14:paraId="41230B42" w14:textId="18FF6365" w:rsidR="00CF2591" w:rsidRPr="000C38F4" w:rsidRDefault="00CF2591" w:rsidP="00CF2591">
      <w:pPr>
        <w:pStyle w:val="Textnumbered"/>
        <w:tabs>
          <w:tab w:val="clear" w:pos="567"/>
        </w:tabs>
        <w:ind w:left="720" w:hanging="720"/>
      </w:pPr>
      <w:r w:rsidRPr="000C38F4">
        <w:t xml:space="preserve">The SSRO considers the relationship between the Contractor and the SSRO to be key to delivery of services which </w:t>
      </w:r>
      <w:r w:rsidR="00AF742E" w:rsidRPr="000C38F4">
        <w:t xml:space="preserve">economically, </w:t>
      </w:r>
      <w:r w:rsidRPr="000C38F4">
        <w:t>effectively and efficiently support delivery of the SSRO’</w:t>
      </w:r>
      <w:r w:rsidR="002E7D0B" w:rsidRPr="000C38F4">
        <w:t>s functions.</w:t>
      </w:r>
    </w:p>
    <w:p w14:paraId="7B7BA080" w14:textId="2AACC48F" w:rsidR="002E7D0B" w:rsidRPr="000C38F4" w:rsidRDefault="002E7D0B" w:rsidP="00CF2591">
      <w:pPr>
        <w:pStyle w:val="Textnumbered"/>
        <w:tabs>
          <w:tab w:val="clear" w:pos="567"/>
        </w:tabs>
        <w:ind w:left="720" w:hanging="720"/>
      </w:pPr>
      <w:r w:rsidRPr="000C38F4">
        <w:t>The Contractor must nominate a relationship partner whose role it will be to –</w:t>
      </w:r>
    </w:p>
    <w:p w14:paraId="5F5FC905" w14:textId="77777777" w:rsidR="00490B3F" w:rsidRPr="000C38F4" w:rsidRDefault="00490B3F" w:rsidP="00996C38">
      <w:pPr>
        <w:pStyle w:val="Textnumbered"/>
        <w:numPr>
          <w:ilvl w:val="4"/>
          <w:numId w:val="3"/>
        </w:numPr>
      </w:pPr>
      <w:r w:rsidRPr="000C38F4">
        <w:t>manage the relationship between the contractor and the SSRO on a day to day basis;</w:t>
      </w:r>
    </w:p>
    <w:p w14:paraId="78AFA8C5" w14:textId="77777777" w:rsidR="00490B3F" w:rsidRPr="000C38F4" w:rsidRDefault="00490B3F" w:rsidP="00996C38">
      <w:pPr>
        <w:pStyle w:val="Textnumbered"/>
        <w:numPr>
          <w:ilvl w:val="4"/>
          <w:numId w:val="3"/>
        </w:numPr>
      </w:pPr>
      <w:r w:rsidRPr="000C38F4">
        <w:t>be the primary point of contact for the SSRO;</w:t>
      </w:r>
    </w:p>
    <w:p w14:paraId="05EA733F" w14:textId="77777777" w:rsidR="00490B3F" w:rsidRPr="000C38F4" w:rsidRDefault="00490B3F" w:rsidP="00996C38">
      <w:pPr>
        <w:pStyle w:val="Textnumbered"/>
        <w:numPr>
          <w:ilvl w:val="4"/>
          <w:numId w:val="3"/>
        </w:numPr>
      </w:pPr>
      <w:r w:rsidRPr="000C38F4">
        <w:t>propose whichever of the Contractor’s staff is most suitable for a particular matter, having regard to the requirements of economy, effectiveness and efficiency, and remain a point of contact throughout the engagement;</w:t>
      </w:r>
    </w:p>
    <w:p w14:paraId="0E53FE19" w14:textId="77777777" w:rsidR="00490B3F" w:rsidRPr="000C38F4" w:rsidRDefault="00490B3F" w:rsidP="00996C38">
      <w:pPr>
        <w:pStyle w:val="Textnumbered"/>
        <w:numPr>
          <w:ilvl w:val="4"/>
          <w:numId w:val="3"/>
        </w:numPr>
      </w:pPr>
      <w:r w:rsidRPr="000C38F4">
        <w:t>actively monitor and advise on conflicts of interest as they arise and be the author of any conflict waiver requests to the SSRO;</w:t>
      </w:r>
    </w:p>
    <w:p w14:paraId="4747C020" w14:textId="59A23A1F" w:rsidR="00490B3F" w:rsidRPr="000C38F4" w:rsidRDefault="00490B3F" w:rsidP="00996C38">
      <w:pPr>
        <w:pStyle w:val="Textnumbered"/>
        <w:numPr>
          <w:ilvl w:val="4"/>
          <w:numId w:val="3"/>
        </w:numPr>
      </w:pPr>
      <w:r w:rsidRPr="000C38F4">
        <w:t xml:space="preserve">understand the SSRO as an organisation and help translate that to the firm’s </w:t>
      </w:r>
      <w:r w:rsidR="00E256D6">
        <w:t xml:space="preserve">quality assurance </w:t>
      </w:r>
      <w:r w:rsidR="00E82258">
        <w:t xml:space="preserve">staff </w:t>
      </w:r>
      <w:r w:rsidRPr="000C38F4">
        <w:t>working on a particular matter;</w:t>
      </w:r>
    </w:p>
    <w:p w14:paraId="26A26A90" w14:textId="022E6DD2" w:rsidR="00490B3F" w:rsidRPr="000C38F4" w:rsidRDefault="00490B3F" w:rsidP="00996C38">
      <w:pPr>
        <w:pStyle w:val="Textnumbered"/>
        <w:numPr>
          <w:ilvl w:val="4"/>
          <w:numId w:val="3"/>
        </w:numPr>
      </w:pPr>
      <w:r w:rsidRPr="000C38F4">
        <w:t>ensure compliance with security requirements</w:t>
      </w:r>
      <w:r w:rsidR="00930ED1" w:rsidRPr="000C38F4">
        <w:t>;</w:t>
      </w:r>
    </w:p>
    <w:p w14:paraId="3FDECF1C" w14:textId="77777777" w:rsidR="00490B3F" w:rsidRPr="000C38F4" w:rsidRDefault="00490B3F" w:rsidP="00996C38">
      <w:pPr>
        <w:pStyle w:val="Textnumbered"/>
        <w:numPr>
          <w:ilvl w:val="4"/>
          <w:numId w:val="3"/>
        </w:numPr>
      </w:pPr>
      <w:r w:rsidRPr="000C38F4">
        <w:t>remain consistently informed about the Contractor’s performance on a matter and be a point of escalation;</w:t>
      </w:r>
    </w:p>
    <w:p w14:paraId="61BC32DF" w14:textId="77777777" w:rsidR="00490B3F" w:rsidRPr="000C38F4" w:rsidRDefault="00490B3F" w:rsidP="00996C38">
      <w:pPr>
        <w:pStyle w:val="Textnumbered"/>
        <w:numPr>
          <w:ilvl w:val="4"/>
          <w:numId w:val="3"/>
        </w:numPr>
      </w:pPr>
      <w:r w:rsidRPr="000C38F4">
        <w:t>be available to address issues in a timely manner and meet the SSRO’s urgency requirements;</w:t>
      </w:r>
    </w:p>
    <w:p w14:paraId="0BF87CB7" w14:textId="77777777" w:rsidR="00490B3F" w:rsidRPr="000C38F4" w:rsidRDefault="00490B3F" w:rsidP="00996C38">
      <w:pPr>
        <w:pStyle w:val="Textnumbered"/>
        <w:numPr>
          <w:ilvl w:val="4"/>
          <w:numId w:val="3"/>
        </w:numPr>
      </w:pPr>
      <w:r w:rsidRPr="000C38F4">
        <w:t>ensure that the agreed fee structure is followed and that costs are communicated to the SSRO on a routine basis throughout an engagement; and</w:t>
      </w:r>
    </w:p>
    <w:p w14:paraId="56D53AF1" w14:textId="77777777" w:rsidR="00490B3F" w:rsidRPr="000C38F4" w:rsidRDefault="00490B3F" w:rsidP="00996C38">
      <w:pPr>
        <w:pStyle w:val="Textnumbered"/>
        <w:numPr>
          <w:ilvl w:val="4"/>
          <w:numId w:val="3"/>
        </w:numPr>
      </w:pPr>
      <w:r w:rsidRPr="000C38F4">
        <w:t>be a point of contact for the SSRO’s auditors if necessary.</w:t>
      </w:r>
    </w:p>
    <w:p w14:paraId="26694BDD" w14:textId="5F2B1EC5" w:rsidR="002E7D0B" w:rsidRPr="000C38F4" w:rsidRDefault="00FF044D" w:rsidP="00FF044D">
      <w:pPr>
        <w:pStyle w:val="Heading2"/>
      </w:pPr>
      <w:r w:rsidRPr="000C38F4">
        <w:t>Conflicts of interest</w:t>
      </w:r>
    </w:p>
    <w:p w14:paraId="538CF562" w14:textId="7ABFB4C5" w:rsidR="00FF044D" w:rsidRPr="009F63B0" w:rsidRDefault="00FF044D" w:rsidP="00FF044D">
      <w:pPr>
        <w:pStyle w:val="Textnumbered"/>
        <w:tabs>
          <w:tab w:val="clear" w:pos="567"/>
        </w:tabs>
        <w:ind w:left="720" w:hanging="720"/>
      </w:pPr>
      <w:r w:rsidRPr="009F63B0">
        <w:t xml:space="preserve">The SSRO </w:t>
      </w:r>
      <w:r w:rsidR="00B55F17" w:rsidRPr="009F63B0">
        <w:t>recognises</w:t>
      </w:r>
      <w:r w:rsidRPr="009F63B0">
        <w:t xml:space="preserve"> that Contractors with relevant experience and expertise may encounter conflicts of interest due to working with, or having worked with, stakeholders who are subject to regulation by the SSRO.  Bidders should consider whether they are likely to experience conflicts and whether that will present a significant barrier to accepting engagements under the </w:t>
      </w:r>
      <w:r w:rsidR="00C74C01" w:rsidRPr="009F63B0">
        <w:t>Agreement</w:t>
      </w:r>
      <w:r w:rsidRPr="009F63B0">
        <w:t>.</w:t>
      </w:r>
      <w:r w:rsidR="00C74C01" w:rsidRPr="009F63B0">
        <w:t xml:space="preserve">  Bidders should demonstrate that they have an effective and efficient mechanism for assessing</w:t>
      </w:r>
      <w:r w:rsidR="00460C7F" w:rsidRPr="009F63B0">
        <w:t xml:space="preserve"> and managing</w:t>
      </w:r>
      <w:r w:rsidR="00C74C01" w:rsidRPr="009F63B0">
        <w:t xml:space="preserve"> conflicts of interest, which will enable the SSRO’s expectations of timeliness to be met.</w:t>
      </w:r>
    </w:p>
    <w:p w14:paraId="7C59C888" w14:textId="18EB30E6" w:rsidR="00FF044D" w:rsidRPr="000C38F4" w:rsidRDefault="00FF044D" w:rsidP="00FF044D">
      <w:pPr>
        <w:pStyle w:val="Textnumbered"/>
        <w:tabs>
          <w:tab w:val="clear" w:pos="567"/>
        </w:tabs>
        <w:ind w:left="720" w:hanging="720"/>
      </w:pPr>
      <w:r w:rsidRPr="000C38F4">
        <w:t>Contractors will be required to check for actual or potential conflicts of interest that exist or may arise as a result of their status as an approved provider in accordance with their professional codes of conduct and the nature of the SSRO’s activities and the identity of its stakeholders.  If the Contractor accepts an engagement without disclosure of a conflict of interest then the SSRO will take that as a representation that a conflicts check has been conducted and no conflict exists.</w:t>
      </w:r>
    </w:p>
    <w:p w14:paraId="0B82EE19" w14:textId="4DF94E2B" w:rsidR="00FF044D" w:rsidRPr="000C38F4" w:rsidRDefault="00FF044D" w:rsidP="00FF044D">
      <w:pPr>
        <w:pStyle w:val="Textnumbered"/>
        <w:tabs>
          <w:tab w:val="clear" w:pos="567"/>
        </w:tabs>
        <w:ind w:left="720" w:hanging="720"/>
      </w:pPr>
      <w:r w:rsidRPr="000C38F4">
        <w:lastRenderedPageBreak/>
        <w:t>The obligation to make conflicts known to the SSRO will continue throughout the Agreement.  Contractors will be required to raise conflicts of interest with the SSRO on an ongoing basis as they arise and the SSRO shall make the final decision in each case as to whether the conflict of interest can be mitigated and waived or prevents the firm from acting.</w:t>
      </w:r>
    </w:p>
    <w:p w14:paraId="4A37CEE1" w14:textId="2694B966" w:rsidR="00930ED1" w:rsidRPr="000C38F4" w:rsidRDefault="00930ED1" w:rsidP="00930ED1">
      <w:pPr>
        <w:pStyle w:val="Textnumbered"/>
        <w:tabs>
          <w:tab w:val="clear" w:pos="567"/>
        </w:tabs>
        <w:ind w:left="720" w:hanging="720"/>
      </w:pPr>
      <w:r w:rsidRPr="000C38F4">
        <w:t xml:space="preserve">Any conflicts will be raised by the Contractor’s relationship partner with the Director of </w:t>
      </w:r>
      <w:r w:rsidR="006949C1">
        <w:t>Economics and Regulation</w:t>
      </w:r>
      <w:r w:rsidRPr="000C38F4">
        <w:t xml:space="preserve">.  Any requests to waive conflicts must be made in writing to the Director of </w:t>
      </w:r>
      <w:r w:rsidR="004E7895">
        <w:t>Economics and Regulation</w:t>
      </w:r>
      <w:r w:rsidR="004E7895" w:rsidRPr="000C38F4" w:rsidDel="004E7895">
        <w:t xml:space="preserve"> </w:t>
      </w:r>
      <w:r w:rsidRPr="000C38F4">
        <w:t xml:space="preserve">and must include all relevant facts, including: (a) the identity of the other client; (b) the nature of work; (c) whether the other client has consented to waiving the conflict; and (d) the identity of the individuals working for the other client and details of how they propose to mitigate the impact of the conflict. </w:t>
      </w:r>
    </w:p>
    <w:p w14:paraId="0B6D6488" w14:textId="4CEDB032" w:rsidR="001771D5" w:rsidRPr="000C38F4" w:rsidRDefault="001771D5" w:rsidP="00930ED1">
      <w:pPr>
        <w:pStyle w:val="Heading2"/>
      </w:pPr>
      <w:r w:rsidRPr="000C38F4">
        <w:t>Information Security</w:t>
      </w:r>
    </w:p>
    <w:p w14:paraId="5529DD77" w14:textId="07D2119B" w:rsidR="001771D5" w:rsidRPr="000C38F4" w:rsidRDefault="001771D5" w:rsidP="002B72B0">
      <w:pPr>
        <w:pStyle w:val="Textnumbered"/>
        <w:tabs>
          <w:tab w:val="clear" w:pos="567"/>
        </w:tabs>
        <w:ind w:left="720" w:hanging="720"/>
      </w:pPr>
      <w:r w:rsidRPr="000C38F4">
        <w:t>In carrying out its statutory functions, the SSRO will process information of the following kinds –</w:t>
      </w:r>
    </w:p>
    <w:p w14:paraId="1230B84D" w14:textId="2AA19B3F" w:rsidR="001771D5" w:rsidRPr="000C38F4" w:rsidRDefault="001771D5" w:rsidP="001771D5">
      <w:pPr>
        <w:pStyle w:val="Textnumbered"/>
        <w:numPr>
          <w:ilvl w:val="4"/>
          <w:numId w:val="3"/>
        </w:numPr>
      </w:pPr>
      <w:r w:rsidRPr="000C38F4">
        <w:t xml:space="preserve">Information to which Schedule 5 of the Defence Reform Act 2014 applies, </w:t>
      </w:r>
      <w:r w:rsidR="00DE6626" w:rsidRPr="000C38F4">
        <w:t xml:space="preserve">which may make </w:t>
      </w:r>
      <w:r w:rsidRPr="000C38F4">
        <w:t>it a criminal offence to disclose the information.</w:t>
      </w:r>
    </w:p>
    <w:p w14:paraId="7E92E07A" w14:textId="6930ED9B" w:rsidR="001771D5" w:rsidRPr="000C38F4" w:rsidRDefault="00DE09E7" w:rsidP="001771D5">
      <w:pPr>
        <w:pStyle w:val="Textnumbered"/>
        <w:numPr>
          <w:ilvl w:val="4"/>
          <w:numId w:val="3"/>
        </w:numPr>
      </w:pPr>
      <w:r w:rsidRPr="000C38F4">
        <w:t>Official information, which may be marked OFFICIAL-SENSITIVE or higher in accordance with the Government Security Classifications.  The disclosure of such information may constitute an offence under the Official Secrets Act 1989.</w:t>
      </w:r>
    </w:p>
    <w:p w14:paraId="101255EF" w14:textId="4D1F6026" w:rsidR="00DE09E7" w:rsidRPr="000C38F4" w:rsidRDefault="00DE09E7" w:rsidP="001771D5">
      <w:pPr>
        <w:pStyle w:val="Textnumbered"/>
        <w:numPr>
          <w:ilvl w:val="4"/>
          <w:numId w:val="3"/>
        </w:numPr>
      </w:pPr>
      <w:r w:rsidRPr="000C38F4">
        <w:t>Confidential or commercially sensitive information, which the SSRO would not disclose under the Freedom of Information Act 2000 by reason of the application of one of the exemptions in that Act.</w:t>
      </w:r>
    </w:p>
    <w:p w14:paraId="214AC975" w14:textId="60CE70E1" w:rsidR="00DE09E7" w:rsidRPr="000C38F4" w:rsidRDefault="00DE09E7" w:rsidP="001771D5">
      <w:pPr>
        <w:pStyle w:val="Textnumbered"/>
        <w:numPr>
          <w:ilvl w:val="4"/>
          <w:numId w:val="3"/>
        </w:numPr>
      </w:pPr>
      <w:r w:rsidRPr="000C38F4">
        <w:t>Personal data or sensitive personal data within the meaning of the Data Protection Act 1998, which must be processed in accordance with the data protection principles.</w:t>
      </w:r>
    </w:p>
    <w:p w14:paraId="2AF0C3C0" w14:textId="69F5D55D" w:rsidR="001771D5" w:rsidRPr="000C38F4" w:rsidRDefault="00C90B51" w:rsidP="002B72B0">
      <w:pPr>
        <w:pStyle w:val="Textnumbered"/>
        <w:tabs>
          <w:tab w:val="clear" w:pos="567"/>
        </w:tabs>
        <w:ind w:left="720" w:hanging="720"/>
      </w:pPr>
      <w:r w:rsidRPr="000C38F4">
        <w:t>The SSRO takes the security of the information it holds seriously, as demonstrated in its statement on handling commercially sensitive information, which may be viewed here –</w:t>
      </w:r>
    </w:p>
    <w:p w14:paraId="35B0E8FC" w14:textId="1D5CC14D" w:rsidR="00C90B51" w:rsidRPr="000C38F4" w:rsidRDefault="00BA6033" w:rsidP="00C90B51">
      <w:pPr>
        <w:pStyle w:val="Textnumbered"/>
        <w:numPr>
          <w:ilvl w:val="0"/>
          <w:numId w:val="0"/>
        </w:numPr>
        <w:ind w:left="720"/>
      </w:pPr>
      <w:hyperlink r:id="rId14" w:history="1">
        <w:r w:rsidR="00C90B51" w:rsidRPr="000C38F4">
          <w:rPr>
            <w:rStyle w:val="Hyperlink"/>
          </w:rPr>
          <w:t>https://www.gov.uk/government/news/handling-commercially-sensitive-information</w:t>
        </w:r>
      </w:hyperlink>
    </w:p>
    <w:p w14:paraId="4E049D40" w14:textId="697B01B1" w:rsidR="00FB0245" w:rsidRPr="000C38F4" w:rsidRDefault="006A781D" w:rsidP="00CF2A39">
      <w:pPr>
        <w:pStyle w:val="Textnumbered"/>
        <w:tabs>
          <w:tab w:val="clear" w:pos="567"/>
        </w:tabs>
        <w:ind w:left="720" w:hanging="720"/>
      </w:pPr>
      <w:r w:rsidRPr="000C38F4">
        <w:t xml:space="preserve">Included in the </w:t>
      </w:r>
      <w:r w:rsidR="00B8174C">
        <w:t>T</w:t>
      </w:r>
      <w:r w:rsidRPr="000C38F4">
        <w:t xml:space="preserve">erms and </w:t>
      </w:r>
      <w:r w:rsidR="00B8174C">
        <w:t>C</w:t>
      </w:r>
      <w:r w:rsidRPr="000C38F4">
        <w:t xml:space="preserve">onditions provided with the ITT are </w:t>
      </w:r>
      <w:r w:rsidR="00DE6626" w:rsidRPr="000C38F4">
        <w:t xml:space="preserve">Security Measures </w:t>
      </w:r>
      <w:r w:rsidR="003D0B19" w:rsidRPr="000C38F4">
        <w:t xml:space="preserve">the Contractor would have to meet in the event of being presented with a Secret Matter (i.e. material classified SECRET or TOP SECRET) and </w:t>
      </w:r>
      <w:r w:rsidRPr="000C38F4">
        <w:t>Security Conditions which the SSRO requires the Contractor to meet in relation to Schedule 5 information and OFFICIAL-SENSITIVE information</w:t>
      </w:r>
      <w:r w:rsidR="00C90B51" w:rsidRPr="000C38F4">
        <w:t>.</w:t>
      </w:r>
      <w:r w:rsidR="003D0B19" w:rsidRPr="000C38F4">
        <w:t xml:space="preserve">  The SSRO makes no warranty but </w:t>
      </w:r>
      <w:r w:rsidR="00522AB7">
        <w:t xml:space="preserve">does not expect </w:t>
      </w:r>
      <w:r w:rsidR="003D0B19" w:rsidRPr="000C38F4">
        <w:t xml:space="preserve">that the Contractor would be required to deal with a Secret Matter, but common for it to be required to deal with </w:t>
      </w:r>
      <w:r w:rsidR="00522AB7" w:rsidRPr="000C38F4">
        <w:t>OFFICIAL-SENSITIVE</w:t>
      </w:r>
      <w:r w:rsidR="003D0B19" w:rsidRPr="000C38F4">
        <w:t xml:space="preserve"> Information.</w:t>
      </w:r>
    </w:p>
    <w:p w14:paraId="3E7DFBDE" w14:textId="2C4456B5" w:rsidR="00CF2A39" w:rsidRPr="000C38F4" w:rsidRDefault="00CF2A39" w:rsidP="00CF2A39">
      <w:pPr>
        <w:pStyle w:val="Textnumbered"/>
        <w:tabs>
          <w:tab w:val="clear" w:pos="567"/>
        </w:tabs>
        <w:ind w:left="720" w:hanging="720"/>
      </w:pPr>
      <w:r w:rsidRPr="000C38F4">
        <w:t xml:space="preserve">If the Contractor received Secret Matter, it would need to be accredited for List X.  It is proposed, however, that </w:t>
      </w:r>
      <w:r w:rsidR="00674A49" w:rsidRPr="000C38F4">
        <w:t>should any access to Secret Matter be required, then that</w:t>
      </w:r>
      <w:r w:rsidRPr="000C38F4">
        <w:t xml:space="preserve"> access to Secret Matter </w:t>
      </w:r>
      <w:r w:rsidR="00674A49" w:rsidRPr="000C38F4">
        <w:t>w</w:t>
      </w:r>
      <w:r w:rsidRPr="000C38F4">
        <w:t>ould take place at the SSRO’s premises</w:t>
      </w:r>
      <w:r w:rsidR="00FB0245" w:rsidRPr="000C38F4">
        <w:t>, rather than any Secret Matter ever being held by the Contractor</w:t>
      </w:r>
      <w:r w:rsidR="009B7F6A" w:rsidRPr="000C38F4">
        <w:t>.</w:t>
      </w:r>
    </w:p>
    <w:p w14:paraId="0BFE2C04" w14:textId="1BCBCF77" w:rsidR="009B7F6A" w:rsidRPr="000C38F4" w:rsidRDefault="009B7F6A" w:rsidP="00CF2A39">
      <w:pPr>
        <w:pStyle w:val="Textnumbered"/>
        <w:tabs>
          <w:tab w:val="clear" w:pos="567"/>
        </w:tabs>
        <w:ind w:left="720" w:hanging="720"/>
      </w:pPr>
      <w:r w:rsidRPr="000C38F4">
        <w:t xml:space="preserve">The </w:t>
      </w:r>
      <w:r w:rsidR="00BA6033">
        <w:t>T</w:t>
      </w:r>
      <w:r w:rsidRPr="000C38F4">
        <w:t xml:space="preserve">erms and </w:t>
      </w:r>
      <w:r w:rsidR="00BA6033">
        <w:t>C</w:t>
      </w:r>
      <w:bookmarkStart w:id="0" w:name="_GoBack"/>
      <w:bookmarkEnd w:id="0"/>
      <w:r w:rsidRPr="000C38F4">
        <w:t>onditions provided with the ITT refer to the Government’s Security Policy Framework, which may be viewed here –</w:t>
      </w:r>
    </w:p>
    <w:p w14:paraId="43C9C954" w14:textId="4C5B7CDF" w:rsidR="009B7F6A" w:rsidRPr="000C38F4" w:rsidRDefault="00BA6033" w:rsidP="009B7F6A">
      <w:pPr>
        <w:pStyle w:val="Textnumbered"/>
        <w:numPr>
          <w:ilvl w:val="0"/>
          <w:numId w:val="0"/>
        </w:numPr>
        <w:ind w:left="720"/>
      </w:pPr>
      <w:hyperlink r:id="rId15" w:history="1">
        <w:r w:rsidR="009B7F6A" w:rsidRPr="000C38F4">
          <w:rPr>
            <w:rStyle w:val="Hyperlink"/>
          </w:rPr>
          <w:t>https://www.gov.uk/government/publications/security-policy-framework</w:t>
        </w:r>
      </w:hyperlink>
    </w:p>
    <w:p w14:paraId="3461B895" w14:textId="7CEED4E8" w:rsidR="001F3999" w:rsidRPr="000C38F4" w:rsidRDefault="001F3999" w:rsidP="001F3999">
      <w:pPr>
        <w:pStyle w:val="Textnumbered"/>
        <w:tabs>
          <w:tab w:val="clear" w:pos="567"/>
        </w:tabs>
        <w:ind w:left="720" w:hanging="720"/>
      </w:pPr>
      <w:r w:rsidRPr="000C38F4">
        <w:lastRenderedPageBreak/>
        <w:t>The National Security Vetting (NSV) scheme gives an assurance of an individual’s suitability for access to sensitive government information or other valuable assets.  Details of the scheme may be viewed here –</w:t>
      </w:r>
    </w:p>
    <w:p w14:paraId="19E84D35" w14:textId="79C561D3" w:rsidR="001F3999" w:rsidRPr="000C38F4" w:rsidRDefault="00BA6033" w:rsidP="001F3999">
      <w:pPr>
        <w:pStyle w:val="Textnumbered"/>
        <w:numPr>
          <w:ilvl w:val="0"/>
          <w:numId w:val="0"/>
        </w:numPr>
        <w:ind w:left="720"/>
      </w:pPr>
      <w:hyperlink r:id="rId16" w:history="1">
        <w:r w:rsidR="001F3999" w:rsidRPr="000C38F4">
          <w:rPr>
            <w:rStyle w:val="Hyperlink"/>
          </w:rPr>
          <w:t>https://www.gov.uk/guidance/security-vetting-and-clearance</w:t>
        </w:r>
      </w:hyperlink>
    </w:p>
    <w:p w14:paraId="333F9971" w14:textId="649AADD4" w:rsidR="00674A49" w:rsidRPr="000C38F4" w:rsidRDefault="001F3999" w:rsidP="001F3999">
      <w:pPr>
        <w:pStyle w:val="Textnumbered"/>
        <w:tabs>
          <w:tab w:val="clear" w:pos="567"/>
        </w:tabs>
        <w:ind w:left="720" w:hanging="720"/>
      </w:pPr>
      <w:r w:rsidRPr="000C38F4">
        <w:t xml:space="preserve">The SSRO does not require that the Contractor’s staff have been subject to NSV, </w:t>
      </w:r>
      <w:r w:rsidR="00DE6626" w:rsidRPr="000C38F4">
        <w:t>although all staff dealing with Sensitive Information are expected to have undergone Baseline Personal Security Standard (BPSS) clearance</w:t>
      </w:r>
      <w:r w:rsidR="00674A49" w:rsidRPr="000C38F4">
        <w:t>, details of which may be viewed here –</w:t>
      </w:r>
    </w:p>
    <w:p w14:paraId="4E681658" w14:textId="6099D9AE" w:rsidR="00674A49" w:rsidRPr="000C38F4" w:rsidRDefault="00BA6033" w:rsidP="00674A49">
      <w:pPr>
        <w:pStyle w:val="Textnumbered"/>
        <w:numPr>
          <w:ilvl w:val="0"/>
          <w:numId w:val="0"/>
        </w:numPr>
        <w:ind w:left="720"/>
      </w:pPr>
      <w:hyperlink r:id="rId17" w:history="1">
        <w:r w:rsidR="00674A49" w:rsidRPr="000C38F4">
          <w:rPr>
            <w:rStyle w:val="Hyperlink"/>
          </w:rPr>
          <w:t>https://www.gov.uk/government/uploads/system/uploads/attachment_data/file/365602/HMG_Baseline_Personnel_Security_Standard.pdf</w:t>
        </w:r>
      </w:hyperlink>
    </w:p>
    <w:p w14:paraId="57674D23" w14:textId="1AD15635" w:rsidR="003D0B19" w:rsidRPr="000C38F4" w:rsidRDefault="00674A49" w:rsidP="001F3999">
      <w:pPr>
        <w:pStyle w:val="Textnumbered"/>
        <w:tabs>
          <w:tab w:val="clear" w:pos="567"/>
        </w:tabs>
        <w:ind w:left="720" w:hanging="720"/>
      </w:pPr>
      <w:r w:rsidRPr="000C38F4">
        <w:t>T</w:t>
      </w:r>
      <w:r w:rsidR="001F3999" w:rsidRPr="000C38F4">
        <w:t>here may be circumstances in which it would be of assistance for one or more persons in the Contractor’s team to have</w:t>
      </w:r>
      <w:r w:rsidR="00DE6626" w:rsidRPr="000C38F4">
        <w:t xml:space="preserve"> been subject to NSV and have</w:t>
      </w:r>
      <w:r w:rsidR="001F3999" w:rsidRPr="000C38F4">
        <w:t xml:space="preserve"> SC clearance or higher.  For example, this may be the case if t</w:t>
      </w:r>
      <w:r w:rsidR="003D0B19" w:rsidRPr="000C38F4">
        <w:t>he SSRO visits</w:t>
      </w:r>
      <w:r w:rsidR="001F3999" w:rsidRPr="000C38F4">
        <w:t xml:space="preserve"> a defence site</w:t>
      </w:r>
      <w:r w:rsidR="003D0B19" w:rsidRPr="000C38F4">
        <w:t xml:space="preserve"> as part of its work, </w:t>
      </w:r>
      <w:r w:rsidR="001F3999" w:rsidRPr="000C38F4">
        <w:t>in respect of which</w:t>
      </w:r>
      <w:r w:rsidR="003D0B19" w:rsidRPr="000C38F4">
        <w:t xml:space="preserve"> </w:t>
      </w:r>
      <w:r w:rsidR="00C17B80" w:rsidRPr="000C38F4">
        <w:t>risk analysis</w:t>
      </w:r>
      <w:r w:rsidR="003D0B19" w:rsidRPr="000C38F4">
        <w:t xml:space="preserve"> </w:t>
      </w:r>
      <w:r w:rsidR="001F3999" w:rsidRPr="000C38F4">
        <w:t>services are needed</w:t>
      </w:r>
      <w:r w:rsidR="003D0B19" w:rsidRPr="000C38F4">
        <w:t>.</w:t>
      </w:r>
      <w:r w:rsidR="001F3999" w:rsidRPr="000C38F4">
        <w:t xml:space="preserve">  In those circumstances it may facilitate the provision of services if one of the Contractor’s staff could attend.</w:t>
      </w:r>
    </w:p>
    <w:p w14:paraId="2A85F176" w14:textId="1B9E7125" w:rsidR="001F3999" w:rsidRPr="000C38F4" w:rsidRDefault="00D069DD" w:rsidP="001F3999">
      <w:pPr>
        <w:pStyle w:val="Textnumbered"/>
        <w:tabs>
          <w:tab w:val="clear" w:pos="567"/>
        </w:tabs>
        <w:ind w:left="720" w:hanging="720"/>
      </w:pPr>
      <w:r w:rsidRPr="000C38F4">
        <w:t>T</w:t>
      </w:r>
      <w:r w:rsidR="001F3999" w:rsidRPr="000C38F4">
        <w:t xml:space="preserve">he SSRO uses </w:t>
      </w:r>
      <w:r w:rsidR="00666453" w:rsidRPr="000C38F4">
        <w:t>I</w:t>
      </w:r>
      <w:r w:rsidRPr="000C38F4">
        <w:t xml:space="preserve">nformation </w:t>
      </w:r>
      <w:r w:rsidR="00666453" w:rsidRPr="000C38F4">
        <w:t>R</w:t>
      </w:r>
      <w:r w:rsidR="001F3999" w:rsidRPr="000C38F4">
        <w:t xml:space="preserve">ights </w:t>
      </w:r>
      <w:r w:rsidR="00666453" w:rsidRPr="000C38F4">
        <w:t>M</w:t>
      </w:r>
      <w:r w:rsidR="001F3999" w:rsidRPr="000C38F4">
        <w:t xml:space="preserve">anagement </w:t>
      </w:r>
      <w:r w:rsidRPr="000C38F4">
        <w:t xml:space="preserve">to </w:t>
      </w:r>
      <w:r w:rsidR="001F3999" w:rsidRPr="000C38F4">
        <w:t xml:space="preserve">protect </w:t>
      </w:r>
      <w:r w:rsidR="00DE6626" w:rsidRPr="000C38F4">
        <w:t>electronic S</w:t>
      </w:r>
      <w:r w:rsidRPr="000C38F4">
        <w:t xml:space="preserve">ensitive </w:t>
      </w:r>
      <w:r w:rsidR="00DE6626" w:rsidRPr="000C38F4">
        <w:t>I</w:t>
      </w:r>
      <w:r w:rsidRPr="000C38F4">
        <w:t>nformation</w:t>
      </w:r>
      <w:r w:rsidR="00DE6626" w:rsidRPr="000C38F4">
        <w:t>, both</w:t>
      </w:r>
      <w:r w:rsidRPr="000C38F4">
        <w:t xml:space="preserve"> at rest and in transit</w:t>
      </w:r>
      <w:r w:rsidR="001F3999" w:rsidRPr="000C38F4">
        <w:t xml:space="preserve"> Contractors will need to demonstrate that they will be able to receive or return </w:t>
      </w:r>
      <w:r w:rsidR="00DE6626" w:rsidRPr="000C38F4">
        <w:t>electronic Sensitive Information</w:t>
      </w:r>
      <w:r w:rsidR="001F3999" w:rsidRPr="000C38F4">
        <w:t>,</w:t>
      </w:r>
      <w:r w:rsidR="00124499" w:rsidRPr="000C38F4">
        <w:t xml:space="preserve"> or suggest</w:t>
      </w:r>
      <w:r w:rsidR="00666453" w:rsidRPr="000C38F4">
        <w:t xml:space="preserve"> </w:t>
      </w:r>
      <w:r w:rsidR="00DE6626" w:rsidRPr="000C38F4">
        <w:t xml:space="preserve">equivalent </w:t>
      </w:r>
      <w:r w:rsidR="00666453" w:rsidRPr="000C38F4">
        <w:t>alternative</w:t>
      </w:r>
      <w:r w:rsidR="00DE6626" w:rsidRPr="000C38F4">
        <w:t xml:space="preserve"> methods</w:t>
      </w:r>
      <w:r w:rsidR="00666453" w:rsidRPr="000C38F4">
        <w:t>,</w:t>
      </w:r>
      <w:r w:rsidR="001F3999" w:rsidRPr="000C38F4">
        <w:t xml:space="preserve"> to avoid delays in delivery of the Services.</w:t>
      </w:r>
    </w:p>
    <w:sectPr w:rsidR="001F3999" w:rsidRPr="000C38F4" w:rsidSect="00D219B7">
      <w:headerReference w:type="even" r:id="rId18"/>
      <w:headerReference w:type="default" r:id="rId19"/>
      <w:footerReference w:type="even" r:id="rId20"/>
      <w:footerReference w:type="default" r:id="rId21"/>
      <w:footerReference w:type="first" r:id="rId22"/>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C3496" w14:textId="77777777" w:rsidR="000105B2" w:rsidRDefault="000105B2">
      <w:r>
        <w:separator/>
      </w:r>
    </w:p>
  </w:endnote>
  <w:endnote w:type="continuationSeparator" w:id="0">
    <w:p w14:paraId="7546AF9A" w14:textId="77777777" w:rsidR="000105B2" w:rsidRDefault="0001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BE16" w14:textId="60808CB4"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BA6033">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D554" w14:textId="2BFD17F5"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A6033">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C94D" w14:textId="6B2EE193"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A0526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BF743" w14:textId="77777777" w:rsidR="000105B2" w:rsidRDefault="000105B2">
      <w:r>
        <w:separator/>
      </w:r>
    </w:p>
  </w:footnote>
  <w:footnote w:type="continuationSeparator" w:id="0">
    <w:p w14:paraId="18240549" w14:textId="77777777" w:rsidR="000105B2" w:rsidRDefault="000105B2">
      <w:r>
        <w:continuationSeparator/>
      </w:r>
    </w:p>
  </w:footnote>
  <w:footnote w:id="1">
    <w:p w14:paraId="7AA61AFF" w14:textId="5FD4ACEB" w:rsidR="00C67A40" w:rsidRDefault="00C67A40" w:rsidP="00C67A40">
      <w:pPr>
        <w:pStyle w:val="FootnoteText"/>
      </w:pPr>
      <w:r>
        <w:rPr>
          <w:rStyle w:val="FootnoteReference"/>
        </w:rPr>
        <w:footnoteRef/>
      </w:r>
      <w:r>
        <w:t xml:space="preserve"> The methodology was evaluated against the guidelines in the “OECD transfer pricing guidelines for multinational enterprises and tax administrations (2010) edition”, which may be downloaded from </w:t>
      </w:r>
      <w:hyperlink r:id="rId1" w:history="1">
        <w:r w:rsidRPr="001924BC">
          <w:rPr>
            <w:rStyle w:val="Hyperlink"/>
          </w:rPr>
          <w:t>http://www.oecd-ilibrary.org/taxation/oecd-transfer-pricing-guidelines-for-multinational-enterprises-and-tax-administrations-2010_tpg-2010-en</w:t>
        </w:r>
      </w:hyperlink>
    </w:p>
  </w:footnote>
  <w:footnote w:id="2">
    <w:p w14:paraId="00A27639" w14:textId="133ED0BB" w:rsidR="00065E3C" w:rsidRDefault="00065E3C">
      <w:pPr>
        <w:pStyle w:val="FootnoteText"/>
      </w:pPr>
      <w:r>
        <w:rPr>
          <w:rStyle w:val="FootnoteReference"/>
        </w:rPr>
        <w:footnoteRef/>
      </w:r>
      <w:r>
        <w:t xml:space="preserve"> </w:t>
      </w:r>
      <w:r w:rsidRPr="00065E3C">
        <w:rPr>
          <w:rFonts w:cs="Arial"/>
        </w:rPr>
        <w:t xml:space="preserve">The 2017 edition (published on 10 July 2017) is accessible at: </w:t>
      </w:r>
      <w:hyperlink r:id="rId2" w:history="1">
        <w:r w:rsidRPr="00065E3C">
          <w:rPr>
            <w:rStyle w:val="Hyperlink"/>
            <w:rFonts w:cs="Arial"/>
          </w:rPr>
          <w:t>http://www.oecd-ilibrary.org/taxation/oecd-transfer-pricing-guidelines-for-multinational-enterprises-and-tax-administrations_20769717;jsessionid=ufnl9jjjvaoo.x-oecd-live-02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4CD9" w14:textId="26EA3670" w:rsidR="002C7620" w:rsidRPr="00980553" w:rsidRDefault="00621690" w:rsidP="00980553">
    <w:pPr>
      <w:pStyle w:val="Header"/>
    </w:pPr>
    <w:r>
      <w:t xml:space="preserve">The baseline profit rate and capital servicing rates </w:t>
    </w:r>
    <w:r w:rsidR="00C67A40">
      <w:t>assurance</w:t>
    </w:r>
    <w:r w:rsidR="00EA6626">
      <w:t xml:space="preserve">: </w:t>
    </w:r>
    <w:r w:rsidR="006E7794">
      <w:t>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ADFAA" w14:textId="4D2E4BDC" w:rsidR="002C7620" w:rsidRPr="00C17B80" w:rsidRDefault="00621690" w:rsidP="00C17B80">
    <w:pPr>
      <w:pStyle w:val="Header"/>
      <w:jc w:val="right"/>
    </w:pPr>
    <w:r>
      <w:t xml:space="preserve">The baseline profit rate and capital servicing rates </w:t>
    </w:r>
    <w:r w:rsidR="00C67A40">
      <w:t>assurance</w:t>
    </w:r>
    <w:r w:rsidR="00EA6626">
      <w:t xml:space="preserve">: </w:t>
    </w:r>
    <w:r w:rsidR="006E7794">
      <w:t>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406"/>
    <w:multiLevelType w:val="multilevel"/>
    <w:tmpl w:val="A34E82E4"/>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9AD34C4"/>
    <w:multiLevelType w:val="multilevel"/>
    <w:tmpl w:val="F5C07908"/>
    <w:lvl w:ilvl="0">
      <w:start w:val="2"/>
      <w:numFmt w:val="decimal"/>
      <w:lvlText w:val="%1"/>
      <w:lvlJc w:val="left"/>
      <w:pPr>
        <w:ind w:left="480" w:hanging="480"/>
      </w:pPr>
      <w:rPr>
        <w:rFonts w:cs="Arial" w:hint="default"/>
        <w:sz w:val="21"/>
      </w:rPr>
    </w:lvl>
    <w:lvl w:ilvl="1">
      <w:start w:val="1"/>
      <w:numFmt w:val="decimal"/>
      <w:lvlText w:val="%1.%2"/>
      <w:lvlJc w:val="left"/>
      <w:pPr>
        <w:ind w:left="840" w:hanging="480"/>
      </w:pPr>
      <w:rPr>
        <w:rFonts w:cs="Arial" w:hint="default"/>
        <w:sz w:val="21"/>
      </w:rPr>
    </w:lvl>
    <w:lvl w:ilvl="2">
      <w:start w:val="1"/>
      <w:numFmt w:val="decimal"/>
      <w:lvlText w:val="%1.%2.%3"/>
      <w:lvlJc w:val="left"/>
      <w:pPr>
        <w:ind w:left="1440" w:hanging="720"/>
      </w:pPr>
      <w:rPr>
        <w:rFonts w:cs="Arial" w:hint="default"/>
        <w:sz w:val="21"/>
      </w:rPr>
    </w:lvl>
    <w:lvl w:ilvl="3">
      <w:start w:val="1"/>
      <w:numFmt w:val="decimal"/>
      <w:lvlText w:val="%1.%2.%3.%4"/>
      <w:lvlJc w:val="left"/>
      <w:pPr>
        <w:ind w:left="1800" w:hanging="720"/>
      </w:pPr>
      <w:rPr>
        <w:rFonts w:cs="Arial" w:hint="default"/>
        <w:sz w:val="21"/>
      </w:rPr>
    </w:lvl>
    <w:lvl w:ilvl="4">
      <w:start w:val="1"/>
      <w:numFmt w:val="decimal"/>
      <w:lvlText w:val="%1.%2.%3.%4.%5"/>
      <w:lvlJc w:val="left"/>
      <w:pPr>
        <w:ind w:left="2520" w:hanging="1080"/>
      </w:pPr>
      <w:rPr>
        <w:rFonts w:cs="Arial" w:hint="default"/>
        <w:sz w:val="21"/>
      </w:rPr>
    </w:lvl>
    <w:lvl w:ilvl="5">
      <w:start w:val="1"/>
      <w:numFmt w:val="decimal"/>
      <w:lvlText w:val="%1.%2.%3.%4.%5.%6"/>
      <w:lvlJc w:val="left"/>
      <w:pPr>
        <w:ind w:left="2880" w:hanging="1080"/>
      </w:pPr>
      <w:rPr>
        <w:rFonts w:cs="Arial" w:hint="default"/>
        <w:sz w:val="21"/>
      </w:rPr>
    </w:lvl>
    <w:lvl w:ilvl="6">
      <w:start w:val="1"/>
      <w:numFmt w:val="decimal"/>
      <w:lvlText w:val="%1.%2.%3.%4.%5.%6.%7"/>
      <w:lvlJc w:val="left"/>
      <w:pPr>
        <w:ind w:left="3600" w:hanging="1440"/>
      </w:pPr>
      <w:rPr>
        <w:rFonts w:cs="Arial" w:hint="default"/>
        <w:sz w:val="21"/>
      </w:rPr>
    </w:lvl>
    <w:lvl w:ilvl="7">
      <w:start w:val="1"/>
      <w:numFmt w:val="decimal"/>
      <w:lvlText w:val="%1.%2.%3.%4.%5.%6.%7.%8"/>
      <w:lvlJc w:val="left"/>
      <w:pPr>
        <w:ind w:left="3960" w:hanging="1440"/>
      </w:pPr>
      <w:rPr>
        <w:rFonts w:cs="Arial" w:hint="default"/>
        <w:sz w:val="21"/>
      </w:rPr>
    </w:lvl>
    <w:lvl w:ilvl="8">
      <w:start w:val="1"/>
      <w:numFmt w:val="decimal"/>
      <w:lvlText w:val="%1.%2.%3.%4.%5.%6.%7.%8.%9"/>
      <w:lvlJc w:val="left"/>
      <w:pPr>
        <w:ind w:left="4680" w:hanging="1800"/>
      </w:pPr>
      <w:rPr>
        <w:rFonts w:cs="Arial" w:hint="default"/>
        <w:sz w:val="21"/>
      </w:rPr>
    </w:lvl>
  </w:abstractNum>
  <w:abstractNum w:abstractNumId="2"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3" w15:restartNumberingAfterBreak="0">
    <w:nsid w:val="1EEE553B"/>
    <w:multiLevelType w:val="multilevel"/>
    <w:tmpl w:val="EB12A3C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2609548F"/>
    <w:multiLevelType w:val="hybridMultilevel"/>
    <w:tmpl w:val="DA185B3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669F4"/>
    <w:multiLevelType w:val="multilevel"/>
    <w:tmpl w:val="F894E9A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3A1D3B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CA4337"/>
    <w:multiLevelType w:val="hybridMultilevel"/>
    <w:tmpl w:val="B6DCB9C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7DD64AEA"/>
    <w:multiLevelType w:val="hybridMultilevel"/>
    <w:tmpl w:val="78C8F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8"/>
  </w:num>
  <w:num w:numId="4">
    <w:abstractNumId w:val="1"/>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0"/>
  </w:num>
  <w:num w:numId="10">
    <w:abstractNumId w:val="11"/>
  </w:num>
  <w:num w:numId="11">
    <w:abstractNumId w:val="0"/>
  </w:num>
  <w:num w:numId="12">
    <w:abstractNumId w:val="9"/>
  </w:num>
  <w:num w:numId="13">
    <w:abstractNumId w:val="8"/>
  </w:num>
  <w:num w:numId="14">
    <w:abstractNumId w:val="8"/>
  </w:num>
  <w:num w:numId="15">
    <w:abstractNumId w:val="8"/>
  </w:num>
  <w:num w:numId="16">
    <w:abstractNumId w:val="5"/>
  </w:num>
  <w:num w:numId="17">
    <w:abstractNumId w:val="6"/>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5529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26"/>
    <w:rsid w:val="000105B2"/>
    <w:rsid w:val="0002073B"/>
    <w:rsid w:val="00026136"/>
    <w:rsid w:val="00031121"/>
    <w:rsid w:val="00031D33"/>
    <w:rsid w:val="00040082"/>
    <w:rsid w:val="00055F01"/>
    <w:rsid w:val="00065353"/>
    <w:rsid w:val="00065E3C"/>
    <w:rsid w:val="00070ABC"/>
    <w:rsid w:val="00087516"/>
    <w:rsid w:val="000A45DC"/>
    <w:rsid w:val="000A4A80"/>
    <w:rsid w:val="000C3769"/>
    <w:rsid w:val="000C38F4"/>
    <w:rsid w:val="000C38FF"/>
    <w:rsid w:val="000D1679"/>
    <w:rsid w:val="000D2A01"/>
    <w:rsid w:val="000D7C5A"/>
    <w:rsid w:val="000E744F"/>
    <w:rsid w:val="000F5B6F"/>
    <w:rsid w:val="001005BD"/>
    <w:rsid w:val="001010D5"/>
    <w:rsid w:val="00113B07"/>
    <w:rsid w:val="0011633B"/>
    <w:rsid w:val="001171E8"/>
    <w:rsid w:val="00123309"/>
    <w:rsid w:val="00123E61"/>
    <w:rsid w:val="00124499"/>
    <w:rsid w:val="00144C5A"/>
    <w:rsid w:val="0015248C"/>
    <w:rsid w:val="00171E70"/>
    <w:rsid w:val="001771D5"/>
    <w:rsid w:val="001A0D09"/>
    <w:rsid w:val="001A633B"/>
    <w:rsid w:val="001D3AC1"/>
    <w:rsid w:val="001D4F70"/>
    <w:rsid w:val="001E39B0"/>
    <w:rsid w:val="001E7650"/>
    <w:rsid w:val="001F3999"/>
    <w:rsid w:val="00213233"/>
    <w:rsid w:val="002275AC"/>
    <w:rsid w:val="00230632"/>
    <w:rsid w:val="0023510E"/>
    <w:rsid w:val="00235F27"/>
    <w:rsid w:val="00237D67"/>
    <w:rsid w:val="00241AF5"/>
    <w:rsid w:val="0028361D"/>
    <w:rsid w:val="00293914"/>
    <w:rsid w:val="0029585B"/>
    <w:rsid w:val="0029660C"/>
    <w:rsid w:val="00297634"/>
    <w:rsid w:val="002A7754"/>
    <w:rsid w:val="002B1483"/>
    <w:rsid w:val="002B2BFB"/>
    <w:rsid w:val="002B418A"/>
    <w:rsid w:val="002B72B0"/>
    <w:rsid w:val="002C0278"/>
    <w:rsid w:val="002C7620"/>
    <w:rsid w:val="002D0B89"/>
    <w:rsid w:val="002D0D20"/>
    <w:rsid w:val="002E4C43"/>
    <w:rsid w:val="002E7D0B"/>
    <w:rsid w:val="00304DBE"/>
    <w:rsid w:val="00311885"/>
    <w:rsid w:val="003210C7"/>
    <w:rsid w:val="00321867"/>
    <w:rsid w:val="00335B10"/>
    <w:rsid w:val="00366D84"/>
    <w:rsid w:val="00381F92"/>
    <w:rsid w:val="00395957"/>
    <w:rsid w:val="003A4122"/>
    <w:rsid w:val="003A647D"/>
    <w:rsid w:val="003C0B38"/>
    <w:rsid w:val="003C30CF"/>
    <w:rsid w:val="003D0B19"/>
    <w:rsid w:val="003D1D68"/>
    <w:rsid w:val="003D297C"/>
    <w:rsid w:val="003D3986"/>
    <w:rsid w:val="003F2CEB"/>
    <w:rsid w:val="003F7818"/>
    <w:rsid w:val="004006A8"/>
    <w:rsid w:val="00412840"/>
    <w:rsid w:val="004235D7"/>
    <w:rsid w:val="00425E78"/>
    <w:rsid w:val="00425EFD"/>
    <w:rsid w:val="00431A1F"/>
    <w:rsid w:val="004451B9"/>
    <w:rsid w:val="00460C7F"/>
    <w:rsid w:val="00474476"/>
    <w:rsid w:val="00490B3F"/>
    <w:rsid w:val="004A055D"/>
    <w:rsid w:val="004A1111"/>
    <w:rsid w:val="004B6C52"/>
    <w:rsid w:val="004D120A"/>
    <w:rsid w:val="004E0A76"/>
    <w:rsid w:val="004E7895"/>
    <w:rsid w:val="004F331E"/>
    <w:rsid w:val="00514B84"/>
    <w:rsid w:val="005177DF"/>
    <w:rsid w:val="00517DA8"/>
    <w:rsid w:val="00522AB7"/>
    <w:rsid w:val="005340BE"/>
    <w:rsid w:val="00543008"/>
    <w:rsid w:val="00560B39"/>
    <w:rsid w:val="0057160F"/>
    <w:rsid w:val="005B59D6"/>
    <w:rsid w:val="005C7418"/>
    <w:rsid w:val="005D0FC7"/>
    <w:rsid w:val="005D23D4"/>
    <w:rsid w:val="005E315E"/>
    <w:rsid w:val="005F0904"/>
    <w:rsid w:val="005F19DF"/>
    <w:rsid w:val="005F56FD"/>
    <w:rsid w:val="005F7A50"/>
    <w:rsid w:val="00621690"/>
    <w:rsid w:val="006218B8"/>
    <w:rsid w:val="00627057"/>
    <w:rsid w:val="006349D9"/>
    <w:rsid w:val="0063604F"/>
    <w:rsid w:val="00636214"/>
    <w:rsid w:val="00650E47"/>
    <w:rsid w:val="00653FFC"/>
    <w:rsid w:val="00655039"/>
    <w:rsid w:val="006607E5"/>
    <w:rsid w:val="00660C35"/>
    <w:rsid w:val="00666453"/>
    <w:rsid w:val="006727F9"/>
    <w:rsid w:val="00674A49"/>
    <w:rsid w:val="00680201"/>
    <w:rsid w:val="006949C1"/>
    <w:rsid w:val="006A6F54"/>
    <w:rsid w:val="006A781D"/>
    <w:rsid w:val="006B140A"/>
    <w:rsid w:val="006B78CE"/>
    <w:rsid w:val="006C0C71"/>
    <w:rsid w:val="006E0A1C"/>
    <w:rsid w:val="006E7794"/>
    <w:rsid w:val="00700789"/>
    <w:rsid w:val="007251C1"/>
    <w:rsid w:val="0073261E"/>
    <w:rsid w:val="00736A0B"/>
    <w:rsid w:val="0074131A"/>
    <w:rsid w:val="007635ED"/>
    <w:rsid w:val="00765F0A"/>
    <w:rsid w:val="007713E2"/>
    <w:rsid w:val="007905D0"/>
    <w:rsid w:val="00791C83"/>
    <w:rsid w:val="00792E06"/>
    <w:rsid w:val="0079437C"/>
    <w:rsid w:val="007C0AA4"/>
    <w:rsid w:val="007C3502"/>
    <w:rsid w:val="007C3765"/>
    <w:rsid w:val="007C5A2B"/>
    <w:rsid w:val="007E1FBC"/>
    <w:rsid w:val="007E72C2"/>
    <w:rsid w:val="007E79B1"/>
    <w:rsid w:val="00814714"/>
    <w:rsid w:val="00814C97"/>
    <w:rsid w:val="0081696B"/>
    <w:rsid w:val="00820144"/>
    <w:rsid w:val="0082793B"/>
    <w:rsid w:val="008317CF"/>
    <w:rsid w:val="008320AC"/>
    <w:rsid w:val="00835A29"/>
    <w:rsid w:val="0084196E"/>
    <w:rsid w:val="00841AF7"/>
    <w:rsid w:val="008626DD"/>
    <w:rsid w:val="00867D85"/>
    <w:rsid w:val="008913A2"/>
    <w:rsid w:val="00892FA9"/>
    <w:rsid w:val="0089377D"/>
    <w:rsid w:val="00893FA3"/>
    <w:rsid w:val="008944F9"/>
    <w:rsid w:val="00894F71"/>
    <w:rsid w:val="008A161D"/>
    <w:rsid w:val="008B0153"/>
    <w:rsid w:val="008B0D13"/>
    <w:rsid w:val="008D0C37"/>
    <w:rsid w:val="008E75BD"/>
    <w:rsid w:val="008F1EA9"/>
    <w:rsid w:val="008F27F3"/>
    <w:rsid w:val="008F4140"/>
    <w:rsid w:val="00900498"/>
    <w:rsid w:val="00903A6D"/>
    <w:rsid w:val="00904EFA"/>
    <w:rsid w:val="0090515B"/>
    <w:rsid w:val="009062C2"/>
    <w:rsid w:val="0091686A"/>
    <w:rsid w:val="00926817"/>
    <w:rsid w:val="00930ED1"/>
    <w:rsid w:val="0093128C"/>
    <w:rsid w:val="00940206"/>
    <w:rsid w:val="0094245A"/>
    <w:rsid w:val="009425D4"/>
    <w:rsid w:val="00963F9C"/>
    <w:rsid w:val="0097251F"/>
    <w:rsid w:val="0097691E"/>
    <w:rsid w:val="009771E4"/>
    <w:rsid w:val="00980553"/>
    <w:rsid w:val="00985B9A"/>
    <w:rsid w:val="00994672"/>
    <w:rsid w:val="00996C38"/>
    <w:rsid w:val="009B2B18"/>
    <w:rsid w:val="009B7F6A"/>
    <w:rsid w:val="009C24E9"/>
    <w:rsid w:val="009C2F20"/>
    <w:rsid w:val="009C74B1"/>
    <w:rsid w:val="009E3D01"/>
    <w:rsid w:val="009E5845"/>
    <w:rsid w:val="009F2F90"/>
    <w:rsid w:val="009F622A"/>
    <w:rsid w:val="009F63B0"/>
    <w:rsid w:val="00A03A58"/>
    <w:rsid w:val="00A04C37"/>
    <w:rsid w:val="00A05269"/>
    <w:rsid w:val="00A22906"/>
    <w:rsid w:val="00A23E63"/>
    <w:rsid w:val="00A32748"/>
    <w:rsid w:val="00A40EAD"/>
    <w:rsid w:val="00A54044"/>
    <w:rsid w:val="00A6700F"/>
    <w:rsid w:val="00A70F40"/>
    <w:rsid w:val="00A765B5"/>
    <w:rsid w:val="00A83F2E"/>
    <w:rsid w:val="00A93364"/>
    <w:rsid w:val="00A95FDF"/>
    <w:rsid w:val="00A967EE"/>
    <w:rsid w:val="00AA322E"/>
    <w:rsid w:val="00AC0F50"/>
    <w:rsid w:val="00AC3C00"/>
    <w:rsid w:val="00AC7679"/>
    <w:rsid w:val="00AD35BB"/>
    <w:rsid w:val="00AD4EC6"/>
    <w:rsid w:val="00AF742E"/>
    <w:rsid w:val="00B152E7"/>
    <w:rsid w:val="00B201E6"/>
    <w:rsid w:val="00B239B5"/>
    <w:rsid w:val="00B239D5"/>
    <w:rsid w:val="00B24488"/>
    <w:rsid w:val="00B367D3"/>
    <w:rsid w:val="00B52AE7"/>
    <w:rsid w:val="00B55F17"/>
    <w:rsid w:val="00B562AF"/>
    <w:rsid w:val="00B62BF8"/>
    <w:rsid w:val="00B8174C"/>
    <w:rsid w:val="00B865D6"/>
    <w:rsid w:val="00B87A69"/>
    <w:rsid w:val="00BA4F54"/>
    <w:rsid w:val="00BA6033"/>
    <w:rsid w:val="00BB0245"/>
    <w:rsid w:val="00BB1610"/>
    <w:rsid w:val="00BB3546"/>
    <w:rsid w:val="00BC3E02"/>
    <w:rsid w:val="00BD21C0"/>
    <w:rsid w:val="00BD5C0A"/>
    <w:rsid w:val="00BE343E"/>
    <w:rsid w:val="00C01010"/>
    <w:rsid w:val="00C153E5"/>
    <w:rsid w:val="00C16B9A"/>
    <w:rsid w:val="00C17B80"/>
    <w:rsid w:val="00C23E0C"/>
    <w:rsid w:val="00C23EF9"/>
    <w:rsid w:val="00C31775"/>
    <w:rsid w:val="00C372E9"/>
    <w:rsid w:val="00C459BA"/>
    <w:rsid w:val="00C54633"/>
    <w:rsid w:val="00C605BA"/>
    <w:rsid w:val="00C67A40"/>
    <w:rsid w:val="00C74C01"/>
    <w:rsid w:val="00C75945"/>
    <w:rsid w:val="00C77218"/>
    <w:rsid w:val="00C83B0F"/>
    <w:rsid w:val="00C90B51"/>
    <w:rsid w:val="00CA4115"/>
    <w:rsid w:val="00CB0839"/>
    <w:rsid w:val="00CB0D15"/>
    <w:rsid w:val="00CC5949"/>
    <w:rsid w:val="00CD2E85"/>
    <w:rsid w:val="00CD7023"/>
    <w:rsid w:val="00CF2591"/>
    <w:rsid w:val="00CF2A39"/>
    <w:rsid w:val="00CF4C1E"/>
    <w:rsid w:val="00CF575D"/>
    <w:rsid w:val="00D0217B"/>
    <w:rsid w:val="00D04ED7"/>
    <w:rsid w:val="00D069DD"/>
    <w:rsid w:val="00D219B7"/>
    <w:rsid w:val="00D31533"/>
    <w:rsid w:val="00D3157A"/>
    <w:rsid w:val="00D31B34"/>
    <w:rsid w:val="00D44C4B"/>
    <w:rsid w:val="00D5185C"/>
    <w:rsid w:val="00D65135"/>
    <w:rsid w:val="00D72A0A"/>
    <w:rsid w:val="00D82AE0"/>
    <w:rsid w:val="00D85D3C"/>
    <w:rsid w:val="00D92730"/>
    <w:rsid w:val="00DA467A"/>
    <w:rsid w:val="00DA59AF"/>
    <w:rsid w:val="00DB7E15"/>
    <w:rsid w:val="00DC391E"/>
    <w:rsid w:val="00DC3BEA"/>
    <w:rsid w:val="00DC50CC"/>
    <w:rsid w:val="00DD0478"/>
    <w:rsid w:val="00DD5F91"/>
    <w:rsid w:val="00DE09E7"/>
    <w:rsid w:val="00DE285A"/>
    <w:rsid w:val="00DE3D88"/>
    <w:rsid w:val="00DE6626"/>
    <w:rsid w:val="00DF5932"/>
    <w:rsid w:val="00E01B1D"/>
    <w:rsid w:val="00E256D6"/>
    <w:rsid w:val="00E31382"/>
    <w:rsid w:val="00E52E26"/>
    <w:rsid w:val="00E60172"/>
    <w:rsid w:val="00E62342"/>
    <w:rsid w:val="00E6609E"/>
    <w:rsid w:val="00E728A1"/>
    <w:rsid w:val="00E749CB"/>
    <w:rsid w:val="00E82258"/>
    <w:rsid w:val="00E879A1"/>
    <w:rsid w:val="00E944DA"/>
    <w:rsid w:val="00EA1F08"/>
    <w:rsid w:val="00EA6626"/>
    <w:rsid w:val="00EB58B8"/>
    <w:rsid w:val="00ED51CC"/>
    <w:rsid w:val="00ED5AFB"/>
    <w:rsid w:val="00EF06F8"/>
    <w:rsid w:val="00F01B86"/>
    <w:rsid w:val="00F0329A"/>
    <w:rsid w:val="00F10263"/>
    <w:rsid w:val="00F17013"/>
    <w:rsid w:val="00F17EBF"/>
    <w:rsid w:val="00F2689E"/>
    <w:rsid w:val="00F406C6"/>
    <w:rsid w:val="00F43964"/>
    <w:rsid w:val="00F71A84"/>
    <w:rsid w:val="00F72A04"/>
    <w:rsid w:val="00F740CC"/>
    <w:rsid w:val="00F906E4"/>
    <w:rsid w:val="00F97267"/>
    <w:rsid w:val="00FA7180"/>
    <w:rsid w:val="00FB0245"/>
    <w:rsid w:val="00FB3806"/>
    <w:rsid w:val="00FC1D10"/>
    <w:rsid w:val="00FC74AD"/>
    <w:rsid w:val="00FD536C"/>
    <w:rsid w:val="00FE01EA"/>
    <w:rsid w:val="00FE04EA"/>
    <w:rsid w:val="00FE16E6"/>
    <w:rsid w:val="00FE49B7"/>
    <w:rsid w:val="00FE6D9C"/>
    <w:rsid w:val="00FF044D"/>
    <w:rsid w:val="00FF04AE"/>
    <w:rsid w:val="00FF5CFA"/>
    <w:rsid w:val="43D8E40B"/>
    <w:rsid w:val="74DEC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53E5"/>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99893/Single_source_baseline_profit_rate__capital_servicing_rates_and_funding_adjustment_methodology_2017-18_January_2017.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365602/HMG_Baseline_Personnel_Security_Standard.pdf" TargetMode="External"/><Relationship Id="rId2" Type="http://schemas.openxmlformats.org/officeDocument/2006/relationships/customXml" Target="../customXml/item2.xml"/><Relationship Id="rId16" Type="http://schemas.openxmlformats.org/officeDocument/2006/relationships/hyperlink" Target="https://www.gov.uk/guidance/security-vetting-and-clear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handling-commercially-sensitive-informatio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oecd-ilibrary.org/taxation/oecd-transfer-pricing-guidelines-for-multinational-enterprises-and-tax-administrations_20769717;jsessionid=ufnl9jjjvaoo.x-oecd-live-02" TargetMode="External"/><Relationship Id="rId1" Type="http://schemas.openxmlformats.org/officeDocument/2006/relationships/hyperlink" Target="http://www.oecd-ilibrary.org/taxation/oecd-transfer-pricing-guidelines-for-multinational-enterprises-and-tax-administrations-2010_tpg-20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0861C48D4F3D714C9F48BB14B14ED380" PreviousValue="false"/>
</file>

<file path=customXml/item2.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4" ma:contentTypeDescription="" ma:contentTypeScope="" ma:versionID="9db2e662f7b7485ae92cae03239eba27">
  <xsd:schema xmlns:xsd="http://www.w3.org/2001/XMLSchema" xmlns:xs="http://www.w3.org/2001/XMLSchema" xmlns:p="http://schemas.microsoft.com/office/2006/metadata/properties" xmlns:ns2="f6c0f5a9-fb1b-46f7-8164-1a62f2efa361" targetNamespace="http://schemas.microsoft.com/office/2006/metadata/properties" ma:root="true" ma:fieldsID="31623242bb05f9c2fad7197c24e9860b" ns2:_="">
    <xsd:import namespace="f6c0f5a9-fb1b-46f7-8164-1a62f2efa361"/>
    <xsd:element name="properties">
      <xsd:complexType>
        <xsd:sequence>
          <xsd:element name="documentManagement">
            <xsd:complexType>
              <xsd:all>
                <xsd:element ref="ns2:Sensitivity" minOccurs="0"/>
                <xsd:element ref="ns2:TaxCatchAll" minOccurs="0"/>
                <xsd:element ref="ns2:TaxCatchAllLabel"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4"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f6c0f5a9-fb1b-46f7-8164-1a62f2efa361">OFFICIAL Public</Sensitivity>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8051-1E39-4F4E-9AF0-9664CCA7DBC1}"/>
</file>

<file path=customXml/itemProps2.xml><?xml version="1.0" encoding="utf-8"?>
<ds:datastoreItem xmlns:ds="http://schemas.openxmlformats.org/officeDocument/2006/customXml" ds:itemID="{48C50F0B-E432-4020-B0D8-07C5040C473A}"/>
</file>

<file path=customXml/itemProps3.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4.xml><?xml version="1.0" encoding="utf-8"?>
<ds:datastoreItem xmlns:ds="http://schemas.openxmlformats.org/officeDocument/2006/customXml" ds:itemID="{85E1BECF-6EA8-44E6-A205-13F053D74110}">
  <ds:schemaRefs>
    <ds:schemaRef ds:uri="http://purl.org/dc/elements/1.1/"/>
    <ds:schemaRef ds:uri="http://schemas.microsoft.com/office/2006/metadata/properties"/>
    <ds:schemaRef ds:uri="40440d4a-70b4-4784-bb7e-c9faebffb0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c0f5a9-fb1b-46f7-8164-1a62f2efa361"/>
    <ds:schemaRef ds:uri="e9fe5f61-9c4e-47d1-805d-0f848131e48f"/>
    <ds:schemaRef ds:uri="http://www.w3.org/XML/1998/namespace"/>
    <ds:schemaRef ds:uri="http://purl.org/dc/dcmitype/"/>
  </ds:schemaRefs>
</ds:datastoreItem>
</file>

<file path=customXml/itemProps5.xml><?xml version="1.0" encoding="utf-8"?>
<ds:datastoreItem xmlns:ds="http://schemas.openxmlformats.org/officeDocument/2006/customXml" ds:itemID="{D27A6DEC-9D9B-42F2-AA70-4642D5D2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2017-07-31T09:58:00Z</dcterms:created>
  <dcterms:modified xsi:type="dcterms:W3CDTF">2017-08-02T14:03:00Z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baea7cedea1b4efc9b62c2321708c60a">
    <vt:lpwstr/>
  </property>
  <property fmtid="{D5CDD505-2E9C-101B-9397-08002B2CF9AE}" pid="6" name="SharedWithUsers">
    <vt:lpwstr>34;#Anthony Bende-Nabende;#42;#Ben Johnson</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Ref">
    <vt:lpwstr>https://api.informationprotection.azure.com/api/fa810b6b-7dd2-4340-934f-96091d79eacd</vt:lpwstr>
  </property>
  <property fmtid="{D5CDD505-2E9C-101B-9397-08002B2CF9AE}" pid="10" name="MSIP_Label_5867449f-99ce-461b-a4f3-67a0ad4387eb_SetBy">
    <vt:lpwstr>anthony.bende-nabende@ssro.gov.uk</vt:lpwstr>
  </property>
  <property fmtid="{D5CDD505-2E9C-101B-9397-08002B2CF9AE}" pid="11" name="MSIP_Label_5867449f-99ce-461b-a4f3-67a0ad4387eb_SetDate">
    <vt:lpwstr>2017-08-02T14:46:43.7583631+01:00</vt:lpwstr>
  </property>
  <property fmtid="{D5CDD505-2E9C-101B-9397-08002B2CF9AE}" pid="12" name="MSIP_Label_5867449f-99ce-461b-a4f3-67a0ad4387eb_Name">
    <vt:lpwstr>OFFICIAL-Public</vt:lpwstr>
  </property>
  <property fmtid="{D5CDD505-2E9C-101B-9397-08002B2CF9AE}" pid="13" name="MSIP_Label_5867449f-99ce-461b-a4f3-67a0ad4387eb_Application">
    <vt:lpwstr>Microsoft Azure Information Protection</vt:lpwstr>
  </property>
  <property fmtid="{D5CDD505-2E9C-101B-9397-08002B2CF9AE}" pid="14" name="MSIP_Label_5867449f-99ce-461b-a4f3-67a0ad4387eb_Extended_MSFT_Method">
    <vt:lpwstr>Manual</vt:lpwstr>
  </property>
  <property fmtid="{D5CDD505-2E9C-101B-9397-08002B2CF9AE}" pid="15" name="Sensitivity">
    <vt:lpwstr>OFFICIAL-Public</vt:lpwstr>
  </property>
</Properties>
</file>