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0FB10643"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DB0341">
              <w:rPr>
                <w:noProof/>
                <w:webHidden/>
              </w:rPr>
              <w:t>5</w:t>
            </w:r>
            <w:r w:rsidR="002C1063">
              <w:rPr>
                <w:noProof/>
                <w:webHidden/>
              </w:rPr>
              <w:fldChar w:fldCharType="end"/>
            </w:r>
          </w:hyperlink>
        </w:p>
        <w:p w14:paraId="4682651D" w14:textId="517530C0"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DB0341">
              <w:rPr>
                <w:noProof/>
                <w:webHidden/>
              </w:rPr>
              <w:t>5</w:t>
            </w:r>
            <w:r w:rsidR="002C1063">
              <w:rPr>
                <w:noProof/>
                <w:webHidden/>
              </w:rPr>
              <w:fldChar w:fldCharType="end"/>
            </w:r>
          </w:hyperlink>
        </w:p>
        <w:p w14:paraId="136DF49C" w14:textId="71405AA9"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DB0341">
              <w:rPr>
                <w:noProof/>
                <w:webHidden/>
              </w:rPr>
              <w:t>5</w:t>
            </w:r>
            <w:r w:rsidR="002C1063">
              <w:rPr>
                <w:noProof/>
                <w:webHidden/>
              </w:rPr>
              <w:fldChar w:fldCharType="end"/>
            </w:r>
          </w:hyperlink>
        </w:p>
        <w:p w14:paraId="7C4DCDCC" w14:textId="3C26D2A8"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DB0341">
              <w:rPr>
                <w:noProof/>
                <w:webHidden/>
              </w:rPr>
              <w:t>6</w:t>
            </w:r>
            <w:r w:rsidR="002C1063">
              <w:rPr>
                <w:noProof/>
                <w:webHidden/>
              </w:rPr>
              <w:fldChar w:fldCharType="end"/>
            </w:r>
          </w:hyperlink>
        </w:p>
        <w:p w14:paraId="4FDD161A" w14:textId="2EFFA5D5"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DB0341">
              <w:rPr>
                <w:noProof/>
                <w:webHidden/>
              </w:rPr>
              <w:t>6</w:t>
            </w:r>
            <w:r w:rsidR="002C1063">
              <w:rPr>
                <w:noProof/>
                <w:webHidden/>
              </w:rPr>
              <w:fldChar w:fldCharType="end"/>
            </w:r>
          </w:hyperlink>
        </w:p>
        <w:p w14:paraId="6FA5BB2F" w14:textId="5A12A2B3"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DB0341">
              <w:rPr>
                <w:noProof/>
                <w:webHidden/>
              </w:rPr>
              <w:t>7</w:t>
            </w:r>
            <w:r w:rsidR="002C1063">
              <w:rPr>
                <w:noProof/>
                <w:webHidden/>
              </w:rPr>
              <w:fldChar w:fldCharType="end"/>
            </w:r>
          </w:hyperlink>
        </w:p>
        <w:p w14:paraId="440AEED0" w14:textId="38C4717F"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DB0341">
              <w:rPr>
                <w:noProof/>
                <w:webHidden/>
              </w:rPr>
              <w:t>9</w:t>
            </w:r>
            <w:r w:rsidR="002C1063">
              <w:rPr>
                <w:noProof/>
                <w:webHidden/>
              </w:rPr>
              <w:fldChar w:fldCharType="end"/>
            </w:r>
          </w:hyperlink>
        </w:p>
        <w:p w14:paraId="72787B66" w14:textId="18866DA0"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DB0341">
              <w:rPr>
                <w:noProof/>
                <w:webHidden/>
              </w:rPr>
              <w:t>9</w:t>
            </w:r>
            <w:r w:rsidR="002C1063">
              <w:rPr>
                <w:noProof/>
                <w:webHidden/>
              </w:rPr>
              <w:fldChar w:fldCharType="end"/>
            </w:r>
          </w:hyperlink>
        </w:p>
        <w:p w14:paraId="1322F018" w14:textId="3F5C8EC2"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DB0341">
              <w:rPr>
                <w:noProof/>
                <w:webHidden/>
              </w:rPr>
              <w:t>9</w:t>
            </w:r>
            <w:r w:rsidR="002C1063">
              <w:rPr>
                <w:noProof/>
                <w:webHidden/>
              </w:rPr>
              <w:fldChar w:fldCharType="end"/>
            </w:r>
          </w:hyperlink>
        </w:p>
        <w:p w14:paraId="3E617BE5" w14:textId="3B051645"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DB0341">
              <w:rPr>
                <w:noProof/>
                <w:webHidden/>
              </w:rPr>
              <w:t>9</w:t>
            </w:r>
            <w:r w:rsidR="002C1063">
              <w:rPr>
                <w:noProof/>
                <w:webHidden/>
              </w:rPr>
              <w:fldChar w:fldCharType="end"/>
            </w:r>
          </w:hyperlink>
        </w:p>
        <w:p w14:paraId="3CDADC5B" w14:textId="624F361D"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DB0341">
              <w:rPr>
                <w:noProof/>
                <w:webHidden/>
              </w:rPr>
              <w:t>9</w:t>
            </w:r>
            <w:r w:rsidR="002C1063">
              <w:rPr>
                <w:noProof/>
                <w:webHidden/>
              </w:rPr>
              <w:fldChar w:fldCharType="end"/>
            </w:r>
          </w:hyperlink>
        </w:p>
        <w:p w14:paraId="33445292" w14:textId="72E14407"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DB0341">
              <w:rPr>
                <w:noProof/>
                <w:webHidden/>
              </w:rPr>
              <w:t>11</w:t>
            </w:r>
            <w:r w:rsidR="002C1063">
              <w:rPr>
                <w:noProof/>
                <w:webHidden/>
              </w:rPr>
              <w:fldChar w:fldCharType="end"/>
            </w:r>
          </w:hyperlink>
        </w:p>
        <w:p w14:paraId="5F2077C4" w14:textId="40948E5D"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DB0341">
              <w:rPr>
                <w:noProof/>
                <w:webHidden/>
              </w:rPr>
              <w:t>12</w:t>
            </w:r>
            <w:r w:rsidR="002C1063">
              <w:rPr>
                <w:noProof/>
                <w:webHidden/>
              </w:rPr>
              <w:fldChar w:fldCharType="end"/>
            </w:r>
          </w:hyperlink>
        </w:p>
        <w:p w14:paraId="7B9F740A" w14:textId="3E01D366"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DB0341">
              <w:rPr>
                <w:noProof/>
                <w:webHidden/>
              </w:rPr>
              <w:t>13</w:t>
            </w:r>
            <w:r w:rsidR="002C1063">
              <w:rPr>
                <w:noProof/>
                <w:webHidden/>
              </w:rPr>
              <w:fldChar w:fldCharType="end"/>
            </w:r>
          </w:hyperlink>
        </w:p>
        <w:p w14:paraId="2F339BAB" w14:textId="13257058"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DB0341">
              <w:rPr>
                <w:noProof/>
                <w:webHidden/>
              </w:rPr>
              <w:t>13</w:t>
            </w:r>
            <w:r w:rsidR="002C1063">
              <w:rPr>
                <w:noProof/>
                <w:webHidden/>
              </w:rPr>
              <w:fldChar w:fldCharType="end"/>
            </w:r>
          </w:hyperlink>
        </w:p>
        <w:p w14:paraId="69E7C8A8" w14:textId="0AD0059C"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DB0341">
              <w:rPr>
                <w:noProof/>
                <w:webHidden/>
              </w:rPr>
              <w:t>14</w:t>
            </w:r>
            <w:r w:rsidR="002C1063">
              <w:rPr>
                <w:noProof/>
                <w:webHidden/>
              </w:rPr>
              <w:fldChar w:fldCharType="end"/>
            </w:r>
          </w:hyperlink>
        </w:p>
        <w:p w14:paraId="7C09D78E" w14:textId="20443C4B"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DB0341">
              <w:rPr>
                <w:noProof/>
                <w:webHidden/>
              </w:rPr>
              <w:t>14</w:t>
            </w:r>
            <w:r w:rsidR="002C1063">
              <w:rPr>
                <w:noProof/>
                <w:webHidden/>
              </w:rPr>
              <w:fldChar w:fldCharType="end"/>
            </w:r>
          </w:hyperlink>
        </w:p>
        <w:p w14:paraId="209F4C76" w14:textId="7F86FB42"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DB0341">
              <w:rPr>
                <w:noProof/>
                <w:webHidden/>
              </w:rPr>
              <w:t>16</w:t>
            </w:r>
            <w:r w:rsidR="002C1063">
              <w:rPr>
                <w:noProof/>
                <w:webHidden/>
              </w:rPr>
              <w:fldChar w:fldCharType="end"/>
            </w:r>
          </w:hyperlink>
        </w:p>
        <w:p w14:paraId="1A4517AC" w14:textId="6278C0A2"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DB0341">
              <w:rPr>
                <w:noProof/>
                <w:webHidden/>
              </w:rPr>
              <w:t>16</w:t>
            </w:r>
            <w:r w:rsidR="002C1063">
              <w:rPr>
                <w:noProof/>
                <w:webHidden/>
              </w:rPr>
              <w:fldChar w:fldCharType="end"/>
            </w:r>
          </w:hyperlink>
        </w:p>
        <w:p w14:paraId="67A9DBED" w14:textId="33319E1C"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DB0341">
              <w:rPr>
                <w:noProof/>
                <w:webHidden/>
              </w:rPr>
              <w:t>16</w:t>
            </w:r>
            <w:r w:rsidR="002C1063">
              <w:rPr>
                <w:noProof/>
                <w:webHidden/>
              </w:rPr>
              <w:fldChar w:fldCharType="end"/>
            </w:r>
          </w:hyperlink>
        </w:p>
        <w:p w14:paraId="7A670702" w14:textId="2AC78F9D"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DB0341">
              <w:rPr>
                <w:noProof/>
                <w:webHidden/>
              </w:rPr>
              <w:t>19</w:t>
            </w:r>
            <w:r w:rsidR="002C1063">
              <w:rPr>
                <w:noProof/>
                <w:webHidden/>
              </w:rPr>
              <w:fldChar w:fldCharType="end"/>
            </w:r>
          </w:hyperlink>
        </w:p>
        <w:p w14:paraId="5D84D7DA" w14:textId="75BA3A27"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DB0341">
              <w:rPr>
                <w:noProof/>
                <w:webHidden/>
              </w:rPr>
              <w:t>19</w:t>
            </w:r>
            <w:r w:rsidR="002C1063">
              <w:rPr>
                <w:noProof/>
                <w:webHidden/>
              </w:rPr>
              <w:fldChar w:fldCharType="end"/>
            </w:r>
          </w:hyperlink>
        </w:p>
        <w:p w14:paraId="4C59B769" w14:textId="6EC2539E"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DB0341">
              <w:rPr>
                <w:noProof/>
                <w:webHidden/>
              </w:rPr>
              <w:t>19</w:t>
            </w:r>
            <w:r w:rsidR="002C1063">
              <w:rPr>
                <w:noProof/>
                <w:webHidden/>
              </w:rPr>
              <w:fldChar w:fldCharType="end"/>
            </w:r>
          </w:hyperlink>
        </w:p>
        <w:p w14:paraId="28DE2298" w14:textId="43C84C13"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DB0341">
              <w:rPr>
                <w:noProof/>
                <w:webHidden/>
              </w:rPr>
              <w:t>21</w:t>
            </w:r>
            <w:r w:rsidR="002C1063">
              <w:rPr>
                <w:noProof/>
                <w:webHidden/>
              </w:rPr>
              <w:fldChar w:fldCharType="end"/>
            </w:r>
          </w:hyperlink>
        </w:p>
        <w:p w14:paraId="6CE1E6D3" w14:textId="10D3BEC2"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DB0341">
              <w:rPr>
                <w:noProof/>
                <w:webHidden/>
              </w:rPr>
              <w:t>21</w:t>
            </w:r>
            <w:r w:rsidR="002C1063">
              <w:rPr>
                <w:noProof/>
                <w:webHidden/>
              </w:rPr>
              <w:fldChar w:fldCharType="end"/>
            </w:r>
          </w:hyperlink>
        </w:p>
        <w:p w14:paraId="3161230A" w14:textId="7A4FC838"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DB0341">
              <w:rPr>
                <w:noProof/>
                <w:webHidden/>
              </w:rPr>
              <w:t>25</w:t>
            </w:r>
            <w:r w:rsidR="002C1063">
              <w:rPr>
                <w:noProof/>
                <w:webHidden/>
              </w:rPr>
              <w:fldChar w:fldCharType="end"/>
            </w:r>
          </w:hyperlink>
        </w:p>
        <w:p w14:paraId="768A102B" w14:textId="46E59EC7"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DB0341">
              <w:rPr>
                <w:noProof/>
                <w:webHidden/>
              </w:rPr>
              <w:t>25</w:t>
            </w:r>
            <w:r w:rsidR="002C1063">
              <w:rPr>
                <w:noProof/>
                <w:webHidden/>
              </w:rPr>
              <w:fldChar w:fldCharType="end"/>
            </w:r>
          </w:hyperlink>
        </w:p>
        <w:p w14:paraId="299B4426" w14:textId="611213A2"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DB0341">
              <w:rPr>
                <w:noProof/>
                <w:webHidden/>
              </w:rPr>
              <w:t>26</w:t>
            </w:r>
            <w:r w:rsidR="002C1063">
              <w:rPr>
                <w:noProof/>
                <w:webHidden/>
              </w:rPr>
              <w:fldChar w:fldCharType="end"/>
            </w:r>
          </w:hyperlink>
        </w:p>
        <w:p w14:paraId="44922977" w14:textId="3A72F6BE"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DB0341">
              <w:rPr>
                <w:noProof/>
                <w:webHidden/>
              </w:rPr>
              <w:t>27</w:t>
            </w:r>
            <w:r w:rsidR="002C1063">
              <w:rPr>
                <w:noProof/>
                <w:webHidden/>
              </w:rPr>
              <w:fldChar w:fldCharType="end"/>
            </w:r>
          </w:hyperlink>
        </w:p>
        <w:p w14:paraId="364D94E5" w14:textId="6AADCF67"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DB0341">
              <w:rPr>
                <w:noProof/>
                <w:webHidden/>
              </w:rPr>
              <w:t>27</w:t>
            </w:r>
            <w:r w:rsidR="002C1063">
              <w:rPr>
                <w:noProof/>
                <w:webHidden/>
              </w:rPr>
              <w:fldChar w:fldCharType="end"/>
            </w:r>
          </w:hyperlink>
        </w:p>
        <w:p w14:paraId="5955E6C9" w14:textId="2DDC71DF"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DB0341">
              <w:rPr>
                <w:noProof/>
                <w:webHidden/>
              </w:rPr>
              <w:t>27</w:t>
            </w:r>
            <w:r w:rsidR="002C1063">
              <w:rPr>
                <w:noProof/>
                <w:webHidden/>
              </w:rPr>
              <w:fldChar w:fldCharType="end"/>
            </w:r>
          </w:hyperlink>
        </w:p>
        <w:p w14:paraId="4F83A5CE" w14:textId="68E971A0"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DB0341">
              <w:rPr>
                <w:noProof/>
                <w:webHidden/>
              </w:rPr>
              <w:t>32</w:t>
            </w:r>
            <w:r w:rsidR="002C1063">
              <w:rPr>
                <w:noProof/>
                <w:webHidden/>
              </w:rPr>
              <w:fldChar w:fldCharType="end"/>
            </w:r>
          </w:hyperlink>
        </w:p>
        <w:p w14:paraId="087CA230" w14:textId="781F186E"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DB0341">
              <w:rPr>
                <w:noProof/>
                <w:webHidden/>
              </w:rPr>
              <w:t>39</w:t>
            </w:r>
            <w:r w:rsidR="002C1063">
              <w:rPr>
                <w:noProof/>
                <w:webHidden/>
              </w:rPr>
              <w:fldChar w:fldCharType="end"/>
            </w:r>
          </w:hyperlink>
        </w:p>
        <w:p w14:paraId="3066B074" w14:textId="01E5C5EC"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DB0341">
              <w:rPr>
                <w:noProof/>
                <w:webHidden/>
              </w:rPr>
              <w:t>40</w:t>
            </w:r>
            <w:r w:rsidR="002C1063">
              <w:rPr>
                <w:noProof/>
                <w:webHidden/>
              </w:rPr>
              <w:fldChar w:fldCharType="end"/>
            </w:r>
          </w:hyperlink>
        </w:p>
        <w:p w14:paraId="6E8C21A3" w14:textId="3A5C929C"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DB0341">
              <w:rPr>
                <w:noProof/>
                <w:webHidden/>
              </w:rPr>
              <w:t>40</w:t>
            </w:r>
            <w:r w:rsidR="002C1063">
              <w:rPr>
                <w:noProof/>
                <w:webHidden/>
              </w:rPr>
              <w:fldChar w:fldCharType="end"/>
            </w:r>
          </w:hyperlink>
        </w:p>
        <w:p w14:paraId="10F35FB5" w14:textId="6ED1791B"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DB0341">
              <w:rPr>
                <w:noProof/>
                <w:webHidden/>
              </w:rPr>
              <w:t>41</w:t>
            </w:r>
            <w:r w:rsidR="002C1063">
              <w:rPr>
                <w:noProof/>
                <w:webHidden/>
              </w:rPr>
              <w:fldChar w:fldCharType="end"/>
            </w:r>
          </w:hyperlink>
        </w:p>
        <w:p w14:paraId="63AB4F09" w14:textId="66BFAE40"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DB0341">
              <w:rPr>
                <w:noProof/>
                <w:webHidden/>
              </w:rPr>
              <w:t>42</w:t>
            </w:r>
            <w:r w:rsidR="002C1063">
              <w:rPr>
                <w:noProof/>
                <w:webHidden/>
              </w:rPr>
              <w:fldChar w:fldCharType="end"/>
            </w:r>
          </w:hyperlink>
        </w:p>
        <w:p w14:paraId="3E03F385" w14:textId="4BBBCEF4"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DB0341">
              <w:rPr>
                <w:noProof/>
                <w:webHidden/>
              </w:rPr>
              <w:t>42</w:t>
            </w:r>
            <w:r w:rsidR="002C1063">
              <w:rPr>
                <w:noProof/>
                <w:webHidden/>
              </w:rPr>
              <w:fldChar w:fldCharType="end"/>
            </w:r>
          </w:hyperlink>
        </w:p>
        <w:p w14:paraId="38A21AB2" w14:textId="23592956"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DB0341">
              <w:rPr>
                <w:noProof/>
                <w:webHidden/>
              </w:rPr>
              <w:t>44</w:t>
            </w:r>
            <w:r w:rsidR="002C1063">
              <w:rPr>
                <w:noProof/>
                <w:webHidden/>
              </w:rPr>
              <w:fldChar w:fldCharType="end"/>
            </w:r>
          </w:hyperlink>
        </w:p>
        <w:p w14:paraId="3DE6EF4A" w14:textId="6FFA5A18"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DB0341">
              <w:rPr>
                <w:noProof/>
                <w:webHidden/>
              </w:rPr>
              <w:t>45</w:t>
            </w:r>
            <w:r w:rsidR="002C1063">
              <w:rPr>
                <w:noProof/>
                <w:webHidden/>
              </w:rPr>
              <w:fldChar w:fldCharType="end"/>
            </w:r>
          </w:hyperlink>
        </w:p>
        <w:p w14:paraId="5F76AE71" w14:textId="48B9804C"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DB0341">
              <w:rPr>
                <w:noProof/>
                <w:webHidden/>
              </w:rPr>
              <w:t>46</w:t>
            </w:r>
            <w:r w:rsidR="002C1063">
              <w:rPr>
                <w:noProof/>
                <w:webHidden/>
              </w:rPr>
              <w:fldChar w:fldCharType="end"/>
            </w:r>
          </w:hyperlink>
        </w:p>
        <w:p w14:paraId="670F069B" w14:textId="1975F292"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DB0341">
              <w:rPr>
                <w:noProof/>
                <w:webHidden/>
              </w:rPr>
              <w:t>46</w:t>
            </w:r>
            <w:r w:rsidR="002C1063">
              <w:rPr>
                <w:noProof/>
                <w:webHidden/>
              </w:rPr>
              <w:fldChar w:fldCharType="end"/>
            </w:r>
          </w:hyperlink>
        </w:p>
        <w:p w14:paraId="467D552E" w14:textId="3C542CEE"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DB0341">
              <w:rPr>
                <w:noProof/>
                <w:webHidden/>
              </w:rPr>
              <w:t>48</w:t>
            </w:r>
            <w:r w:rsidR="002C1063">
              <w:rPr>
                <w:noProof/>
                <w:webHidden/>
              </w:rPr>
              <w:fldChar w:fldCharType="end"/>
            </w:r>
          </w:hyperlink>
        </w:p>
        <w:p w14:paraId="51399CA1" w14:textId="0530A3AB"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DB0341">
              <w:rPr>
                <w:noProof/>
                <w:webHidden/>
              </w:rPr>
              <w:t>49</w:t>
            </w:r>
            <w:r w:rsidR="002C1063">
              <w:rPr>
                <w:noProof/>
                <w:webHidden/>
              </w:rPr>
              <w:fldChar w:fldCharType="end"/>
            </w:r>
          </w:hyperlink>
        </w:p>
        <w:p w14:paraId="2A3A9AF1" w14:textId="3EE37888"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DB0341">
              <w:rPr>
                <w:noProof/>
                <w:webHidden/>
              </w:rPr>
              <w:t>49</w:t>
            </w:r>
            <w:r w:rsidR="002C1063">
              <w:rPr>
                <w:noProof/>
                <w:webHidden/>
              </w:rPr>
              <w:fldChar w:fldCharType="end"/>
            </w:r>
          </w:hyperlink>
        </w:p>
        <w:p w14:paraId="2556C9D9" w14:textId="3EF91417"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DB0341">
              <w:rPr>
                <w:noProof/>
                <w:webHidden/>
              </w:rPr>
              <w:t>49</w:t>
            </w:r>
            <w:r w:rsidR="002C1063">
              <w:rPr>
                <w:noProof/>
                <w:webHidden/>
              </w:rPr>
              <w:fldChar w:fldCharType="end"/>
            </w:r>
          </w:hyperlink>
        </w:p>
        <w:p w14:paraId="0D8A4973" w14:textId="1D82957E" w:rsidR="002C1063" w:rsidRDefault="005C28B8">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DB0341">
              <w:rPr>
                <w:noProof/>
                <w:webHidden/>
              </w:rPr>
              <w:t>51</w:t>
            </w:r>
            <w:r w:rsidR="002C1063">
              <w:rPr>
                <w:noProof/>
                <w:webHidden/>
              </w:rPr>
              <w:fldChar w:fldCharType="end"/>
            </w:r>
          </w:hyperlink>
        </w:p>
        <w:p w14:paraId="0D307C6C" w14:textId="667FEC8A"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DB0341">
              <w:rPr>
                <w:noProof/>
                <w:webHidden/>
              </w:rPr>
              <w:t>51</w:t>
            </w:r>
            <w:r w:rsidR="002C1063">
              <w:rPr>
                <w:noProof/>
                <w:webHidden/>
              </w:rPr>
              <w:fldChar w:fldCharType="end"/>
            </w:r>
          </w:hyperlink>
        </w:p>
        <w:p w14:paraId="18220531" w14:textId="7083B436"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DB0341">
              <w:rPr>
                <w:noProof/>
                <w:webHidden/>
              </w:rPr>
              <w:t>52</w:t>
            </w:r>
            <w:r w:rsidR="002C1063">
              <w:rPr>
                <w:noProof/>
                <w:webHidden/>
              </w:rPr>
              <w:fldChar w:fldCharType="end"/>
            </w:r>
          </w:hyperlink>
        </w:p>
        <w:p w14:paraId="6C2DE6FD" w14:textId="7201FF3E"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DB0341">
              <w:rPr>
                <w:noProof/>
                <w:webHidden/>
              </w:rPr>
              <w:t>52</w:t>
            </w:r>
            <w:r w:rsidR="002C1063">
              <w:rPr>
                <w:noProof/>
                <w:webHidden/>
              </w:rPr>
              <w:fldChar w:fldCharType="end"/>
            </w:r>
          </w:hyperlink>
        </w:p>
        <w:p w14:paraId="38036EF9" w14:textId="7B321702"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DB0341">
              <w:rPr>
                <w:noProof/>
                <w:webHidden/>
              </w:rPr>
              <w:t>53</w:t>
            </w:r>
            <w:r w:rsidR="002C1063">
              <w:rPr>
                <w:noProof/>
                <w:webHidden/>
              </w:rPr>
              <w:fldChar w:fldCharType="end"/>
            </w:r>
          </w:hyperlink>
        </w:p>
        <w:p w14:paraId="76C5120F" w14:textId="433AEE36"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DB0341">
              <w:rPr>
                <w:noProof/>
                <w:webHidden/>
              </w:rPr>
              <w:t>53</w:t>
            </w:r>
            <w:r w:rsidR="002C1063">
              <w:rPr>
                <w:noProof/>
                <w:webHidden/>
              </w:rPr>
              <w:fldChar w:fldCharType="end"/>
            </w:r>
          </w:hyperlink>
        </w:p>
        <w:p w14:paraId="0152ADDB" w14:textId="68ABF9FF"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DB0341">
              <w:rPr>
                <w:noProof/>
                <w:webHidden/>
              </w:rPr>
              <w:t>54</w:t>
            </w:r>
            <w:r w:rsidR="002C1063">
              <w:rPr>
                <w:noProof/>
                <w:webHidden/>
              </w:rPr>
              <w:fldChar w:fldCharType="end"/>
            </w:r>
          </w:hyperlink>
        </w:p>
        <w:p w14:paraId="5BE46D51" w14:textId="7F88383D"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DB0341">
              <w:rPr>
                <w:noProof/>
                <w:webHidden/>
              </w:rPr>
              <w:t>55</w:t>
            </w:r>
            <w:r w:rsidR="002C1063">
              <w:rPr>
                <w:noProof/>
                <w:webHidden/>
              </w:rPr>
              <w:fldChar w:fldCharType="end"/>
            </w:r>
          </w:hyperlink>
        </w:p>
        <w:p w14:paraId="6542B68F" w14:textId="33689489"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DB0341">
              <w:rPr>
                <w:noProof/>
                <w:webHidden/>
              </w:rPr>
              <w:t>55</w:t>
            </w:r>
            <w:r w:rsidR="002C1063">
              <w:rPr>
                <w:noProof/>
                <w:webHidden/>
              </w:rPr>
              <w:fldChar w:fldCharType="end"/>
            </w:r>
          </w:hyperlink>
        </w:p>
        <w:p w14:paraId="4B627419" w14:textId="673BD82A"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DB0341">
              <w:rPr>
                <w:noProof/>
                <w:webHidden/>
              </w:rPr>
              <w:t>55</w:t>
            </w:r>
            <w:r w:rsidR="002C1063">
              <w:rPr>
                <w:noProof/>
                <w:webHidden/>
              </w:rPr>
              <w:fldChar w:fldCharType="end"/>
            </w:r>
          </w:hyperlink>
        </w:p>
        <w:p w14:paraId="1B0CCF5B" w14:textId="2E986701"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DB0341">
              <w:rPr>
                <w:noProof/>
                <w:webHidden/>
              </w:rPr>
              <w:t>55</w:t>
            </w:r>
            <w:r w:rsidR="002C1063">
              <w:rPr>
                <w:noProof/>
                <w:webHidden/>
              </w:rPr>
              <w:fldChar w:fldCharType="end"/>
            </w:r>
          </w:hyperlink>
        </w:p>
        <w:p w14:paraId="557B9B97" w14:textId="4C23225C"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DB0341">
              <w:rPr>
                <w:noProof/>
                <w:webHidden/>
              </w:rPr>
              <w:t>57</w:t>
            </w:r>
            <w:r w:rsidR="002C1063">
              <w:rPr>
                <w:noProof/>
                <w:webHidden/>
              </w:rPr>
              <w:fldChar w:fldCharType="end"/>
            </w:r>
          </w:hyperlink>
        </w:p>
        <w:p w14:paraId="020CDF47" w14:textId="7EE1F6C8" w:rsidR="002C1063" w:rsidRDefault="005C28B8">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DB0341">
              <w:rPr>
                <w:noProof/>
                <w:webHidden/>
              </w:rPr>
              <w:t>57</w:t>
            </w:r>
            <w:r w:rsidR="002C1063">
              <w:rPr>
                <w:noProof/>
                <w:webHidden/>
              </w:rPr>
              <w:fldChar w:fldCharType="end"/>
            </w:r>
          </w:hyperlink>
        </w:p>
        <w:p w14:paraId="42DE5E17" w14:textId="579EFC49"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DB0341">
              <w:rPr>
                <w:noProof/>
                <w:webHidden/>
              </w:rPr>
              <w:t>58</w:t>
            </w:r>
            <w:r w:rsidR="002C1063">
              <w:rPr>
                <w:noProof/>
                <w:webHidden/>
              </w:rPr>
              <w:fldChar w:fldCharType="end"/>
            </w:r>
          </w:hyperlink>
        </w:p>
        <w:p w14:paraId="67CC7425" w14:textId="2EB9C9A2"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DB0341">
              <w:rPr>
                <w:noProof/>
                <w:webHidden/>
              </w:rPr>
              <w:t>78</w:t>
            </w:r>
            <w:r w:rsidR="002C1063">
              <w:rPr>
                <w:noProof/>
                <w:webHidden/>
              </w:rPr>
              <w:fldChar w:fldCharType="end"/>
            </w:r>
          </w:hyperlink>
        </w:p>
        <w:p w14:paraId="29908D7A" w14:textId="4826C5D0"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DB0341">
              <w:rPr>
                <w:noProof/>
                <w:webHidden/>
              </w:rPr>
              <w:t>79</w:t>
            </w:r>
            <w:r w:rsidR="002C1063">
              <w:rPr>
                <w:noProof/>
                <w:webHidden/>
              </w:rPr>
              <w:fldChar w:fldCharType="end"/>
            </w:r>
          </w:hyperlink>
        </w:p>
        <w:p w14:paraId="29905996" w14:textId="436662D7"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DB0341">
              <w:rPr>
                <w:noProof/>
                <w:webHidden/>
              </w:rPr>
              <w:t>80</w:t>
            </w:r>
            <w:r w:rsidR="002C1063">
              <w:rPr>
                <w:noProof/>
                <w:webHidden/>
              </w:rPr>
              <w:fldChar w:fldCharType="end"/>
            </w:r>
          </w:hyperlink>
        </w:p>
        <w:p w14:paraId="36BF7725" w14:textId="4B6B8DBB" w:rsidR="002C1063" w:rsidRDefault="005C28B8"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DB0341">
              <w:rPr>
                <w:noProof/>
                <w:webHidden/>
              </w:rPr>
              <w:t>81</w:t>
            </w:r>
            <w:r w:rsidR="002C1063">
              <w:rPr>
                <w:noProof/>
                <w:webHidden/>
              </w:rPr>
              <w:fldChar w:fldCharType="end"/>
            </w:r>
          </w:hyperlink>
        </w:p>
        <w:p w14:paraId="6A4A8F6B" w14:textId="5D5A4212"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DB0341">
              <w:rPr>
                <w:noProof/>
                <w:webHidden/>
              </w:rPr>
              <w:t>84</w:t>
            </w:r>
            <w:r w:rsidR="002C1063">
              <w:rPr>
                <w:noProof/>
                <w:webHidden/>
              </w:rPr>
              <w:fldChar w:fldCharType="end"/>
            </w:r>
          </w:hyperlink>
        </w:p>
        <w:p w14:paraId="496CF8ED" w14:textId="6F8D95F4"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DB0341">
              <w:rPr>
                <w:noProof/>
                <w:webHidden/>
              </w:rPr>
              <w:t>87</w:t>
            </w:r>
            <w:r w:rsidR="002C1063">
              <w:rPr>
                <w:noProof/>
                <w:webHidden/>
              </w:rPr>
              <w:fldChar w:fldCharType="end"/>
            </w:r>
          </w:hyperlink>
        </w:p>
        <w:p w14:paraId="74967C01" w14:textId="1DCB1376"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DB0341">
              <w:rPr>
                <w:noProof/>
                <w:webHidden/>
              </w:rPr>
              <w:t>88</w:t>
            </w:r>
            <w:r w:rsidR="002C1063">
              <w:rPr>
                <w:noProof/>
                <w:webHidden/>
              </w:rPr>
              <w:fldChar w:fldCharType="end"/>
            </w:r>
          </w:hyperlink>
        </w:p>
        <w:p w14:paraId="4C201F62" w14:textId="79DFFBD5"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DB0341">
              <w:rPr>
                <w:noProof/>
                <w:webHidden/>
              </w:rPr>
              <w:t>89</w:t>
            </w:r>
            <w:r w:rsidR="002C1063">
              <w:rPr>
                <w:noProof/>
                <w:webHidden/>
              </w:rPr>
              <w:fldChar w:fldCharType="end"/>
            </w:r>
          </w:hyperlink>
        </w:p>
        <w:p w14:paraId="0760D789" w14:textId="743D1D6F"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DB0341">
              <w:rPr>
                <w:noProof/>
                <w:webHidden/>
              </w:rPr>
              <w:t>94</w:t>
            </w:r>
            <w:r w:rsidR="002C1063">
              <w:rPr>
                <w:noProof/>
                <w:webHidden/>
              </w:rPr>
              <w:fldChar w:fldCharType="end"/>
            </w:r>
          </w:hyperlink>
        </w:p>
        <w:p w14:paraId="29394996" w14:textId="5C02FDA7"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DB0341">
              <w:rPr>
                <w:noProof/>
                <w:webHidden/>
              </w:rPr>
              <w:t>95</w:t>
            </w:r>
            <w:r w:rsidR="002C1063">
              <w:rPr>
                <w:noProof/>
                <w:webHidden/>
              </w:rPr>
              <w:fldChar w:fldCharType="end"/>
            </w:r>
          </w:hyperlink>
        </w:p>
        <w:p w14:paraId="15C8B66B" w14:textId="5157C2F4"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DB0341">
              <w:rPr>
                <w:noProof/>
                <w:webHidden/>
              </w:rPr>
              <w:t>105</w:t>
            </w:r>
            <w:r w:rsidR="002C1063">
              <w:rPr>
                <w:noProof/>
                <w:webHidden/>
              </w:rPr>
              <w:fldChar w:fldCharType="end"/>
            </w:r>
          </w:hyperlink>
        </w:p>
        <w:p w14:paraId="500ADFD1" w14:textId="37EA549D"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DB0341">
              <w:rPr>
                <w:noProof/>
                <w:webHidden/>
              </w:rPr>
              <w:t>115</w:t>
            </w:r>
            <w:r w:rsidR="002C1063">
              <w:rPr>
                <w:noProof/>
                <w:webHidden/>
              </w:rPr>
              <w:fldChar w:fldCharType="end"/>
            </w:r>
          </w:hyperlink>
        </w:p>
        <w:p w14:paraId="4C393090" w14:textId="71D02998" w:rsidR="002C1063" w:rsidRDefault="005C28B8">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DB0341">
              <w:rPr>
                <w:noProof/>
                <w:webHidden/>
              </w:rPr>
              <w:t>129</w:t>
            </w:r>
            <w:r w:rsidR="002C1063">
              <w:rPr>
                <w:noProof/>
                <w:webHidden/>
              </w:rPr>
              <w:fldChar w:fldCharType="end"/>
            </w:r>
          </w:hyperlink>
        </w:p>
        <w:p w14:paraId="4908E3C5" w14:textId="674D4923"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DB0341">
              <w:rPr>
                <w:noProof/>
                <w:webHidden/>
              </w:rPr>
              <w:t>130</w:t>
            </w:r>
            <w:r w:rsidR="002C1063">
              <w:rPr>
                <w:noProof/>
                <w:webHidden/>
              </w:rPr>
              <w:fldChar w:fldCharType="end"/>
            </w:r>
          </w:hyperlink>
        </w:p>
        <w:p w14:paraId="7516E623" w14:textId="4361F08A"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DB0341">
              <w:rPr>
                <w:noProof/>
                <w:webHidden/>
              </w:rPr>
              <w:t>135</w:t>
            </w:r>
            <w:r w:rsidR="002C1063">
              <w:rPr>
                <w:noProof/>
                <w:webHidden/>
              </w:rPr>
              <w:fldChar w:fldCharType="end"/>
            </w:r>
          </w:hyperlink>
        </w:p>
        <w:p w14:paraId="0A87CA4C" w14:textId="380F2B27"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DB0341">
              <w:rPr>
                <w:noProof/>
                <w:webHidden/>
              </w:rPr>
              <w:t>137</w:t>
            </w:r>
            <w:r w:rsidR="002C1063">
              <w:rPr>
                <w:noProof/>
                <w:webHidden/>
              </w:rPr>
              <w:fldChar w:fldCharType="end"/>
            </w:r>
          </w:hyperlink>
        </w:p>
        <w:p w14:paraId="16688992" w14:textId="033EE7A7"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DB0341">
              <w:rPr>
                <w:noProof/>
                <w:webHidden/>
              </w:rPr>
              <w:t>138</w:t>
            </w:r>
            <w:r w:rsidR="002C1063">
              <w:rPr>
                <w:noProof/>
                <w:webHidden/>
              </w:rPr>
              <w:fldChar w:fldCharType="end"/>
            </w:r>
          </w:hyperlink>
        </w:p>
        <w:p w14:paraId="43727636" w14:textId="66967685"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DB0341">
              <w:rPr>
                <w:noProof/>
                <w:webHidden/>
              </w:rPr>
              <w:t>139</w:t>
            </w:r>
            <w:r w:rsidR="002C1063">
              <w:rPr>
                <w:noProof/>
                <w:webHidden/>
              </w:rPr>
              <w:fldChar w:fldCharType="end"/>
            </w:r>
          </w:hyperlink>
        </w:p>
        <w:p w14:paraId="192DDD19" w14:textId="02337872"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DB0341">
              <w:rPr>
                <w:noProof/>
                <w:webHidden/>
              </w:rPr>
              <w:t>150</w:t>
            </w:r>
            <w:r w:rsidR="002C1063">
              <w:rPr>
                <w:noProof/>
                <w:webHidden/>
              </w:rPr>
              <w:fldChar w:fldCharType="end"/>
            </w:r>
          </w:hyperlink>
        </w:p>
        <w:p w14:paraId="0F87B5A4" w14:textId="20843598"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DB0341">
              <w:rPr>
                <w:noProof/>
                <w:webHidden/>
              </w:rPr>
              <w:t>151</w:t>
            </w:r>
            <w:r w:rsidR="002C1063">
              <w:rPr>
                <w:noProof/>
                <w:webHidden/>
              </w:rPr>
              <w:fldChar w:fldCharType="end"/>
            </w:r>
          </w:hyperlink>
        </w:p>
        <w:p w14:paraId="645018D6" w14:textId="6B8A9509" w:rsidR="002C1063" w:rsidRDefault="005C28B8">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DB0341">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7B59D5CD"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DB0341">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3F166C3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DB0341">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DB0341">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DB0341">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DB0341">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7AC52C74"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DB0341">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DB0341">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DB0341">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DB0341">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245EB7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DB0341">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DB0341">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DB0341">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DB0341">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70F35B46"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DB0341">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DB0341">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0379F2F9"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DB0341">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DB0341">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DB0341">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978D88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DB0341">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4B04125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DB0341">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5601ADCD"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DB0341">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7F713F25"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DB0341">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3BF1488F"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DB0341">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DB0341">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754446C3"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DB0341">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7132AD9B"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DB0341">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F21414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DB0341">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DB0341">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DB0341">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DB0341">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DB0341">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57FA346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DB0341">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DB0341">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48D49D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DB0341">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2A7DDEB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DB0341">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4B373986"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DB0341">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327D46C4"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DB0341">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196F1C77"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DB0341">
        <w:t>14.14a)</w:t>
      </w:r>
      <w:r w:rsidR="007A2B7D" w:rsidRPr="002438DC">
        <w:fldChar w:fldCharType="end"/>
      </w:r>
      <w:r w:rsidRPr="002438DC">
        <w:t xml:space="preserve">); and/or </w:t>
      </w:r>
    </w:p>
    <w:p w14:paraId="5C3DC11E" w14:textId="6061208C"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DB0341">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3E1939B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DB0341">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414AB29E"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DB0341">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1A5DC3DF"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DB0341">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01AD3F3B"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DB0341">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DB0341">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5CD7A307"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DB0341">
        <w:t>18.2</w:t>
      </w:r>
      <w:r w:rsidR="002F3512" w:rsidRPr="002438DC">
        <w:fldChar w:fldCharType="end"/>
      </w:r>
      <w:r w:rsidRPr="002438DC">
        <w:t xml:space="preserve">; and </w:t>
      </w:r>
    </w:p>
    <w:p w14:paraId="51B7A79D" w14:textId="34CF8B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DB0341">
        <w:t>18.3</w:t>
      </w:r>
      <w:r w:rsidR="002F3512" w:rsidRPr="002438DC">
        <w:fldChar w:fldCharType="end"/>
      </w:r>
      <w:r w:rsidRPr="002438DC">
        <w:t xml:space="preserve">; and </w:t>
      </w:r>
    </w:p>
    <w:p w14:paraId="0DA60ECD" w14:textId="28DC2343"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DB0341">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DB0341">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26B9FDEE"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DB0341">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10FD4181"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DB0341">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DB0341">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DB0341">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DB0341">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DB0341">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6E3391E9"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DB0341">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DB0341">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5CE453B8"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DB0341">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88805A9"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DB0341">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DB0341">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DB0341">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4E83678F"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DB0341">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CDC08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DB0341">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DB0341">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DB0341">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14D94321"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DB0341">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DB0341">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40ED080"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DB0341">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2900984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DB0341">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DB0341">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AA027B">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AA027B">
      <w:pPr>
        <w:pStyle w:val="ListParagraph"/>
        <w:numPr>
          <w:ilvl w:val="3"/>
          <w:numId w:val="69"/>
        </w:numPr>
        <w:spacing w:after="2" w:line="352" w:lineRule="auto"/>
        <w:ind w:left="3402" w:right="2296" w:hanging="850"/>
      </w:pPr>
      <w:r>
        <w:t xml:space="preserve"> Customer Data. </w:t>
      </w:r>
    </w:p>
    <w:p w14:paraId="59E9BFD5" w14:textId="293BB3F2"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DB0341">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DB0341">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DB0341">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70EB65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DB0341">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DB0341">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22DF32A5"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DB0341">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7F367C94"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DB0341">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50733FF9"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DB0341">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127FBC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DB0341">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3FEA8AF3"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DB0341">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42B8DF2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DB0341">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1B61C431"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DB0341">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42BFF24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DB0341">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DB0341">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DB0341">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DB0341">
        <w:t>22.5</w:t>
      </w:r>
      <w:r w:rsidR="003B492F">
        <w:fldChar w:fldCharType="end"/>
      </w:r>
      <w:r>
        <w:t xml:space="preserve"> (Licence granted by the Supplier: Supplier Background IPR).</w:t>
      </w:r>
      <w:bookmarkEnd w:id="93"/>
      <w:r>
        <w:t xml:space="preserve"> </w:t>
      </w:r>
    </w:p>
    <w:p w14:paraId="7DD02144" w14:textId="10753B14"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DB0341">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DB0341">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DB0341">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DB0341">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DB0341">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5CA07153"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DB0341">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DB0341">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DB0341">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CAB36FE"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DB0341">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DB0341">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00D4E7B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DB0341">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DB0341">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DB0341">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DB0341">
        <w:t>22.15</w:t>
      </w:r>
      <w:r w:rsidR="007355A0" w:rsidRPr="002438DC">
        <w:fldChar w:fldCharType="end"/>
      </w:r>
      <w:r w:rsidRPr="002438DC">
        <w:t xml:space="preserve"> (Licence granted by</w:t>
      </w:r>
      <w:r>
        <w:t xml:space="preserve"> the Customer)) shall survive the Contract Expiry Date. </w:t>
      </w:r>
    </w:p>
    <w:p w14:paraId="4F943E00" w14:textId="148DB8C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DB0341">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DB0341">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04A84ED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DB0341">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DB0341">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46DAA9D"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DB0341">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DB0341">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A77B68E"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DB0341">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5935A5E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DB0341">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DB0341">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2B35253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DB0341">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DB0341">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14083A7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DB0341">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DB0341">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C309F4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DB0341">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7677D8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DB0341">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13383508"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DB0341">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698ECC7E"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DB0341">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DB0341">
        <w:t>23.18</w:t>
      </w:r>
      <w:r w:rsidR="00020391" w:rsidRPr="002438DC">
        <w:fldChar w:fldCharType="end"/>
      </w:r>
      <w:r w:rsidR="006E7E70" w:rsidRPr="002438DC">
        <w:t>.</w:t>
      </w:r>
    </w:p>
    <w:p w14:paraId="39E54C39" w14:textId="25B0DDD6"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DB0341">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DB0341">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3491F26C"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DB0341">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DB0341">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AA027B">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AA027B">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AA027B">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AA027B">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AA027B">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AA027B">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AA027B">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AA027B">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AA027B">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AA027B">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2F40F923"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DB0341">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1E004B"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DB0341">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27DB6744"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DB0341">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6CC8FAF2"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DB0341">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DB0341">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041E3E02"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DB0341">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DB0341">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2F6E261E"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DB0341">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DB0341">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7DBAFB13"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DB0341">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DB0341">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1A89FB8D"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DB0341">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DB0341">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DB0341">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DB0341">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29D1179C"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DB0341">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DB0341">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73A2DC1D"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DB0341">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DB0341">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DB0341">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0BD15E27"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DB0341">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DB0341">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2DD9B247"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DB0341">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73FFD5A0"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DB0341">
        <w:t>26.2</w:t>
      </w:r>
      <w:r w:rsidR="00BE7177" w:rsidRPr="002438DC">
        <w:fldChar w:fldCharType="end"/>
      </w:r>
      <w:r w:rsidRPr="002438DC">
        <w:t xml:space="preserve"> the Supplier shall ensure that it maintains the policy or policies of insurance as stipulated in the Contract Order Form. </w:t>
      </w:r>
    </w:p>
    <w:p w14:paraId="03148928" w14:textId="53EBB573"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DB0341">
        <w:t>26</w:t>
      </w:r>
      <w:r w:rsidR="00BE7177" w:rsidRPr="002438DC">
        <w:fldChar w:fldCharType="end"/>
      </w:r>
      <w:r w:rsidRPr="002438DC">
        <w:t xml:space="preserve"> for</w:t>
      </w:r>
      <w:r>
        <w:t xml:space="preserve"> six (6) years after the Contract Expiry Date. </w:t>
      </w:r>
    </w:p>
    <w:p w14:paraId="45DE6AF2" w14:textId="63B670F8"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DB0341">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75C9B1D4"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DB0341">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0DC5CC61"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DB0341">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09E9E126"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DB0341">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34F493A7"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DB0341">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DB0341">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69662FC0"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DB0341">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6B0EEDE9"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DB0341">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71948B27"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DB0341">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DB0341">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3E795B45"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DB0341">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DB0341">
        <w:t>28.2</w:t>
      </w:r>
      <w:r w:rsidR="00F417C1" w:rsidRPr="002438DC">
        <w:fldChar w:fldCharType="end"/>
      </w:r>
      <w:r w:rsidRPr="002438DC">
        <w:t>, the Supplier</w:t>
      </w:r>
      <w:r>
        <w:t xml:space="preserve"> shall: </w:t>
      </w:r>
    </w:p>
    <w:p w14:paraId="55BE8830" w14:textId="6BEBF334"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DB0341">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423B221F"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DB0341">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30DF72A8"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DB0341">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DB0341">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00C4F4F7"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DB0341">
        <w:t>29</w:t>
      </w:r>
      <w:r w:rsidR="00510368" w:rsidRPr="002438DC">
        <w:fldChar w:fldCharType="end"/>
      </w:r>
      <w:r>
        <w:t xml:space="preserve"> to the extent that consequences of the relevant Force Majeure Event: </w:t>
      </w:r>
    </w:p>
    <w:p w14:paraId="11C0BA59" w14:textId="189B726A" w:rsidR="00661527" w:rsidRDefault="00661527" w:rsidP="00AA027B">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AA027B">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B4C9AFA"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DB0341">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79279B73"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DB0341">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DB0341">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15B248F3"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DB0341">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DB0341">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88876BB"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DB0341">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5111E147"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DB0341">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DB0341">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6A51C66E"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DB0341">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DB0341">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DB0341">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DB0341">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DB0341">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67F865E9"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DB0341">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76B33378"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DB0341">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2DA532CA"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DB0341">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8ACF904"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DB0341">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08F3BD8F"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DB0341">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721C8E5"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DB0341">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7D4AD0E1"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DB0341">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62B1AD1D"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DB0341">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DB0341">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DB0341">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DB0341">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2C763135"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DB0341">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DB0341">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DB0341">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DB0341">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2B9431DC"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DB0341">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DB0341">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727CBD20"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DB0341">
        <w:t>34.4</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13897767"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DB0341">
        <w:t>34.4</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4067B2E7"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DB0341">
        <w:t>32.1</w:t>
      </w:r>
      <w:r w:rsidR="00127F75" w:rsidRPr="002438DC">
        <w:fldChar w:fldCharType="end"/>
      </w:r>
      <w:r w:rsidRPr="002438DC">
        <w:t xml:space="preserve"> (Termination for Continuing Force Majeure Event) </w:t>
      </w:r>
    </w:p>
    <w:p w14:paraId="7E810A5B" w14:textId="765F7034" w:rsidR="00661527" w:rsidRDefault="00661527" w:rsidP="00AA027B">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DB0341">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59EB2A9E"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DB0341">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DB0341">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DB0341">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DB0341">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DB0341">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DB0341">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DB0341">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DB0341">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DB0341">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DB0341">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DB0341">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DB0341">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DB0341">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708C8085"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DB0341">
        <w:t>36.2</w:t>
      </w:r>
      <w:r w:rsidR="00C44D83" w:rsidRPr="002438DC">
        <w:fldChar w:fldCharType="end"/>
      </w:r>
      <w:r w:rsidRPr="002438DC">
        <w:t>.</w:t>
      </w:r>
      <w:r>
        <w:t xml:space="preserve"> </w:t>
      </w:r>
    </w:p>
    <w:p w14:paraId="17125E86" w14:textId="6F6FA129"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DB0341">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76B8C01"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DB0341">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DB0341">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DB0341">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DB0341">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6C5DD442"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DB0341">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5A615899"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DB0341">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4667DD3D"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DB0341">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6DC8A103"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DB0341">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DB0341">
        <w:t>12</w:t>
      </w:r>
      <w:r w:rsidR="00FA4247" w:rsidRPr="002438DC">
        <w:fldChar w:fldCharType="end"/>
      </w:r>
      <w:r>
        <w:t xml:space="preserve"> (Records, Audit Access and Open Book Data). </w:t>
      </w:r>
    </w:p>
    <w:p w14:paraId="64ADF049" w14:textId="5D312D46"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DB0341">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5CFBE8E"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DB0341">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D857BD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DB0341">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2997BD2E"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DB0341">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DB0341">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DB0341">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0C7CD3F5"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DB0341">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3F6749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DB0341">
        <w:t>43.1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12D11FA7"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DB0341">
        <w:t>43.1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5B29D51D"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DB0341">
        <w:t>44</w:t>
      </w:r>
      <w:r w:rsidR="001149DC" w:rsidRPr="002438DC">
        <w:fldChar w:fldCharType="end"/>
      </w:r>
      <w:r w:rsidRPr="002438DC">
        <w:t>,</w:t>
      </w:r>
      <w:r>
        <w:t xml:space="preserve"> an e-mail is accepted as being "in writing". </w:t>
      </w:r>
    </w:p>
    <w:p w14:paraId="2F758CCA" w14:textId="617A7D8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DB0341">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31068B4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DB0341">
        <w:t>44.2</w:t>
      </w:r>
      <w:r w:rsidR="00AC756F" w:rsidRPr="002438DC">
        <w:fldChar w:fldCharType="end"/>
      </w:r>
      <w:r w:rsidRPr="002438DC">
        <w:t>:</w:t>
      </w:r>
      <w:bookmarkEnd w:id="250"/>
      <w:r>
        <w:t xml:space="preserve"> </w:t>
      </w:r>
    </w:p>
    <w:p w14:paraId="2C01A226" w14:textId="5AF12794" w:rsidR="00661527" w:rsidRDefault="00661527" w:rsidP="00AA027B">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DB0341">
        <w:t>30</w:t>
      </w:r>
      <w:r w:rsidR="00AC756F" w:rsidRPr="002438DC">
        <w:fldChar w:fldCharType="end"/>
      </w:r>
      <w:r w:rsidRPr="002438DC">
        <w:t xml:space="preserve"> (Customer Termination</w:t>
      </w:r>
      <w:r>
        <w:t xml:space="preserve"> Rights)), </w:t>
      </w:r>
    </w:p>
    <w:p w14:paraId="55B648A5" w14:textId="20C08F27" w:rsidR="00661527" w:rsidRDefault="00661527" w:rsidP="00AA027B">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35ED2041"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DB0341">
        <w:t>33</w:t>
      </w:r>
      <w:r w:rsidR="00311688">
        <w:fldChar w:fldCharType="end"/>
      </w:r>
      <w:r>
        <w:t xml:space="preserve"> </w:t>
      </w:r>
      <w:r w:rsidR="00311688">
        <w:t>(Partial Termination, Suspension and Partial Suspension))</w:t>
      </w:r>
    </w:p>
    <w:p w14:paraId="08C7E15B" w14:textId="143AB270"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DB0341">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AAB2B30"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DB0341">
        <w:t>42.3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0502A05"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DB0341">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40F75BD1"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DB0341">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454B28"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DB0341">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7EBC32D9"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00DB0341">
        <w:rPr>
          <w:rFonts w:ascii="Arial" w:hAnsi="Arial"/>
          <w:b/>
          <w:bCs/>
          <w:lang w:val="en-US"/>
        </w:rPr>
        <w:t>Error! Reference source not found.</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AA027B">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AA027B">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AA027B">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AA027B">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AA027B">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AA027B">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AA027B">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AA027B">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AA027B">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AA027B">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AA027B">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AA027B">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AA027B">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AA027B">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AA027B">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AA027B">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AA027B">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AA027B">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AA027B">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AA027B">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AA027B">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AA027B">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AA027B">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AA027B">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AA027B">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AA027B">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AA027B">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AA027B">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AA027B">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AA027B">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62BD5FF0" w:rsidR="00800EB8"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16165CDF" w14:textId="3BA2B3F4" w:rsidR="006824DD" w:rsidRDefault="006824DD" w:rsidP="006824DD">
      <w:pPr>
        <w:spacing w:after="0" w:line="259" w:lineRule="auto"/>
        <w:ind w:left="0" w:firstLine="0"/>
        <w:jc w:val="left"/>
      </w:pPr>
    </w:p>
    <w:p w14:paraId="6BDE6437" w14:textId="4DB7843F" w:rsidR="006824DD" w:rsidRDefault="006824DD" w:rsidP="006824DD">
      <w:pPr>
        <w:spacing w:after="0" w:line="259" w:lineRule="auto"/>
        <w:ind w:left="0" w:firstLine="0"/>
        <w:jc w:val="left"/>
      </w:pPr>
    </w:p>
    <w:p w14:paraId="14593EE1" w14:textId="76BF3915" w:rsidR="006824DD" w:rsidRPr="00D03B1B" w:rsidRDefault="006824DD" w:rsidP="006824DD">
      <w:pPr>
        <w:spacing w:after="0" w:line="259" w:lineRule="auto"/>
        <w:ind w:left="0" w:firstLine="0"/>
        <w:jc w:val="left"/>
      </w:pPr>
      <w:r>
        <w:t xml:space="preserve">To be completed at Contract Award. </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AA027B">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AA027B">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AA027B">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7C4AC64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DB0341">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35EE8D7A"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DB0341">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DB0341">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AA027B">
      <w:pPr>
        <w:pStyle w:val="ListParagraph"/>
        <w:numPr>
          <w:ilvl w:val="0"/>
          <w:numId w:val="71"/>
        </w:numPr>
        <w:ind w:left="851" w:hanging="851"/>
      </w:pPr>
      <w:r>
        <w:t>The contract Charges are a</w:t>
      </w:r>
      <w:r w:rsidR="00661527">
        <w:t xml:space="preserve">s set out in the Contract Order Form. </w:t>
      </w:r>
    </w:p>
    <w:p w14:paraId="6DF93898" w14:textId="1B368495" w:rsidR="00EC5090" w:rsidRDefault="00EC5090" w:rsidP="00AA027B">
      <w:pPr>
        <w:pStyle w:val="ListParagraph"/>
        <w:numPr>
          <w:ilvl w:val="0"/>
          <w:numId w:val="71"/>
        </w:numPr>
        <w:ind w:left="851" w:hanging="851"/>
      </w:pPr>
      <w:r>
        <w:t>Where applicable, ESFA funding rules and funding bands apply</w:t>
      </w:r>
      <w:r w:rsidR="005741CF">
        <w:t>.</w:t>
      </w:r>
    </w:p>
    <w:p w14:paraId="158913F6" w14:textId="0F807C96" w:rsidR="006824DD" w:rsidRDefault="006824DD" w:rsidP="006824DD"/>
    <w:p w14:paraId="4F382E21" w14:textId="6CE58683" w:rsidR="006824DD" w:rsidRDefault="00687D78" w:rsidP="00D72D00">
      <w:pPr>
        <w:jc w:val="center"/>
      </w:pPr>
      <w:r>
        <w:object w:dxaOrig="1504" w:dyaOrig="982" w14:anchorId="7DF799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33" o:title=""/>
          </v:shape>
          <o:OLEObject Type="Embed" ProgID="Excel.Sheet.12" ShapeID="_x0000_i1025" DrawAspect="Icon" ObjectID="_1760763522" r:id="rId34"/>
        </w:objec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3B3363D4"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DB0341">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6E8E06A6" w14:textId="77777777" w:rsidR="006824DD" w:rsidRDefault="006824DD" w:rsidP="006824DD">
      <w:pPr>
        <w:ind w:left="0" w:right="52" w:firstLine="0"/>
      </w:pPr>
      <w:r>
        <w:rPr>
          <w:rFonts w:eastAsia="Times New Roman"/>
          <w:b/>
          <w:bCs/>
          <w:kern w:val="28"/>
          <w:sz w:val="24"/>
          <w:szCs w:val="24"/>
          <w:lang w:val="en-US"/>
        </w:rPr>
        <w:t>Customer’s</w:t>
      </w:r>
      <w:r w:rsidRPr="00F13031">
        <w:rPr>
          <w:rFonts w:eastAsia="Times New Roman"/>
          <w:b/>
          <w:bCs/>
          <w:kern w:val="28"/>
          <w:sz w:val="24"/>
          <w:szCs w:val="24"/>
          <w:lang w:val="en-US"/>
        </w:rPr>
        <w:t xml:space="preserve"> Security Management Plan Template</w:t>
      </w:r>
    </w:p>
    <w:bookmarkStart w:id="294" w:name="_MON_1661675074"/>
    <w:bookmarkEnd w:id="294"/>
    <w:p w14:paraId="59A1F9C0" w14:textId="77777777" w:rsidR="006824DD" w:rsidRDefault="006824DD" w:rsidP="006824DD">
      <w:pPr>
        <w:spacing w:after="3" w:line="259" w:lineRule="auto"/>
        <w:ind w:left="103" w:hanging="10"/>
        <w:jc w:val="left"/>
      </w:pPr>
      <w:r w:rsidRPr="00F13031">
        <w:rPr>
          <w:b/>
          <w:color w:val="222222"/>
        </w:rPr>
        <w:object w:dxaOrig="1376" w:dyaOrig="899" w14:anchorId="2D99563C">
          <v:shape id="_x0000_i1026" type="#_x0000_t75" style="width:68.85pt;height:45.1pt" o:ole="">
            <v:imagedata r:id="rId35" o:title=""/>
          </v:shape>
          <o:OLEObject Type="Embed" ProgID="Word.Document.12" ShapeID="_x0000_i1026" DrawAspect="Icon" ObjectID="_1760763523" r:id="rId36">
            <o:FieldCodes>\s</o:FieldCodes>
          </o:OLEObject>
        </w:object>
      </w:r>
      <w:r>
        <w:rPr>
          <w:color w:val="FFFFFF"/>
        </w:rPr>
        <w:t xml:space="preserve">0. </w:t>
      </w:r>
    </w:p>
    <w:p w14:paraId="35F726DF" w14:textId="77777777" w:rsidR="006824DD" w:rsidRDefault="006824DD" w:rsidP="006824DD">
      <w:pPr>
        <w:spacing w:after="229"/>
        <w:ind w:left="0" w:right="52" w:firstLine="0"/>
      </w:pPr>
    </w:p>
    <w:p w14:paraId="659B16F8" w14:textId="77777777" w:rsidR="006824DD" w:rsidRPr="00670DB4" w:rsidRDefault="006824DD" w:rsidP="006824DD">
      <w:pPr>
        <w:ind w:left="0" w:right="52" w:firstLine="0"/>
        <w:rPr>
          <w:rFonts w:eastAsia="Times New Roman"/>
          <w:b/>
          <w:color w:val="2E74B5"/>
          <w:sz w:val="24"/>
        </w:rPr>
      </w:pPr>
      <w:r w:rsidRPr="00670DB4">
        <w:rPr>
          <w:rFonts w:eastAsia="Times New Roman"/>
          <w:b/>
          <w:color w:val="2E74B5"/>
          <w:sz w:val="24"/>
        </w:rPr>
        <w:t>Security Management Plan (Assurance)</w:t>
      </w:r>
    </w:p>
    <w:p w14:paraId="09CD1FC2" w14:textId="77777777" w:rsidR="006824DD" w:rsidRPr="00670DB4" w:rsidRDefault="006824DD" w:rsidP="006824DD">
      <w:pPr>
        <w:ind w:left="0" w:right="52" w:firstLine="0"/>
        <w:rPr>
          <w:rFonts w:eastAsia="Times New Roman"/>
          <w:b/>
          <w:color w:val="2E74B5"/>
          <w:sz w:val="24"/>
        </w:rPr>
      </w:pPr>
      <w:r w:rsidRPr="00670DB4">
        <w:rPr>
          <w:rFonts w:eastAsia="Times New Roman"/>
          <w:b/>
          <w:color w:val="2E74B5"/>
          <w:sz w:val="24"/>
        </w:rPr>
        <w:t>[Project/Service and Supplier Name]</w:t>
      </w:r>
    </w:p>
    <w:p w14:paraId="1D480C07" w14:textId="77777777" w:rsidR="006824DD" w:rsidRDefault="006824DD" w:rsidP="006824DD">
      <w:pPr>
        <w:ind w:left="0" w:right="52" w:firstLine="0"/>
      </w:pPr>
    </w:p>
    <w:p w14:paraId="70022502" w14:textId="77777777" w:rsidR="006824DD" w:rsidRDefault="006824DD" w:rsidP="006824DD">
      <w:pPr>
        <w:ind w:left="0" w:right="52" w:firstLine="0"/>
      </w:pPr>
      <w:r>
        <w:t>Author:</w:t>
      </w:r>
    </w:p>
    <w:p w14:paraId="1D52ADF9" w14:textId="77777777" w:rsidR="006824DD" w:rsidRDefault="006824DD" w:rsidP="006824DD">
      <w:pPr>
        <w:ind w:left="0" w:right="52" w:firstLine="0"/>
      </w:pPr>
      <w:r>
        <w:t>Owner:</w:t>
      </w:r>
    </w:p>
    <w:p w14:paraId="07E8E0D5" w14:textId="77777777" w:rsidR="006824DD" w:rsidRDefault="006824DD" w:rsidP="006824DD">
      <w:pPr>
        <w:ind w:left="0" w:right="52" w:firstLine="0"/>
      </w:pPr>
      <w:r>
        <w:t>Date:</w:t>
      </w:r>
    </w:p>
    <w:p w14:paraId="0C0607C6" w14:textId="77777777" w:rsidR="006824DD" w:rsidRDefault="006824DD" w:rsidP="006824DD">
      <w:pPr>
        <w:ind w:left="0" w:right="52" w:firstLine="0"/>
      </w:pPr>
      <w:r>
        <w:t>Version:</w:t>
      </w:r>
    </w:p>
    <w:p w14:paraId="5E64F9D7" w14:textId="77777777" w:rsidR="006824DD" w:rsidRDefault="006824DD" w:rsidP="006824DD">
      <w:pPr>
        <w:ind w:left="0" w:right="52" w:firstLine="0"/>
      </w:pPr>
    </w:p>
    <w:p w14:paraId="62D18ECF" w14:textId="77777777" w:rsidR="006824DD" w:rsidRPr="00670DB4" w:rsidRDefault="006824DD" w:rsidP="006824DD">
      <w:pPr>
        <w:spacing w:after="160" w:line="259" w:lineRule="auto"/>
        <w:ind w:left="0" w:firstLine="0"/>
        <w:jc w:val="left"/>
        <w:rPr>
          <w:rFonts w:eastAsia="Times New Roman"/>
          <w:color w:val="2E74B5"/>
        </w:rPr>
      </w:pPr>
      <w:bookmarkStart w:id="295" w:name="_Toc496014858"/>
      <w:bookmarkStart w:id="296" w:name="_Toc507591987"/>
      <w:r w:rsidRPr="00670DB4">
        <w:rPr>
          <w:rFonts w:eastAsia="Times New Roman"/>
          <w:color w:val="2E74B5"/>
        </w:rPr>
        <w:t>Executive Summary</w:t>
      </w:r>
      <w:bookmarkEnd w:id="295"/>
      <w:bookmarkEnd w:id="296"/>
    </w:p>
    <w:p w14:paraId="1C609602" w14:textId="77777777" w:rsidR="006824DD" w:rsidRPr="00670DB4" w:rsidRDefault="006824DD" w:rsidP="006824DD">
      <w:pPr>
        <w:spacing w:after="160" w:line="259" w:lineRule="auto"/>
        <w:ind w:left="0" w:firstLine="0"/>
        <w:jc w:val="left"/>
        <w:rPr>
          <w:rFonts w:eastAsia="Times New Roman"/>
          <w:b/>
          <w:i/>
          <w:color w:val="auto"/>
        </w:rPr>
      </w:pPr>
      <w:r w:rsidRPr="00670DB4">
        <w:rPr>
          <w:rFonts w:eastAsia="Times New Roman"/>
          <w:color w:val="auto"/>
        </w:rPr>
        <w:t>&lt;</w:t>
      </w:r>
      <w:r w:rsidRPr="00670DB4">
        <w:rPr>
          <w:rFonts w:eastAsia="Times New Roman"/>
          <w:i/>
          <w:color w:val="auto"/>
        </w:rPr>
        <w:t>This section should contain a brief summary of the business context of the system, any key IA controls, the assurance work done, any off-shoring considerations and any  residual risks that need acceptance by the Authority. This should be completed at the end of the assurance process.&gt;</w:t>
      </w:r>
    </w:p>
    <w:p w14:paraId="40679967" w14:textId="77777777" w:rsidR="006824DD" w:rsidRDefault="006824DD" w:rsidP="006824DD">
      <w:pPr>
        <w:ind w:left="0" w:right="52" w:firstLine="0"/>
      </w:pPr>
    </w:p>
    <w:p w14:paraId="6174D39E" w14:textId="77777777" w:rsidR="006824DD" w:rsidRPr="00B5524A" w:rsidRDefault="006824DD" w:rsidP="006824DD">
      <w:pPr>
        <w:pStyle w:val="Heading2"/>
        <w:ind w:left="1134" w:firstLine="0"/>
      </w:pPr>
      <w:bookmarkStart w:id="297" w:name="_Toc496014860"/>
      <w:bookmarkStart w:id="298" w:name="_Toc507591989"/>
      <w:r w:rsidRPr="00B5524A">
        <w:t>Change History</w:t>
      </w:r>
      <w:bookmarkEnd w:id="297"/>
      <w:bookmarkEnd w:id="298"/>
    </w:p>
    <w:p w14:paraId="59E72E03" w14:textId="77777777" w:rsidR="006824DD" w:rsidRPr="00B5524A" w:rsidRDefault="006824DD" w:rsidP="006824DD">
      <w:pPr>
        <w:pStyle w:val="Space"/>
        <w:rPr>
          <w:rFonts w:ascii="Arial" w:hAnsi="Arial" w:cs="Arial"/>
          <w:color w:val="365F91" w:themeColor="accent1" w:themeShade="BF"/>
          <w:sz w:val="22"/>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97"/>
        <w:gridCol w:w="1176"/>
        <w:gridCol w:w="4967"/>
      </w:tblGrid>
      <w:tr w:rsidR="006824DD" w:rsidRPr="00B5524A" w14:paraId="6F9CA6A0" w14:textId="77777777" w:rsidTr="006824DD">
        <w:trPr>
          <w:jc w:val="center"/>
        </w:trPr>
        <w:tc>
          <w:tcPr>
            <w:tcW w:w="560" w:type="pct"/>
            <w:shd w:val="clear" w:color="auto" w:fill="DBE5F1" w:themeFill="accent1" w:themeFillTint="33"/>
          </w:tcPr>
          <w:p w14:paraId="14DD0C39" w14:textId="77777777" w:rsidR="006824DD" w:rsidRPr="00B5524A" w:rsidRDefault="006824DD" w:rsidP="006824DD">
            <w:pPr>
              <w:pStyle w:val="Table"/>
              <w:jc w:val="center"/>
              <w:rPr>
                <w:rFonts w:ascii="Arial" w:hAnsi="Arial" w:cs="Arial"/>
                <w:b/>
                <w:color w:val="365F91" w:themeColor="accent1" w:themeShade="BF"/>
                <w:sz w:val="22"/>
              </w:rPr>
            </w:pPr>
            <w:r w:rsidRPr="00B5524A">
              <w:rPr>
                <w:rFonts w:ascii="Arial" w:hAnsi="Arial" w:cs="Arial"/>
                <w:b/>
                <w:color w:val="365F91" w:themeColor="accent1" w:themeShade="BF"/>
                <w:sz w:val="22"/>
              </w:rPr>
              <w:t>Version Number</w:t>
            </w:r>
          </w:p>
        </w:tc>
        <w:tc>
          <w:tcPr>
            <w:tcW w:w="876" w:type="pct"/>
            <w:shd w:val="clear" w:color="auto" w:fill="DBE5F1" w:themeFill="accent1" w:themeFillTint="33"/>
          </w:tcPr>
          <w:p w14:paraId="7F2AA618" w14:textId="77777777" w:rsidR="006824DD" w:rsidRPr="00B5524A" w:rsidRDefault="006824DD" w:rsidP="006824DD">
            <w:pPr>
              <w:pStyle w:val="Table"/>
              <w:jc w:val="center"/>
              <w:rPr>
                <w:rFonts w:ascii="Arial" w:hAnsi="Arial" w:cs="Arial"/>
                <w:b/>
                <w:color w:val="365F91" w:themeColor="accent1" w:themeShade="BF"/>
                <w:sz w:val="22"/>
              </w:rPr>
            </w:pPr>
            <w:r w:rsidRPr="00B5524A">
              <w:rPr>
                <w:rFonts w:ascii="Arial" w:hAnsi="Arial" w:cs="Arial"/>
                <w:b/>
                <w:color w:val="365F91" w:themeColor="accent1" w:themeShade="BF"/>
                <w:sz w:val="22"/>
              </w:rPr>
              <w:t>Date of Change</w:t>
            </w:r>
          </w:p>
        </w:tc>
        <w:tc>
          <w:tcPr>
            <w:tcW w:w="691" w:type="pct"/>
            <w:shd w:val="clear" w:color="auto" w:fill="DBE5F1" w:themeFill="accent1" w:themeFillTint="33"/>
          </w:tcPr>
          <w:p w14:paraId="2232DA2F" w14:textId="77777777" w:rsidR="006824DD" w:rsidRPr="00B5524A" w:rsidRDefault="006824DD" w:rsidP="006824DD">
            <w:pPr>
              <w:pStyle w:val="Table"/>
              <w:rPr>
                <w:rFonts w:ascii="Arial" w:hAnsi="Arial" w:cs="Arial"/>
                <w:b/>
                <w:color w:val="365F91" w:themeColor="accent1" w:themeShade="BF"/>
                <w:sz w:val="22"/>
              </w:rPr>
            </w:pPr>
            <w:r w:rsidRPr="00B5524A">
              <w:rPr>
                <w:rFonts w:ascii="Arial" w:hAnsi="Arial" w:cs="Arial"/>
                <w:b/>
                <w:color w:val="365F91" w:themeColor="accent1" w:themeShade="BF"/>
                <w:sz w:val="22"/>
              </w:rPr>
              <w:t>Change made by</w:t>
            </w:r>
          </w:p>
        </w:tc>
        <w:tc>
          <w:tcPr>
            <w:tcW w:w="2873" w:type="pct"/>
            <w:shd w:val="clear" w:color="auto" w:fill="DBE5F1" w:themeFill="accent1" w:themeFillTint="33"/>
          </w:tcPr>
          <w:p w14:paraId="13E91378" w14:textId="77777777" w:rsidR="006824DD" w:rsidRPr="00B5524A" w:rsidRDefault="006824DD" w:rsidP="006824DD">
            <w:pPr>
              <w:pStyle w:val="Table"/>
              <w:rPr>
                <w:rFonts w:ascii="Arial" w:hAnsi="Arial" w:cs="Arial"/>
                <w:b/>
                <w:color w:val="365F91" w:themeColor="accent1" w:themeShade="BF"/>
                <w:sz w:val="22"/>
              </w:rPr>
            </w:pPr>
            <w:r w:rsidRPr="00B5524A">
              <w:rPr>
                <w:rFonts w:ascii="Arial" w:hAnsi="Arial" w:cs="Arial"/>
                <w:b/>
                <w:color w:val="365F91" w:themeColor="accent1" w:themeShade="BF"/>
                <w:sz w:val="22"/>
              </w:rPr>
              <w:t>Nature and reason for change</w:t>
            </w:r>
          </w:p>
        </w:tc>
      </w:tr>
      <w:tr w:rsidR="006824DD" w:rsidRPr="00B5524A" w14:paraId="45582E32" w14:textId="77777777" w:rsidTr="006824DD">
        <w:trPr>
          <w:jc w:val="center"/>
        </w:trPr>
        <w:tc>
          <w:tcPr>
            <w:tcW w:w="560" w:type="pct"/>
          </w:tcPr>
          <w:p w14:paraId="67B145A1" w14:textId="77777777" w:rsidR="006824DD" w:rsidRPr="00B5524A" w:rsidRDefault="006824DD" w:rsidP="006824DD">
            <w:pPr>
              <w:pStyle w:val="Table"/>
              <w:jc w:val="center"/>
              <w:rPr>
                <w:rFonts w:ascii="Arial" w:hAnsi="Arial" w:cs="Arial"/>
                <w:color w:val="365F91" w:themeColor="accent1" w:themeShade="BF"/>
                <w:sz w:val="22"/>
              </w:rPr>
            </w:pPr>
          </w:p>
        </w:tc>
        <w:tc>
          <w:tcPr>
            <w:tcW w:w="876" w:type="pct"/>
          </w:tcPr>
          <w:p w14:paraId="16C914EC" w14:textId="77777777" w:rsidR="006824DD" w:rsidRPr="00B5524A" w:rsidRDefault="006824DD" w:rsidP="006824DD">
            <w:pPr>
              <w:pStyle w:val="Table"/>
              <w:jc w:val="center"/>
              <w:rPr>
                <w:rFonts w:ascii="Arial" w:hAnsi="Arial" w:cs="Arial"/>
                <w:color w:val="365F91" w:themeColor="accent1" w:themeShade="BF"/>
                <w:sz w:val="22"/>
              </w:rPr>
            </w:pPr>
          </w:p>
        </w:tc>
        <w:tc>
          <w:tcPr>
            <w:tcW w:w="691" w:type="pct"/>
          </w:tcPr>
          <w:p w14:paraId="3B3456A2" w14:textId="77777777" w:rsidR="006824DD" w:rsidRPr="00B5524A" w:rsidRDefault="006824DD" w:rsidP="006824DD">
            <w:pPr>
              <w:pStyle w:val="Table"/>
              <w:rPr>
                <w:rFonts w:ascii="Arial" w:hAnsi="Arial" w:cs="Arial"/>
                <w:color w:val="365F91" w:themeColor="accent1" w:themeShade="BF"/>
                <w:sz w:val="22"/>
              </w:rPr>
            </w:pPr>
          </w:p>
        </w:tc>
        <w:tc>
          <w:tcPr>
            <w:tcW w:w="2873" w:type="pct"/>
          </w:tcPr>
          <w:p w14:paraId="61EC67D5" w14:textId="77777777" w:rsidR="006824DD" w:rsidRPr="00B5524A" w:rsidRDefault="006824DD" w:rsidP="006824DD">
            <w:pPr>
              <w:pStyle w:val="Table"/>
              <w:rPr>
                <w:rFonts w:ascii="Arial" w:hAnsi="Arial" w:cs="Arial"/>
                <w:color w:val="365F91" w:themeColor="accent1" w:themeShade="BF"/>
                <w:sz w:val="22"/>
              </w:rPr>
            </w:pPr>
          </w:p>
        </w:tc>
      </w:tr>
      <w:tr w:rsidR="006824DD" w:rsidRPr="00B5524A" w14:paraId="2EB0AA60" w14:textId="77777777" w:rsidTr="006824DD">
        <w:trPr>
          <w:jc w:val="center"/>
        </w:trPr>
        <w:tc>
          <w:tcPr>
            <w:tcW w:w="560" w:type="pct"/>
          </w:tcPr>
          <w:p w14:paraId="62F10981" w14:textId="77777777" w:rsidR="006824DD" w:rsidRPr="00B5524A" w:rsidRDefault="006824DD" w:rsidP="006824DD">
            <w:pPr>
              <w:pStyle w:val="Table"/>
              <w:jc w:val="center"/>
              <w:rPr>
                <w:rFonts w:ascii="Arial" w:hAnsi="Arial" w:cs="Arial"/>
                <w:color w:val="365F91" w:themeColor="accent1" w:themeShade="BF"/>
                <w:sz w:val="22"/>
              </w:rPr>
            </w:pPr>
          </w:p>
        </w:tc>
        <w:tc>
          <w:tcPr>
            <w:tcW w:w="876" w:type="pct"/>
          </w:tcPr>
          <w:p w14:paraId="540695CB" w14:textId="77777777" w:rsidR="006824DD" w:rsidRPr="00B5524A" w:rsidRDefault="006824DD" w:rsidP="006824DD">
            <w:pPr>
              <w:pStyle w:val="Table"/>
              <w:jc w:val="center"/>
              <w:rPr>
                <w:rFonts w:ascii="Arial" w:hAnsi="Arial" w:cs="Arial"/>
                <w:color w:val="365F91" w:themeColor="accent1" w:themeShade="BF"/>
                <w:sz w:val="22"/>
              </w:rPr>
            </w:pPr>
          </w:p>
        </w:tc>
        <w:tc>
          <w:tcPr>
            <w:tcW w:w="691" w:type="pct"/>
          </w:tcPr>
          <w:p w14:paraId="1BAD7739" w14:textId="77777777" w:rsidR="006824DD" w:rsidRPr="00B5524A" w:rsidRDefault="006824DD" w:rsidP="006824DD">
            <w:pPr>
              <w:pStyle w:val="Table"/>
              <w:rPr>
                <w:rFonts w:ascii="Arial" w:hAnsi="Arial" w:cs="Arial"/>
                <w:color w:val="365F91" w:themeColor="accent1" w:themeShade="BF"/>
                <w:sz w:val="22"/>
              </w:rPr>
            </w:pPr>
          </w:p>
        </w:tc>
        <w:tc>
          <w:tcPr>
            <w:tcW w:w="2873" w:type="pct"/>
          </w:tcPr>
          <w:p w14:paraId="68C37D74" w14:textId="77777777" w:rsidR="006824DD" w:rsidRPr="00B5524A" w:rsidRDefault="006824DD" w:rsidP="006824DD">
            <w:pPr>
              <w:pStyle w:val="Table"/>
              <w:rPr>
                <w:rFonts w:ascii="Arial" w:hAnsi="Arial" w:cs="Arial"/>
                <w:color w:val="365F91" w:themeColor="accent1" w:themeShade="BF"/>
                <w:sz w:val="22"/>
              </w:rPr>
            </w:pPr>
          </w:p>
        </w:tc>
      </w:tr>
      <w:tr w:rsidR="006824DD" w:rsidRPr="00B5524A" w14:paraId="0A69D6B8" w14:textId="77777777" w:rsidTr="006824DD">
        <w:trPr>
          <w:jc w:val="center"/>
        </w:trPr>
        <w:tc>
          <w:tcPr>
            <w:tcW w:w="560" w:type="pct"/>
          </w:tcPr>
          <w:p w14:paraId="4A84F98B" w14:textId="77777777" w:rsidR="006824DD" w:rsidRPr="00B5524A" w:rsidRDefault="006824DD" w:rsidP="006824DD">
            <w:pPr>
              <w:pStyle w:val="Table"/>
              <w:jc w:val="center"/>
              <w:rPr>
                <w:rFonts w:ascii="Arial" w:hAnsi="Arial" w:cs="Arial"/>
                <w:color w:val="365F91" w:themeColor="accent1" w:themeShade="BF"/>
                <w:sz w:val="22"/>
              </w:rPr>
            </w:pPr>
          </w:p>
        </w:tc>
        <w:tc>
          <w:tcPr>
            <w:tcW w:w="876" w:type="pct"/>
          </w:tcPr>
          <w:p w14:paraId="6A662D13" w14:textId="77777777" w:rsidR="006824DD" w:rsidRPr="00B5524A" w:rsidRDefault="006824DD" w:rsidP="006824DD">
            <w:pPr>
              <w:pStyle w:val="Table"/>
              <w:jc w:val="center"/>
              <w:rPr>
                <w:rFonts w:ascii="Arial" w:hAnsi="Arial" w:cs="Arial"/>
                <w:color w:val="365F91" w:themeColor="accent1" w:themeShade="BF"/>
                <w:sz w:val="22"/>
              </w:rPr>
            </w:pPr>
          </w:p>
        </w:tc>
        <w:tc>
          <w:tcPr>
            <w:tcW w:w="691" w:type="pct"/>
          </w:tcPr>
          <w:p w14:paraId="6CDC1B19" w14:textId="77777777" w:rsidR="006824DD" w:rsidRPr="00B5524A" w:rsidRDefault="006824DD" w:rsidP="006824DD">
            <w:pPr>
              <w:pStyle w:val="Table"/>
              <w:rPr>
                <w:rFonts w:ascii="Arial" w:hAnsi="Arial" w:cs="Arial"/>
                <w:color w:val="365F91" w:themeColor="accent1" w:themeShade="BF"/>
                <w:sz w:val="22"/>
              </w:rPr>
            </w:pPr>
          </w:p>
        </w:tc>
        <w:tc>
          <w:tcPr>
            <w:tcW w:w="2873" w:type="pct"/>
          </w:tcPr>
          <w:p w14:paraId="53088F2F" w14:textId="77777777" w:rsidR="006824DD" w:rsidRPr="00B5524A" w:rsidRDefault="006824DD" w:rsidP="006824DD">
            <w:pPr>
              <w:pStyle w:val="Table"/>
              <w:rPr>
                <w:rFonts w:ascii="Arial" w:hAnsi="Arial" w:cs="Arial"/>
                <w:color w:val="365F91" w:themeColor="accent1" w:themeShade="BF"/>
                <w:sz w:val="22"/>
              </w:rPr>
            </w:pPr>
          </w:p>
        </w:tc>
      </w:tr>
    </w:tbl>
    <w:p w14:paraId="195EFFC0" w14:textId="77777777" w:rsidR="006824DD" w:rsidRPr="00B5524A" w:rsidRDefault="006824DD" w:rsidP="006824DD">
      <w:pPr>
        <w:pStyle w:val="Heading2"/>
        <w:ind w:left="1134" w:firstLine="0"/>
      </w:pPr>
      <w:bookmarkStart w:id="299" w:name="_Toc427232370"/>
    </w:p>
    <w:p w14:paraId="6C863759" w14:textId="77777777" w:rsidR="006824DD" w:rsidRPr="00B5524A" w:rsidRDefault="006824DD" w:rsidP="006824DD">
      <w:pPr>
        <w:pStyle w:val="Heading2"/>
        <w:ind w:left="1134" w:firstLine="0"/>
      </w:pPr>
    </w:p>
    <w:p w14:paraId="74063FEC" w14:textId="77777777" w:rsidR="006824DD" w:rsidRPr="00B5524A" w:rsidRDefault="006824DD" w:rsidP="006824DD">
      <w:pPr>
        <w:pStyle w:val="Heading2"/>
        <w:ind w:left="1134" w:firstLine="0"/>
      </w:pPr>
      <w:bookmarkStart w:id="300" w:name="_Toc496014861"/>
      <w:bookmarkStart w:id="301" w:name="_Toc507591990"/>
      <w:r w:rsidRPr="00B5524A">
        <w:t>References, Links and Dependencies</w:t>
      </w:r>
      <w:bookmarkEnd w:id="299"/>
      <w:bookmarkEnd w:id="300"/>
      <w:bookmarkEnd w:id="301"/>
    </w:p>
    <w:p w14:paraId="2ECF44D6" w14:textId="77777777" w:rsidR="006824DD" w:rsidRPr="00B5524A" w:rsidRDefault="006824DD" w:rsidP="006824DD">
      <w:r w:rsidRPr="00B5524A">
        <w:t>This document is dependent on the supporting information and assurance provided by the following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797"/>
        <w:gridCol w:w="2253"/>
        <w:gridCol w:w="1530"/>
      </w:tblGrid>
      <w:tr w:rsidR="006824DD" w:rsidRPr="00B5524A" w14:paraId="3571C1B2" w14:textId="77777777" w:rsidTr="006824DD">
        <w:trPr>
          <w:cantSplit/>
          <w:tblHeader/>
          <w:jc w:val="center"/>
        </w:trPr>
        <w:tc>
          <w:tcPr>
            <w:tcW w:w="417" w:type="dxa"/>
            <w:shd w:val="clear" w:color="auto" w:fill="DBE5F1" w:themeFill="accent1" w:themeFillTint="33"/>
          </w:tcPr>
          <w:p w14:paraId="60908235" w14:textId="77777777" w:rsidR="006824DD" w:rsidRPr="00B5524A" w:rsidRDefault="006824DD" w:rsidP="006824DD">
            <w:pPr>
              <w:pStyle w:val="Table"/>
              <w:rPr>
                <w:rFonts w:ascii="Arial" w:hAnsi="Arial" w:cs="Arial"/>
                <w:b/>
                <w:color w:val="365F91" w:themeColor="accent1" w:themeShade="BF"/>
                <w:sz w:val="22"/>
              </w:rPr>
            </w:pPr>
            <w:r w:rsidRPr="00B5524A">
              <w:rPr>
                <w:rFonts w:ascii="Arial" w:hAnsi="Arial" w:cs="Arial"/>
                <w:b/>
                <w:color w:val="365F91" w:themeColor="accent1" w:themeShade="BF"/>
                <w:sz w:val="22"/>
              </w:rPr>
              <w:t>ID</w:t>
            </w:r>
          </w:p>
        </w:tc>
        <w:tc>
          <w:tcPr>
            <w:tcW w:w="5361" w:type="dxa"/>
            <w:shd w:val="clear" w:color="auto" w:fill="DBE5F1" w:themeFill="accent1" w:themeFillTint="33"/>
          </w:tcPr>
          <w:p w14:paraId="22E01B80" w14:textId="77777777" w:rsidR="006824DD" w:rsidRPr="00B5524A" w:rsidRDefault="006824DD" w:rsidP="006824DD">
            <w:pPr>
              <w:pStyle w:val="Table"/>
              <w:rPr>
                <w:rFonts w:ascii="Arial" w:hAnsi="Arial" w:cs="Arial"/>
                <w:b/>
                <w:color w:val="365F91" w:themeColor="accent1" w:themeShade="BF"/>
                <w:sz w:val="22"/>
              </w:rPr>
            </w:pPr>
            <w:r w:rsidRPr="00B5524A">
              <w:rPr>
                <w:rFonts w:ascii="Arial" w:hAnsi="Arial" w:cs="Arial"/>
                <w:b/>
                <w:color w:val="365F91" w:themeColor="accent1" w:themeShade="BF"/>
                <w:sz w:val="22"/>
              </w:rPr>
              <w:t>Document Title</w:t>
            </w:r>
          </w:p>
        </w:tc>
        <w:tc>
          <w:tcPr>
            <w:tcW w:w="2410" w:type="dxa"/>
            <w:shd w:val="clear" w:color="auto" w:fill="DBE5F1" w:themeFill="accent1" w:themeFillTint="33"/>
          </w:tcPr>
          <w:p w14:paraId="0A8BB4BA" w14:textId="77777777" w:rsidR="006824DD" w:rsidRPr="00B5524A" w:rsidRDefault="006824DD" w:rsidP="006824DD">
            <w:pPr>
              <w:pStyle w:val="Table"/>
              <w:rPr>
                <w:rFonts w:ascii="Arial" w:hAnsi="Arial" w:cs="Arial"/>
                <w:b/>
                <w:color w:val="365F91" w:themeColor="accent1" w:themeShade="BF"/>
                <w:sz w:val="22"/>
              </w:rPr>
            </w:pPr>
            <w:r w:rsidRPr="00B5524A">
              <w:rPr>
                <w:rFonts w:ascii="Arial" w:hAnsi="Arial" w:cs="Arial"/>
                <w:b/>
                <w:color w:val="365F91" w:themeColor="accent1" w:themeShade="BF"/>
                <w:sz w:val="22"/>
              </w:rPr>
              <w:t>Reference</w:t>
            </w:r>
          </w:p>
        </w:tc>
        <w:tc>
          <w:tcPr>
            <w:tcW w:w="1665" w:type="dxa"/>
            <w:shd w:val="clear" w:color="auto" w:fill="DBE5F1" w:themeFill="accent1" w:themeFillTint="33"/>
          </w:tcPr>
          <w:p w14:paraId="2CA0F207" w14:textId="77777777" w:rsidR="006824DD" w:rsidRPr="00B5524A" w:rsidRDefault="006824DD" w:rsidP="006824DD">
            <w:pPr>
              <w:pStyle w:val="Table"/>
              <w:rPr>
                <w:rFonts w:ascii="Arial" w:hAnsi="Arial" w:cs="Arial"/>
                <w:b/>
                <w:color w:val="365F91" w:themeColor="accent1" w:themeShade="BF"/>
                <w:sz w:val="22"/>
              </w:rPr>
            </w:pPr>
            <w:r w:rsidRPr="00B5524A">
              <w:rPr>
                <w:rFonts w:ascii="Arial" w:hAnsi="Arial" w:cs="Arial"/>
                <w:b/>
                <w:color w:val="365F91" w:themeColor="accent1" w:themeShade="BF"/>
                <w:sz w:val="22"/>
              </w:rPr>
              <w:t>Date</w:t>
            </w:r>
          </w:p>
        </w:tc>
      </w:tr>
      <w:tr w:rsidR="006824DD" w:rsidRPr="00B5524A" w14:paraId="03129E13" w14:textId="77777777" w:rsidTr="006824DD">
        <w:trPr>
          <w:jc w:val="center"/>
        </w:trPr>
        <w:tc>
          <w:tcPr>
            <w:tcW w:w="417" w:type="dxa"/>
          </w:tcPr>
          <w:p w14:paraId="6820AA9F" w14:textId="77777777" w:rsidR="006824DD" w:rsidRPr="00B5524A" w:rsidRDefault="006824DD" w:rsidP="00AA027B">
            <w:pPr>
              <w:pStyle w:val="ListNumber2"/>
              <w:numPr>
                <w:ilvl w:val="7"/>
                <w:numId w:val="97"/>
              </w:numPr>
              <w:spacing w:before="60" w:after="60"/>
              <w:ind w:left="567"/>
              <w:rPr>
                <w:rFonts w:ascii="Arial" w:hAnsi="Arial" w:cs="Arial"/>
                <w:color w:val="365F91" w:themeColor="accent1" w:themeShade="BF"/>
              </w:rPr>
            </w:pPr>
            <w:bookmarkStart w:id="302" w:name="_Ref423972747"/>
          </w:p>
        </w:tc>
        <w:bookmarkEnd w:id="302"/>
        <w:tc>
          <w:tcPr>
            <w:tcW w:w="5361" w:type="dxa"/>
          </w:tcPr>
          <w:p w14:paraId="483E7140" w14:textId="77777777" w:rsidR="006824DD" w:rsidRPr="00B5524A" w:rsidRDefault="006824DD" w:rsidP="006824DD">
            <w:pPr>
              <w:pStyle w:val="Table"/>
              <w:rPr>
                <w:rFonts w:ascii="Arial" w:hAnsi="Arial" w:cs="Arial"/>
                <w:color w:val="365F91" w:themeColor="accent1" w:themeShade="BF"/>
                <w:sz w:val="22"/>
              </w:rPr>
            </w:pPr>
          </w:p>
        </w:tc>
        <w:tc>
          <w:tcPr>
            <w:tcW w:w="2410" w:type="dxa"/>
          </w:tcPr>
          <w:p w14:paraId="1E8B75C6" w14:textId="77777777" w:rsidR="006824DD" w:rsidRPr="00B5524A" w:rsidRDefault="006824DD" w:rsidP="006824DD">
            <w:pPr>
              <w:pStyle w:val="Table"/>
              <w:rPr>
                <w:rFonts w:ascii="Arial" w:hAnsi="Arial" w:cs="Arial"/>
                <w:color w:val="365F91" w:themeColor="accent1" w:themeShade="BF"/>
                <w:sz w:val="22"/>
              </w:rPr>
            </w:pPr>
          </w:p>
        </w:tc>
        <w:tc>
          <w:tcPr>
            <w:tcW w:w="1665" w:type="dxa"/>
          </w:tcPr>
          <w:p w14:paraId="6731F861" w14:textId="77777777" w:rsidR="006824DD" w:rsidRPr="00B5524A" w:rsidRDefault="006824DD" w:rsidP="006824DD">
            <w:pPr>
              <w:pStyle w:val="Table"/>
              <w:rPr>
                <w:rFonts w:ascii="Arial" w:hAnsi="Arial" w:cs="Arial"/>
                <w:color w:val="365F91" w:themeColor="accent1" w:themeShade="BF"/>
                <w:sz w:val="22"/>
              </w:rPr>
            </w:pPr>
          </w:p>
        </w:tc>
      </w:tr>
      <w:tr w:rsidR="006824DD" w:rsidRPr="00B5524A" w14:paraId="42B60A27" w14:textId="77777777" w:rsidTr="006824DD">
        <w:trPr>
          <w:jc w:val="center"/>
        </w:trPr>
        <w:tc>
          <w:tcPr>
            <w:tcW w:w="417" w:type="dxa"/>
          </w:tcPr>
          <w:p w14:paraId="7C46E38A" w14:textId="77777777" w:rsidR="006824DD" w:rsidRPr="00B5524A" w:rsidRDefault="006824DD" w:rsidP="00AA027B">
            <w:pPr>
              <w:pStyle w:val="ListNumber2"/>
              <w:numPr>
                <w:ilvl w:val="7"/>
                <w:numId w:val="97"/>
              </w:numPr>
              <w:spacing w:before="60" w:after="60"/>
              <w:ind w:left="567"/>
              <w:rPr>
                <w:rFonts w:ascii="Arial" w:hAnsi="Arial" w:cs="Arial"/>
                <w:color w:val="365F91" w:themeColor="accent1" w:themeShade="BF"/>
              </w:rPr>
            </w:pPr>
            <w:bookmarkStart w:id="303" w:name="_Ref423972821"/>
          </w:p>
        </w:tc>
        <w:bookmarkEnd w:id="303"/>
        <w:tc>
          <w:tcPr>
            <w:tcW w:w="5361" w:type="dxa"/>
          </w:tcPr>
          <w:p w14:paraId="46941E85" w14:textId="77777777" w:rsidR="006824DD" w:rsidRPr="00B5524A" w:rsidRDefault="006824DD" w:rsidP="006824DD">
            <w:pPr>
              <w:pStyle w:val="Table"/>
              <w:rPr>
                <w:rFonts w:ascii="Arial" w:hAnsi="Arial" w:cs="Arial"/>
                <w:color w:val="365F91" w:themeColor="accent1" w:themeShade="BF"/>
                <w:sz w:val="22"/>
              </w:rPr>
            </w:pPr>
          </w:p>
        </w:tc>
        <w:tc>
          <w:tcPr>
            <w:tcW w:w="2410" w:type="dxa"/>
          </w:tcPr>
          <w:p w14:paraId="3B63A8C3" w14:textId="77777777" w:rsidR="006824DD" w:rsidRPr="00B5524A" w:rsidRDefault="006824DD" w:rsidP="006824DD">
            <w:pPr>
              <w:pStyle w:val="Table"/>
              <w:rPr>
                <w:rFonts w:ascii="Arial" w:hAnsi="Arial" w:cs="Arial"/>
                <w:color w:val="365F91" w:themeColor="accent1" w:themeShade="BF"/>
                <w:sz w:val="22"/>
              </w:rPr>
            </w:pPr>
          </w:p>
        </w:tc>
        <w:tc>
          <w:tcPr>
            <w:tcW w:w="1665" w:type="dxa"/>
          </w:tcPr>
          <w:p w14:paraId="794E0F83" w14:textId="77777777" w:rsidR="006824DD" w:rsidRPr="00B5524A" w:rsidRDefault="006824DD" w:rsidP="006824DD">
            <w:pPr>
              <w:pStyle w:val="Table"/>
              <w:rPr>
                <w:rFonts w:ascii="Arial" w:hAnsi="Arial" w:cs="Arial"/>
                <w:color w:val="365F91" w:themeColor="accent1" w:themeShade="BF"/>
                <w:sz w:val="22"/>
              </w:rPr>
            </w:pPr>
          </w:p>
        </w:tc>
      </w:tr>
      <w:tr w:rsidR="006824DD" w:rsidRPr="00B5524A" w14:paraId="6216E376" w14:textId="77777777" w:rsidTr="006824DD">
        <w:trPr>
          <w:jc w:val="center"/>
        </w:trPr>
        <w:tc>
          <w:tcPr>
            <w:tcW w:w="417" w:type="dxa"/>
          </w:tcPr>
          <w:p w14:paraId="5CB053DB" w14:textId="77777777" w:rsidR="006824DD" w:rsidRPr="00B5524A" w:rsidRDefault="006824DD" w:rsidP="00AA027B">
            <w:pPr>
              <w:pStyle w:val="ListNumber2"/>
              <w:numPr>
                <w:ilvl w:val="7"/>
                <w:numId w:val="97"/>
              </w:numPr>
              <w:spacing w:before="60" w:after="60"/>
              <w:ind w:left="567"/>
              <w:rPr>
                <w:rFonts w:ascii="Arial" w:hAnsi="Arial" w:cs="Arial"/>
                <w:color w:val="365F91" w:themeColor="accent1" w:themeShade="BF"/>
              </w:rPr>
            </w:pPr>
            <w:bookmarkStart w:id="304" w:name="_Ref423972727"/>
          </w:p>
        </w:tc>
        <w:bookmarkEnd w:id="304"/>
        <w:tc>
          <w:tcPr>
            <w:tcW w:w="5361" w:type="dxa"/>
          </w:tcPr>
          <w:p w14:paraId="738DE2A7" w14:textId="77777777" w:rsidR="006824DD" w:rsidRPr="00B5524A" w:rsidRDefault="006824DD" w:rsidP="006824DD">
            <w:pPr>
              <w:pStyle w:val="Table"/>
              <w:rPr>
                <w:rFonts w:ascii="Arial" w:hAnsi="Arial" w:cs="Arial"/>
                <w:color w:val="365F91" w:themeColor="accent1" w:themeShade="BF"/>
                <w:sz w:val="22"/>
              </w:rPr>
            </w:pPr>
          </w:p>
        </w:tc>
        <w:tc>
          <w:tcPr>
            <w:tcW w:w="2410" w:type="dxa"/>
          </w:tcPr>
          <w:p w14:paraId="253D28AA" w14:textId="77777777" w:rsidR="006824DD" w:rsidRPr="00B5524A" w:rsidRDefault="006824DD" w:rsidP="006824DD">
            <w:pPr>
              <w:pStyle w:val="Table"/>
              <w:rPr>
                <w:rFonts w:ascii="Arial" w:hAnsi="Arial" w:cs="Arial"/>
                <w:color w:val="365F91" w:themeColor="accent1" w:themeShade="BF"/>
                <w:sz w:val="22"/>
              </w:rPr>
            </w:pPr>
          </w:p>
        </w:tc>
        <w:tc>
          <w:tcPr>
            <w:tcW w:w="1665" w:type="dxa"/>
          </w:tcPr>
          <w:p w14:paraId="364DCF4F" w14:textId="77777777" w:rsidR="006824DD" w:rsidRPr="00B5524A" w:rsidRDefault="006824DD" w:rsidP="006824DD">
            <w:pPr>
              <w:pStyle w:val="Table"/>
              <w:rPr>
                <w:rFonts w:ascii="Arial" w:hAnsi="Arial" w:cs="Arial"/>
                <w:color w:val="365F91" w:themeColor="accent1" w:themeShade="BF"/>
                <w:sz w:val="22"/>
              </w:rPr>
            </w:pPr>
          </w:p>
        </w:tc>
      </w:tr>
    </w:tbl>
    <w:p w14:paraId="232116F0" w14:textId="77777777" w:rsidR="006824DD" w:rsidRDefault="006824DD" w:rsidP="006824DD">
      <w:pPr>
        <w:ind w:left="0" w:right="52" w:firstLine="0"/>
      </w:pPr>
    </w:p>
    <w:p w14:paraId="4779AC56" w14:textId="77777777" w:rsidR="006824DD" w:rsidRDefault="006824DD" w:rsidP="006824DD">
      <w:pPr>
        <w:ind w:left="0" w:right="52" w:firstLine="0"/>
      </w:pPr>
    </w:p>
    <w:p w14:paraId="21D52D18"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05" w:name="_Toc507591991"/>
      <w:r w:rsidRPr="00670DB4">
        <w:rPr>
          <w:rFonts w:eastAsia="Times New Roman"/>
          <w:color w:val="2E74B5"/>
        </w:rPr>
        <w:t>Background</w:t>
      </w:r>
      <w:bookmarkEnd w:id="305"/>
      <w:r w:rsidRPr="00670DB4">
        <w:rPr>
          <w:rFonts w:eastAsia="Times New Roman"/>
          <w:color w:val="2E74B5"/>
        </w:rPr>
        <w:br/>
      </w:r>
    </w:p>
    <w:p w14:paraId="0A2FC0FF"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A short description of the project/product/system. Describe its purpose, functionality, aim and scope.&gt;</w:t>
      </w:r>
    </w:p>
    <w:p w14:paraId="650BB0DB"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06" w:name="_Toc507591992"/>
      <w:r w:rsidRPr="00670DB4">
        <w:rPr>
          <w:rFonts w:eastAsia="Times New Roman"/>
          <w:color w:val="2E74B5"/>
        </w:rPr>
        <w:t>Contractual Arrangements</w:t>
      </w:r>
      <w:bookmarkEnd w:id="306"/>
    </w:p>
    <w:p w14:paraId="0C8CA092"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Please provide detail of how the system/product/service has been procured including what contracts (service model, call-off, framework, security schedules) are in place.&gt;</w:t>
      </w:r>
    </w:p>
    <w:p w14:paraId="09F8C0CF"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07" w:name="_Toc496014865"/>
      <w:bookmarkStart w:id="308" w:name="_Toc507591993"/>
      <w:r w:rsidRPr="00670DB4">
        <w:rPr>
          <w:rFonts w:eastAsia="Times New Roman"/>
          <w:color w:val="2E74B5"/>
        </w:rPr>
        <w:t>Governance, reporting and accountability</w:t>
      </w:r>
      <w:bookmarkEnd w:id="307"/>
      <w:bookmarkEnd w:id="308"/>
      <w:r w:rsidRPr="00670DB4">
        <w:rPr>
          <w:rFonts w:eastAsia="Times New Roman"/>
          <w:color w:val="2E74B5"/>
        </w:rPr>
        <w:tab/>
      </w:r>
    </w:p>
    <w:p w14:paraId="2709686B"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&lt;Include a list of the lead security roles for the project and the reporting structures/decision making process for the security work.&gt;</w:t>
      </w:r>
    </w:p>
    <w:p w14:paraId="2EF79296"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09" w:name="_Toc507591994"/>
      <w:r w:rsidRPr="00670DB4">
        <w:rPr>
          <w:rFonts w:eastAsia="Times New Roman"/>
          <w:color w:val="2E74B5"/>
        </w:rPr>
        <w:t>Customers</w:t>
      </w:r>
      <w:bookmarkEnd w:id="309"/>
    </w:p>
    <w:p w14:paraId="6ABF436E"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w:t>
      </w:r>
      <w:r w:rsidRPr="00670DB4">
        <w:rPr>
          <w:rFonts w:eastAsia="Calibri"/>
          <w:i/>
          <w:color w:val="2E74B5"/>
          <w:lang w:eastAsia="en-US"/>
        </w:rPr>
        <w:t xml:space="preserve"> </w:t>
      </w:r>
      <w:r w:rsidRPr="00670DB4">
        <w:rPr>
          <w:rFonts w:eastAsia="Times New Roman"/>
          <w:i/>
          <w:color w:val="auto"/>
        </w:rPr>
        <w:t>Include list of participating departments/organisations if appropriate and known.&gt;</w:t>
      </w:r>
    </w:p>
    <w:p w14:paraId="468AC2FB"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10" w:name="_Toc507591995"/>
      <w:r w:rsidRPr="00670DB4">
        <w:rPr>
          <w:rFonts w:eastAsia="Times New Roman"/>
          <w:color w:val="2E74B5"/>
        </w:rPr>
        <w:t>Information Assurance Assessment</w:t>
      </w:r>
      <w:bookmarkEnd w:id="310"/>
      <w:r w:rsidRPr="00670DB4">
        <w:rPr>
          <w:rFonts w:eastAsia="Times New Roman"/>
          <w:color w:val="2E74B5"/>
        </w:rPr>
        <w:br/>
      </w:r>
    </w:p>
    <w:p w14:paraId="5466DFDD"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11" w:name="_Toc507591996"/>
      <w:r w:rsidRPr="00670DB4">
        <w:rPr>
          <w:rFonts w:eastAsia="Times New Roman"/>
          <w:color w:val="2E74B5"/>
        </w:rPr>
        <w:t>Data/Information</w:t>
      </w:r>
      <w:bookmarkEnd w:id="311"/>
    </w:p>
    <w:p w14:paraId="09A70279"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&lt;Include a list of the type and volumes of data that will be processed, managed and stored within the supplier system. If personal data, please include the fields used such as name, address, department DOB, NI number etc.&gt;</w:t>
      </w:r>
    </w:p>
    <w:p w14:paraId="67167F9F"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12" w:name="_Toc507591997"/>
      <w:r w:rsidRPr="00670DB4">
        <w:rPr>
          <w:rFonts w:eastAsia="Times New Roman"/>
          <w:color w:val="2E74B5"/>
        </w:rPr>
        <w:t>Overview of technical architecture</w:t>
      </w:r>
      <w:bookmarkEnd w:id="312"/>
    </w:p>
    <w:p w14:paraId="652AE248" w14:textId="77777777" w:rsidR="006824DD" w:rsidRPr="00670DB4" w:rsidRDefault="006824DD" w:rsidP="006824DD">
      <w:pPr>
        <w:spacing w:after="160" w:line="259" w:lineRule="auto"/>
        <w:ind w:left="1134" w:firstLine="0"/>
        <w:jc w:val="left"/>
        <w:rPr>
          <w:rFonts w:eastAsia="Times New Roman"/>
          <w:i/>
          <w:color w:val="auto"/>
        </w:rPr>
      </w:pPr>
      <w:bookmarkStart w:id="313" w:name="_Toc496014870"/>
      <w:r w:rsidRPr="00670DB4">
        <w:rPr>
          <w:rFonts w:eastAsia="Times New Roman"/>
          <w:i/>
          <w:color w:val="auto"/>
        </w:rPr>
        <w:t>&lt;</w:t>
      </w:r>
      <w:r w:rsidRPr="00670DB4">
        <w:rPr>
          <w:rFonts w:eastAsia="Calibri"/>
          <w:i/>
          <w:color w:val="2E74B5"/>
          <w:lang w:eastAsia="en-US"/>
        </w:rPr>
        <w:t xml:space="preserve"> </w:t>
      </w:r>
      <w:r w:rsidRPr="00670DB4">
        <w:rPr>
          <w:rFonts w:eastAsia="Times New Roman"/>
          <w:i/>
          <w:color w:val="auto"/>
        </w:rPr>
        <w:t>In this section, please provide an architectural diagram of the system. A brief explanation of the relevant components should be included.&gt;</w:t>
      </w:r>
      <w:bookmarkEnd w:id="313"/>
      <w:r w:rsidRPr="00670DB4">
        <w:rPr>
          <w:rFonts w:eastAsia="Times New Roman"/>
          <w:i/>
          <w:color w:val="auto"/>
        </w:rPr>
        <w:br/>
      </w:r>
    </w:p>
    <w:p w14:paraId="3937D719"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14" w:name="_Toc507591998"/>
      <w:r w:rsidRPr="00670DB4">
        <w:rPr>
          <w:rFonts w:eastAsia="Times New Roman"/>
          <w:color w:val="2E74B5"/>
        </w:rPr>
        <w:t>Logical Data Flow Diagram</w:t>
      </w:r>
      <w:bookmarkEnd w:id="314"/>
    </w:p>
    <w:p w14:paraId="2E43A5FC"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Include a diagram of the logical data flows. The scope of the assurance assessment should be clearly indicated, with components of the architecture upon which reliance is placed but assurance will not be done clearly shown e.g. a cloud hosting service.&gt;</w:t>
      </w:r>
    </w:p>
    <w:p w14:paraId="74438E75"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15" w:name="_Toc507591999"/>
      <w:r w:rsidRPr="00670DB4">
        <w:rPr>
          <w:rFonts w:eastAsia="Times New Roman"/>
          <w:color w:val="2E74B5"/>
        </w:rPr>
        <w:t>Third Party Suppliers</w:t>
      </w:r>
      <w:bookmarkEnd w:id="315"/>
    </w:p>
    <w:p w14:paraId="5EBD1D81"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Include a list/table of the Suppliers, what function they perform, what data they store/process and what assurance activities/due diligence activities have been taken place. Also, include evidence of compliance with ISO 27001:2013 or Cyber Essential/Cyber Essential Plus. Please ensure that the service/system or product that you are procuring is included in the scope of certification&gt;</w:t>
      </w:r>
      <w:bookmarkStart w:id="316" w:name="_Toc427232384"/>
    </w:p>
    <w:p w14:paraId="1821D993"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17" w:name="_Toc496014874"/>
      <w:r w:rsidRPr="00670DB4">
        <w:rPr>
          <w:rFonts w:eastAsia="Times New Roman"/>
          <w:color w:val="2E74B5"/>
        </w:rPr>
        <w:lastRenderedPageBreak/>
        <w:t xml:space="preserve"> </w:t>
      </w:r>
      <w:bookmarkStart w:id="318" w:name="_Toc507592000"/>
      <w:bookmarkEnd w:id="316"/>
      <w:bookmarkEnd w:id="317"/>
      <w:r w:rsidRPr="00670DB4">
        <w:rPr>
          <w:rFonts w:eastAsia="Times New Roman"/>
          <w:color w:val="2E74B5"/>
        </w:rPr>
        <w:t>Location of data processing, storage, transfer, back-up tapes</w:t>
      </w:r>
      <w:bookmarkStart w:id="319" w:name="_Ref404768851"/>
      <w:bookmarkStart w:id="320" w:name="_Toc427232385"/>
      <w:bookmarkEnd w:id="318"/>
    </w:p>
    <w:p w14:paraId="65A48B9B"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This section to include third party suppliers&gt;</w:t>
      </w:r>
    </w:p>
    <w:p w14:paraId="748CA3C7"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21" w:name="_Toc507592001"/>
      <w:bookmarkEnd w:id="319"/>
      <w:bookmarkEnd w:id="320"/>
      <w:r w:rsidRPr="00670DB4">
        <w:rPr>
          <w:rFonts w:eastAsia="Times New Roman"/>
          <w:color w:val="2E74B5"/>
        </w:rPr>
        <w:t>Off Shoring</w:t>
      </w:r>
      <w:bookmarkEnd w:id="321"/>
    </w:p>
    <w:p w14:paraId="52740DC4"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Please provide detail of any off-shoring arrangements/location, including third party suppliers. Please specify what products, systems, data will be off-shored and where. Also include any detail of what assurance and due diligence has taken place.&gt;</w:t>
      </w:r>
    </w:p>
    <w:p w14:paraId="4940F770"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22" w:name="_Ref404602586"/>
      <w:bookmarkStart w:id="323" w:name="_Toc427232388"/>
      <w:bookmarkStart w:id="324" w:name="_Toc496014876"/>
      <w:bookmarkStart w:id="325" w:name="_Toc507592002"/>
      <w:r w:rsidRPr="00670DB4">
        <w:rPr>
          <w:rFonts w:eastAsia="Times New Roman"/>
          <w:color w:val="2E74B5"/>
        </w:rPr>
        <w:t xml:space="preserve">Risk </w:t>
      </w:r>
      <w:bookmarkEnd w:id="322"/>
      <w:bookmarkEnd w:id="323"/>
      <w:bookmarkEnd w:id="324"/>
      <w:r w:rsidRPr="00670DB4">
        <w:rPr>
          <w:rFonts w:eastAsia="Times New Roman"/>
          <w:color w:val="2E74B5"/>
        </w:rPr>
        <w:t>Management</w:t>
      </w:r>
      <w:bookmarkEnd w:id="325"/>
    </w:p>
    <w:p w14:paraId="5C61585B"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 xml:space="preserve">&lt; Include a short explanation for what methodology will be used to assess risks to this system/service/product. Have you used a formal methodology or an informal? Please note that advice on risk management can be found via this link: </w:t>
      </w:r>
      <w:hyperlink r:id="rId37" w:history="1">
        <w:r w:rsidRPr="00670DB4">
          <w:rPr>
            <w:rFonts w:eastAsia="Times New Roman"/>
            <w:i/>
            <w:color w:val="auto"/>
          </w:rPr>
          <w:t>https://www.ncsc.gov.uk/guidance/risk-management-collection</w:t>
        </w:r>
      </w:hyperlink>
      <w:r w:rsidRPr="00670DB4">
        <w:rPr>
          <w:rFonts w:eastAsia="Times New Roman"/>
          <w:i/>
          <w:color w:val="auto"/>
        </w:rPr>
        <w:t>.&gt;</w:t>
      </w:r>
    </w:p>
    <w:p w14:paraId="1D877EA4"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26" w:name="_Toc507592003"/>
      <w:r w:rsidRPr="00670DB4">
        <w:rPr>
          <w:rFonts w:eastAsia="Times New Roman"/>
          <w:color w:val="2E74B5"/>
        </w:rPr>
        <w:t>Risk Register</w:t>
      </w:r>
      <w:bookmarkEnd w:id="326"/>
    </w:p>
    <w:p w14:paraId="72121C69"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&lt;This section to include a table containing a prioritised risk list which contains the output from the risk assessment and lists technical, personnel, physical and procedural controls that are being implemented to mitigate those risks. An example table is shown below. Any significant residual risks should be agreed with the Authority/Customer and included in the Executive Summary of this document.&gt;</w:t>
      </w:r>
    </w:p>
    <w:p w14:paraId="3BD8E93F" w14:textId="77777777" w:rsidR="006824DD" w:rsidRPr="00670DB4" w:rsidRDefault="006824DD" w:rsidP="006824DD">
      <w:pPr>
        <w:spacing w:after="160" w:line="259" w:lineRule="auto"/>
        <w:ind w:left="1134" w:firstLine="0"/>
        <w:jc w:val="left"/>
        <w:rPr>
          <w:rFonts w:eastAsia="Times New Roman"/>
          <w:i/>
          <w:color w:val="auto"/>
        </w:rPr>
      </w:pPr>
    </w:p>
    <w:tbl>
      <w:tblPr>
        <w:tblStyle w:val="TableGrid3"/>
        <w:tblW w:w="8789" w:type="dxa"/>
        <w:jc w:val="left"/>
        <w:tblInd w:w="841" w:type="dxa"/>
        <w:tblLook w:val="04A0" w:firstRow="1" w:lastRow="0" w:firstColumn="1" w:lastColumn="0" w:noHBand="0" w:noVBand="1"/>
      </w:tblPr>
      <w:tblGrid>
        <w:gridCol w:w="792"/>
        <w:gridCol w:w="1594"/>
        <w:gridCol w:w="1709"/>
        <w:gridCol w:w="1057"/>
        <w:gridCol w:w="2495"/>
        <w:gridCol w:w="1142"/>
      </w:tblGrid>
      <w:tr w:rsidR="006824DD" w:rsidRPr="00670DB4" w14:paraId="1FBF8EF1" w14:textId="77777777" w:rsidTr="006824DD">
        <w:trPr>
          <w:cnfStyle w:val="100000000000" w:firstRow="1" w:lastRow="0" w:firstColumn="0" w:lastColumn="0" w:oddVBand="0" w:evenVBand="0" w:oddHBand="0" w:evenHBand="0" w:firstRowFirstColumn="0" w:firstRowLastColumn="0" w:lastRowFirstColumn="0" w:lastRowLastColumn="0"/>
          <w:jc w:val="left"/>
        </w:trPr>
        <w:tc>
          <w:tcPr>
            <w:tcW w:w="796" w:type="dxa"/>
            <w:shd w:val="clear" w:color="auto" w:fill="E7E6E6"/>
          </w:tcPr>
          <w:p w14:paraId="0B78EE88" w14:textId="77777777" w:rsidR="006824DD" w:rsidRPr="00670DB4" w:rsidRDefault="006824DD" w:rsidP="006824DD">
            <w:pPr>
              <w:spacing w:before="120" w:after="160" w:line="259" w:lineRule="auto"/>
              <w:ind w:left="0" w:firstLine="0"/>
              <w:jc w:val="left"/>
              <w:rPr>
                <w:rFonts w:eastAsia="Times New Roman"/>
                <w:color w:val="auto"/>
                <w:highlight w:val="lightGray"/>
              </w:rPr>
            </w:pPr>
            <w:r w:rsidRPr="00670DB4">
              <w:rPr>
                <w:rFonts w:eastAsia="Times New Roman"/>
                <w:color w:val="auto"/>
              </w:rPr>
              <w:t>Risk ID</w:t>
            </w:r>
          </w:p>
        </w:tc>
        <w:tc>
          <w:tcPr>
            <w:tcW w:w="1602" w:type="dxa"/>
            <w:shd w:val="clear" w:color="auto" w:fill="E7E6E6"/>
          </w:tcPr>
          <w:p w14:paraId="39638650" w14:textId="77777777" w:rsidR="006824DD" w:rsidRPr="00670DB4" w:rsidRDefault="006824DD" w:rsidP="006824DD">
            <w:pPr>
              <w:spacing w:before="120" w:after="160" w:line="259" w:lineRule="auto"/>
              <w:ind w:left="0" w:firstLine="0"/>
              <w:jc w:val="left"/>
              <w:rPr>
                <w:rFonts w:eastAsia="Times New Roman"/>
                <w:color w:val="auto"/>
              </w:rPr>
            </w:pPr>
            <w:r w:rsidRPr="00670DB4">
              <w:rPr>
                <w:rFonts w:eastAsia="Times New Roman"/>
                <w:color w:val="auto"/>
              </w:rPr>
              <w:t>Risk Description</w:t>
            </w:r>
          </w:p>
        </w:tc>
        <w:tc>
          <w:tcPr>
            <w:tcW w:w="1718" w:type="dxa"/>
            <w:shd w:val="clear" w:color="auto" w:fill="E7E6E6"/>
          </w:tcPr>
          <w:p w14:paraId="3A2479AA" w14:textId="77777777" w:rsidR="006824DD" w:rsidRPr="00670DB4" w:rsidRDefault="006824DD" w:rsidP="006824DD">
            <w:pPr>
              <w:spacing w:before="120" w:after="160" w:line="259" w:lineRule="auto"/>
              <w:ind w:left="0" w:firstLine="0"/>
              <w:jc w:val="center"/>
              <w:rPr>
                <w:rFonts w:eastAsia="Times New Roman"/>
                <w:color w:val="auto"/>
              </w:rPr>
            </w:pPr>
            <w:r w:rsidRPr="00670DB4">
              <w:rPr>
                <w:rFonts w:eastAsia="Times New Roman"/>
                <w:color w:val="auto"/>
              </w:rPr>
              <w:t>Vulnerability</w:t>
            </w:r>
          </w:p>
        </w:tc>
        <w:tc>
          <w:tcPr>
            <w:tcW w:w="1007" w:type="dxa"/>
            <w:shd w:val="clear" w:color="auto" w:fill="E7E6E6"/>
          </w:tcPr>
          <w:p w14:paraId="245C36FE" w14:textId="77777777" w:rsidR="006824DD" w:rsidRPr="00670DB4" w:rsidRDefault="006824DD" w:rsidP="006824DD">
            <w:pPr>
              <w:spacing w:before="120" w:after="160" w:line="259" w:lineRule="auto"/>
              <w:ind w:left="0" w:firstLine="0"/>
              <w:jc w:val="center"/>
              <w:rPr>
                <w:rFonts w:eastAsia="Times New Roman"/>
                <w:color w:val="auto"/>
              </w:rPr>
            </w:pPr>
            <w:r w:rsidRPr="00670DB4">
              <w:rPr>
                <w:rFonts w:eastAsia="Times New Roman"/>
                <w:color w:val="auto"/>
              </w:rPr>
              <w:t>Untreated Risk Level</w:t>
            </w:r>
          </w:p>
        </w:tc>
        <w:tc>
          <w:tcPr>
            <w:tcW w:w="2520" w:type="dxa"/>
            <w:shd w:val="clear" w:color="auto" w:fill="E7E6E6"/>
          </w:tcPr>
          <w:p w14:paraId="00B665A6" w14:textId="77777777" w:rsidR="006824DD" w:rsidRPr="00670DB4" w:rsidRDefault="006824DD" w:rsidP="006824DD">
            <w:pPr>
              <w:spacing w:before="120" w:after="160" w:line="259" w:lineRule="auto"/>
              <w:ind w:left="0" w:firstLine="0"/>
              <w:jc w:val="center"/>
              <w:rPr>
                <w:rFonts w:eastAsia="Times New Roman"/>
                <w:color w:val="auto"/>
                <w:highlight w:val="lightGray"/>
              </w:rPr>
            </w:pPr>
            <w:r w:rsidRPr="00670DB4">
              <w:rPr>
                <w:rFonts w:eastAsia="Times New Roman"/>
                <w:color w:val="auto"/>
              </w:rPr>
              <w:t>Security Controls</w:t>
            </w:r>
          </w:p>
        </w:tc>
        <w:tc>
          <w:tcPr>
            <w:tcW w:w="1146" w:type="dxa"/>
            <w:shd w:val="clear" w:color="auto" w:fill="E7E6E6"/>
          </w:tcPr>
          <w:p w14:paraId="70664DB2" w14:textId="77777777" w:rsidR="006824DD" w:rsidRPr="00670DB4" w:rsidRDefault="006824DD" w:rsidP="006824DD">
            <w:pPr>
              <w:spacing w:before="120" w:after="160" w:line="259" w:lineRule="auto"/>
              <w:ind w:left="0" w:firstLine="0"/>
              <w:jc w:val="left"/>
              <w:rPr>
                <w:rFonts w:eastAsia="Times New Roman"/>
                <w:color w:val="auto"/>
                <w:highlight w:val="lightGray"/>
              </w:rPr>
            </w:pPr>
            <w:r w:rsidRPr="00670DB4">
              <w:rPr>
                <w:rFonts w:eastAsia="Times New Roman"/>
                <w:color w:val="auto"/>
              </w:rPr>
              <w:t>Residual Risk Level</w:t>
            </w:r>
          </w:p>
        </w:tc>
      </w:tr>
      <w:tr w:rsidR="006824DD" w:rsidRPr="00670DB4" w14:paraId="2F68753C" w14:textId="77777777" w:rsidTr="006824DD">
        <w:trPr>
          <w:jc w:val="left"/>
        </w:trPr>
        <w:tc>
          <w:tcPr>
            <w:tcW w:w="796" w:type="dxa"/>
          </w:tcPr>
          <w:p w14:paraId="12DB7A83" w14:textId="77777777" w:rsidR="006824DD" w:rsidRPr="00670DB4" w:rsidRDefault="006824DD" w:rsidP="006824DD">
            <w:pPr>
              <w:spacing w:before="120" w:after="160" w:line="259" w:lineRule="auto"/>
              <w:ind w:left="0" w:firstLine="0"/>
              <w:jc w:val="left"/>
              <w:rPr>
                <w:rFonts w:eastAsia="Times New Roman"/>
                <w:color w:val="auto"/>
              </w:rPr>
            </w:pPr>
            <w:r w:rsidRPr="00670DB4">
              <w:rPr>
                <w:rFonts w:eastAsia="Times New Roman"/>
                <w:color w:val="auto"/>
              </w:rPr>
              <w:t>R1</w:t>
            </w:r>
          </w:p>
        </w:tc>
        <w:tc>
          <w:tcPr>
            <w:tcW w:w="1602" w:type="dxa"/>
          </w:tcPr>
          <w:p w14:paraId="08F7A798" w14:textId="77777777" w:rsidR="006824DD" w:rsidRPr="00670DB4" w:rsidRDefault="006824DD" w:rsidP="006824DD">
            <w:pPr>
              <w:spacing w:before="120" w:after="160" w:line="259" w:lineRule="auto"/>
              <w:ind w:left="0" w:firstLine="0"/>
              <w:jc w:val="left"/>
              <w:rPr>
                <w:rFonts w:eastAsia="Times New Roman"/>
                <w:color w:val="auto"/>
              </w:rPr>
            </w:pPr>
            <w:r w:rsidRPr="00670DB4">
              <w:rPr>
                <w:rFonts w:eastAsia="Times New Roman"/>
                <w:color w:val="auto"/>
              </w:rPr>
              <w:t>Internet attackers could hack the system.</w:t>
            </w:r>
          </w:p>
        </w:tc>
        <w:tc>
          <w:tcPr>
            <w:tcW w:w="1718" w:type="dxa"/>
          </w:tcPr>
          <w:p w14:paraId="1FE527F2" w14:textId="77777777" w:rsidR="006824DD" w:rsidRPr="00670DB4" w:rsidRDefault="006824DD" w:rsidP="006824DD">
            <w:pPr>
              <w:spacing w:before="120" w:after="160" w:line="259" w:lineRule="auto"/>
              <w:ind w:left="0" w:firstLine="0"/>
              <w:jc w:val="center"/>
              <w:rPr>
                <w:rFonts w:eastAsia="Times New Roman"/>
                <w:color w:val="auto"/>
              </w:rPr>
            </w:pPr>
            <w:r w:rsidRPr="00670DB4">
              <w:rPr>
                <w:rFonts w:eastAsia="Times New Roman"/>
                <w:color w:val="auto"/>
              </w:rPr>
              <w:t>The service systems are exposed to the internet via the web portal.</w:t>
            </w:r>
          </w:p>
        </w:tc>
        <w:tc>
          <w:tcPr>
            <w:tcW w:w="1007" w:type="dxa"/>
          </w:tcPr>
          <w:p w14:paraId="353A2B75" w14:textId="77777777" w:rsidR="006824DD" w:rsidRPr="00670DB4" w:rsidRDefault="006824DD" w:rsidP="006824DD">
            <w:pPr>
              <w:spacing w:before="120" w:after="160" w:line="259" w:lineRule="auto"/>
              <w:ind w:left="0" w:firstLine="0"/>
              <w:jc w:val="center"/>
              <w:rPr>
                <w:rFonts w:eastAsia="Times New Roman"/>
                <w:color w:val="auto"/>
              </w:rPr>
            </w:pPr>
            <w:r w:rsidRPr="00670DB4">
              <w:rPr>
                <w:rFonts w:eastAsia="Times New Roman"/>
                <w:color w:val="auto"/>
              </w:rPr>
              <w:t>High</w:t>
            </w:r>
          </w:p>
        </w:tc>
        <w:tc>
          <w:tcPr>
            <w:tcW w:w="2520" w:type="dxa"/>
          </w:tcPr>
          <w:p w14:paraId="13A1F85B"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 xml:space="preserve">Internet-facing firewalls </w:t>
            </w:r>
          </w:p>
          <w:p w14:paraId="47C16E29"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Internet-facing IP whitelist</w:t>
            </w:r>
          </w:p>
          <w:p w14:paraId="62ABF016"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Protective monitoring</w:t>
            </w:r>
          </w:p>
          <w:p w14:paraId="792669FC"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Application access control</w:t>
            </w:r>
          </w:p>
          <w:p w14:paraId="51BCDB43"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Anti-virus for incoming files</w:t>
            </w:r>
          </w:p>
          <w:p w14:paraId="553476C6"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Patching</w:t>
            </w:r>
          </w:p>
          <w:p w14:paraId="58BD772D" w14:textId="77777777" w:rsidR="006824DD" w:rsidRPr="00670DB4" w:rsidRDefault="006824DD" w:rsidP="006824DD">
            <w:pPr>
              <w:spacing w:after="0" w:line="240" w:lineRule="auto"/>
              <w:ind w:left="0" w:firstLine="0"/>
              <w:jc w:val="left"/>
              <w:rPr>
                <w:rFonts w:eastAsia="Times New Roman"/>
                <w:color w:val="auto"/>
              </w:rPr>
            </w:pPr>
          </w:p>
        </w:tc>
        <w:tc>
          <w:tcPr>
            <w:tcW w:w="1146" w:type="dxa"/>
          </w:tcPr>
          <w:p w14:paraId="7791CCBD" w14:textId="77777777" w:rsidR="006824DD" w:rsidRPr="00670DB4" w:rsidRDefault="006824DD" w:rsidP="006824DD">
            <w:pPr>
              <w:spacing w:before="120" w:after="160" w:line="259" w:lineRule="auto"/>
              <w:ind w:left="0" w:firstLine="0"/>
              <w:jc w:val="left"/>
              <w:rPr>
                <w:rFonts w:eastAsia="Times New Roman"/>
                <w:color w:val="auto"/>
              </w:rPr>
            </w:pPr>
            <w:r w:rsidRPr="00670DB4">
              <w:rPr>
                <w:rFonts w:eastAsia="Times New Roman"/>
                <w:color w:val="auto"/>
              </w:rPr>
              <w:t>Low</w:t>
            </w:r>
          </w:p>
        </w:tc>
      </w:tr>
    </w:tbl>
    <w:p w14:paraId="55663AF7" w14:textId="77777777" w:rsidR="006824DD" w:rsidRPr="00670DB4" w:rsidRDefault="006824DD" w:rsidP="006824DD">
      <w:pPr>
        <w:spacing w:after="160" w:line="259" w:lineRule="auto"/>
        <w:ind w:left="737" w:firstLine="0"/>
        <w:jc w:val="left"/>
        <w:rPr>
          <w:rFonts w:eastAsia="Times New Roman"/>
          <w:i/>
          <w:color w:val="auto"/>
        </w:rPr>
      </w:pPr>
    </w:p>
    <w:p w14:paraId="4DF0EA19"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27" w:name="_Toc507592004"/>
      <w:r w:rsidRPr="00670DB4">
        <w:rPr>
          <w:rFonts w:eastAsia="Times New Roman"/>
          <w:color w:val="2E74B5"/>
        </w:rPr>
        <w:t>Security controls</w:t>
      </w:r>
      <w:bookmarkEnd w:id="327"/>
    </w:p>
    <w:p w14:paraId="2E51AF27"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 Provide a short explanation of the security controls relied upon to treat the risks in the Risk Register.&gt;</w:t>
      </w:r>
    </w:p>
    <w:p w14:paraId="0EB93E7E" w14:textId="77777777" w:rsidR="006824DD" w:rsidRPr="00670DB4" w:rsidRDefault="006824DD" w:rsidP="006824DD">
      <w:pPr>
        <w:spacing w:after="160" w:line="259" w:lineRule="auto"/>
        <w:ind w:left="1134" w:firstLine="0"/>
        <w:jc w:val="left"/>
        <w:rPr>
          <w:rFonts w:eastAsia="Times New Roman"/>
          <w:i/>
          <w:color w:val="auto"/>
        </w:rPr>
      </w:pPr>
    </w:p>
    <w:p w14:paraId="739F1AA6" w14:textId="77777777" w:rsidR="006824DD" w:rsidRPr="00670DB4" w:rsidRDefault="006824DD" w:rsidP="006824DD">
      <w:pPr>
        <w:keepNext/>
        <w:keepLines/>
        <w:numPr>
          <w:ilvl w:val="1"/>
          <w:numId w:val="0"/>
        </w:numPr>
        <w:spacing w:before="40" w:after="0" w:line="240" w:lineRule="auto"/>
        <w:ind w:left="576" w:hanging="576"/>
        <w:jc w:val="left"/>
        <w:outlineLvl w:val="1"/>
        <w:rPr>
          <w:rFonts w:eastAsia="Times New Roman"/>
          <w:color w:val="2E74B5"/>
        </w:rPr>
      </w:pPr>
      <w:bookmarkStart w:id="328" w:name="_Toc507592005"/>
      <w:r w:rsidRPr="00670DB4">
        <w:rPr>
          <w:rFonts w:eastAsia="Times New Roman"/>
          <w:color w:val="2E74B5"/>
        </w:rPr>
        <w:t>Table of Hardware and Software relevant to the service</w:t>
      </w:r>
      <w:bookmarkEnd w:id="328"/>
    </w:p>
    <w:p w14:paraId="39CE38F5"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&lt;This should be a table which lists the end of support dates for hardware and software products and components. An example table is shown below.&gt;</w:t>
      </w:r>
    </w:p>
    <w:tbl>
      <w:tblPr>
        <w:tblStyle w:val="TableGrid3"/>
        <w:tblW w:w="0" w:type="auto"/>
        <w:tblLook w:val="04A0" w:firstRow="1" w:lastRow="0" w:firstColumn="1" w:lastColumn="0" w:noHBand="0" w:noVBand="1"/>
      </w:tblPr>
      <w:tblGrid>
        <w:gridCol w:w="1135"/>
        <w:gridCol w:w="2407"/>
        <w:gridCol w:w="2407"/>
        <w:gridCol w:w="2407"/>
      </w:tblGrid>
      <w:tr w:rsidR="006824DD" w:rsidRPr="00670DB4" w14:paraId="195C5F00" w14:textId="77777777" w:rsidTr="006824DD">
        <w:trPr>
          <w:cnfStyle w:val="100000000000" w:firstRow="1" w:lastRow="0" w:firstColumn="0" w:lastColumn="0" w:oddVBand="0" w:evenVBand="0" w:oddHBand="0" w:evenHBand="0" w:firstRowFirstColumn="0" w:firstRowLastColumn="0" w:lastRowFirstColumn="0" w:lastRowLastColumn="0"/>
        </w:trPr>
        <w:tc>
          <w:tcPr>
            <w:tcW w:w="1135" w:type="dxa"/>
            <w:shd w:val="clear" w:color="auto" w:fill="E7E6E6"/>
          </w:tcPr>
          <w:p w14:paraId="376BE326" w14:textId="77777777" w:rsidR="006824DD" w:rsidRPr="00670DB4" w:rsidRDefault="006824DD" w:rsidP="006824DD">
            <w:pPr>
              <w:spacing w:after="160" w:line="259" w:lineRule="auto"/>
              <w:ind w:left="0" w:firstLine="0"/>
              <w:jc w:val="center"/>
              <w:rPr>
                <w:rFonts w:eastAsia="Times New Roman"/>
                <w:color w:val="auto"/>
              </w:rPr>
            </w:pPr>
            <w:r w:rsidRPr="00670DB4">
              <w:rPr>
                <w:rFonts w:eastAsia="Times New Roman"/>
                <w:color w:val="auto"/>
              </w:rPr>
              <w:t>Name</w:t>
            </w:r>
          </w:p>
        </w:tc>
        <w:tc>
          <w:tcPr>
            <w:tcW w:w="2407" w:type="dxa"/>
            <w:shd w:val="clear" w:color="auto" w:fill="E7E6E6"/>
          </w:tcPr>
          <w:p w14:paraId="40F601F8" w14:textId="77777777" w:rsidR="006824DD" w:rsidRPr="00670DB4" w:rsidRDefault="006824DD" w:rsidP="006824DD">
            <w:pPr>
              <w:spacing w:after="160" w:line="259" w:lineRule="auto"/>
              <w:ind w:left="0" w:firstLine="0"/>
              <w:jc w:val="center"/>
              <w:rPr>
                <w:rFonts w:eastAsia="Times New Roman"/>
                <w:color w:val="auto"/>
              </w:rPr>
            </w:pPr>
            <w:r w:rsidRPr="00670DB4">
              <w:rPr>
                <w:rFonts w:eastAsia="Times New Roman"/>
                <w:color w:val="auto"/>
              </w:rPr>
              <w:t>Version</w:t>
            </w:r>
          </w:p>
        </w:tc>
        <w:tc>
          <w:tcPr>
            <w:tcW w:w="2407" w:type="dxa"/>
            <w:shd w:val="clear" w:color="auto" w:fill="E7E6E6"/>
          </w:tcPr>
          <w:p w14:paraId="38B666C7" w14:textId="77777777" w:rsidR="006824DD" w:rsidRPr="00670DB4" w:rsidRDefault="006824DD" w:rsidP="006824DD">
            <w:pPr>
              <w:spacing w:after="160" w:line="259" w:lineRule="auto"/>
              <w:ind w:left="0" w:firstLine="0"/>
              <w:jc w:val="center"/>
              <w:rPr>
                <w:rFonts w:eastAsia="Times New Roman"/>
                <w:color w:val="auto"/>
              </w:rPr>
            </w:pPr>
            <w:r w:rsidRPr="00670DB4">
              <w:rPr>
                <w:rFonts w:eastAsia="Times New Roman"/>
                <w:color w:val="auto"/>
              </w:rPr>
              <w:t>End of mainstream Support/Extended Support</w:t>
            </w:r>
          </w:p>
        </w:tc>
        <w:tc>
          <w:tcPr>
            <w:tcW w:w="2407" w:type="dxa"/>
            <w:shd w:val="clear" w:color="auto" w:fill="E7E6E6"/>
          </w:tcPr>
          <w:p w14:paraId="4891B869" w14:textId="77777777" w:rsidR="006824DD" w:rsidRPr="00670DB4" w:rsidRDefault="006824DD" w:rsidP="006824DD">
            <w:pPr>
              <w:spacing w:after="160" w:line="259" w:lineRule="auto"/>
              <w:ind w:left="0" w:firstLine="0"/>
              <w:jc w:val="center"/>
              <w:rPr>
                <w:rFonts w:eastAsia="Times New Roman"/>
                <w:color w:val="auto"/>
              </w:rPr>
            </w:pPr>
            <w:r w:rsidRPr="00670DB4">
              <w:rPr>
                <w:rFonts w:eastAsia="Times New Roman"/>
                <w:color w:val="auto"/>
              </w:rPr>
              <w:t>Notes/RAG Status</w:t>
            </w:r>
          </w:p>
        </w:tc>
      </w:tr>
      <w:tr w:rsidR="006824DD" w:rsidRPr="00670DB4" w14:paraId="66169216" w14:textId="77777777" w:rsidTr="006824DD">
        <w:tc>
          <w:tcPr>
            <w:tcW w:w="1135" w:type="dxa"/>
          </w:tcPr>
          <w:p w14:paraId="07B54816" w14:textId="77777777" w:rsidR="006824DD" w:rsidRPr="00670DB4" w:rsidRDefault="006824DD" w:rsidP="006824DD">
            <w:pPr>
              <w:spacing w:after="160" w:line="259" w:lineRule="auto"/>
              <w:ind w:left="0" w:firstLine="0"/>
              <w:jc w:val="left"/>
              <w:rPr>
                <w:rFonts w:eastAsia="Times New Roman"/>
                <w:color w:val="auto"/>
              </w:rPr>
            </w:pPr>
            <w:r w:rsidRPr="00670DB4">
              <w:rPr>
                <w:rFonts w:eastAsia="Times New Roman"/>
                <w:color w:val="auto"/>
              </w:rPr>
              <w:lastRenderedPageBreak/>
              <w:t>Server Host</w:t>
            </w:r>
          </w:p>
        </w:tc>
        <w:tc>
          <w:tcPr>
            <w:tcW w:w="2407" w:type="dxa"/>
          </w:tcPr>
          <w:p w14:paraId="509B399A" w14:textId="77777777" w:rsidR="006824DD" w:rsidRPr="00670DB4" w:rsidRDefault="006824DD" w:rsidP="006824DD">
            <w:pPr>
              <w:spacing w:after="160" w:line="259" w:lineRule="auto"/>
              <w:ind w:left="0" w:firstLine="0"/>
              <w:jc w:val="left"/>
              <w:rPr>
                <w:rFonts w:eastAsia="Times New Roman"/>
                <w:color w:val="auto"/>
              </w:rPr>
            </w:pPr>
            <w:r w:rsidRPr="00670DB4">
              <w:rPr>
                <w:rFonts w:eastAsia="Times New Roman"/>
                <w:color w:val="auto"/>
              </w:rPr>
              <w:t>HP XXXX</w:t>
            </w:r>
          </w:p>
        </w:tc>
        <w:tc>
          <w:tcPr>
            <w:tcW w:w="2407" w:type="dxa"/>
          </w:tcPr>
          <w:p w14:paraId="6DFD98F7" w14:textId="77777777" w:rsidR="006824DD" w:rsidRPr="00670DB4" w:rsidRDefault="006824DD" w:rsidP="006824DD">
            <w:pPr>
              <w:spacing w:after="160" w:line="259" w:lineRule="auto"/>
              <w:ind w:left="0" w:firstLine="0"/>
              <w:jc w:val="left"/>
              <w:rPr>
                <w:rFonts w:eastAsia="Times New Roman"/>
                <w:color w:val="auto"/>
              </w:rPr>
            </w:pPr>
            <w:r w:rsidRPr="00670DB4">
              <w:rPr>
                <w:rFonts w:eastAsia="Times New Roman"/>
                <w:color w:val="auto"/>
              </w:rPr>
              <w:t>Feb 2020/ March 2022</w:t>
            </w:r>
          </w:p>
        </w:tc>
        <w:tc>
          <w:tcPr>
            <w:tcW w:w="2407" w:type="dxa"/>
            <w:shd w:val="clear" w:color="auto" w:fill="70AD47"/>
          </w:tcPr>
          <w:p w14:paraId="34E23BA2" w14:textId="77777777" w:rsidR="006824DD" w:rsidRPr="00670DB4" w:rsidRDefault="006824DD" w:rsidP="006824DD">
            <w:pPr>
              <w:spacing w:after="160" w:line="259" w:lineRule="auto"/>
              <w:ind w:left="0" w:firstLine="0"/>
              <w:jc w:val="left"/>
              <w:rPr>
                <w:rFonts w:eastAsia="Times New Roman"/>
                <w:color w:val="auto"/>
              </w:rPr>
            </w:pPr>
          </w:p>
        </w:tc>
      </w:tr>
    </w:tbl>
    <w:p w14:paraId="0AEF46D6" w14:textId="77777777" w:rsidR="006824DD" w:rsidRPr="00670DB4" w:rsidRDefault="006824DD" w:rsidP="006824DD">
      <w:pPr>
        <w:spacing w:after="160" w:line="259" w:lineRule="auto"/>
        <w:ind w:left="1134" w:firstLine="0"/>
        <w:jc w:val="left"/>
        <w:rPr>
          <w:rFonts w:eastAsia="Times New Roman"/>
          <w:i/>
          <w:color w:val="auto"/>
        </w:rPr>
      </w:pPr>
    </w:p>
    <w:p w14:paraId="187D485A" w14:textId="77777777" w:rsidR="006824DD" w:rsidRPr="00670DB4" w:rsidRDefault="006824DD" w:rsidP="006824DD">
      <w:pPr>
        <w:keepNext/>
        <w:keepLines/>
        <w:numPr>
          <w:ilvl w:val="1"/>
          <w:numId w:val="0"/>
        </w:numPr>
        <w:spacing w:before="40" w:after="0" w:line="240" w:lineRule="auto"/>
        <w:jc w:val="left"/>
        <w:outlineLvl w:val="1"/>
        <w:rPr>
          <w:rFonts w:eastAsia="Times New Roman"/>
          <w:color w:val="2E74B5"/>
        </w:rPr>
      </w:pPr>
      <w:bookmarkStart w:id="329" w:name="_Toc507592006"/>
      <w:r w:rsidRPr="00670DB4">
        <w:rPr>
          <w:rFonts w:eastAsia="Times New Roman"/>
          <w:color w:val="2E74B5"/>
        </w:rPr>
        <w:t>Incident Management Process</w:t>
      </w:r>
      <w:bookmarkEnd w:id="329"/>
      <w:r w:rsidRPr="00670DB4">
        <w:rPr>
          <w:rFonts w:eastAsia="Times New Roman"/>
          <w:color w:val="2E74B5"/>
        </w:rPr>
        <w:t xml:space="preserve"> </w:t>
      </w:r>
    </w:p>
    <w:p w14:paraId="194D588C"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&lt;The suppliers’ process, as agreed with the Authority/Customer, should be included here. It must as a minimum include the protocol for how and when incidents will be reported to the Authority/customer and the process that will be undertaken to mitigate the incidents and investigate the root cause.&gt;</w:t>
      </w:r>
    </w:p>
    <w:p w14:paraId="474AC102" w14:textId="77777777" w:rsidR="006824DD" w:rsidRPr="00670DB4" w:rsidRDefault="006824DD" w:rsidP="006824DD">
      <w:pPr>
        <w:spacing w:after="160" w:line="259" w:lineRule="auto"/>
        <w:ind w:left="0" w:firstLine="0"/>
        <w:jc w:val="left"/>
        <w:rPr>
          <w:rFonts w:eastAsia="Times New Roman"/>
          <w:color w:val="auto"/>
        </w:rPr>
      </w:pPr>
    </w:p>
    <w:p w14:paraId="19DB54E0"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30" w:name="_Toc507592007"/>
      <w:r w:rsidRPr="00670DB4">
        <w:rPr>
          <w:rFonts w:eastAsia="Times New Roman"/>
          <w:color w:val="2E74B5"/>
        </w:rPr>
        <w:t>Required Changes Register</w:t>
      </w:r>
      <w:bookmarkEnd w:id="330"/>
    </w:p>
    <w:p w14:paraId="0E53E57A"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&lt;The table below shows the headings for the Required Changes Register which should be maintained and used to update the contents of this document at least annually.&gt;</w:t>
      </w:r>
    </w:p>
    <w:tbl>
      <w:tblPr>
        <w:tblStyle w:val="TableGrid3"/>
        <w:tblW w:w="0" w:type="auto"/>
        <w:jc w:val="left"/>
        <w:tblInd w:w="-5" w:type="dxa"/>
        <w:tblLook w:val="04A0" w:firstRow="1" w:lastRow="0" w:firstColumn="1" w:lastColumn="0" w:noHBand="0" w:noVBand="1"/>
      </w:tblPr>
      <w:tblGrid>
        <w:gridCol w:w="516"/>
        <w:gridCol w:w="1138"/>
        <w:gridCol w:w="2420"/>
        <w:gridCol w:w="1135"/>
        <w:gridCol w:w="1318"/>
        <w:gridCol w:w="1527"/>
        <w:gridCol w:w="967"/>
      </w:tblGrid>
      <w:tr w:rsidR="006824DD" w:rsidRPr="00670DB4" w14:paraId="369CEC4C" w14:textId="77777777" w:rsidTr="006824DD">
        <w:trPr>
          <w:cnfStyle w:val="100000000000" w:firstRow="1" w:lastRow="0" w:firstColumn="0" w:lastColumn="0" w:oddVBand="0" w:evenVBand="0" w:oddHBand="0" w:evenHBand="0" w:firstRowFirstColumn="0" w:firstRowLastColumn="0" w:lastRowFirstColumn="0" w:lastRowLastColumn="0"/>
          <w:trHeight w:val="493"/>
          <w:jc w:val="left"/>
        </w:trPr>
        <w:tc>
          <w:tcPr>
            <w:tcW w:w="520" w:type="dxa"/>
            <w:shd w:val="clear" w:color="auto" w:fill="E7E6E6"/>
            <w:hideMark/>
          </w:tcPr>
          <w:p w14:paraId="43973377"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Ref</w:t>
            </w:r>
          </w:p>
        </w:tc>
        <w:tc>
          <w:tcPr>
            <w:tcW w:w="1247" w:type="dxa"/>
            <w:shd w:val="clear" w:color="auto" w:fill="E7E6E6"/>
            <w:hideMark/>
          </w:tcPr>
          <w:p w14:paraId="1A9E3446"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Section</w:t>
            </w:r>
          </w:p>
        </w:tc>
        <w:tc>
          <w:tcPr>
            <w:tcW w:w="2885" w:type="dxa"/>
            <w:shd w:val="clear" w:color="auto" w:fill="E7E6E6"/>
            <w:hideMark/>
          </w:tcPr>
          <w:p w14:paraId="42482551"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Change</w:t>
            </w:r>
          </w:p>
        </w:tc>
        <w:tc>
          <w:tcPr>
            <w:tcW w:w="1155" w:type="dxa"/>
            <w:shd w:val="clear" w:color="auto" w:fill="E7E6E6"/>
            <w:hideMark/>
          </w:tcPr>
          <w:p w14:paraId="64CC5DA1"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Agreed With</w:t>
            </w:r>
          </w:p>
        </w:tc>
        <w:tc>
          <w:tcPr>
            <w:tcW w:w="1246" w:type="dxa"/>
            <w:shd w:val="clear" w:color="auto" w:fill="E7E6E6"/>
            <w:hideMark/>
          </w:tcPr>
          <w:p w14:paraId="0F30D517"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Date agreed</w:t>
            </w:r>
          </w:p>
        </w:tc>
        <w:tc>
          <w:tcPr>
            <w:tcW w:w="1527" w:type="dxa"/>
            <w:shd w:val="clear" w:color="auto" w:fill="E7E6E6"/>
            <w:hideMark/>
          </w:tcPr>
          <w:p w14:paraId="5F6B8089"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Documentation update</w:t>
            </w:r>
          </w:p>
        </w:tc>
        <w:tc>
          <w:tcPr>
            <w:tcW w:w="1047" w:type="dxa"/>
            <w:shd w:val="clear" w:color="auto" w:fill="E7E6E6"/>
            <w:hideMark/>
          </w:tcPr>
          <w:p w14:paraId="3A2EF5EA" w14:textId="77777777" w:rsidR="006824DD" w:rsidRPr="00670DB4" w:rsidRDefault="006824DD" w:rsidP="006824DD">
            <w:pPr>
              <w:spacing w:after="0" w:line="240" w:lineRule="auto"/>
              <w:ind w:left="0" w:firstLine="0"/>
              <w:jc w:val="left"/>
              <w:rPr>
                <w:rFonts w:eastAsia="Times New Roman"/>
                <w:bCs/>
                <w:color w:val="auto"/>
              </w:rPr>
            </w:pPr>
            <w:r w:rsidRPr="00670DB4">
              <w:rPr>
                <w:rFonts w:eastAsia="Times New Roman"/>
                <w:bCs/>
                <w:color w:val="auto"/>
              </w:rPr>
              <w:t>Status</w:t>
            </w:r>
          </w:p>
        </w:tc>
      </w:tr>
      <w:tr w:rsidR="006824DD" w:rsidRPr="00670DB4" w14:paraId="055892B0" w14:textId="77777777" w:rsidTr="006824DD">
        <w:trPr>
          <w:trHeight w:val="580"/>
          <w:jc w:val="left"/>
        </w:trPr>
        <w:tc>
          <w:tcPr>
            <w:tcW w:w="520" w:type="dxa"/>
            <w:hideMark/>
          </w:tcPr>
          <w:p w14:paraId="3D21F4BA"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1</w:t>
            </w:r>
          </w:p>
        </w:tc>
        <w:tc>
          <w:tcPr>
            <w:tcW w:w="1247" w:type="dxa"/>
            <w:hideMark/>
          </w:tcPr>
          <w:p w14:paraId="5AB66A98"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6.4</w:t>
            </w:r>
          </w:p>
        </w:tc>
        <w:tc>
          <w:tcPr>
            <w:tcW w:w="2885" w:type="dxa"/>
            <w:hideMark/>
          </w:tcPr>
          <w:p w14:paraId="2324400F"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A new Third Party supplier XXXX will be performing the print capability.</w:t>
            </w:r>
          </w:p>
        </w:tc>
        <w:tc>
          <w:tcPr>
            <w:tcW w:w="1155" w:type="dxa"/>
            <w:hideMark/>
          </w:tcPr>
          <w:p w14:paraId="40BA3612"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Authority name</w:t>
            </w:r>
          </w:p>
        </w:tc>
        <w:tc>
          <w:tcPr>
            <w:tcW w:w="1246" w:type="dxa"/>
            <w:hideMark/>
          </w:tcPr>
          <w:p w14:paraId="42B93A57"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11/11/2018</w:t>
            </w:r>
          </w:p>
        </w:tc>
        <w:tc>
          <w:tcPr>
            <w:tcW w:w="1527" w:type="dxa"/>
            <w:hideMark/>
          </w:tcPr>
          <w:p w14:paraId="56FFE15D"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Jul-2019</w:t>
            </w:r>
          </w:p>
        </w:tc>
        <w:tc>
          <w:tcPr>
            <w:tcW w:w="1047" w:type="dxa"/>
            <w:hideMark/>
          </w:tcPr>
          <w:p w14:paraId="31758ABF" w14:textId="77777777" w:rsidR="006824DD" w:rsidRPr="00670DB4" w:rsidRDefault="006824DD" w:rsidP="006824DD">
            <w:pPr>
              <w:spacing w:after="0" w:line="240" w:lineRule="auto"/>
              <w:ind w:left="0" w:firstLine="0"/>
              <w:jc w:val="left"/>
              <w:rPr>
                <w:rFonts w:eastAsia="Times New Roman"/>
                <w:color w:val="auto"/>
              </w:rPr>
            </w:pPr>
            <w:r w:rsidRPr="00670DB4">
              <w:rPr>
                <w:rFonts w:eastAsia="Times New Roman"/>
                <w:color w:val="auto"/>
              </w:rPr>
              <w:t>Open</w:t>
            </w:r>
          </w:p>
        </w:tc>
      </w:tr>
    </w:tbl>
    <w:p w14:paraId="3200207D" w14:textId="77777777" w:rsidR="006824DD" w:rsidRPr="00670DB4" w:rsidRDefault="006824DD" w:rsidP="006824DD">
      <w:pPr>
        <w:spacing w:after="0" w:line="240" w:lineRule="auto"/>
        <w:ind w:left="0" w:firstLine="0"/>
        <w:jc w:val="left"/>
        <w:rPr>
          <w:rFonts w:eastAsia="Times New Roman"/>
          <w:color w:val="auto"/>
        </w:rPr>
      </w:pPr>
    </w:p>
    <w:p w14:paraId="49EB17E1" w14:textId="77777777" w:rsidR="006824DD" w:rsidRPr="00670DB4" w:rsidRDefault="006824DD" w:rsidP="006824DD">
      <w:pPr>
        <w:spacing w:after="160" w:line="259" w:lineRule="auto"/>
        <w:ind w:left="0" w:firstLine="0"/>
        <w:jc w:val="left"/>
        <w:rPr>
          <w:rFonts w:eastAsia="Times New Roman"/>
          <w:color w:val="auto"/>
        </w:rPr>
      </w:pPr>
    </w:p>
    <w:p w14:paraId="5AFFDC9E"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31" w:name="_Toc507592008"/>
      <w:r w:rsidRPr="00670DB4">
        <w:rPr>
          <w:rFonts w:eastAsia="Times New Roman"/>
          <w:color w:val="2E74B5"/>
        </w:rPr>
        <w:t>Personal Data Processing Statement</w:t>
      </w:r>
      <w:bookmarkEnd w:id="331"/>
    </w:p>
    <w:p w14:paraId="24BF76FC" w14:textId="77777777" w:rsidR="006824DD" w:rsidRPr="00670DB4" w:rsidRDefault="006824DD" w:rsidP="006824DD">
      <w:pPr>
        <w:spacing w:after="160" w:line="259" w:lineRule="auto"/>
        <w:ind w:left="1134" w:firstLine="0"/>
        <w:jc w:val="left"/>
        <w:rPr>
          <w:rFonts w:eastAsia="Times New Roman"/>
          <w:i/>
          <w:color w:val="auto"/>
        </w:rPr>
      </w:pPr>
      <w:r w:rsidRPr="00670DB4">
        <w:rPr>
          <w:rFonts w:eastAsia="Times New Roman"/>
          <w:i/>
          <w:color w:val="auto"/>
        </w:rPr>
        <w:t>&lt;This should include: (i) the types of Personal Data which the Supplier and/or its Sub-contractors are Processing on behalf of the Authority; (ii) the categories of Data Subjects whose Personal Data the Supplier and/or its Sub-contractors are Processing on behalf of the Authority; the nature and purpose of such Processing; (iii) the locations at which the Supplier and/or its Subcontractors Process Authority Data; and, (iv) the Protective Measures that the Supplier and, where applicable, its Subcontractors have implemented to protect the Authority Data against a Security Breach including a Personal Data Breach.&gt;</w:t>
      </w:r>
    </w:p>
    <w:p w14:paraId="6044765D"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32" w:name="_Toc507592009"/>
      <w:r w:rsidRPr="00670DB4">
        <w:rPr>
          <w:rFonts w:eastAsia="Times New Roman"/>
          <w:color w:val="2E74B5"/>
        </w:rPr>
        <w:t>Annex A. ISO 27001:2013 and Cyber Essential Plus certificates</w:t>
      </w:r>
      <w:bookmarkEnd w:id="332"/>
    </w:p>
    <w:p w14:paraId="3D7DBF4D"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33" w:name="_Toc507592010"/>
      <w:r w:rsidRPr="00670DB4">
        <w:rPr>
          <w:rFonts w:eastAsia="Times New Roman"/>
          <w:color w:val="2E74B5"/>
        </w:rPr>
        <w:t>Annex B. Cloud Security Principles assessment (a spreadsheet may be attached).</w:t>
      </w:r>
      <w:bookmarkEnd w:id="333"/>
    </w:p>
    <w:p w14:paraId="1C20CDEF"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34" w:name="_Toc507592011"/>
      <w:r w:rsidRPr="00670DB4">
        <w:rPr>
          <w:rFonts w:eastAsia="Times New Roman"/>
          <w:color w:val="2E74B5"/>
        </w:rPr>
        <w:t>Annex C. Protecting Bulk Data assessment if required by the Authority/Customer (a spreadsheet may be attached).</w:t>
      </w:r>
      <w:bookmarkEnd w:id="334"/>
    </w:p>
    <w:p w14:paraId="3188FEF3" w14:textId="77777777" w:rsidR="006824DD" w:rsidRPr="00670DB4" w:rsidRDefault="006824DD" w:rsidP="006824DD">
      <w:pPr>
        <w:keepNext/>
        <w:keepLines/>
        <w:spacing w:before="400" w:after="40" w:line="240" w:lineRule="auto"/>
        <w:ind w:left="432" w:hanging="432"/>
        <w:jc w:val="left"/>
        <w:outlineLvl w:val="0"/>
        <w:rPr>
          <w:rFonts w:eastAsia="Times New Roman"/>
          <w:color w:val="2E74B5"/>
        </w:rPr>
      </w:pPr>
      <w:bookmarkStart w:id="335" w:name="_Toc507592012"/>
      <w:r w:rsidRPr="00670DB4">
        <w:rPr>
          <w:rFonts w:eastAsia="Times New Roman"/>
          <w:color w:val="2E74B5"/>
        </w:rPr>
        <w:t>Annex E. Latest ITHC report and Vulnerability Correction Plan</w:t>
      </w:r>
      <w:bookmarkEnd w:id="335"/>
    </w:p>
    <w:p w14:paraId="14D1E668" w14:textId="77777777" w:rsidR="006824DD" w:rsidRDefault="006824DD" w:rsidP="00661527">
      <w:pPr>
        <w:spacing w:after="3" w:line="259" w:lineRule="auto"/>
        <w:ind w:left="103" w:hanging="10"/>
        <w:jc w:val="left"/>
        <w:rPr>
          <w:color w:val="FFFFFF"/>
        </w:rPr>
      </w:pPr>
    </w:p>
    <w:p w14:paraId="14E241B5" w14:textId="77777777" w:rsidR="006824DD" w:rsidRDefault="006824DD" w:rsidP="00661527">
      <w:pPr>
        <w:spacing w:after="3" w:line="259" w:lineRule="auto"/>
        <w:ind w:left="103" w:hanging="10"/>
        <w:jc w:val="left"/>
        <w:rPr>
          <w:color w:val="FFFFFF"/>
        </w:rPr>
      </w:pPr>
    </w:p>
    <w:p w14:paraId="0B8DCE4D" w14:textId="5380F275"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3E3F2E1D" w14:textId="77777777" w:rsidR="006824DD" w:rsidRDefault="00661527" w:rsidP="006824DD">
      <w:pPr>
        <w:pStyle w:val="Heading2"/>
        <w:spacing w:after="0" w:line="467" w:lineRule="auto"/>
        <w:ind w:left="2381"/>
      </w:pPr>
      <w:r>
        <w:rPr>
          <w:color w:val="FFFFFF"/>
        </w:rPr>
        <w:lastRenderedPageBreak/>
        <w:t xml:space="preserve">0. </w:t>
      </w:r>
      <w:r w:rsidR="006824DD">
        <w:t xml:space="preserve">ANNEX 2: Authority’s </w:t>
      </w:r>
      <w:r w:rsidR="006824DD" w:rsidRPr="005D7ECE">
        <w:t>Assurance Schedule</w:t>
      </w:r>
    </w:p>
    <w:p w14:paraId="18D8D798" w14:textId="77777777" w:rsidR="006824DD" w:rsidRPr="005D7ECE" w:rsidRDefault="006824DD" w:rsidP="00AA027B">
      <w:pPr>
        <w:numPr>
          <w:ilvl w:val="0"/>
          <w:numId w:val="98"/>
        </w:numPr>
        <w:spacing w:before="240" w:after="0" w:line="240" w:lineRule="auto"/>
        <w:ind w:left="-426" w:firstLine="284"/>
        <w:jc w:val="left"/>
        <w:outlineLvl w:val="1"/>
        <w:rPr>
          <w:rFonts w:eastAsia="Times New Roman"/>
          <w:b/>
          <w:bCs/>
          <w:kern w:val="28"/>
          <w:sz w:val="24"/>
          <w:szCs w:val="24"/>
          <w:lang w:val="en-US"/>
        </w:rPr>
      </w:pPr>
      <w:bookmarkStart w:id="336" w:name="_Toc51343104"/>
      <w:bookmarkStart w:id="337" w:name="_Toc51343733"/>
      <w:bookmarkStart w:id="338" w:name="_Toc51768396"/>
      <w:bookmarkStart w:id="339" w:name="_Toc52259670"/>
      <w:r w:rsidRPr="005D7ECE">
        <w:rPr>
          <w:rFonts w:eastAsia="Times New Roman"/>
          <w:b/>
          <w:bCs/>
          <w:kern w:val="28"/>
          <w:sz w:val="24"/>
          <w:szCs w:val="24"/>
          <w:lang w:val="en-US"/>
        </w:rPr>
        <w:t>ASSURANCE REQUIREMENTS</w:t>
      </w:r>
      <w:bookmarkEnd w:id="336"/>
      <w:bookmarkEnd w:id="337"/>
      <w:bookmarkEnd w:id="338"/>
      <w:bookmarkEnd w:id="339"/>
    </w:p>
    <w:p w14:paraId="51D39984" w14:textId="77777777" w:rsidR="006824DD" w:rsidRPr="005D7ECE" w:rsidRDefault="006824DD" w:rsidP="006824DD">
      <w:pPr>
        <w:keepNext/>
        <w:spacing w:before="240" w:after="0" w:line="260" w:lineRule="atLeast"/>
        <w:ind w:left="0" w:firstLine="0"/>
        <w:rPr>
          <w:rFonts w:eastAsia="Calibri"/>
          <w:b/>
          <w:color w:val="auto"/>
          <w:sz w:val="20"/>
          <w:lang w:eastAsia="en-US"/>
        </w:rPr>
      </w:pPr>
      <w:r w:rsidRPr="005D7ECE">
        <w:rPr>
          <w:rFonts w:eastAsia="Calibri"/>
          <w:b/>
          <w:color w:val="auto"/>
          <w:sz w:val="20"/>
          <w:lang w:eastAsia="en-US"/>
        </w:rPr>
        <w:t>Introduction</w:t>
      </w:r>
    </w:p>
    <w:p w14:paraId="3DB538BE" w14:textId="77777777" w:rsidR="006824DD" w:rsidRPr="005D7ECE" w:rsidRDefault="006824DD" w:rsidP="006824DD">
      <w:pPr>
        <w:spacing w:before="240" w:after="0" w:line="260" w:lineRule="atLeast"/>
        <w:ind w:left="794" w:hanging="794"/>
        <w:rPr>
          <w:rFonts w:eastAsia="Calibri"/>
          <w:color w:val="auto"/>
          <w:sz w:val="20"/>
          <w:lang w:eastAsia="en-US"/>
        </w:rPr>
      </w:pPr>
      <w:r w:rsidRPr="005D7ECE">
        <w:rPr>
          <w:rFonts w:eastAsia="Calibri"/>
          <w:color w:val="auto"/>
          <w:sz w:val="20"/>
          <w:lang w:eastAsia="en-US"/>
        </w:rPr>
        <w:t xml:space="preserve">This Schedule sets out: </w:t>
      </w:r>
    </w:p>
    <w:p w14:paraId="6C4E980E"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lang w:eastAsia="zh-CN"/>
        </w:rPr>
      </w:pPr>
      <w:r w:rsidRPr="005D7ECE">
        <w:rPr>
          <w:rFonts w:eastAsia="Times New Roman"/>
          <w:color w:val="auto"/>
          <w:lang w:eastAsia="zh-CN"/>
        </w:rPr>
        <w:t>the arrangements the Supplier must implement before, and comply with when, providing the Services and performing its other obligations under this Contract to ensure the security of the Government Data and the Information Management System;</w:t>
      </w:r>
    </w:p>
    <w:p w14:paraId="1E2C326C" w14:textId="77777777" w:rsidR="006824DD" w:rsidRPr="005D7ECE" w:rsidRDefault="006824DD" w:rsidP="006824DD">
      <w:pPr>
        <w:tabs>
          <w:tab w:val="left" w:pos="1134"/>
        </w:tabs>
        <w:adjustRightInd w:val="0"/>
        <w:spacing w:before="120" w:after="120" w:line="240" w:lineRule="auto"/>
        <w:ind w:left="794" w:firstLine="0"/>
        <w:contextualSpacing/>
        <w:rPr>
          <w:rFonts w:eastAsia="Times New Roman"/>
          <w:color w:val="auto"/>
          <w:lang w:eastAsia="zh-CN"/>
        </w:rPr>
      </w:pPr>
    </w:p>
    <w:p w14:paraId="20970AEA"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lang w:eastAsia="zh-CN"/>
        </w:rPr>
      </w:pPr>
      <w:r w:rsidRPr="005D7ECE">
        <w:rPr>
          <w:rFonts w:eastAsia="Times New Roman"/>
          <w:color w:val="auto"/>
          <w:lang w:eastAsia="zh-CN"/>
        </w:rPr>
        <w:t>the Certification Requirements applicable to the Supplier and each of those Subcontractors which Processes Government Data;</w:t>
      </w:r>
    </w:p>
    <w:p w14:paraId="5D8A76E4" w14:textId="77777777" w:rsidR="006824DD" w:rsidRPr="005D7ECE" w:rsidRDefault="006824DD" w:rsidP="006824DD">
      <w:pPr>
        <w:tabs>
          <w:tab w:val="left" w:pos="1134"/>
        </w:tabs>
        <w:adjustRightInd w:val="0"/>
        <w:spacing w:before="120" w:after="120" w:line="240" w:lineRule="auto"/>
        <w:ind w:left="0" w:firstLine="0"/>
        <w:contextualSpacing/>
        <w:rPr>
          <w:rFonts w:eastAsia="Times New Roman"/>
          <w:color w:val="auto"/>
          <w:lang w:eastAsia="zh-CN"/>
        </w:rPr>
      </w:pPr>
    </w:p>
    <w:p w14:paraId="23FFF866"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lang w:eastAsia="zh-CN"/>
        </w:rPr>
      </w:pPr>
      <w:r w:rsidRPr="005D7ECE">
        <w:rPr>
          <w:rFonts w:eastAsia="Times New Roman"/>
          <w:color w:val="auto"/>
          <w:lang w:eastAsia="zh-CN"/>
        </w:rPr>
        <w:t>The security requirements in Section 2 of this Schedule with which the Supplier must comply;</w:t>
      </w:r>
    </w:p>
    <w:p w14:paraId="2DE9264A" w14:textId="77777777" w:rsidR="006824DD" w:rsidRPr="005D7ECE" w:rsidRDefault="006824DD" w:rsidP="006824DD">
      <w:pPr>
        <w:tabs>
          <w:tab w:val="left" w:pos="1134"/>
        </w:tabs>
        <w:adjustRightInd w:val="0"/>
        <w:spacing w:before="120" w:after="120" w:line="240" w:lineRule="auto"/>
        <w:ind w:left="0" w:firstLine="0"/>
        <w:contextualSpacing/>
        <w:rPr>
          <w:rFonts w:eastAsia="Times New Roman"/>
          <w:color w:val="auto"/>
          <w:lang w:eastAsia="zh-CN"/>
        </w:rPr>
      </w:pPr>
    </w:p>
    <w:p w14:paraId="646EB86D"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lang w:eastAsia="zh-CN"/>
        </w:rPr>
      </w:pPr>
      <w:r w:rsidRPr="005D7ECE">
        <w:rPr>
          <w:rFonts w:eastAsia="Times New Roman"/>
          <w:color w:val="auto"/>
          <w:lang w:eastAsia="zh-CN"/>
        </w:rPr>
        <w:t>the tests which the Supplier shall conduct on the Information Management System during the Term;</w:t>
      </w:r>
    </w:p>
    <w:p w14:paraId="06A61BBF" w14:textId="77777777" w:rsidR="006824DD" w:rsidRPr="005D7ECE" w:rsidRDefault="006824DD" w:rsidP="006824DD">
      <w:pPr>
        <w:tabs>
          <w:tab w:val="left" w:pos="1134"/>
        </w:tabs>
        <w:adjustRightInd w:val="0"/>
        <w:spacing w:before="120" w:after="120" w:line="240" w:lineRule="auto"/>
        <w:ind w:left="0" w:firstLine="0"/>
        <w:contextualSpacing/>
        <w:rPr>
          <w:rFonts w:eastAsia="Times New Roman"/>
          <w:color w:val="auto"/>
          <w:lang w:eastAsia="zh-CN"/>
        </w:rPr>
      </w:pPr>
    </w:p>
    <w:p w14:paraId="2D832250"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lang w:eastAsia="zh-CN"/>
        </w:rPr>
      </w:pPr>
      <w:r w:rsidRPr="005D7ECE">
        <w:rPr>
          <w:rFonts w:eastAsia="Times New Roman"/>
          <w:color w:val="auto"/>
          <w:lang w:eastAsia="zh-CN"/>
        </w:rPr>
        <w:t>the Supplier's obligations to:</w:t>
      </w:r>
    </w:p>
    <w:p w14:paraId="1AC82C2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return or destroy Government Data on the expiry or earlier termination of this Contract; and</w:t>
      </w:r>
    </w:p>
    <w:p w14:paraId="0C53C7BE"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 xml:space="preserve">prevent the introduction of Malicious Software into the Supplier System and to scan for, contain the spread of, and minimise the impact of Malicious Software which is introduced into the Supplier System in Paragraph </w:t>
      </w:r>
      <w:r w:rsidRPr="005D7ECE">
        <w:rPr>
          <w:lang w:eastAsia="en-US"/>
        </w:rPr>
        <w:t>1.36</w:t>
      </w:r>
      <w:r w:rsidRPr="005D7ECE">
        <w:rPr>
          <w:rFonts w:eastAsia="Calibri"/>
          <w:color w:val="auto"/>
          <w:lang w:eastAsia="en-US"/>
        </w:rPr>
        <w:t>; and</w:t>
      </w:r>
    </w:p>
    <w:p w14:paraId="05226E23"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report Breaches of Security to the Buyer.</w:t>
      </w:r>
    </w:p>
    <w:p w14:paraId="14E7EB57" w14:textId="77777777" w:rsidR="006824DD" w:rsidRPr="005D7ECE" w:rsidRDefault="006824DD" w:rsidP="006824DD">
      <w:pPr>
        <w:keepNext/>
        <w:spacing w:before="240" w:after="0" w:line="260" w:lineRule="atLeast"/>
        <w:ind w:left="794" w:hanging="794"/>
        <w:rPr>
          <w:rFonts w:eastAsia="Calibri"/>
          <w:b/>
          <w:color w:val="auto"/>
          <w:lang w:eastAsia="en-US"/>
        </w:rPr>
      </w:pPr>
      <w:r w:rsidRPr="005D7ECE">
        <w:rPr>
          <w:rFonts w:eastAsia="Calibri"/>
          <w:b/>
          <w:color w:val="auto"/>
          <w:lang w:eastAsia="en-US"/>
        </w:rPr>
        <w:t>Principles of Security</w:t>
      </w:r>
    </w:p>
    <w:p w14:paraId="203C2C0B"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lang w:eastAsia="zh-CN"/>
        </w:rPr>
      </w:pPr>
      <w:r w:rsidRPr="005D7ECE">
        <w:rPr>
          <w:rFonts w:eastAsia="Times New Roman"/>
          <w:color w:val="auto"/>
          <w:lang w:eastAsia="zh-CN"/>
        </w:rPr>
        <w:t>The Supplier acknowledges that the Buyer places great emphasis on the confidentiality, integrity and availability of the Government Data and, consequently on the security of:</w:t>
      </w:r>
    </w:p>
    <w:p w14:paraId="3F7267C1"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the Sites;</w:t>
      </w:r>
    </w:p>
    <w:p w14:paraId="23033513"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 xml:space="preserve">the Supplier System; </w:t>
      </w:r>
    </w:p>
    <w:p w14:paraId="4D17EB33"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the Information Management System; and</w:t>
      </w:r>
    </w:p>
    <w:p w14:paraId="29A6E071"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the Services.</w:t>
      </w:r>
    </w:p>
    <w:p w14:paraId="01FD0B86" w14:textId="77777777" w:rsidR="006824DD" w:rsidRPr="005D7ECE" w:rsidRDefault="006824DD" w:rsidP="00AA027B">
      <w:pPr>
        <w:numPr>
          <w:ilvl w:val="1"/>
          <w:numId w:val="99"/>
        </w:numPr>
        <w:spacing w:before="240" w:after="0" w:line="260" w:lineRule="atLeast"/>
        <w:jc w:val="left"/>
        <w:rPr>
          <w:rFonts w:eastAsia="Calibri"/>
          <w:color w:val="auto"/>
          <w:lang w:eastAsia="en-US"/>
        </w:rPr>
      </w:pPr>
      <w:r w:rsidRPr="005D7ECE">
        <w:rPr>
          <w:rFonts w:eastAsia="Calibri"/>
          <w:color w:val="auto"/>
          <w:lang w:eastAsia="en-US"/>
        </w:rPr>
        <w:t>Notwithstanding the involvement of the Buyer in assessing the arrangements which the Supplier shall implement in order to ensure the security of the Government Data and the Information Management System, the Supplier shall be, and shall remain, responsible for:</w:t>
      </w:r>
    </w:p>
    <w:p w14:paraId="63AFB732"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t>the security, confidentiality, integrity and availability of the Government Data whilst that Government Data is under the control of the Supplier or any of its Subcontractors; and</w:t>
      </w:r>
    </w:p>
    <w:p w14:paraId="6713D6C0" w14:textId="77777777" w:rsidR="006824DD" w:rsidRPr="005D7ECE" w:rsidRDefault="006824DD" w:rsidP="00AA027B">
      <w:pPr>
        <w:numPr>
          <w:ilvl w:val="3"/>
          <w:numId w:val="99"/>
        </w:numPr>
        <w:spacing w:before="240" w:after="0" w:line="260" w:lineRule="atLeast"/>
        <w:jc w:val="left"/>
        <w:rPr>
          <w:rFonts w:eastAsia="Calibri"/>
          <w:color w:val="auto"/>
          <w:lang w:eastAsia="en-US"/>
        </w:rPr>
      </w:pPr>
      <w:r w:rsidRPr="005D7ECE">
        <w:rPr>
          <w:rFonts w:eastAsia="Calibri"/>
          <w:color w:val="auto"/>
          <w:lang w:eastAsia="en-US"/>
        </w:rPr>
        <w:lastRenderedPageBreak/>
        <w:t>the security of the Information Management System.</w:t>
      </w:r>
    </w:p>
    <w:p w14:paraId="7F226F91" w14:textId="77777777" w:rsidR="006824DD" w:rsidRPr="005D7ECE" w:rsidRDefault="006824DD" w:rsidP="00AA027B">
      <w:pPr>
        <w:numPr>
          <w:ilvl w:val="1"/>
          <w:numId w:val="99"/>
        </w:numPr>
        <w:spacing w:before="240" w:after="0" w:line="260" w:lineRule="atLeast"/>
        <w:jc w:val="left"/>
        <w:rPr>
          <w:rFonts w:eastAsia="Calibri"/>
          <w:color w:val="auto"/>
          <w:lang w:eastAsia="en-US"/>
        </w:rPr>
      </w:pPr>
      <w:r w:rsidRPr="005D7ECE">
        <w:rPr>
          <w:rFonts w:eastAsia="Calibri"/>
          <w:color w:val="auto"/>
          <w:lang w:eastAsia="en-US"/>
        </w:rPr>
        <w:t>The Supplier shall:</w:t>
      </w:r>
    </w:p>
    <w:p w14:paraId="671F1C7D"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comply with the security requirements in Section 2; and</w:t>
      </w:r>
    </w:p>
    <w:p w14:paraId="2F94C958"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ensure that each Sub-contractor that Processes Government Data complies with the security requirements in Section 3.</w:t>
      </w:r>
    </w:p>
    <w:p w14:paraId="79FCF7F4"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provide the Buyer with access Supplier Personnel responsible for information assurance to facilitate the Buyer's assessment of the Supplier's compliance with its obligations set out in this Section 3 at reasonable times on reasonable notice.</w:t>
      </w:r>
    </w:p>
    <w:p w14:paraId="78C13450" w14:textId="77777777" w:rsidR="006824DD" w:rsidRPr="005D7ECE" w:rsidRDefault="006824DD" w:rsidP="006824DD">
      <w:pPr>
        <w:keepNext/>
        <w:spacing w:before="240" w:after="0" w:line="260" w:lineRule="atLeast"/>
        <w:ind w:left="0" w:firstLine="0"/>
        <w:rPr>
          <w:rFonts w:eastAsia="Calibri"/>
          <w:b/>
          <w:color w:val="auto"/>
          <w:sz w:val="20"/>
          <w:lang w:eastAsia="en-US"/>
        </w:rPr>
      </w:pPr>
      <w:bookmarkStart w:id="340" w:name="_Ref504992258"/>
      <w:r w:rsidRPr="005D7ECE">
        <w:rPr>
          <w:rFonts w:eastAsia="Calibri"/>
          <w:b/>
          <w:color w:val="auto"/>
          <w:sz w:val="20"/>
          <w:lang w:eastAsia="en-US"/>
        </w:rPr>
        <w:t>Information Security Approval Statement</w:t>
      </w:r>
      <w:bookmarkEnd w:id="340"/>
      <w:r w:rsidRPr="005D7ECE">
        <w:rPr>
          <w:rFonts w:eastAsia="Calibri"/>
          <w:b/>
          <w:color w:val="auto"/>
          <w:sz w:val="20"/>
          <w:lang w:eastAsia="en-US"/>
        </w:rPr>
        <w:t xml:space="preserve"> </w:t>
      </w:r>
    </w:p>
    <w:p w14:paraId="2700D7D3"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Supplier must ensure that its Implementation Plan sets out in sufficient detail how it will ensure compliance with the </w:t>
      </w:r>
      <w:r w:rsidRPr="005D7ECE">
        <w:rPr>
          <w:rFonts w:eastAsia="Calibri" w:cs="Times New Roman"/>
          <w:color w:val="auto"/>
          <w:sz w:val="20"/>
          <w:lang w:eastAsia="en-US"/>
        </w:rPr>
        <w:t>requirements of Section 2 Security Requirements</w:t>
      </w:r>
      <w:r w:rsidRPr="005D7ECE">
        <w:rPr>
          <w:rFonts w:eastAsia="Calibri"/>
          <w:color w:val="auto"/>
          <w:sz w:val="20"/>
          <w:lang w:eastAsia="en-US"/>
        </w:rPr>
        <w:t xml:space="preserve">, including any requirements imposed on </w:t>
      </w:r>
      <w:r w:rsidRPr="005D7ECE">
        <w:rPr>
          <w:rFonts w:eastAsia="Calibri" w:cs="Times New Roman"/>
          <w:color w:val="auto"/>
          <w:sz w:val="20"/>
          <w:lang w:eastAsia="en-US"/>
        </w:rPr>
        <w:t>Sub-contractors set out in Section 3 of this Schedule, from the Contract Start Date</w:t>
      </w:r>
      <w:r w:rsidRPr="005D7ECE">
        <w:rPr>
          <w:rFonts w:eastAsia="Calibri"/>
          <w:color w:val="auto"/>
          <w:sz w:val="20"/>
          <w:lang w:eastAsia="en-US"/>
        </w:rPr>
        <w:t>.</w:t>
      </w:r>
    </w:p>
    <w:p w14:paraId="66648FBE"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may not use the Information Management System to Process Government Data unless and until:</w:t>
      </w:r>
    </w:p>
    <w:p w14:paraId="3AEB60EA"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Supplier has procured the conduct of an ITHC of the Supplier System by a CHECK Service Provider or a CREST Service Provider in accordance with Paragraph 1.28; and </w:t>
      </w:r>
    </w:p>
    <w:p w14:paraId="72F1B244"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Buyer has issued the Supplier with an Information Security Approval Statement in accordance with the process set out in this section.</w:t>
      </w:r>
    </w:p>
    <w:p w14:paraId="3D50E2EC"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Supplier shall document in the Security Management Plan how the Supplier and its Subcontractors shall comply with the requirements set out in this section and the contract in order to ensure the security of the Government Data and the Information Management System. </w:t>
      </w:r>
    </w:p>
    <w:p w14:paraId="631E5A43" w14:textId="77777777" w:rsidR="006824DD" w:rsidRPr="005D7ECE" w:rsidRDefault="006824DD" w:rsidP="00AA027B">
      <w:pPr>
        <w:numPr>
          <w:ilvl w:val="1"/>
          <w:numId w:val="99"/>
        </w:numPr>
        <w:spacing w:before="240" w:after="0" w:line="260" w:lineRule="atLeast"/>
        <w:jc w:val="left"/>
        <w:rPr>
          <w:rFonts w:eastAsia="Helvetica Neue"/>
          <w:color w:val="auto"/>
          <w:sz w:val="20"/>
          <w:lang w:eastAsia="en-US"/>
        </w:rPr>
      </w:pPr>
      <w:bookmarkStart w:id="341" w:name="_Ref505610186"/>
      <w:r w:rsidRPr="005D7ECE">
        <w:rPr>
          <w:rFonts w:eastAsia="Calibri"/>
          <w:color w:val="auto"/>
          <w:sz w:val="20"/>
          <w:lang w:eastAsia="en-US"/>
        </w:rPr>
        <w:t>The Supplier shall prepare and submit to the Buyer within 20 Working Days of the date of this contract, the Security Management Plan, which comprises:</w:t>
      </w:r>
      <w:bookmarkEnd w:id="341"/>
    </w:p>
    <w:p w14:paraId="1E79B713"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an Information Assurance Assessment;</w:t>
      </w:r>
    </w:p>
    <w:p w14:paraId="3E711B9C"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Required Changes Register;</w:t>
      </w:r>
    </w:p>
    <w:p w14:paraId="143D02F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Personal Data Processing Statement; and</w:t>
      </w:r>
    </w:p>
    <w:p w14:paraId="03A8A384"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bookmarkStart w:id="342" w:name="_Ref505610468"/>
      <w:r w:rsidRPr="005D7ECE">
        <w:rPr>
          <w:rFonts w:eastAsia="Calibri"/>
          <w:color w:val="auto"/>
          <w:sz w:val="20"/>
          <w:lang w:eastAsia="en-US"/>
        </w:rPr>
        <w:t>the Incident Management Process.</w:t>
      </w:r>
      <w:bookmarkEnd w:id="342"/>
    </w:p>
    <w:p w14:paraId="7795BF3D"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Buyer shall review the Supplier's proposed Security Management Plan as soon as possible and, in any event within 20 Working Days of receipt and shall either issue the Supplier with:</w:t>
      </w:r>
    </w:p>
    <w:p w14:paraId="46D68185"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an Information Security Approval Statement, which shall confirm that the Supplier may use the Information Management System to Process Government Data; or</w:t>
      </w:r>
    </w:p>
    <w:p w14:paraId="2E33969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lastRenderedPageBreak/>
        <w:t xml:space="preserve">a rejection notice, which shall set out the Buyer's reasons for rejecting the Security Management Plan. </w:t>
      </w:r>
    </w:p>
    <w:p w14:paraId="0C261A4C"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14:paraId="2CCB827E"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Buyer may require and the Supplier shall provide the Buyer and its authorised representatives with:</w:t>
      </w:r>
    </w:p>
    <w:p w14:paraId="1659EE0C"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access to the Supplier Personnel;</w:t>
      </w:r>
    </w:p>
    <w:p w14:paraId="130E06C6"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access to the Information Management System to audit the Supplier and its Subcontractors’ compliance with this Contract; and</w:t>
      </w:r>
    </w:p>
    <w:p w14:paraId="1C268730"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such other information and/or documentation that the Buyer or its authorised representatives may reasonably require, </w:t>
      </w:r>
    </w:p>
    <w:p w14:paraId="0D1D0B31"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14:paraId="2E43069B" w14:textId="77777777" w:rsidR="006824DD" w:rsidRPr="005D7ECE" w:rsidRDefault="006824DD" w:rsidP="006824DD">
      <w:pPr>
        <w:keepNext/>
        <w:spacing w:before="240" w:after="0" w:line="260" w:lineRule="atLeast"/>
        <w:ind w:left="794" w:hanging="794"/>
        <w:rPr>
          <w:rFonts w:eastAsia="Calibri"/>
          <w:b/>
          <w:color w:val="auto"/>
          <w:sz w:val="20"/>
          <w:lang w:eastAsia="en-US"/>
        </w:rPr>
      </w:pPr>
      <w:bookmarkStart w:id="343" w:name="_Ref506481209"/>
      <w:r w:rsidRPr="005D7ECE">
        <w:rPr>
          <w:rFonts w:eastAsia="Calibri"/>
          <w:b/>
          <w:color w:val="auto"/>
          <w:sz w:val="20"/>
          <w:lang w:eastAsia="en-US"/>
        </w:rPr>
        <w:t>Compliance Reviews</w:t>
      </w:r>
      <w:bookmarkEnd w:id="343"/>
      <w:r w:rsidRPr="005D7ECE">
        <w:rPr>
          <w:rFonts w:eastAsia="Calibri"/>
          <w:b/>
          <w:color w:val="auto"/>
          <w:sz w:val="20"/>
          <w:lang w:eastAsia="en-US"/>
        </w:rPr>
        <w:t xml:space="preserve"> </w:t>
      </w:r>
    </w:p>
    <w:p w14:paraId="5C613DCD"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regularly review and update the Security Management Plan, and provide such to the Buyer, at least once each year and as required by this Paragraph.</w:t>
      </w:r>
    </w:p>
    <w:p w14:paraId="198CC4FB"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bookmarkStart w:id="344" w:name="_Ref504999967"/>
      <w:r w:rsidRPr="005D7ECE">
        <w:rPr>
          <w:rFonts w:eastAsia="Calibri"/>
          <w:color w:val="auto"/>
          <w:sz w:val="20"/>
          <w:lang w:eastAsia="en-US"/>
        </w:rPr>
        <w:t>The Supplier shall notify the Buyer within 2 Working Days after becoming aware of:</w:t>
      </w:r>
      <w:bookmarkEnd w:id="344"/>
    </w:p>
    <w:p w14:paraId="486D8D0D"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 significant change to the components or architecture of the Information Management System;</w:t>
      </w:r>
    </w:p>
    <w:p w14:paraId="2DC90A95"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 new risk to the components or architecture of the Service;</w:t>
      </w:r>
    </w:p>
    <w:p w14:paraId="14A7CE53" w14:textId="77777777" w:rsidR="006824DD" w:rsidRPr="005D7ECE" w:rsidRDefault="006824DD" w:rsidP="00AA027B">
      <w:pPr>
        <w:numPr>
          <w:ilvl w:val="3"/>
          <w:numId w:val="100"/>
        </w:numPr>
        <w:pBdr>
          <w:top w:val="nil"/>
          <w:left w:val="nil"/>
          <w:bottom w:val="nil"/>
          <w:right w:val="nil"/>
          <w:between w:val="nil"/>
        </w:pBdr>
        <w:spacing w:before="240" w:after="0" w:line="276" w:lineRule="auto"/>
        <w:jc w:val="left"/>
      </w:pPr>
      <w:r w:rsidRPr="005D7ECE">
        <w:rPr>
          <w:rFonts w:eastAsia="Times New Roman"/>
          <w:color w:val="auto"/>
        </w:rPr>
        <w:t xml:space="preserve">a vulnerability to the components or architecture of the Service which is classified 'Medium', 'High', 'Critical' or 'Important' in accordance with the classification methodology set out </w:t>
      </w:r>
      <w:r w:rsidRPr="005D7ECE">
        <w:t>Section 2 Security Requirements Paragraph 2.19;</w:t>
      </w:r>
    </w:p>
    <w:p w14:paraId="04A2F19D"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 change in the threat profile;</w:t>
      </w:r>
    </w:p>
    <w:p w14:paraId="7A1BD4F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 significant change to any risk component;</w:t>
      </w:r>
    </w:p>
    <w:p w14:paraId="18C726FC"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 significant change in the quantity of Personal Data held within the Service;</w:t>
      </w:r>
    </w:p>
    <w:p w14:paraId="2B2F5E33"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 proposal to change any of the Sites from which any part of the Services are provided; and/or</w:t>
      </w:r>
    </w:p>
    <w:p w14:paraId="533D9D66"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lastRenderedPageBreak/>
        <w:t>an ISO27001 audit report produced in connection with the Certification Requirements indicates significant concerns.</w:t>
      </w:r>
    </w:p>
    <w:p w14:paraId="7DCC27D8"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14:paraId="1C2188D9"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Where the Supplier is required to implement a change, including any change to the Information Management System the Supplier shall effect such change at its own cost and expense. </w:t>
      </w:r>
    </w:p>
    <w:p w14:paraId="4D8BBE94" w14:textId="77777777" w:rsidR="006824DD" w:rsidRPr="005D7ECE" w:rsidRDefault="006824DD" w:rsidP="006824DD">
      <w:pPr>
        <w:keepNext/>
        <w:spacing w:before="240" w:after="0" w:line="260" w:lineRule="atLeast"/>
        <w:ind w:left="0" w:firstLine="0"/>
        <w:rPr>
          <w:rFonts w:eastAsia="Calibri"/>
          <w:b/>
          <w:color w:val="auto"/>
          <w:sz w:val="20"/>
          <w:lang w:eastAsia="en-US"/>
        </w:rPr>
      </w:pPr>
      <w:bookmarkStart w:id="345" w:name="_Ref505612729"/>
      <w:r w:rsidRPr="005D7ECE">
        <w:rPr>
          <w:rFonts w:eastAsia="Calibri"/>
          <w:b/>
          <w:color w:val="auto"/>
          <w:sz w:val="20"/>
          <w:lang w:eastAsia="en-US"/>
        </w:rPr>
        <w:t>Certification Requirements</w:t>
      </w:r>
      <w:bookmarkEnd w:id="345"/>
    </w:p>
    <w:p w14:paraId="051B1421"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bookmarkStart w:id="346" w:name="_Ref505607531"/>
      <w:r w:rsidRPr="005D7ECE">
        <w:rPr>
          <w:rFonts w:eastAsia="Calibri"/>
          <w:color w:val="auto"/>
          <w:sz w:val="20"/>
          <w:lang w:eastAsia="en-US"/>
        </w:rPr>
        <w:t>The Supplier shall be certified as compliant with:</w:t>
      </w:r>
      <w:bookmarkEnd w:id="346"/>
    </w:p>
    <w:p w14:paraId="7ADFD9BA"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ISO/IEC 27001:2013 by a United Kingdom Accreditation Service-approved certification body or is included within the scope of an existing certification of compliance with ISO/IEC 27001:2013; and </w:t>
      </w:r>
    </w:p>
    <w:p w14:paraId="78B0A70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Cyber Essentials PLUS </w:t>
      </w:r>
    </w:p>
    <w:p w14:paraId="2C05D945"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and shall provide the Buyer with a copy of each such certificate of compliance before the Supplier shall be permitted to receive, store or Process Government Data. </w:t>
      </w:r>
    </w:p>
    <w:p w14:paraId="776CF86A"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ensure that each Higher Risk Sub-contractor is certified as compliant with either:</w:t>
      </w:r>
    </w:p>
    <w:p w14:paraId="2A82FE3C"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ISO/IEC 27001:2013 by a United Kingdom Accreditation Service-approved certification body or is included within the scope of an existing certification of compliance with ISO/IEC 27001:2013; or </w:t>
      </w:r>
    </w:p>
    <w:p w14:paraId="7E6003DB"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Cyber Essentials PLUS,  </w:t>
      </w:r>
    </w:p>
    <w:p w14:paraId="4480F460"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and shall provide the Buyer with a copy of each such certificate of compliance before the Higher-Risk Subcontractor shall be permitted to receive, store or Process Government Data.</w:t>
      </w:r>
    </w:p>
    <w:p w14:paraId="222BDE9E"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ensure that each Medium Risk Sub-contractor is certified compliant with Cyber Essentials.</w:t>
      </w:r>
    </w:p>
    <w:p w14:paraId="080821C7"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ensure that the Supplier and each Sub-contractor who is responsible for the secure destruction of Government Data:</w:t>
      </w:r>
    </w:p>
    <w:p w14:paraId="3B04829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securely destroys Government Data only on Sites which are included within the scope of an existing certification of compliance with ISO/IEC 27001:2013; and</w:t>
      </w:r>
    </w:p>
    <w:p w14:paraId="3713D17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are certified as compliant with the NCSC Assured Service (CAS) Service Requirement Sanitisation Standard or an alternative standard as agreed by the Buyer. </w:t>
      </w:r>
    </w:p>
    <w:p w14:paraId="0E58D6C6"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lastRenderedPageBreak/>
        <w:t>The Supplier shall provide the Buyer with evidence of its and its Sub-contractor's compliance with the requirements set out in this Paragraph before the Supplier or the relevant Sub-contractor (as applicable) may carry out the secure destruction of any Government Data.</w:t>
      </w:r>
    </w:p>
    <w:p w14:paraId="0134110C"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14:paraId="457EA5CB"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immediately ceases using the Government Data; and </w:t>
      </w:r>
    </w:p>
    <w:p w14:paraId="26AB2B93"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procure that the relevant Sub-contractor promptly returns, destroys and/or erases the Government Data in accordance with the requirements set out in this Paragraph. </w:t>
      </w:r>
    </w:p>
    <w:p w14:paraId="0FB368A4"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Buyer may agree to exempt, in whole or part, the Supplier or any Sub-contractor from the requirements of this Section. Any exemption must be in writing to be effective. The Supplier must include the exemption in the Security Management Plan.</w:t>
      </w:r>
    </w:p>
    <w:p w14:paraId="70C224EE" w14:textId="77777777" w:rsidR="006824DD" w:rsidRPr="005D7ECE" w:rsidRDefault="006824DD" w:rsidP="006824DD">
      <w:pPr>
        <w:spacing w:before="240" w:after="0" w:line="260" w:lineRule="atLeast"/>
        <w:ind w:left="0" w:firstLine="0"/>
        <w:rPr>
          <w:rFonts w:eastAsia="Calibri"/>
          <w:b/>
          <w:color w:val="auto"/>
          <w:sz w:val="20"/>
          <w:lang w:eastAsia="en-US"/>
        </w:rPr>
      </w:pPr>
      <w:bookmarkStart w:id="347" w:name="_Ref505005414"/>
      <w:r w:rsidRPr="005D7ECE">
        <w:rPr>
          <w:rFonts w:eastAsia="Calibri"/>
          <w:b/>
          <w:color w:val="auto"/>
          <w:sz w:val="20"/>
          <w:lang w:eastAsia="en-US"/>
        </w:rPr>
        <w:t>Security Testing</w:t>
      </w:r>
      <w:bookmarkEnd w:id="347"/>
      <w:r w:rsidRPr="005D7ECE">
        <w:rPr>
          <w:rFonts w:eastAsia="Calibri"/>
          <w:b/>
          <w:color w:val="auto"/>
          <w:sz w:val="20"/>
          <w:lang w:eastAsia="en-US"/>
        </w:rPr>
        <w:t xml:space="preserve"> </w:t>
      </w:r>
    </w:p>
    <w:p w14:paraId="630FB7FE"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bookmarkStart w:id="348" w:name="_Ref505005489"/>
      <w:r w:rsidRPr="005D7ECE">
        <w:rPr>
          <w:rFonts w:eastAsia="Calibri"/>
          <w:color w:val="auto"/>
          <w:sz w:val="20"/>
          <w:lang w:eastAsia="en-US"/>
        </w:rPr>
        <w:t xml:space="preserve">The Supplier shall, at its own cost and expense procure and conduct: </w:t>
      </w:r>
    </w:p>
    <w:p w14:paraId="6D127D16"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testing of the Information Management System by a CHECK Service Provider or a CREST Service Provider (“ITHC”); and</w:t>
      </w:r>
    </w:p>
    <w:p w14:paraId="7955B1D2"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such other security tests as may be required by the Buyer,</w:t>
      </w:r>
      <w:bookmarkEnd w:id="348"/>
    </w:p>
    <w:p w14:paraId="6793B6CE"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complete all of the above security tests before the Supplier submits the Security Management Plan to the Buyer for review in accordance within section 1.10; and it shall repeat the ITHC not less than once every 12 months during the Term and submit the results of each such test to the Buyer for review in accordance with this Paragraph.</w:t>
      </w:r>
    </w:p>
    <w:p w14:paraId="28D8DDDF"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In relation to each ITHC, the Supplier shall:</w:t>
      </w:r>
    </w:p>
    <w:p w14:paraId="22C4701B"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agree with the Buyer the aim and scope of the ITHC;</w:t>
      </w:r>
    </w:p>
    <w:p w14:paraId="650D8935"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promptly, and no later than 10 working days, following the receipt of each ITHC report, provide the Buyer with a copy of the full report;</w:t>
      </w:r>
    </w:p>
    <w:p w14:paraId="5355A872"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in the event that the IT Health Check report identifies any vulnerabilities, the Supplier shall: </w:t>
      </w:r>
    </w:p>
    <w:p w14:paraId="182BF05D"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prepare a remedial plan for approval by the Buyer (each a "</w:t>
      </w:r>
      <w:r w:rsidRPr="005D7ECE">
        <w:rPr>
          <w:rFonts w:eastAsia="Calibri"/>
          <w:b/>
          <w:color w:val="auto"/>
          <w:sz w:val="20"/>
          <w:lang w:eastAsia="en-US"/>
        </w:rPr>
        <w:t>Vulnerability Correction Plan</w:t>
      </w:r>
      <w:r w:rsidRPr="005D7ECE">
        <w:rPr>
          <w:rFonts w:eastAsia="Calibri"/>
          <w:color w:val="auto"/>
          <w:sz w:val="20"/>
          <w:lang w:eastAsia="en-US"/>
        </w:rPr>
        <w:t xml:space="preserve">") which sets out in respect of each vulnerability identified in the ITHC report: </w:t>
      </w:r>
    </w:p>
    <w:p w14:paraId="68B0D62E" w14:textId="77777777" w:rsidR="006824DD" w:rsidRPr="005D7ECE" w:rsidRDefault="006824DD" w:rsidP="00AA027B">
      <w:pPr>
        <w:numPr>
          <w:ilvl w:val="4"/>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how the vulnerability will be remedied; </w:t>
      </w:r>
    </w:p>
    <w:p w14:paraId="63159DF7" w14:textId="77777777" w:rsidR="006824DD" w:rsidRPr="005D7ECE" w:rsidRDefault="006824DD" w:rsidP="00AA027B">
      <w:pPr>
        <w:numPr>
          <w:ilvl w:val="4"/>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date by which the vulnerability will be remedied;</w:t>
      </w:r>
    </w:p>
    <w:p w14:paraId="4F5A0537" w14:textId="77777777" w:rsidR="006824DD" w:rsidRPr="005D7ECE" w:rsidRDefault="006824DD" w:rsidP="00AA027B">
      <w:pPr>
        <w:numPr>
          <w:ilvl w:val="4"/>
          <w:numId w:val="99"/>
        </w:numPr>
        <w:spacing w:before="240" w:after="0" w:line="260" w:lineRule="atLeast"/>
        <w:jc w:val="left"/>
        <w:rPr>
          <w:rFonts w:eastAsia="Calibri"/>
          <w:color w:val="auto"/>
          <w:sz w:val="20"/>
          <w:lang w:eastAsia="en-US"/>
        </w:rPr>
      </w:pPr>
      <w:r w:rsidRPr="005D7ECE">
        <w:rPr>
          <w:rFonts w:eastAsia="Calibri"/>
          <w:color w:val="auto"/>
          <w:sz w:val="20"/>
          <w:lang w:eastAsia="en-US"/>
        </w:rPr>
        <w:lastRenderedPageBreak/>
        <w:t>the tests which the Supplier shall perform or procure to be performed (which may, at the discretion of the Buyer, include a further IT Health Check) to confirm that the vulnerability has been remedied;</w:t>
      </w:r>
    </w:p>
    <w:p w14:paraId="4B86EBD1"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comply with the Vulnerability Correction Plan; and</w:t>
      </w:r>
    </w:p>
    <w:p w14:paraId="12118CCA"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conduct such further tests on the Service as are required by the Vulnerability Correction Plan to confirm that the Vulnerability Correction Plan has been complied with.</w:t>
      </w:r>
    </w:p>
    <w:p w14:paraId="4652EF62"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14:paraId="76B65FCF"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14:paraId="4D8686E7"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propose interim mitigation measures to vulnerabilities in the Information System known to be exploitable where a security patch is not immediately available; and</w:t>
      </w:r>
    </w:p>
    <w:p w14:paraId="3CF22BC0"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14:paraId="31854ACE"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conduct such further tests of the Supplier System as may be required by the Buyer from time to time to demonstrate compliance with its obligations set out this Schedule and the Contract.</w:t>
      </w:r>
    </w:p>
    <w:p w14:paraId="61938372"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Supplier shall notify the Buyer immediately if it fails to, or believes that it will not, mitigate the vulnerability within the timescales </w:t>
      </w:r>
      <w:r w:rsidRPr="005D7ECE">
        <w:rPr>
          <w:rFonts w:eastAsia="Calibri" w:cs="Times New Roman"/>
          <w:color w:val="auto"/>
          <w:sz w:val="20"/>
          <w:lang w:eastAsia="en-US"/>
        </w:rPr>
        <w:t xml:space="preserve">set out in set out in Section 2 of this Schedule.  </w:t>
      </w:r>
    </w:p>
    <w:p w14:paraId="7326989C" w14:textId="77777777" w:rsidR="006824DD" w:rsidRPr="005D7ECE" w:rsidRDefault="006824DD" w:rsidP="006824DD">
      <w:pPr>
        <w:keepNext/>
        <w:spacing w:before="240" w:after="0" w:line="260" w:lineRule="atLeast"/>
        <w:ind w:left="0" w:firstLine="0"/>
        <w:rPr>
          <w:rFonts w:eastAsia="Helvetica Neue"/>
          <w:b/>
          <w:color w:val="auto"/>
          <w:sz w:val="20"/>
          <w:lang w:eastAsia="en-US"/>
        </w:rPr>
      </w:pPr>
      <w:bookmarkStart w:id="349" w:name="_Ref505003510"/>
      <w:r w:rsidRPr="005D7ECE">
        <w:rPr>
          <w:rFonts w:eastAsia="Helvetica Neue"/>
          <w:b/>
          <w:color w:val="auto"/>
          <w:sz w:val="20"/>
          <w:lang w:eastAsia="en-US"/>
        </w:rPr>
        <w:t>Security Monitoring and Reporting</w:t>
      </w:r>
      <w:bookmarkEnd w:id="349"/>
      <w:r w:rsidRPr="005D7ECE">
        <w:rPr>
          <w:rFonts w:eastAsia="Helvetica Neue"/>
          <w:b/>
          <w:color w:val="auto"/>
          <w:sz w:val="20"/>
          <w:lang w:eastAsia="en-US"/>
        </w:rPr>
        <w:t xml:space="preserve">  </w:t>
      </w:r>
    </w:p>
    <w:p w14:paraId="2AB97D9A"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w:t>
      </w:r>
    </w:p>
    <w:p w14:paraId="29144A33"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monitor the delivery of assurance activities;</w:t>
      </w:r>
    </w:p>
    <w:p w14:paraId="0A6F446C" w14:textId="77777777" w:rsidR="006824DD" w:rsidRPr="005D7ECE" w:rsidRDefault="006824DD" w:rsidP="00AA027B">
      <w:pPr>
        <w:numPr>
          <w:ilvl w:val="3"/>
          <w:numId w:val="99"/>
        </w:numPr>
        <w:pBdr>
          <w:top w:val="nil"/>
          <w:left w:val="nil"/>
          <w:bottom w:val="nil"/>
          <w:right w:val="nil"/>
          <w:between w:val="nil"/>
        </w:pBdr>
        <w:spacing w:before="240" w:after="0" w:line="276" w:lineRule="auto"/>
        <w:jc w:val="left"/>
      </w:pPr>
      <w:r w:rsidRPr="005D7ECE">
        <w:t xml:space="preserve">maintain and update the Security Management Plan in accordance with </w:t>
      </w:r>
      <w:r w:rsidRPr="005D7ECE">
        <w:rPr>
          <w:rFonts w:eastAsia="Times New Roman"/>
          <w:color w:val="auto"/>
        </w:rPr>
        <w:t>Section 1 Assurance Requirements Paragraph 1.13 (b)</w:t>
      </w:r>
      <w:r w:rsidRPr="005D7ECE">
        <w:t>;</w:t>
      </w:r>
    </w:p>
    <w:p w14:paraId="69A0980E"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agree a document which presents the residual security risks to inform the Buyer’s decision to give approval to the Supplier to Process, store and transit the Government Data;</w:t>
      </w:r>
    </w:p>
    <w:p w14:paraId="50F65376"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monitor security risk impacting upon the operation of the Service;</w:t>
      </w:r>
    </w:p>
    <w:p w14:paraId="14ECB1CF"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report Breaches of Security in accordance with the approved Incident Management Process;</w:t>
      </w:r>
    </w:p>
    <w:p w14:paraId="576E00CE"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lastRenderedPageBreak/>
        <w:t>agree with the Buyer the frequency and nature of the security reports to be prepared and submitted by the Supplier to the Buyer within 30 days of the date of this Contract.</w:t>
      </w:r>
    </w:p>
    <w:p w14:paraId="3221B7ED" w14:textId="77777777" w:rsidR="006824DD" w:rsidRPr="005D7ECE" w:rsidRDefault="006824DD" w:rsidP="006824DD">
      <w:pPr>
        <w:keepNext/>
        <w:spacing w:before="240" w:after="0" w:line="260" w:lineRule="atLeast"/>
        <w:ind w:left="794" w:hanging="794"/>
        <w:rPr>
          <w:rFonts w:eastAsia="Helvetica Neue"/>
          <w:b/>
          <w:color w:val="auto"/>
          <w:sz w:val="20"/>
          <w:lang w:eastAsia="en-US"/>
        </w:rPr>
      </w:pPr>
      <w:bookmarkStart w:id="350" w:name="kix.pf0kq1xwx1mu" w:colFirst="0" w:colLast="0"/>
      <w:bookmarkEnd w:id="350"/>
      <w:r w:rsidRPr="005D7ECE">
        <w:rPr>
          <w:rFonts w:eastAsia="Helvetica Neue"/>
          <w:b/>
          <w:color w:val="auto"/>
          <w:sz w:val="20"/>
          <w:lang w:eastAsia="en-US"/>
        </w:rPr>
        <w:t xml:space="preserve">Malicious Software </w:t>
      </w:r>
    </w:p>
    <w:p w14:paraId="5299D7D0"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72F922CC" w14:textId="77777777" w:rsidR="006824DD" w:rsidRPr="005D7ECE" w:rsidRDefault="006824DD" w:rsidP="00AA027B">
      <w:pPr>
        <w:numPr>
          <w:ilvl w:val="1"/>
          <w:numId w:val="99"/>
        </w:numPr>
        <w:spacing w:before="240" w:after="0" w:line="260" w:lineRule="atLeast"/>
        <w:jc w:val="left"/>
        <w:rPr>
          <w:rFonts w:eastAsia="Calibri"/>
          <w:color w:val="auto"/>
          <w:sz w:val="20"/>
          <w:szCs w:val="20"/>
          <w:lang w:eastAsia="en-US"/>
        </w:rPr>
      </w:pPr>
      <w:r w:rsidRPr="005D7ECE">
        <w:rPr>
          <w:rFonts w:eastAsia="Calibri"/>
          <w:color w:val="auto"/>
          <w:sz w:val="20"/>
          <w:lang w:eastAsia="en-US"/>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w:t>
      </w:r>
      <w:r w:rsidRPr="005D7ECE">
        <w:rPr>
          <w:rFonts w:eastAsia="Calibri"/>
          <w:color w:val="auto"/>
          <w:sz w:val="20"/>
          <w:szCs w:val="20"/>
          <w:lang w:eastAsia="en-US"/>
        </w:rPr>
        <w:t>Services to their desired operating efficiency.</w:t>
      </w:r>
    </w:p>
    <w:p w14:paraId="5AB8DCF3" w14:textId="77777777" w:rsidR="006824DD" w:rsidRPr="005D7ECE" w:rsidRDefault="006824DD" w:rsidP="00AA027B">
      <w:pPr>
        <w:numPr>
          <w:ilvl w:val="1"/>
          <w:numId w:val="99"/>
        </w:numPr>
        <w:tabs>
          <w:tab w:val="left" w:pos="1134"/>
        </w:tabs>
        <w:adjustRightInd w:val="0"/>
        <w:spacing w:before="120" w:after="120" w:line="240" w:lineRule="auto"/>
        <w:contextualSpacing/>
        <w:jc w:val="left"/>
        <w:rPr>
          <w:rFonts w:eastAsia="Times New Roman"/>
          <w:color w:val="auto"/>
          <w:sz w:val="20"/>
          <w:szCs w:val="20"/>
          <w:lang w:eastAsia="zh-CN"/>
        </w:rPr>
      </w:pPr>
      <w:r w:rsidRPr="005D7ECE">
        <w:rPr>
          <w:rFonts w:eastAsia="Times New Roman"/>
          <w:color w:val="auto"/>
          <w:sz w:val="20"/>
          <w:szCs w:val="20"/>
          <w:lang w:eastAsia="zh-CN"/>
        </w:rPr>
        <w:t>Any cost arising out of the actions of the parties taken in compliance with the provisions of Paragraph 1.37 shall be borne by the parties as follows:</w:t>
      </w:r>
    </w:p>
    <w:p w14:paraId="01014566"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28D01BD8"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by the Buyer, in any other circumstance.</w:t>
      </w:r>
    </w:p>
    <w:p w14:paraId="52C8F361" w14:textId="77777777" w:rsidR="006824DD" w:rsidRPr="005D7ECE" w:rsidRDefault="006824DD" w:rsidP="006824DD">
      <w:pPr>
        <w:keepNext/>
        <w:spacing w:before="240" w:after="0" w:line="260" w:lineRule="atLeast"/>
        <w:ind w:left="794" w:hanging="794"/>
        <w:rPr>
          <w:rFonts w:eastAsia="Helvetica Neue"/>
          <w:b/>
          <w:color w:val="auto"/>
          <w:sz w:val="20"/>
          <w:lang w:eastAsia="en-US"/>
        </w:rPr>
      </w:pPr>
      <w:r w:rsidRPr="005D7ECE">
        <w:rPr>
          <w:rFonts w:eastAsia="Helvetica Neue"/>
          <w:b/>
          <w:color w:val="auto"/>
          <w:sz w:val="20"/>
          <w:lang w:eastAsia="en-US"/>
        </w:rPr>
        <w:t xml:space="preserve">Breach of Security </w:t>
      </w:r>
    </w:p>
    <w:p w14:paraId="022DA147"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If either party becomes aware of a Breach of Security it shall notify the other in accordance with the Incident Management Process.</w:t>
      </w:r>
    </w:p>
    <w:p w14:paraId="2B90D219"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The Incident Management Process shall, as a minimum, require the Supplier to do the following upon it becoming aware of a Breach of Security or attempted Breach of Security: </w:t>
      </w:r>
    </w:p>
    <w:p w14:paraId="6DD8D07D"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Immediately take all reasonable steps necessary to:</w:t>
      </w:r>
    </w:p>
    <w:p w14:paraId="31C34039"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minimise the extent of actual or potential harm caused by such Breach of Security;</w:t>
      </w:r>
    </w:p>
    <w:p w14:paraId="2A83AB71"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 xml:space="preserve">remedy such Breach of Security to the extent possible; </w:t>
      </w:r>
    </w:p>
    <w:p w14:paraId="1854D4A3"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apply a tested mitigation against any such Breach of Security; and</w:t>
      </w:r>
    </w:p>
    <w:p w14:paraId="096E28BE" w14:textId="77777777" w:rsidR="006824DD" w:rsidRPr="005D7ECE" w:rsidRDefault="006824DD" w:rsidP="00AA027B">
      <w:pPr>
        <w:numPr>
          <w:ilvl w:val="3"/>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prevent a further Breach of Security in the future which exploits the same root cause failure;</w:t>
      </w:r>
    </w:p>
    <w:p w14:paraId="621DA4FD"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14:paraId="264F5EF2" w14:textId="77777777" w:rsidR="006824DD" w:rsidRPr="005D7ECE" w:rsidRDefault="006824DD" w:rsidP="00AA027B">
      <w:pPr>
        <w:numPr>
          <w:ilvl w:val="1"/>
          <w:numId w:val="99"/>
        </w:numPr>
        <w:spacing w:before="240" w:after="0" w:line="260" w:lineRule="atLeast"/>
        <w:jc w:val="left"/>
        <w:rPr>
          <w:rFonts w:eastAsia="Calibri"/>
          <w:color w:val="auto"/>
          <w:sz w:val="20"/>
          <w:lang w:eastAsia="en-US"/>
        </w:rPr>
      </w:pPr>
      <w:r w:rsidRPr="005D7ECE">
        <w:rPr>
          <w:rFonts w:eastAsia="Calibri"/>
          <w:color w:val="auto"/>
          <w:sz w:val="20"/>
          <w:lang w:eastAsia="en-US"/>
        </w:rPr>
        <w:lastRenderedPageBreak/>
        <w:t xml:space="preserve">In the event that any action is taken in response to a Breach of Security or attempted Breach of Security as a result of non-compliance by the Supplier, its Subcontractors and/or all or any part of the Information Management System with this Contract, then such remedial action shall be completed at no additional cost to the Buyer. </w:t>
      </w:r>
    </w:p>
    <w:p w14:paraId="4DFA2602" w14:textId="77777777" w:rsidR="006824DD" w:rsidRPr="005D7ECE" w:rsidRDefault="006824DD" w:rsidP="006824DD">
      <w:pPr>
        <w:spacing w:before="240" w:after="0" w:line="260" w:lineRule="atLeast"/>
        <w:ind w:left="794" w:firstLine="0"/>
        <w:rPr>
          <w:rFonts w:eastAsia="Calibri"/>
          <w:color w:val="auto"/>
          <w:sz w:val="20"/>
          <w:lang w:eastAsia="en-US"/>
        </w:rPr>
      </w:pPr>
    </w:p>
    <w:p w14:paraId="00C8DB91" w14:textId="425E4CE7" w:rsidR="00D028E2" w:rsidRDefault="00D028E2" w:rsidP="00661527">
      <w:pPr>
        <w:spacing w:after="3" w:line="259" w:lineRule="auto"/>
        <w:ind w:left="103" w:hanging="10"/>
        <w:jc w:val="left"/>
        <w:rPr>
          <w:color w:val="FFFFFF"/>
        </w:rPr>
      </w:pPr>
      <w:r>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51"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351"/>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52" w:name="_Toc4715582"/>
      <w:r>
        <w:t>ANNEX TO PART A: PENSIONS</w:t>
      </w:r>
      <w:bookmarkEnd w:id="352"/>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53" w:name="_Toc4715583"/>
      <w:r>
        <w:t>ANNEX TO PART B: PENSIONS</w:t>
      </w:r>
      <w:bookmarkEnd w:id="353"/>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354" w:name="_Toc4715584"/>
      <w:r>
        <w:t xml:space="preserve">ANNEX TO SCHEDULE </w:t>
      </w:r>
      <w:r w:rsidR="001F798B">
        <w:t>5</w:t>
      </w:r>
      <w:r>
        <w:t>: LIST OF NOTIFIED SUB-CONTRACTORS</w:t>
      </w:r>
      <w:bookmarkEnd w:id="354"/>
      <w:r>
        <w:t xml:space="preserve"> </w:t>
      </w:r>
    </w:p>
    <w:p w14:paraId="2EF56563" w14:textId="77777777" w:rsidR="00E00851" w:rsidRDefault="00E00851" w:rsidP="00661527">
      <w:pPr>
        <w:pStyle w:val="Heading2"/>
        <w:spacing w:after="9"/>
        <w:ind w:left="1066"/>
      </w:pPr>
    </w:p>
    <w:p w14:paraId="64E219DD" w14:textId="12629197" w:rsidR="00687D78" w:rsidRDefault="00687D78" w:rsidP="00687D78">
      <w:pPr>
        <w:pStyle w:val="Heading2"/>
        <w:spacing w:after="9"/>
        <w:ind w:left="1066"/>
        <w:jc w:val="center"/>
      </w:pPr>
    </w:p>
    <w:p w14:paraId="6F0A7452" w14:textId="3C6651AA" w:rsidR="00A11C8F" w:rsidRDefault="00687D78" w:rsidP="00D72D00">
      <w:pPr>
        <w:pStyle w:val="Heading2"/>
        <w:tabs>
          <w:tab w:val="left" w:pos="4207"/>
        </w:tabs>
        <w:spacing w:after="9"/>
        <w:ind w:left="1066"/>
      </w:pPr>
      <w:r>
        <w:tab/>
      </w:r>
      <w:r>
        <w:tab/>
        <w:t>N/A</w:t>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55"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55"/>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w:t>
      </w:r>
      <w:r>
        <w:lastRenderedPageBreak/>
        <w:t xml:space="preserve">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62FEBBF4"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DB0341">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w:t>
      </w:r>
      <w:r>
        <w:lastRenderedPageBreak/>
        <w:t xml:space="preserve">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lastRenderedPageBreak/>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21854DDB"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DB0341">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333EC3"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DB0341">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1FE34887"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DB0341">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lastRenderedPageBreak/>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56" w:name="_Toc4715586"/>
      <w:r w:rsidRPr="002438DC">
        <w:rPr>
          <w:color w:val="auto"/>
          <w:u w:val="none"/>
        </w:rPr>
        <w:t>CONTRACT SCHEDULE 7: PROCESSING PERSONAL DATA AND DATA SUBJECTS</w:t>
      </w:r>
      <w:bookmarkEnd w:id="356"/>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215D3627" w:rsidR="00906CB0" w:rsidRPr="002438DC" w:rsidRDefault="00906CB0" w:rsidP="00AA027B">
      <w:pPr>
        <w:keepNext/>
        <w:numPr>
          <w:ilvl w:val="2"/>
          <w:numId w:val="66"/>
        </w:numPr>
        <w:spacing w:after="0" w:line="240" w:lineRule="auto"/>
      </w:pPr>
      <w:r w:rsidRPr="002438DC">
        <w:t xml:space="preserve">The contact details of the Controller’s Data Protection Officer are: </w:t>
      </w:r>
      <w:r w:rsidR="00E00851" w:rsidRPr="001F2894">
        <w:t>dpo@cabinetoffice.gov.uk</w:t>
      </w:r>
      <w:r w:rsidR="00E00851" w:rsidRPr="009E2AD6">
        <w:t xml:space="preserve">  </w:t>
      </w:r>
    </w:p>
    <w:p w14:paraId="17266993" w14:textId="009D3983" w:rsidR="00906CB0" w:rsidRPr="002438DC" w:rsidRDefault="00906CB0" w:rsidP="00AA027B">
      <w:pPr>
        <w:keepNext/>
        <w:numPr>
          <w:ilvl w:val="2"/>
          <w:numId w:val="66"/>
        </w:numPr>
        <w:spacing w:after="0" w:line="240" w:lineRule="auto"/>
      </w:pPr>
      <w:r w:rsidRPr="002438DC">
        <w:t xml:space="preserve">The contact details of the Processor’s Data Protection Officer are: </w:t>
      </w:r>
      <w:r w:rsidR="00E00851">
        <w:t xml:space="preserve">To be completed at Contract Award – Supplier’s details. </w:t>
      </w:r>
    </w:p>
    <w:p w14:paraId="37ACEF64" w14:textId="77777777" w:rsidR="00906CB0" w:rsidRPr="002438DC" w:rsidRDefault="00906CB0" w:rsidP="00AA027B">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AA027B">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E00851" w:rsidRPr="009E2AD6" w14:paraId="57E1C819" w14:textId="77777777" w:rsidTr="00795F7F">
        <w:trPr>
          <w:gridAfter w:val="1"/>
          <w:wAfter w:w="12" w:type="dxa"/>
          <w:trHeight w:val="480"/>
        </w:trPr>
        <w:tc>
          <w:tcPr>
            <w:tcW w:w="3119" w:type="dxa"/>
            <w:gridSpan w:val="3"/>
            <w:shd w:val="clear" w:color="auto" w:fill="BFBFBF"/>
            <w:vAlign w:val="center"/>
          </w:tcPr>
          <w:p w14:paraId="37228CBE" w14:textId="77777777" w:rsidR="00E00851" w:rsidRPr="009E2AD6" w:rsidRDefault="00E00851" w:rsidP="00795F7F">
            <w:pPr>
              <w:spacing w:after="200" w:line="240" w:lineRule="auto"/>
              <w:ind w:left="8"/>
              <w:rPr>
                <w:b/>
              </w:rPr>
            </w:pPr>
            <w:r w:rsidRPr="009E2AD6">
              <w:rPr>
                <w:b/>
              </w:rPr>
              <w:t>Description</w:t>
            </w:r>
          </w:p>
        </w:tc>
        <w:tc>
          <w:tcPr>
            <w:tcW w:w="7088" w:type="dxa"/>
            <w:shd w:val="clear" w:color="auto" w:fill="BFBFBF"/>
            <w:vAlign w:val="center"/>
          </w:tcPr>
          <w:p w14:paraId="437E1B15" w14:textId="77777777" w:rsidR="00E00851" w:rsidRPr="009E2AD6" w:rsidRDefault="00E00851" w:rsidP="00795F7F">
            <w:pPr>
              <w:spacing w:after="200" w:line="240" w:lineRule="auto"/>
              <w:jc w:val="center"/>
              <w:rPr>
                <w:b/>
              </w:rPr>
            </w:pPr>
            <w:r w:rsidRPr="009E2AD6">
              <w:rPr>
                <w:b/>
              </w:rPr>
              <w:t>Details</w:t>
            </w:r>
          </w:p>
        </w:tc>
      </w:tr>
      <w:tr w:rsidR="00E00851" w:rsidRPr="009E2AD6" w14:paraId="2B7562B6" w14:textId="77777777" w:rsidTr="00795F7F">
        <w:trPr>
          <w:gridAfter w:val="1"/>
          <w:wAfter w:w="12" w:type="dxa"/>
          <w:trHeight w:val="1046"/>
        </w:trPr>
        <w:tc>
          <w:tcPr>
            <w:tcW w:w="3119" w:type="dxa"/>
            <w:gridSpan w:val="3"/>
            <w:shd w:val="clear" w:color="auto" w:fill="auto"/>
          </w:tcPr>
          <w:p w14:paraId="0BC64E43" w14:textId="77777777" w:rsidR="00E00851" w:rsidRPr="009E2AD6" w:rsidRDefault="00E00851" w:rsidP="00795F7F">
            <w:pPr>
              <w:spacing w:after="200" w:line="240" w:lineRule="auto"/>
              <w:ind w:left="8"/>
              <w:jc w:val="left"/>
            </w:pPr>
            <w:r w:rsidRPr="009E2AD6">
              <w:t>Identity of the Controller and Processor</w:t>
            </w:r>
          </w:p>
        </w:tc>
        <w:tc>
          <w:tcPr>
            <w:tcW w:w="7088" w:type="dxa"/>
            <w:shd w:val="clear" w:color="auto" w:fill="auto"/>
          </w:tcPr>
          <w:p w14:paraId="51B51863" w14:textId="77777777" w:rsidR="00E00851" w:rsidRPr="009E2AD6" w:rsidRDefault="00E00851" w:rsidP="00795F7F">
            <w:pPr>
              <w:suppressAutoHyphens/>
              <w:autoSpaceDN w:val="0"/>
              <w:spacing w:after="200" w:line="276" w:lineRule="auto"/>
              <w:ind w:left="0" w:firstLine="0"/>
              <w:jc w:val="left"/>
              <w:rPr>
                <w:rFonts w:ascii="Calibri" w:eastAsia="Calibri" w:hAnsi="Calibri" w:cs="Calibri"/>
                <w:bCs/>
                <w:color w:val="auto"/>
                <w:lang w:eastAsia="zh-CN" w:bidi="hi-IN"/>
              </w:rPr>
            </w:pPr>
            <w:r w:rsidRPr="009E2AD6">
              <w:rPr>
                <w:bCs/>
                <w:color w:val="auto"/>
                <w:sz w:val="24"/>
                <w:szCs w:val="24"/>
                <w:lang w:eastAsia="zh-CN" w:bidi="hi-IN"/>
              </w:rPr>
              <w:t>The Relevant Authority is Controller and the Supplier is Processor for all data processed to provide the Services.</w:t>
            </w:r>
          </w:p>
        </w:tc>
      </w:tr>
      <w:tr w:rsidR="00E00851" w:rsidRPr="009E2AD6" w14:paraId="45F8BAC9" w14:textId="77777777" w:rsidTr="00795F7F">
        <w:trPr>
          <w:gridBefore w:val="1"/>
          <w:wBefore w:w="34" w:type="dxa"/>
          <w:trHeight w:val="1132"/>
        </w:trPr>
        <w:tc>
          <w:tcPr>
            <w:tcW w:w="3045" w:type="dxa"/>
            <w:shd w:val="clear" w:color="auto" w:fill="auto"/>
          </w:tcPr>
          <w:p w14:paraId="5158A44D" w14:textId="77777777" w:rsidR="00E00851" w:rsidRPr="009E2AD6" w:rsidRDefault="00E00851" w:rsidP="00795F7F">
            <w:pPr>
              <w:spacing w:after="200" w:line="240" w:lineRule="auto"/>
              <w:ind w:left="8"/>
            </w:pPr>
            <w:r w:rsidRPr="009E2AD6">
              <w:t>Subject matter of the processing</w:t>
            </w:r>
          </w:p>
        </w:tc>
        <w:tc>
          <w:tcPr>
            <w:tcW w:w="7140" w:type="dxa"/>
            <w:gridSpan w:val="3"/>
            <w:shd w:val="clear" w:color="auto" w:fill="auto"/>
          </w:tcPr>
          <w:p w14:paraId="50A4030D" w14:textId="77777777" w:rsidR="00E00851" w:rsidRPr="009E2AD6" w:rsidRDefault="00E00851" w:rsidP="00795F7F">
            <w:pPr>
              <w:spacing w:after="0" w:line="240" w:lineRule="auto"/>
              <w:ind w:left="16"/>
              <w:rPr>
                <w:bCs/>
                <w:color w:val="auto"/>
                <w:sz w:val="24"/>
                <w:szCs w:val="24"/>
                <w:lang w:eastAsia="zh-CN" w:bidi="hi-IN"/>
              </w:rPr>
            </w:pPr>
            <w:r w:rsidRPr="009E2AD6">
              <w:rPr>
                <w:bCs/>
                <w:color w:val="auto"/>
                <w:sz w:val="24"/>
                <w:szCs w:val="24"/>
                <w:lang w:eastAsia="zh-CN" w:bidi="hi-IN"/>
              </w:rPr>
              <w:t>The processing is needed in order to ensure that the Processor can effectively deliver the contract to provide a service to Apprentices working for the Civil Service</w:t>
            </w:r>
          </w:p>
          <w:p w14:paraId="3F15E4D6" w14:textId="77777777" w:rsidR="00E00851" w:rsidRPr="009E2AD6" w:rsidRDefault="00E00851" w:rsidP="00795F7F">
            <w:pPr>
              <w:spacing w:after="0" w:line="240" w:lineRule="auto"/>
            </w:pPr>
          </w:p>
        </w:tc>
      </w:tr>
      <w:tr w:rsidR="00E00851" w:rsidRPr="009E2AD6" w14:paraId="1A70549C" w14:textId="77777777" w:rsidTr="00795F7F">
        <w:trPr>
          <w:gridBefore w:val="1"/>
          <w:wBefore w:w="34" w:type="dxa"/>
          <w:trHeight w:val="544"/>
        </w:trPr>
        <w:tc>
          <w:tcPr>
            <w:tcW w:w="3045" w:type="dxa"/>
            <w:shd w:val="clear" w:color="auto" w:fill="auto"/>
          </w:tcPr>
          <w:p w14:paraId="72229113" w14:textId="77777777" w:rsidR="00E00851" w:rsidRPr="009E2AD6" w:rsidRDefault="00E00851" w:rsidP="00795F7F">
            <w:pPr>
              <w:spacing w:after="200" w:line="240" w:lineRule="auto"/>
              <w:ind w:left="8"/>
            </w:pPr>
            <w:r w:rsidRPr="009E2AD6">
              <w:t>Duration of the processing</w:t>
            </w:r>
          </w:p>
        </w:tc>
        <w:tc>
          <w:tcPr>
            <w:tcW w:w="7140" w:type="dxa"/>
            <w:gridSpan w:val="3"/>
            <w:shd w:val="clear" w:color="auto" w:fill="auto"/>
          </w:tcPr>
          <w:p w14:paraId="332480DC" w14:textId="77777777" w:rsidR="00E00851" w:rsidRPr="009E2AD6" w:rsidRDefault="00E00851" w:rsidP="00795F7F">
            <w:pPr>
              <w:spacing w:after="0" w:line="240" w:lineRule="auto"/>
              <w:ind w:left="8"/>
            </w:pPr>
            <w:r w:rsidRPr="009E2AD6">
              <w:rPr>
                <w:iCs/>
                <w:sz w:val="24"/>
                <w:szCs w:val="24"/>
              </w:rPr>
              <w:t>Duration of the contract.</w:t>
            </w:r>
          </w:p>
        </w:tc>
      </w:tr>
      <w:tr w:rsidR="00E00851" w:rsidRPr="009E2AD6" w14:paraId="269CFA29" w14:textId="77777777" w:rsidTr="00795F7F">
        <w:trPr>
          <w:gridBefore w:val="1"/>
          <w:wBefore w:w="34" w:type="dxa"/>
          <w:trHeight w:val="1520"/>
        </w:trPr>
        <w:tc>
          <w:tcPr>
            <w:tcW w:w="3045" w:type="dxa"/>
            <w:shd w:val="clear" w:color="auto" w:fill="auto"/>
          </w:tcPr>
          <w:p w14:paraId="626AB298" w14:textId="77777777" w:rsidR="00E00851" w:rsidRPr="009E2AD6" w:rsidRDefault="00E00851" w:rsidP="00795F7F">
            <w:pPr>
              <w:spacing w:after="200" w:line="240" w:lineRule="auto"/>
              <w:ind w:left="8"/>
            </w:pPr>
            <w:r w:rsidRPr="009E2AD6">
              <w:t>Nature and purposes of the processing</w:t>
            </w:r>
          </w:p>
        </w:tc>
        <w:tc>
          <w:tcPr>
            <w:tcW w:w="7140" w:type="dxa"/>
            <w:gridSpan w:val="3"/>
            <w:shd w:val="clear" w:color="auto" w:fill="auto"/>
          </w:tcPr>
          <w:p w14:paraId="32526DD3" w14:textId="77777777" w:rsidR="00E00851" w:rsidRPr="009E2AD6" w:rsidRDefault="00E00851" w:rsidP="00795F7F">
            <w:pPr>
              <w:spacing w:after="0" w:line="240" w:lineRule="auto"/>
              <w:ind w:left="8" w:firstLine="0"/>
              <w:rPr>
                <w:bCs/>
                <w:color w:val="auto"/>
                <w:sz w:val="24"/>
                <w:szCs w:val="24"/>
                <w:lang w:eastAsia="zh-CN" w:bidi="hi-IN"/>
              </w:rPr>
            </w:pPr>
            <w:r w:rsidRPr="009E2AD6">
              <w:rPr>
                <w:bCs/>
                <w:color w:val="auto"/>
                <w:sz w:val="24"/>
                <w:szCs w:val="24"/>
                <w:lang w:eastAsia="zh-CN" w:bidi="hi-IN"/>
              </w:rPr>
              <w:t>The nature of the processing includes the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14:paraId="1F4C141E" w14:textId="77777777" w:rsidR="00E00851" w:rsidRPr="009E2AD6" w:rsidRDefault="00E00851" w:rsidP="00795F7F">
            <w:pPr>
              <w:spacing w:after="0" w:line="240" w:lineRule="auto"/>
              <w:rPr>
                <w:bCs/>
                <w:color w:val="auto"/>
                <w:sz w:val="24"/>
                <w:szCs w:val="24"/>
                <w:lang w:eastAsia="zh-CN" w:bidi="hi-IN"/>
              </w:rPr>
            </w:pPr>
          </w:p>
          <w:p w14:paraId="44AC7BEB" w14:textId="77777777" w:rsidR="00E00851" w:rsidRPr="009E2AD6" w:rsidRDefault="00E00851" w:rsidP="00795F7F">
            <w:pPr>
              <w:spacing w:after="0" w:line="240" w:lineRule="auto"/>
              <w:ind w:left="24"/>
              <w:rPr>
                <w:bCs/>
                <w:color w:val="auto"/>
                <w:sz w:val="24"/>
                <w:szCs w:val="24"/>
                <w:lang w:eastAsia="zh-CN" w:bidi="hi-IN"/>
              </w:rPr>
            </w:pPr>
            <w:r w:rsidRPr="009E2AD6">
              <w:rPr>
                <w:bCs/>
                <w:color w:val="auto"/>
                <w:sz w:val="24"/>
                <w:szCs w:val="24"/>
                <w:lang w:eastAsia="zh-CN" w:bidi="hi-IN"/>
              </w:rPr>
              <w:t xml:space="preserve">The purpose of the processing is to support the delivery and completion of an Apprenticeship standard. </w:t>
            </w:r>
          </w:p>
          <w:p w14:paraId="281AC8FA" w14:textId="77777777" w:rsidR="00E00851" w:rsidRPr="009E2AD6" w:rsidRDefault="00E00851" w:rsidP="00795F7F">
            <w:pPr>
              <w:spacing w:after="0" w:line="240" w:lineRule="auto"/>
            </w:pPr>
            <w:r w:rsidRPr="009E2AD6">
              <w:rPr>
                <w:i/>
              </w:rPr>
              <w:t xml:space="preserve"> </w:t>
            </w:r>
          </w:p>
        </w:tc>
      </w:tr>
      <w:tr w:rsidR="00E00851" w:rsidRPr="009E2AD6" w14:paraId="5AC36308" w14:textId="77777777" w:rsidTr="00795F7F">
        <w:trPr>
          <w:gridBefore w:val="1"/>
          <w:wBefore w:w="34" w:type="dxa"/>
          <w:trHeight w:val="740"/>
        </w:trPr>
        <w:tc>
          <w:tcPr>
            <w:tcW w:w="3045" w:type="dxa"/>
            <w:shd w:val="clear" w:color="auto" w:fill="auto"/>
          </w:tcPr>
          <w:p w14:paraId="6F35BA7A" w14:textId="77777777" w:rsidR="00E00851" w:rsidRPr="009E2AD6" w:rsidRDefault="00E00851" w:rsidP="00795F7F">
            <w:pPr>
              <w:spacing w:after="200" w:line="240" w:lineRule="auto"/>
              <w:ind w:left="8"/>
            </w:pPr>
            <w:r w:rsidRPr="009E2AD6">
              <w:t>Type of Personal Data being Processed</w:t>
            </w:r>
          </w:p>
        </w:tc>
        <w:tc>
          <w:tcPr>
            <w:tcW w:w="7140" w:type="dxa"/>
            <w:gridSpan w:val="3"/>
            <w:shd w:val="clear" w:color="auto" w:fill="auto"/>
          </w:tcPr>
          <w:p w14:paraId="7B3FD460" w14:textId="77777777" w:rsidR="00E00851" w:rsidRPr="009E2AD6" w:rsidRDefault="00E00851" w:rsidP="00795F7F">
            <w:pPr>
              <w:spacing w:after="0" w:line="240" w:lineRule="auto"/>
              <w:ind w:left="8"/>
            </w:pPr>
            <w:r w:rsidRPr="009E2AD6">
              <w:rPr>
                <w:iCs/>
                <w:sz w:val="24"/>
                <w:szCs w:val="24"/>
              </w:rPr>
              <w:t xml:space="preserve">name, email address, telephone number, job title, employer, staff number, reasonable adjustments / disabilities, opinions, progression on programme, exam results </w:t>
            </w:r>
          </w:p>
        </w:tc>
      </w:tr>
      <w:tr w:rsidR="00E00851" w:rsidRPr="009E2AD6" w14:paraId="662F5DEE" w14:textId="77777777" w:rsidTr="00795F7F">
        <w:trPr>
          <w:gridBefore w:val="1"/>
          <w:wBefore w:w="34" w:type="dxa"/>
          <w:trHeight w:val="668"/>
        </w:trPr>
        <w:tc>
          <w:tcPr>
            <w:tcW w:w="3045" w:type="dxa"/>
            <w:shd w:val="clear" w:color="auto" w:fill="auto"/>
          </w:tcPr>
          <w:p w14:paraId="14BB0300" w14:textId="77777777" w:rsidR="00E00851" w:rsidRPr="009E2AD6" w:rsidRDefault="00E00851" w:rsidP="00795F7F">
            <w:pPr>
              <w:spacing w:after="200" w:line="240" w:lineRule="auto"/>
              <w:ind w:left="8"/>
            </w:pPr>
            <w:r w:rsidRPr="009E2AD6">
              <w:t>Categories of Data Subject</w:t>
            </w:r>
          </w:p>
        </w:tc>
        <w:tc>
          <w:tcPr>
            <w:tcW w:w="7140" w:type="dxa"/>
            <w:gridSpan w:val="3"/>
            <w:shd w:val="clear" w:color="auto" w:fill="auto"/>
          </w:tcPr>
          <w:p w14:paraId="656EC95A" w14:textId="77777777" w:rsidR="00E00851" w:rsidRPr="009E2AD6" w:rsidRDefault="00E00851" w:rsidP="00795F7F">
            <w:pPr>
              <w:spacing w:after="0" w:line="240" w:lineRule="auto"/>
              <w:ind w:left="8"/>
            </w:pPr>
            <w:r w:rsidRPr="009E2AD6">
              <w:rPr>
                <w:iCs/>
                <w:sz w:val="24"/>
                <w:szCs w:val="24"/>
              </w:rPr>
              <w:t>Civil Servants</w:t>
            </w:r>
          </w:p>
        </w:tc>
      </w:tr>
      <w:tr w:rsidR="00E00851" w:rsidRPr="009E2AD6" w14:paraId="7C8D145A" w14:textId="77777777" w:rsidTr="00795F7F">
        <w:trPr>
          <w:gridAfter w:val="1"/>
          <w:wAfter w:w="12" w:type="dxa"/>
          <w:trHeight w:val="1660"/>
        </w:trPr>
        <w:tc>
          <w:tcPr>
            <w:tcW w:w="3119" w:type="dxa"/>
            <w:gridSpan w:val="3"/>
            <w:shd w:val="clear" w:color="auto" w:fill="auto"/>
          </w:tcPr>
          <w:p w14:paraId="4233644E" w14:textId="77777777" w:rsidR="00E00851" w:rsidRPr="009E2AD6" w:rsidRDefault="00E00851" w:rsidP="00795F7F">
            <w:pPr>
              <w:spacing w:after="200" w:line="240" w:lineRule="auto"/>
              <w:ind w:left="8"/>
            </w:pPr>
            <w:r w:rsidRPr="009E2AD6">
              <w:t>Plan for return and destruction of the data once the processing is complete</w:t>
            </w:r>
          </w:p>
          <w:p w14:paraId="489BCCF1" w14:textId="77777777" w:rsidR="00E00851" w:rsidRPr="009E2AD6" w:rsidRDefault="00E00851" w:rsidP="00795F7F">
            <w:pPr>
              <w:spacing w:after="200" w:line="240" w:lineRule="auto"/>
              <w:ind w:left="16"/>
              <w:rPr>
                <w:sz w:val="24"/>
                <w:szCs w:val="24"/>
              </w:rPr>
            </w:pPr>
            <w:r w:rsidRPr="009E2AD6">
              <w:t>UNLESS requirement under union or member state law to preserve that type of data</w:t>
            </w:r>
          </w:p>
        </w:tc>
        <w:tc>
          <w:tcPr>
            <w:tcW w:w="7088" w:type="dxa"/>
            <w:shd w:val="clear" w:color="auto" w:fill="auto"/>
          </w:tcPr>
          <w:p w14:paraId="1C1213C4" w14:textId="77777777" w:rsidR="00E00851" w:rsidRPr="009E2AD6" w:rsidRDefault="00E00851" w:rsidP="00795F7F">
            <w:pPr>
              <w:spacing w:after="0" w:line="240" w:lineRule="auto"/>
              <w:ind w:left="0" w:firstLine="0"/>
            </w:pPr>
            <w:r w:rsidRPr="009E2AD6">
              <w:rPr>
                <w:iCs/>
                <w:sz w:val="24"/>
                <w:szCs w:val="24"/>
              </w:rPr>
              <w:t>All data to be returned or deleted before the termination or expiry of the contract</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57" w:name="_Toc3894346"/>
      <w:bookmarkStart w:id="358" w:name="_Toc4715587"/>
      <w:r w:rsidRPr="002438DC">
        <w:rPr>
          <w:color w:val="auto"/>
          <w:u w:val="none"/>
        </w:rPr>
        <w:lastRenderedPageBreak/>
        <w:t>CONTRACT</w:t>
      </w:r>
      <w:bookmarkEnd w:id="357"/>
      <w:r w:rsidR="00033A3D">
        <w:rPr>
          <w:color w:val="auto"/>
          <w:u w:val="none"/>
        </w:rPr>
        <w:t xml:space="preserve"> </w:t>
      </w:r>
      <w:r w:rsidRPr="002438DC">
        <w:rPr>
          <w:color w:val="auto"/>
          <w:u w:val="none"/>
        </w:rPr>
        <w:t>SCHEDULE 8: JOINT CONTROLLER AGREEMENT</w:t>
      </w:r>
      <w:bookmarkEnd w:id="358"/>
    </w:p>
    <w:p w14:paraId="57FDA23C" w14:textId="5BFD431C" w:rsidR="00912EEB" w:rsidRPr="00E00851" w:rsidRDefault="00912EEB" w:rsidP="00912EEB">
      <w:pPr>
        <w:spacing w:after="200" w:line="240" w:lineRule="auto"/>
        <w:ind w:left="494"/>
        <w:rPr>
          <w:b/>
        </w:rPr>
      </w:pPr>
      <w:r w:rsidRPr="00E00851">
        <w:rPr>
          <w:b/>
        </w:rPr>
        <w:t>[Guidance:</w:t>
      </w:r>
      <w:r w:rsidRPr="00E00851">
        <w:t xml:space="preserve"> insert only where Joint Controller applies in Schedule </w:t>
      </w:r>
      <w:r w:rsidR="0066029F" w:rsidRPr="00E00851">
        <w:t>7</w:t>
      </w:r>
      <w:r w:rsidRPr="00E00851">
        <w:t>]</w:t>
      </w:r>
      <w:r w:rsidRPr="00E00851">
        <w:rPr>
          <w:b/>
        </w:rPr>
        <w:t xml:space="preserve"> </w:t>
      </w:r>
    </w:p>
    <w:p w14:paraId="3845CF29" w14:textId="297BCD96" w:rsidR="00912EEB" w:rsidRPr="00E00851" w:rsidRDefault="00912EEB" w:rsidP="00912EEB">
      <w:pPr>
        <w:spacing w:after="200" w:line="240" w:lineRule="auto"/>
      </w:pPr>
      <w:r w:rsidRPr="00E00851">
        <w:t xml:space="preserve">[In this Annex the Parties must outline each party’s responsibilities for: </w:t>
      </w:r>
    </w:p>
    <w:p w14:paraId="692918EE" w14:textId="47D81626" w:rsidR="00912EEB" w:rsidRPr="00E00851" w:rsidRDefault="00912EEB" w:rsidP="00AA027B">
      <w:pPr>
        <w:numPr>
          <w:ilvl w:val="0"/>
          <w:numId w:val="67"/>
        </w:numPr>
        <w:spacing w:after="0" w:line="240" w:lineRule="auto"/>
        <w:contextualSpacing/>
        <w:jc w:val="left"/>
      </w:pPr>
      <w:r w:rsidRPr="00E00851">
        <w:t xml:space="preserve">providing information to data subjects under </w:t>
      </w:r>
      <w:hyperlink r:id="rId38">
        <w:r w:rsidRPr="00E00851">
          <w:rPr>
            <w:color w:val="1155CC"/>
            <w:u w:val="single"/>
          </w:rPr>
          <w:t>Article 13 and 14</w:t>
        </w:r>
      </w:hyperlink>
      <w:r w:rsidRPr="00E00851">
        <w:t xml:space="preserve"> of the GDPR. </w:t>
      </w:r>
    </w:p>
    <w:p w14:paraId="68AE55C6" w14:textId="47D69170" w:rsidR="00912EEB" w:rsidRPr="00E00851" w:rsidRDefault="00912EEB" w:rsidP="00AA027B">
      <w:pPr>
        <w:numPr>
          <w:ilvl w:val="0"/>
          <w:numId w:val="67"/>
        </w:numPr>
        <w:spacing w:after="0" w:line="240" w:lineRule="auto"/>
        <w:contextualSpacing/>
        <w:jc w:val="left"/>
      </w:pPr>
      <w:r w:rsidRPr="00E00851">
        <w:t xml:space="preserve">responding to data subject requests under </w:t>
      </w:r>
      <w:hyperlink r:id="rId39">
        <w:r w:rsidRPr="00E00851">
          <w:rPr>
            <w:color w:val="1155CC"/>
            <w:u w:val="single"/>
          </w:rPr>
          <w:t>Articles 15-22</w:t>
        </w:r>
      </w:hyperlink>
      <w:r w:rsidRPr="00E00851">
        <w:t xml:space="preserve"> of the GDPR</w:t>
      </w:r>
    </w:p>
    <w:p w14:paraId="031D7BAE" w14:textId="77777777" w:rsidR="00912EEB" w:rsidRPr="00E00851" w:rsidRDefault="00912EEB" w:rsidP="00AA027B">
      <w:pPr>
        <w:numPr>
          <w:ilvl w:val="0"/>
          <w:numId w:val="67"/>
        </w:numPr>
        <w:spacing w:after="0" w:line="240" w:lineRule="auto"/>
        <w:contextualSpacing/>
        <w:jc w:val="left"/>
      </w:pPr>
      <w:r w:rsidRPr="00E00851">
        <w:t>notifying the Information Commissioner (and data subjects) where necessary about data breaches</w:t>
      </w:r>
    </w:p>
    <w:p w14:paraId="1D1E6129" w14:textId="0D96432B" w:rsidR="00912EEB" w:rsidRPr="00E00851" w:rsidRDefault="00912EEB" w:rsidP="00AA027B">
      <w:pPr>
        <w:numPr>
          <w:ilvl w:val="0"/>
          <w:numId w:val="67"/>
        </w:numPr>
        <w:spacing w:after="0" w:line="240" w:lineRule="auto"/>
        <w:contextualSpacing/>
        <w:jc w:val="left"/>
      </w:pPr>
      <w:r w:rsidRPr="00E00851">
        <w:t xml:space="preserve">maintaining records of processing under </w:t>
      </w:r>
      <w:hyperlink r:id="rId40">
        <w:r w:rsidRPr="00E00851">
          <w:rPr>
            <w:color w:val="1155CC"/>
            <w:u w:val="single"/>
          </w:rPr>
          <w:t>Article 30</w:t>
        </w:r>
      </w:hyperlink>
      <w:r w:rsidRPr="00E00851">
        <w:t xml:space="preserve"> of the GDPR </w:t>
      </w:r>
    </w:p>
    <w:p w14:paraId="3182160C" w14:textId="77777777" w:rsidR="00912EEB" w:rsidRPr="00E00851" w:rsidRDefault="00912EEB" w:rsidP="00AA027B">
      <w:pPr>
        <w:numPr>
          <w:ilvl w:val="0"/>
          <w:numId w:val="67"/>
        </w:numPr>
        <w:spacing w:after="0" w:line="240" w:lineRule="auto"/>
        <w:contextualSpacing/>
        <w:jc w:val="left"/>
      </w:pPr>
      <w:r w:rsidRPr="00E00851">
        <w:t>carrying out any required Data Protection Impact Assessment</w:t>
      </w:r>
    </w:p>
    <w:p w14:paraId="6694A505" w14:textId="77777777" w:rsidR="00912EEB" w:rsidRPr="00E00851" w:rsidRDefault="00912EEB" w:rsidP="00AA027B">
      <w:pPr>
        <w:numPr>
          <w:ilvl w:val="0"/>
          <w:numId w:val="67"/>
        </w:numPr>
        <w:spacing w:after="200" w:line="240" w:lineRule="auto"/>
        <w:contextualSpacing/>
        <w:jc w:val="left"/>
      </w:pPr>
      <w:r w:rsidRPr="00E00851">
        <w:t>The agreement must include a statement as to who is the point of contact for data subjects.</w:t>
      </w:r>
    </w:p>
    <w:p w14:paraId="6F8BA8C6" w14:textId="77777777" w:rsidR="00912EEB" w:rsidRPr="00E00851" w:rsidRDefault="00912EEB" w:rsidP="00912EEB">
      <w:pPr>
        <w:spacing w:after="200" w:line="240" w:lineRule="auto"/>
        <w:ind w:left="494"/>
      </w:pPr>
      <w:r w:rsidRPr="00E00851">
        <w:t xml:space="preserve">The essence of this relationship shall be published. </w:t>
      </w:r>
    </w:p>
    <w:p w14:paraId="5BD6ACB6" w14:textId="62ABDC18" w:rsidR="00912EEB" w:rsidRPr="00E00851" w:rsidRDefault="00912EEB" w:rsidP="00912EEB">
      <w:pPr>
        <w:spacing w:after="200" w:line="240" w:lineRule="auto"/>
        <w:ind w:left="494"/>
      </w:pPr>
      <w:r w:rsidRPr="00E00851">
        <w:t>You may wish to incorporate some clauses equivalent to th</w:t>
      </w:r>
      <w:r w:rsidR="00692649" w:rsidRPr="00E00851">
        <w:t>ose specified in Clauses</w:t>
      </w:r>
      <w:r w:rsidRPr="00E00851">
        <w:t xml:space="preserve"> </w:t>
      </w:r>
      <w:r w:rsidR="00692649" w:rsidRPr="00E00851">
        <w:rPr>
          <w:i/>
        </w:rPr>
        <w:fldChar w:fldCharType="begin"/>
      </w:r>
      <w:r w:rsidR="00692649" w:rsidRPr="00E00851">
        <w:rPr>
          <w:i/>
        </w:rPr>
        <w:instrText xml:space="preserve"> REF _Ref534988365 \r \h </w:instrText>
      </w:r>
      <w:r w:rsidR="00423768" w:rsidRPr="00E00851">
        <w:rPr>
          <w:i/>
        </w:rPr>
        <w:instrText xml:space="preserve"> \* MERGEFORMAT </w:instrText>
      </w:r>
      <w:r w:rsidR="00692649" w:rsidRPr="00E00851">
        <w:rPr>
          <w:i/>
        </w:rPr>
      </w:r>
      <w:r w:rsidR="00692649" w:rsidRPr="00E00851">
        <w:rPr>
          <w:i/>
        </w:rPr>
        <w:fldChar w:fldCharType="separate"/>
      </w:r>
      <w:r w:rsidR="00DB0341" w:rsidRPr="00E00851">
        <w:rPr>
          <w:i/>
        </w:rPr>
        <w:t>23.25</w:t>
      </w:r>
      <w:r w:rsidR="00692649" w:rsidRPr="00E00851">
        <w:rPr>
          <w:i/>
        </w:rPr>
        <w:fldChar w:fldCharType="end"/>
      </w:r>
      <w:r w:rsidR="00692649" w:rsidRPr="00E00851">
        <w:rPr>
          <w:i/>
        </w:rPr>
        <w:t xml:space="preserve"> - </w:t>
      </w:r>
      <w:r w:rsidR="00692649" w:rsidRPr="00E00851">
        <w:rPr>
          <w:i/>
        </w:rPr>
        <w:fldChar w:fldCharType="begin"/>
      </w:r>
      <w:r w:rsidR="00692649" w:rsidRPr="00E00851">
        <w:rPr>
          <w:i/>
        </w:rPr>
        <w:instrText xml:space="preserve"> REF _Ref534988399 \w \h </w:instrText>
      </w:r>
      <w:r w:rsidR="00423768" w:rsidRPr="00E00851">
        <w:rPr>
          <w:i/>
        </w:rPr>
        <w:instrText xml:space="preserve"> \* MERGEFORMAT </w:instrText>
      </w:r>
      <w:r w:rsidR="00692649" w:rsidRPr="00E00851">
        <w:rPr>
          <w:i/>
        </w:rPr>
      </w:r>
      <w:r w:rsidR="00692649" w:rsidRPr="00E00851">
        <w:rPr>
          <w:i/>
        </w:rPr>
        <w:fldChar w:fldCharType="separate"/>
      </w:r>
      <w:r w:rsidR="00DB0341" w:rsidRPr="00E00851">
        <w:rPr>
          <w:i/>
        </w:rPr>
        <w:t>23.39</w:t>
      </w:r>
      <w:r w:rsidR="00692649" w:rsidRPr="00E00851">
        <w:rPr>
          <w:i/>
        </w:rPr>
        <w:fldChar w:fldCharType="end"/>
      </w:r>
    </w:p>
    <w:p w14:paraId="55ACBAD3" w14:textId="77777777" w:rsidR="00912EEB" w:rsidRPr="00E00851" w:rsidRDefault="00912EEB" w:rsidP="007977B2">
      <w:pPr>
        <w:spacing w:after="200" w:line="240" w:lineRule="auto"/>
        <w:ind w:left="502"/>
      </w:pPr>
      <w:r w:rsidRPr="00E00851">
        <w:t xml:space="preserve">You may also wish to include an additional clause apportioning liability between the parties arising out of data protection; of data that is jointly controlled. </w:t>
      </w:r>
    </w:p>
    <w:p w14:paraId="1DAEABE8" w14:textId="0F13339F" w:rsidR="004615E7" w:rsidRPr="002438DC" w:rsidRDefault="00912EEB" w:rsidP="007977B2">
      <w:pPr>
        <w:ind w:left="510"/>
      </w:pPr>
      <w:r w:rsidRPr="00E00851">
        <w:t xml:space="preserve">Where there is a Joint Control relationship, but no controller to processor relationship under the contract, this completed </w:t>
      </w:r>
      <w:r w:rsidR="00FC6A69" w:rsidRPr="00E00851">
        <w:t xml:space="preserve">Contract </w:t>
      </w:r>
      <w:r w:rsidRPr="00E00851">
        <w:t xml:space="preserve">Schedule </w:t>
      </w:r>
      <w:r w:rsidR="00FC6A69" w:rsidRPr="00E00851">
        <w:t>8</w:t>
      </w:r>
      <w:r w:rsidRPr="00E00851">
        <w:t xml:space="preserve"> should be</w:t>
      </w:r>
      <w:r w:rsidR="00692649" w:rsidRPr="00E00851">
        <w:t xml:space="preserve"> used instead of Clause </w:t>
      </w:r>
      <w:r w:rsidR="00692649" w:rsidRPr="00E00851">
        <w:rPr>
          <w:i/>
        </w:rPr>
        <w:fldChar w:fldCharType="begin"/>
      </w:r>
      <w:r w:rsidR="00692649" w:rsidRPr="00E00851">
        <w:rPr>
          <w:i/>
        </w:rPr>
        <w:instrText xml:space="preserve"> REF _Ref534988365 \r \h </w:instrText>
      </w:r>
      <w:r w:rsidR="00423768" w:rsidRPr="00E00851">
        <w:rPr>
          <w:i/>
        </w:rPr>
        <w:instrText xml:space="preserve"> \* MERGEFORMAT </w:instrText>
      </w:r>
      <w:r w:rsidR="00692649" w:rsidRPr="00E00851">
        <w:rPr>
          <w:i/>
        </w:rPr>
      </w:r>
      <w:r w:rsidR="00692649" w:rsidRPr="00E00851">
        <w:rPr>
          <w:i/>
        </w:rPr>
        <w:fldChar w:fldCharType="separate"/>
      </w:r>
      <w:r w:rsidR="00DB0341" w:rsidRPr="00E00851">
        <w:rPr>
          <w:i/>
        </w:rPr>
        <w:t>23.25</w:t>
      </w:r>
      <w:r w:rsidR="00692649" w:rsidRPr="00E00851">
        <w:rPr>
          <w:i/>
        </w:rPr>
        <w:fldChar w:fldCharType="end"/>
      </w:r>
      <w:r w:rsidR="00692649" w:rsidRPr="00E00851">
        <w:rPr>
          <w:i/>
        </w:rPr>
        <w:t xml:space="preserve"> - </w:t>
      </w:r>
      <w:r w:rsidR="00692649" w:rsidRPr="00E00851">
        <w:rPr>
          <w:i/>
        </w:rPr>
        <w:fldChar w:fldCharType="begin"/>
      </w:r>
      <w:r w:rsidR="00692649" w:rsidRPr="00E00851">
        <w:rPr>
          <w:i/>
        </w:rPr>
        <w:instrText xml:space="preserve"> REF _Ref534988399 \w \h </w:instrText>
      </w:r>
      <w:r w:rsidR="00423768" w:rsidRPr="00E00851">
        <w:rPr>
          <w:i/>
        </w:rPr>
        <w:instrText xml:space="preserve"> \* MERGEFORMAT </w:instrText>
      </w:r>
      <w:r w:rsidR="00692649" w:rsidRPr="00E00851">
        <w:rPr>
          <w:i/>
        </w:rPr>
      </w:r>
      <w:r w:rsidR="00692649" w:rsidRPr="00E00851">
        <w:rPr>
          <w:i/>
        </w:rPr>
        <w:fldChar w:fldCharType="separate"/>
      </w:r>
      <w:r w:rsidR="00DB0341" w:rsidRPr="00E00851">
        <w:rPr>
          <w:i/>
        </w:rPr>
        <w:t>23.39</w:t>
      </w:r>
      <w:r w:rsidR="00692649" w:rsidRPr="00E00851">
        <w:rPr>
          <w:i/>
        </w:rPr>
        <w:fldChar w:fldCharType="end"/>
      </w:r>
      <w:r w:rsidRPr="00E00851">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59" w:name="_Toc4715588"/>
      <w:r>
        <w:rPr>
          <w:color w:val="auto"/>
          <w:sz w:val="24"/>
          <w:szCs w:val="24"/>
          <w:u w:val="none"/>
        </w:rPr>
        <w:lastRenderedPageBreak/>
        <w:t>CONTRACT SCHEDULE 9</w:t>
      </w:r>
      <w:r w:rsidR="00A40215" w:rsidRPr="002438DC">
        <w:rPr>
          <w:color w:val="auto"/>
          <w:sz w:val="24"/>
          <w:szCs w:val="24"/>
          <w:u w:val="none"/>
        </w:rPr>
        <w:t>: TRANSPARENCY REPORTS</w:t>
      </w:r>
      <w:bookmarkEnd w:id="359"/>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E00851" w:rsidRDefault="00DD000E">
            <w:pPr>
              <w:ind w:left="0" w:firstLine="0"/>
            </w:pPr>
            <w:r w:rsidRPr="00E00851">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E00851" w:rsidRDefault="00DD000E">
            <w:pPr>
              <w:ind w:left="0" w:firstLine="0"/>
            </w:pPr>
            <w:r w:rsidRPr="00E00851">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E00851" w:rsidRDefault="00DD000E" w:rsidP="002438DC">
            <w:pPr>
              <w:ind w:left="0" w:firstLine="0"/>
              <w:jc w:val="left"/>
            </w:pPr>
            <w:r w:rsidRPr="00E00851">
              <w:t>[Key Sub</w:t>
            </w:r>
            <w:r w:rsidR="008F10B0" w:rsidRPr="00E00851">
              <w:t>-</w:t>
            </w:r>
            <w:r w:rsidRPr="00E00851">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E00851" w:rsidRDefault="00DD000E">
            <w:pPr>
              <w:ind w:left="0" w:firstLine="0"/>
            </w:pPr>
            <w:r w:rsidRPr="00E00851">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E00851" w:rsidRDefault="00DD000E">
            <w:pPr>
              <w:ind w:left="0" w:firstLine="0"/>
            </w:pPr>
            <w:r w:rsidRPr="00E00851">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60" w:name="_Toc4715589"/>
      <w:bookmarkStart w:id="361" w:name="_Toc316562"/>
      <w:r>
        <w:rPr>
          <w:color w:val="000000"/>
          <w:u w:val="none" w:color="000000"/>
        </w:rPr>
        <w:lastRenderedPageBreak/>
        <w:t>CONTRACT SCHEDULE 10: EXIT MANAGEMENT</w:t>
      </w:r>
      <w:bookmarkEnd w:id="360"/>
      <w:r>
        <w:rPr>
          <w:color w:val="000000"/>
          <w:u w:val="none" w:color="000000"/>
        </w:rPr>
        <w:t xml:space="preserve"> </w:t>
      </w:r>
      <w:bookmarkEnd w:id="361"/>
    </w:p>
    <w:p w14:paraId="16A4D7E3" w14:textId="77777777" w:rsidR="00800221" w:rsidRDefault="00800221" w:rsidP="00AA027B">
      <w:pPr>
        <w:numPr>
          <w:ilvl w:val="0"/>
          <w:numId w:val="87"/>
        </w:numPr>
        <w:spacing w:after="235" w:line="249" w:lineRule="auto"/>
        <w:ind w:right="184" w:hanging="360"/>
      </w:pPr>
      <w:r>
        <w:rPr>
          <w:b/>
        </w:rPr>
        <w:t xml:space="preserve">DEFINITIONS </w:t>
      </w:r>
    </w:p>
    <w:p w14:paraId="4CFAEAB1" w14:textId="4720D4C5" w:rsidR="00800221" w:rsidRDefault="00800221" w:rsidP="00AA027B">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AA027B">
      <w:pPr>
        <w:numPr>
          <w:ilvl w:val="0"/>
          <w:numId w:val="87"/>
        </w:numPr>
        <w:spacing w:after="235" w:line="249" w:lineRule="auto"/>
        <w:ind w:right="184" w:hanging="360"/>
      </w:pPr>
      <w:r>
        <w:rPr>
          <w:b/>
        </w:rPr>
        <w:t xml:space="preserve">INTRODUCTION </w:t>
      </w:r>
    </w:p>
    <w:p w14:paraId="51613A4F" w14:textId="6403A894" w:rsidR="00800221" w:rsidRDefault="00800221" w:rsidP="00AA027B">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AA027B">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AA027B">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AA027B">
      <w:pPr>
        <w:numPr>
          <w:ilvl w:val="1"/>
          <w:numId w:val="87"/>
        </w:numPr>
        <w:ind w:left="1132" w:right="186" w:hanging="566"/>
      </w:pPr>
      <w:r>
        <w:t xml:space="preserve">During the Contract Period, the Supplier shall: </w:t>
      </w:r>
    </w:p>
    <w:p w14:paraId="092AEA1B" w14:textId="77777777" w:rsidR="00800221" w:rsidRDefault="00800221" w:rsidP="00AA027B">
      <w:pPr>
        <w:numPr>
          <w:ilvl w:val="2"/>
          <w:numId w:val="87"/>
        </w:numPr>
        <w:ind w:right="186" w:hanging="991"/>
      </w:pPr>
      <w:r>
        <w:t xml:space="preserve">create and maintain a Register of all: </w:t>
      </w:r>
    </w:p>
    <w:p w14:paraId="4E63C3AE" w14:textId="24CD61D3" w:rsidR="00800221" w:rsidRDefault="00800221" w:rsidP="00AA027B">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AA027B">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AA027B">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AA027B">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AA027B">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AA027B">
      <w:pPr>
        <w:numPr>
          <w:ilvl w:val="1"/>
          <w:numId w:val="87"/>
        </w:numPr>
        <w:ind w:left="1132" w:right="186" w:hanging="566"/>
      </w:pPr>
      <w:r>
        <w:t xml:space="preserve">The Supplier shall: </w:t>
      </w:r>
    </w:p>
    <w:p w14:paraId="368096D3" w14:textId="77777777" w:rsidR="00800221" w:rsidRDefault="00800221" w:rsidP="00AA027B">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AA027B">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AA027B">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AA027B">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AA027B">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AA027B">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AA027B">
      <w:pPr>
        <w:numPr>
          <w:ilvl w:val="2"/>
          <w:numId w:val="87"/>
        </w:numPr>
        <w:ind w:right="186" w:hanging="991"/>
      </w:pPr>
      <w:r>
        <w:t xml:space="preserve">details of the Service(s); </w:t>
      </w:r>
    </w:p>
    <w:p w14:paraId="01740EFD" w14:textId="77777777" w:rsidR="00800221" w:rsidRDefault="00800221" w:rsidP="00AA027B">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AA027B">
      <w:pPr>
        <w:numPr>
          <w:ilvl w:val="2"/>
          <w:numId w:val="87"/>
        </w:numPr>
        <w:ind w:right="186" w:hanging="991"/>
      </w:pPr>
      <w:r>
        <w:t xml:space="preserve">an inventory of Customer Data in the Suppliers possession or control; </w:t>
      </w:r>
    </w:p>
    <w:p w14:paraId="4486AB89" w14:textId="77777777" w:rsidR="00800221" w:rsidRDefault="00800221" w:rsidP="00AA027B">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AA027B">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AA027B">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AA027B">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AA027B">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AA027B">
      <w:pPr>
        <w:numPr>
          <w:ilvl w:val="1"/>
          <w:numId w:val="87"/>
        </w:numPr>
        <w:ind w:left="1132" w:right="186" w:hanging="566"/>
      </w:pPr>
      <w:r>
        <w:t xml:space="preserve">The Supplier shall: </w:t>
      </w:r>
    </w:p>
    <w:p w14:paraId="08CE57FD" w14:textId="77777777" w:rsidR="00800221" w:rsidRDefault="00800221" w:rsidP="00AA027B">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AA027B">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AA027B">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AA027B">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AA027B">
      <w:pPr>
        <w:numPr>
          <w:ilvl w:val="2"/>
          <w:numId w:val="87"/>
        </w:numPr>
        <w:ind w:right="186" w:hanging="991"/>
      </w:pPr>
      <w:r>
        <w:t xml:space="preserve">prepare an informed offer for those Goods and/or Services; and </w:t>
      </w:r>
    </w:p>
    <w:p w14:paraId="198B65CE" w14:textId="77777777" w:rsidR="00800221" w:rsidRDefault="00800221" w:rsidP="00AA027B">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AA027B">
      <w:pPr>
        <w:numPr>
          <w:ilvl w:val="0"/>
          <w:numId w:val="87"/>
        </w:numPr>
        <w:spacing w:after="235" w:line="249" w:lineRule="auto"/>
        <w:ind w:right="184" w:hanging="360"/>
      </w:pPr>
      <w:r>
        <w:rPr>
          <w:b/>
        </w:rPr>
        <w:t xml:space="preserve">EXIT PLAN </w:t>
      </w:r>
    </w:p>
    <w:p w14:paraId="5A1EF56F" w14:textId="77777777" w:rsidR="00800221" w:rsidRDefault="00800221" w:rsidP="00AA027B">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AA027B">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AA027B">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AA027B">
      <w:pPr>
        <w:numPr>
          <w:ilvl w:val="2"/>
          <w:numId w:val="87"/>
        </w:numPr>
        <w:ind w:right="186" w:hanging="991"/>
      </w:pPr>
      <w:r>
        <w:t xml:space="preserve">is otherwise reasonably satisfactory to the Customer. </w:t>
      </w:r>
    </w:p>
    <w:p w14:paraId="343ED240" w14:textId="77777777" w:rsidR="00800221" w:rsidRDefault="00800221" w:rsidP="00AA027B">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AA027B">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AA027B">
      <w:pPr>
        <w:numPr>
          <w:ilvl w:val="2"/>
          <w:numId w:val="87"/>
        </w:numPr>
        <w:ind w:right="186" w:hanging="991"/>
      </w:pPr>
      <w:r>
        <w:t xml:space="preserve">how the Exit Information is obtained;  </w:t>
      </w:r>
    </w:p>
    <w:p w14:paraId="403D2026" w14:textId="77777777" w:rsidR="00800221" w:rsidRDefault="00800221" w:rsidP="00AA027B">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AA027B">
      <w:pPr>
        <w:numPr>
          <w:ilvl w:val="2"/>
          <w:numId w:val="87"/>
        </w:numPr>
        <w:ind w:right="186" w:hanging="991"/>
      </w:pPr>
      <w:r>
        <w:t xml:space="preserve">the management structure to be employed during the Termination Assistance Period; </w:t>
      </w:r>
    </w:p>
    <w:p w14:paraId="226FC720" w14:textId="77777777" w:rsidR="00800221" w:rsidRDefault="00800221" w:rsidP="00AA027B">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AA027B">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AA027B">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AA027B">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AA027B">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AA027B">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AA027B">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AA027B">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AA027B">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AA027B">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AA027B">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AA027B">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AA027B">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AA027B">
      <w:pPr>
        <w:numPr>
          <w:ilvl w:val="0"/>
          <w:numId w:val="87"/>
        </w:numPr>
        <w:spacing w:after="235" w:line="249" w:lineRule="auto"/>
        <w:ind w:right="184" w:hanging="360"/>
      </w:pPr>
      <w:r>
        <w:rPr>
          <w:b/>
        </w:rPr>
        <w:t xml:space="preserve">TERMINATION ASSISTANCE </w:t>
      </w:r>
    </w:p>
    <w:p w14:paraId="25A7A90A" w14:textId="77777777" w:rsidR="00800221" w:rsidRDefault="00800221" w:rsidP="00AA027B">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AA027B">
      <w:pPr>
        <w:numPr>
          <w:ilvl w:val="2"/>
          <w:numId w:val="87"/>
        </w:numPr>
        <w:ind w:right="186" w:hanging="991"/>
      </w:pPr>
      <w:r>
        <w:t xml:space="preserve">the date from which Termination Assistance is required; </w:t>
      </w:r>
    </w:p>
    <w:p w14:paraId="7B67CE01" w14:textId="77777777" w:rsidR="00800221" w:rsidRDefault="00800221" w:rsidP="00AA027B">
      <w:pPr>
        <w:numPr>
          <w:ilvl w:val="2"/>
          <w:numId w:val="87"/>
        </w:numPr>
        <w:ind w:right="186" w:hanging="991"/>
      </w:pPr>
      <w:r>
        <w:t xml:space="preserve">the nature of the Termination Assistance required; and </w:t>
      </w:r>
    </w:p>
    <w:p w14:paraId="5856E928" w14:textId="77777777" w:rsidR="00800221" w:rsidRDefault="00800221" w:rsidP="00AA027B">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AA027B">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AA027B">
      <w:pPr>
        <w:numPr>
          <w:ilvl w:val="0"/>
          <w:numId w:val="87"/>
        </w:numPr>
        <w:spacing w:after="235" w:line="249" w:lineRule="auto"/>
        <w:ind w:right="184" w:hanging="360"/>
      </w:pPr>
      <w:r>
        <w:rPr>
          <w:b/>
        </w:rPr>
        <w:t xml:space="preserve">TERMINATION ASSISTANCE PERIOD  </w:t>
      </w:r>
    </w:p>
    <w:p w14:paraId="267F4DEB" w14:textId="77777777" w:rsidR="00800221" w:rsidRDefault="00800221" w:rsidP="00AA027B">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AA027B">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AA027B">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AA027B">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AA027B">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AA027B">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AA027B">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AA027B">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AA027B">
      <w:pPr>
        <w:numPr>
          <w:ilvl w:val="0"/>
          <w:numId w:val="87"/>
        </w:numPr>
        <w:spacing w:after="235" w:line="249" w:lineRule="auto"/>
        <w:ind w:right="184" w:hanging="360"/>
      </w:pPr>
      <w:r>
        <w:rPr>
          <w:b/>
        </w:rPr>
        <w:t xml:space="preserve">TERMINATION OBLIGATIONS </w:t>
      </w:r>
    </w:p>
    <w:p w14:paraId="5797466E" w14:textId="77777777" w:rsidR="00800221" w:rsidRDefault="00800221" w:rsidP="00AA027B">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AA027B">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AA027B">
      <w:pPr>
        <w:numPr>
          <w:ilvl w:val="2"/>
          <w:numId w:val="87"/>
        </w:numPr>
        <w:ind w:right="186" w:hanging="991"/>
      </w:pPr>
      <w:r>
        <w:t xml:space="preserve">cease to use the Customer Data; </w:t>
      </w:r>
    </w:p>
    <w:p w14:paraId="7509C382" w14:textId="77777777" w:rsidR="00800221" w:rsidRDefault="00800221" w:rsidP="00AA027B">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AA027B">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AA027B">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AA027B">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AA027B">
      <w:pPr>
        <w:numPr>
          <w:ilvl w:val="4"/>
          <w:numId w:val="89"/>
        </w:numPr>
        <w:ind w:right="186" w:hanging="709"/>
      </w:pPr>
      <w:r>
        <w:t xml:space="preserve">any equipment which belongs to the Customer;  </w:t>
      </w:r>
    </w:p>
    <w:p w14:paraId="24F6A40E" w14:textId="77777777" w:rsidR="00800221" w:rsidRDefault="00800221" w:rsidP="00AA027B">
      <w:pPr>
        <w:numPr>
          <w:ilvl w:val="4"/>
          <w:numId w:val="89"/>
        </w:numPr>
        <w:ind w:right="186" w:hanging="709"/>
      </w:pPr>
      <w:r>
        <w:t xml:space="preserve">any items that have been on-charged to the Customer, such as consumables; and </w:t>
      </w:r>
    </w:p>
    <w:p w14:paraId="2500734C" w14:textId="77777777" w:rsidR="00800221" w:rsidRDefault="00800221" w:rsidP="00AA027B">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AA027B">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AA027B">
      <w:pPr>
        <w:numPr>
          <w:ilvl w:val="2"/>
          <w:numId w:val="87"/>
        </w:numPr>
        <w:ind w:right="186" w:hanging="991"/>
      </w:pPr>
      <w:r>
        <w:t xml:space="preserve">vacate any Customer Premises; </w:t>
      </w:r>
    </w:p>
    <w:p w14:paraId="69D5F11A" w14:textId="77777777" w:rsidR="00800221" w:rsidRDefault="00800221" w:rsidP="00AA027B">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AA027B">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AA027B">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AA027B">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AA027B">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AA027B">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AA027B">
      <w:pPr>
        <w:numPr>
          <w:ilvl w:val="0"/>
          <w:numId w:val="87"/>
        </w:numPr>
        <w:spacing w:after="235" w:line="249" w:lineRule="auto"/>
        <w:ind w:right="184" w:hanging="360"/>
      </w:pPr>
      <w:r>
        <w:rPr>
          <w:b/>
        </w:rPr>
        <w:t xml:space="preserve">ASSETS AND SUB-CONTRACTS  </w:t>
      </w:r>
    </w:p>
    <w:p w14:paraId="7318816F" w14:textId="77777777" w:rsidR="00800221" w:rsidRDefault="00800221" w:rsidP="00AA027B">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AA027B">
      <w:pPr>
        <w:numPr>
          <w:ilvl w:val="2"/>
          <w:numId w:val="87"/>
        </w:numPr>
        <w:ind w:right="186" w:hanging="991"/>
      </w:pPr>
      <w:r>
        <w:t xml:space="preserve">terminate, enter into or vary any Sub-Contract; </w:t>
      </w:r>
    </w:p>
    <w:p w14:paraId="0AEA83BA" w14:textId="77777777" w:rsidR="00800221" w:rsidRDefault="00800221" w:rsidP="00AA027B">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AA027B">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AA027B">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AA027B">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AA027B">
      <w:pPr>
        <w:numPr>
          <w:ilvl w:val="2"/>
          <w:numId w:val="87"/>
        </w:numPr>
        <w:ind w:right="186" w:hanging="991"/>
      </w:pPr>
      <w:r>
        <w:t xml:space="preserve">which, if any, of: </w:t>
      </w:r>
    </w:p>
    <w:p w14:paraId="3005B44E" w14:textId="77777777" w:rsidR="00800221" w:rsidRDefault="00800221" w:rsidP="00AA027B">
      <w:pPr>
        <w:numPr>
          <w:ilvl w:val="3"/>
          <w:numId w:val="87"/>
        </w:numPr>
        <w:ind w:left="2765" w:right="186" w:hanging="709"/>
      </w:pPr>
      <w:r>
        <w:t xml:space="preserve">the Exclusive Assets that are not Transferable Assets; and  </w:t>
      </w:r>
    </w:p>
    <w:p w14:paraId="65E2EE9F" w14:textId="77777777" w:rsidR="00800221" w:rsidRDefault="00800221" w:rsidP="00AA027B">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AA027B">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AA027B">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AA027B">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AA027B">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AA027B">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AA027B">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AA027B">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AA027B">
      <w:pPr>
        <w:numPr>
          <w:ilvl w:val="1"/>
          <w:numId w:val="87"/>
        </w:numPr>
        <w:ind w:left="1132" w:right="186" w:hanging="566"/>
      </w:pPr>
      <w:r>
        <w:t xml:space="preserve">The Customer shall: </w:t>
      </w:r>
    </w:p>
    <w:p w14:paraId="6C449C1C" w14:textId="77777777" w:rsidR="00800221" w:rsidRDefault="00800221" w:rsidP="00AA027B">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AA027B">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AA027B">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AA027B">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AA027B">
      <w:pPr>
        <w:numPr>
          <w:ilvl w:val="0"/>
          <w:numId w:val="87"/>
        </w:numPr>
        <w:spacing w:after="235" w:line="249" w:lineRule="auto"/>
        <w:ind w:right="184" w:hanging="360"/>
      </w:pPr>
      <w:r>
        <w:rPr>
          <w:b/>
        </w:rPr>
        <w:t xml:space="preserve">SUPPLIER PERSONNEL </w:t>
      </w:r>
    </w:p>
    <w:p w14:paraId="052CB32C" w14:textId="77777777" w:rsidR="00800221" w:rsidRDefault="00800221" w:rsidP="00AA027B">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AA027B">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AA027B">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AA027B">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AA027B">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AA027B">
      <w:pPr>
        <w:numPr>
          <w:ilvl w:val="0"/>
          <w:numId w:val="87"/>
        </w:numPr>
        <w:spacing w:after="235" w:line="249" w:lineRule="auto"/>
        <w:ind w:right="184" w:hanging="360"/>
      </w:pPr>
      <w:r>
        <w:rPr>
          <w:b/>
        </w:rPr>
        <w:t xml:space="preserve">CHARGES  </w:t>
      </w:r>
    </w:p>
    <w:p w14:paraId="28890BF7" w14:textId="301FE2F4" w:rsidR="00800221" w:rsidRDefault="00800221" w:rsidP="00AA027B">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AA027B">
      <w:pPr>
        <w:numPr>
          <w:ilvl w:val="0"/>
          <w:numId w:val="87"/>
        </w:numPr>
        <w:spacing w:after="235" w:line="249" w:lineRule="auto"/>
        <w:ind w:right="184" w:hanging="360"/>
      </w:pPr>
      <w:r>
        <w:rPr>
          <w:b/>
        </w:rPr>
        <w:t xml:space="preserve">APPORTIONMENTS  </w:t>
      </w:r>
    </w:p>
    <w:p w14:paraId="18A9E002" w14:textId="77777777" w:rsidR="00800221" w:rsidRDefault="00800221" w:rsidP="00AA027B">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AA027B">
      <w:pPr>
        <w:numPr>
          <w:ilvl w:val="2"/>
          <w:numId w:val="87"/>
        </w:numPr>
        <w:ind w:right="186" w:hanging="991"/>
      </w:pPr>
      <w:r>
        <w:t xml:space="preserve">the amounts shall be annualised and divided by 365 to reach a daily rate; </w:t>
      </w:r>
    </w:p>
    <w:p w14:paraId="44EA786D" w14:textId="77777777" w:rsidR="00800221" w:rsidRDefault="00800221" w:rsidP="00AA027B">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AA027B">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AA027B">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62" w:name="_Toc4715590"/>
      <w:bookmarkStart w:id="363" w:name="_Toc316568"/>
      <w:r>
        <w:rPr>
          <w:color w:val="000000"/>
          <w:u w:val="none" w:color="000000"/>
        </w:rPr>
        <w:t>CONTRACT SCHEDULE 11: VARIATION FORM</w:t>
      </w:r>
      <w:bookmarkEnd w:id="362"/>
      <w:r>
        <w:rPr>
          <w:color w:val="000000"/>
          <w:u w:val="none" w:color="000000"/>
        </w:rPr>
        <w:t xml:space="preserve"> </w:t>
      </w:r>
      <w:bookmarkEnd w:id="363"/>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31060A85" w:rsidR="00DC2924" w:rsidRPr="00DC2924" w:rsidRDefault="00D72D00" w:rsidP="00DC2924">
      <w:pPr>
        <w:spacing w:after="5" w:line="453" w:lineRule="auto"/>
        <w:ind w:left="118" w:right="4753" w:hanging="10"/>
        <w:jc w:val="left"/>
      </w:pPr>
      <w:r>
        <w:rPr>
          <w:rFonts w:eastAsia="Calibri"/>
          <w:b/>
        </w:rPr>
        <w:t>Cabinet Office</w:t>
      </w:r>
      <w:bookmarkStart w:id="364" w:name="_GoBack"/>
      <w:bookmarkEnd w:id="364"/>
      <w:r w:rsidR="00DC2924" w:rsidRPr="00DC2924">
        <w:rPr>
          <w:rFonts w:eastAsia="Calibri"/>
        </w:rPr>
        <w:t xml:space="preserve"> ("</w:t>
      </w:r>
      <w:r w:rsidR="00DC2924" w:rsidRPr="00DC2924">
        <w:rPr>
          <w:rFonts w:eastAsia="Calibri"/>
          <w:b/>
        </w:rPr>
        <w:t>the Customer"</w:t>
      </w:r>
      <w:r w:rsidR="00DC2924" w:rsidRPr="00DC2924">
        <w:rPr>
          <w:rFonts w:eastAsia="Calibri"/>
        </w:rPr>
        <w:t xml:space="preserve">) and </w:t>
      </w:r>
    </w:p>
    <w:p w14:paraId="3EE942D6" w14:textId="0D4837A3" w:rsidR="00DC2924" w:rsidRPr="00DC2924" w:rsidRDefault="00795F7F" w:rsidP="00DC2924">
      <w:pPr>
        <w:spacing w:after="501" w:line="249" w:lineRule="auto"/>
        <w:ind w:left="118" w:hanging="10"/>
        <w:jc w:val="left"/>
      </w:pPr>
      <w:r>
        <w:rPr>
          <w:rFonts w:eastAsia="Calibri"/>
          <w:b/>
        </w:rPr>
        <w:t>BPP Professional Education Ltd</w:t>
      </w:r>
      <w:r w:rsidR="00DC2924" w:rsidRPr="00DC2924">
        <w:rPr>
          <w:rFonts w:eastAsia="Calibri"/>
        </w:rPr>
        <w:t xml:space="preserve"> (</w:t>
      </w:r>
      <w:r w:rsidR="00DC2924" w:rsidRPr="00DC2924">
        <w:rPr>
          <w:rFonts w:eastAsia="Calibri"/>
          <w:b/>
        </w:rPr>
        <w:t>"the Supplier"</w:t>
      </w:r>
      <w:r w:rsidR="00DC2924" w:rsidRPr="00DC2924">
        <w:rPr>
          <w:rFonts w:eastAsia="Calibri"/>
        </w:rPr>
        <w:t xml:space="preserve">) </w:t>
      </w:r>
    </w:p>
    <w:p w14:paraId="15B5EDD4" w14:textId="77777777" w:rsidR="00DC2924" w:rsidRPr="00DC2924" w:rsidRDefault="00DC2924" w:rsidP="00AA027B">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AA027B">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AA027B">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65" w:name="_Toc4715591"/>
      <w:bookmarkStart w:id="366" w:name="_Toc316571"/>
      <w:r>
        <w:rPr>
          <w:color w:val="000000"/>
          <w:u w:val="none" w:color="000000"/>
        </w:rPr>
        <w:lastRenderedPageBreak/>
        <w:t>CONTRACT SCHEDULE 12: ALTERNATIVE AND/OR ADDITIONAL CLAUSES</w:t>
      </w:r>
      <w:bookmarkEnd w:id="365"/>
      <w:r>
        <w:rPr>
          <w:color w:val="000000"/>
          <w:u w:val="none" w:color="000000"/>
        </w:rPr>
        <w:t xml:space="preserve"> </w:t>
      </w:r>
      <w:bookmarkEnd w:id="366"/>
    </w:p>
    <w:p w14:paraId="76CA6F53" w14:textId="77777777" w:rsidR="00DC2924" w:rsidRDefault="00DC2924" w:rsidP="00AA027B">
      <w:pPr>
        <w:numPr>
          <w:ilvl w:val="0"/>
          <w:numId w:val="92"/>
        </w:numPr>
        <w:spacing w:after="235" w:line="249" w:lineRule="auto"/>
        <w:ind w:right="184" w:hanging="360"/>
      </w:pPr>
      <w:r>
        <w:rPr>
          <w:b/>
        </w:rPr>
        <w:t xml:space="preserve">INTRODUCTION </w:t>
      </w:r>
    </w:p>
    <w:p w14:paraId="4F1DC035" w14:textId="17F5C22A" w:rsidR="00DC2924" w:rsidRDefault="00DC2924" w:rsidP="00AA027B">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AA027B">
      <w:pPr>
        <w:numPr>
          <w:ilvl w:val="0"/>
          <w:numId w:val="92"/>
        </w:numPr>
        <w:spacing w:after="235" w:line="249" w:lineRule="auto"/>
        <w:ind w:right="184" w:hanging="360"/>
      </w:pPr>
      <w:r>
        <w:rPr>
          <w:b/>
        </w:rPr>
        <w:t xml:space="preserve">CLAUSES SELECTED </w:t>
      </w:r>
    </w:p>
    <w:p w14:paraId="5DC79EC9" w14:textId="77777777" w:rsidR="00DC2924" w:rsidRDefault="00DC2924" w:rsidP="00AA027B">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AA027B">
      <w:pPr>
        <w:numPr>
          <w:ilvl w:val="2"/>
          <w:numId w:val="92"/>
        </w:numPr>
        <w:ind w:right="186" w:hanging="991"/>
      </w:pPr>
      <w:r>
        <w:t xml:space="preserve">Scots Law (see paragraph 4.1 of this Contract Schedule 12); </w:t>
      </w:r>
    </w:p>
    <w:p w14:paraId="3F0363B2" w14:textId="264987AF" w:rsidR="00DC2924" w:rsidRDefault="00DC2924" w:rsidP="00AA027B">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AA027B">
      <w:pPr>
        <w:numPr>
          <w:ilvl w:val="2"/>
          <w:numId w:val="93"/>
        </w:numPr>
        <w:ind w:right="186" w:hanging="991"/>
      </w:pPr>
      <w:r>
        <w:t xml:space="preserve">Non-FOIA Public Bodies (see paragraph 4.4 of this Contract Schedule 12); </w:t>
      </w:r>
    </w:p>
    <w:p w14:paraId="2DBAC88E" w14:textId="592D194F" w:rsidR="00DC2924" w:rsidRDefault="00DC2924" w:rsidP="00AA027B">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AA027B">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AA027B">
      <w:pPr>
        <w:numPr>
          <w:ilvl w:val="2"/>
          <w:numId w:val="92"/>
        </w:numPr>
        <w:ind w:right="186" w:hanging="991"/>
      </w:pPr>
      <w:r>
        <w:t xml:space="preserve">Security Measures (see paragraph 5.1 of this Contract Schedule 12); </w:t>
      </w:r>
    </w:p>
    <w:p w14:paraId="60264267" w14:textId="2D6F0E3A" w:rsidR="00DC2924" w:rsidRDefault="00DC2924" w:rsidP="00AA027B">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AA027B">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AA027B">
      <w:pPr>
        <w:numPr>
          <w:ilvl w:val="0"/>
          <w:numId w:val="92"/>
        </w:numPr>
        <w:spacing w:after="235" w:line="249" w:lineRule="auto"/>
        <w:ind w:right="184" w:hanging="360"/>
      </w:pPr>
      <w:r>
        <w:rPr>
          <w:b/>
        </w:rPr>
        <w:t xml:space="preserve">IMPLEMENTATION </w:t>
      </w:r>
    </w:p>
    <w:p w14:paraId="2380DEFF" w14:textId="68801456" w:rsidR="00DC2924" w:rsidRDefault="00DC2924" w:rsidP="00AA027B">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AA027B">
      <w:pPr>
        <w:numPr>
          <w:ilvl w:val="0"/>
          <w:numId w:val="92"/>
        </w:numPr>
        <w:spacing w:after="235" w:line="249" w:lineRule="auto"/>
        <w:ind w:right="184" w:hanging="360"/>
      </w:pPr>
      <w:r>
        <w:rPr>
          <w:b/>
        </w:rPr>
        <w:t xml:space="preserve">ALTERNATIVE CLAUSES </w:t>
      </w:r>
    </w:p>
    <w:p w14:paraId="590D1D84" w14:textId="4B46530A" w:rsidR="00DC2924" w:rsidRDefault="00E00851" w:rsidP="00DC2924">
      <w:pPr>
        <w:tabs>
          <w:tab w:val="center" w:pos="1133"/>
          <w:tab w:val="center" w:pos="4993"/>
        </w:tabs>
        <w:spacing w:after="223" w:line="259" w:lineRule="auto"/>
        <w:ind w:left="0" w:firstLine="0"/>
        <w:jc w:val="left"/>
      </w:pPr>
      <w:r>
        <w:t>Not Applicable</w:t>
      </w:r>
    </w:p>
    <w:p w14:paraId="673223AC" w14:textId="77777777" w:rsidR="00DC2924" w:rsidRDefault="00DC2924" w:rsidP="00AA027B">
      <w:pPr>
        <w:numPr>
          <w:ilvl w:val="0"/>
          <w:numId w:val="94"/>
        </w:numPr>
        <w:spacing w:after="235" w:line="249" w:lineRule="auto"/>
        <w:ind w:right="184" w:hanging="360"/>
      </w:pPr>
      <w:r>
        <w:rPr>
          <w:b/>
        </w:rPr>
        <w:t xml:space="preserve">ADDITIONAL CLAUSES: GENERAL  </w:t>
      </w:r>
    </w:p>
    <w:p w14:paraId="098F6BB5" w14:textId="77777777" w:rsidR="00DC2924" w:rsidRDefault="00DC2924" w:rsidP="00AA027B">
      <w:pPr>
        <w:numPr>
          <w:ilvl w:val="1"/>
          <w:numId w:val="94"/>
        </w:numPr>
        <w:ind w:left="1132" w:right="186" w:hanging="566"/>
      </w:pPr>
      <w:r>
        <w:t xml:space="preserve">SECURITY MEASURES </w:t>
      </w:r>
    </w:p>
    <w:p w14:paraId="5E23B9A5" w14:textId="77777777" w:rsidR="00DC2924" w:rsidRDefault="00DC2924" w:rsidP="00AA027B">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w:t>
      </w:r>
      <w:r>
        <w:lastRenderedPageBreak/>
        <w:t xml:space="preserve">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02209E1C" w:rsidR="00DC2924" w:rsidRPr="00E00851" w:rsidRDefault="00DC2924" w:rsidP="00AA027B">
      <w:pPr>
        <w:numPr>
          <w:ilvl w:val="2"/>
          <w:numId w:val="94"/>
        </w:numPr>
        <w:ind w:right="186" w:hanging="991"/>
      </w:pPr>
      <w:r>
        <w:t>The following new Cla</w:t>
      </w:r>
      <w:r w:rsidRPr="00E00851">
        <w:t xml:space="preserve">use 58 shall apply: </w:t>
      </w:r>
    </w:p>
    <w:p w14:paraId="59F1295D" w14:textId="12BFE58B" w:rsidR="00DC2924" w:rsidRDefault="00DC2924" w:rsidP="00DC2924">
      <w:pPr>
        <w:pStyle w:val="Heading3"/>
        <w:tabs>
          <w:tab w:val="center" w:pos="1286"/>
          <w:tab w:val="center" w:pos="3298"/>
          <w:tab w:val="center" w:pos="5041"/>
        </w:tabs>
        <w:ind w:left="0" w:firstLine="0"/>
      </w:pPr>
      <w:r w:rsidRPr="00E00851">
        <w:rPr>
          <w:rFonts w:ascii="Calibri" w:eastAsia="Calibri" w:hAnsi="Calibri" w:cs="Calibri"/>
          <w:b w:val="0"/>
          <w:shd w:val="clear" w:color="auto" w:fill="auto"/>
        </w:rPr>
        <w:tab/>
      </w:r>
      <w:r w:rsidRPr="00E00851">
        <w:rPr>
          <w:shd w:val="clear" w:color="auto" w:fill="auto"/>
        </w:rPr>
        <w:t xml:space="preserve">58. </w:t>
      </w:r>
      <w:r w:rsidRPr="00E00851">
        <w:rPr>
          <w:shd w:val="clear" w:color="auto" w:fill="auto"/>
        </w:rPr>
        <w:tab/>
        <w:t xml:space="preserve"> 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w:t>
      </w:r>
      <w:r>
        <w:lastRenderedPageBreak/>
        <w:t xml:space="preserve">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w:t>
      </w:r>
      <w:r>
        <w:lastRenderedPageBreak/>
        <w:t>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w:t>
      </w:r>
      <w:r>
        <w:lastRenderedPageBreak/>
        <w:t xml:space="preserve">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t>
      </w:r>
      <w:r>
        <w:lastRenderedPageBreak/>
        <w:t xml:space="preserve">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lastRenderedPageBreak/>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AA027B">
      <w:pPr>
        <w:numPr>
          <w:ilvl w:val="0"/>
          <w:numId w:val="95"/>
        </w:numPr>
        <w:spacing w:after="235" w:line="249" w:lineRule="auto"/>
        <w:ind w:right="184" w:hanging="360"/>
      </w:pPr>
      <w:r>
        <w:rPr>
          <w:b/>
        </w:rPr>
        <w:lastRenderedPageBreak/>
        <w:t xml:space="preserve">NHS ADDITIONAL CLAUSES </w:t>
      </w:r>
    </w:p>
    <w:p w14:paraId="71497E3A" w14:textId="40AB9CD8"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E00851">
        <w:t>59</w:t>
      </w:r>
      <w:r>
        <w:t xml:space="preserve"> shall apply: </w:t>
      </w:r>
    </w:p>
    <w:p w14:paraId="2B7C64A8" w14:textId="5063A8D9" w:rsidR="00DC2924" w:rsidRPr="00E00851" w:rsidRDefault="00DC2924" w:rsidP="00DC2924">
      <w:pPr>
        <w:pStyle w:val="Heading3"/>
        <w:ind w:left="1469"/>
        <w:rPr>
          <w:shd w:val="clear" w:color="auto" w:fill="auto"/>
        </w:rPr>
      </w:pPr>
      <w:r w:rsidRPr="00E00851">
        <w:rPr>
          <w:shd w:val="clear" w:color="auto" w:fill="auto"/>
        </w:rPr>
        <w:t>59. CODING REQUIREMENTS</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AA027B">
      <w:pPr>
        <w:numPr>
          <w:ilvl w:val="0"/>
          <w:numId w:val="96"/>
        </w:numPr>
        <w:spacing w:after="235" w:line="249" w:lineRule="auto"/>
        <w:ind w:right="184" w:hanging="360"/>
      </w:pPr>
      <w:r>
        <w:rPr>
          <w:b/>
        </w:rPr>
        <w:t xml:space="preserve">MOD ADDITIONAL CLAUSES </w:t>
      </w:r>
    </w:p>
    <w:p w14:paraId="12476636" w14:textId="1B4D1DA1" w:rsidR="00800221" w:rsidRPr="00DC2924" w:rsidRDefault="00E00851" w:rsidP="00741EA3">
      <w:pPr>
        <w:ind w:left="510"/>
      </w:pPr>
      <w:r>
        <w:t xml:space="preserve">Not applicable. </w:t>
      </w: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28F0E19D" w14:textId="3D9358EE" w:rsidR="00702281" w:rsidRDefault="00702281" w:rsidP="00702281">
      <w:pPr>
        <w:pStyle w:val="Heading1"/>
        <w:spacing w:after="218"/>
        <w:ind w:left="236" w:right="3357" w:firstLine="0"/>
      </w:pPr>
      <w:bookmarkStart w:id="367" w:name="_Toc316572"/>
      <w:bookmarkStart w:id="368" w:name="_Toc4715592"/>
      <w:r>
        <w:rPr>
          <w:color w:val="000000"/>
          <w:u w:val="none" w:color="000000"/>
        </w:rPr>
        <w:t>CONTRACT SCHEDULE 13: CONTRACT TENDER</w:t>
      </w:r>
      <w:bookmarkEnd w:id="367"/>
      <w:bookmarkEnd w:id="368"/>
    </w:p>
    <w:p w14:paraId="3C0C199B" w14:textId="1DFC4123" w:rsidR="00702281" w:rsidRDefault="00D72D00" w:rsidP="00D72D00">
      <w:pPr>
        <w:spacing w:after="225" w:line="259" w:lineRule="auto"/>
        <w:ind w:left="236" w:firstLine="0"/>
        <w:jc w:val="center"/>
      </w:pPr>
      <w:r>
        <w:rPr>
          <w:b/>
        </w:rPr>
        <w:t>[REDACTED]</w:t>
      </w:r>
    </w:p>
    <w:p w14:paraId="49957E9C" w14:textId="481F7157" w:rsidR="00702281" w:rsidRDefault="00702281" w:rsidP="00A91AD8">
      <w:pPr>
        <w:ind w:left="510"/>
        <w:jc w:val="center"/>
      </w:pPr>
    </w:p>
    <w:p w14:paraId="794BF1A4" w14:textId="77777777" w:rsidR="00A91AD8" w:rsidRPr="00DC2924" w:rsidRDefault="00A91AD8" w:rsidP="00D72D00">
      <w:pPr>
        <w:ind w:left="510"/>
        <w:jc w:val="center"/>
      </w:pPr>
    </w:p>
    <w:sectPr w:rsidR="00A91AD8" w:rsidRPr="00DC2924">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65D40" w14:textId="77777777" w:rsidR="005C28B8" w:rsidRDefault="005C28B8">
      <w:pPr>
        <w:spacing w:after="0" w:line="240" w:lineRule="auto"/>
      </w:pPr>
      <w:r>
        <w:separator/>
      </w:r>
    </w:p>
  </w:endnote>
  <w:endnote w:type="continuationSeparator" w:id="0">
    <w:p w14:paraId="47107E91" w14:textId="77777777" w:rsidR="005C28B8" w:rsidRDefault="005C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CFFE" w14:textId="77777777" w:rsidR="00795F7F" w:rsidRDefault="00795F7F">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254E4" w14:textId="1E6267B2" w:rsidR="00795F7F" w:rsidRDefault="00795F7F" w:rsidP="00C83201">
    <w:pPr>
      <w:spacing w:after="0" w:line="259" w:lineRule="auto"/>
      <w:ind w:left="0" w:firstLine="0"/>
    </w:pPr>
    <w:r w:rsidRPr="00C47302">
      <w:rPr>
        <w:sz w:val="20"/>
        <w:szCs w:val="20"/>
      </w:rPr>
      <w:t>Contract Reference: CCZP23A04 Provision of Finance Apprenticeship Training and Related Services                                       Attachment 5</w:t>
    </w:r>
    <w:r>
      <w:rPr>
        <w:sz w:val="20"/>
        <w:szCs w:val="20"/>
      </w:rPr>
      <w:t>b</w:t>
    </w:r>
    <w:r w:rsidRPr="00C47302">
      <w:rPr>
        <w:sz w:val="20"/>
        <w:szCs w:val="20"/>
      </w:rPr>
      <w:t xml:space="preserve"> – </w:t>
    </w:r>
    <w:r>
      <w:rPr>
        <w:sz w:val="20"/>
        <w:szCs w:val="20"/>
      </w:rPr>
      <w:t>Core Terms</w:t>
    </w:r>
    <w:r w:rsidRPr="00C47302">
      <w:rPr>
        <w:sz w:val="20"/>
        <w:szCs w:val="20"/>
      </w:rPr>
      <w:t xml:space="preserve"> v1.0</w:t>
    </w:r>
    <w:r w:rsidRPr="00C47302">
      <w:rPr>
        <w:sz w:val="20"/>
        <w:szCs w:val="20"/>
      </w:rPr>
      <w:tab/>
    </w:r>
    <w:r w:rsidRPr="00C47302">
      <w:rPr>
        <w:sz w:val="20"/>
        <w:szCs w:val="20"/>
      </w:rPr>
      <w:tab/>
    </w:r>
    <w:r w:rsidRPr="00C47302">
      <w:rPr>
        <w:sz w:val="20"/>
        <w:szCs w:val="20"/>
      </w:rPr>
      <w:tab/>
    </w:r>
    <w:r w:rsidRPr="00C47302">
      <w:rPr>
        <w:sz w:val="20"/>
        <w:szCs w:val="20"/>
      </w:rPr>
      <w:tab/>
    </w:r>
    <w:r>
      <w:rPr>
        <w:sz w:val="20"/>
        <w:szCs w:val="20"/>
      </w:rPr>
      <w:tab/>
    </w:r>
    <w:r w:rsidRPr="00C47302">
      <w:rPr>
        <w:sz w:val="20"/>
        <w:szCs w:val="20"/>
      </w:rPr>
      <w:t xml:space="preserve">Page </w:t>
    </w:r>
    <w:r w:rsidRPr="00C47302">
      <w:rPr>
        <w:sz w:val="20"/>
        <w:szCs w:val="20"/>
      </w:rPr>
      <w:fldChar w:fldCharType="begin"/>
    </w:r>
    <w:r w:rsidRPr="00C47302">
      <w:rPr>
        <w:sz w:val="20"/>
        <w:szCs w:val="20"/>
      </w:rPr>
      <w:instrText>PAGE</w:instrText>
    </w:r>
    <w:r w:rsidRPr="00C47302">
      <w:rPr>
        <w:sz w:val="20"/>
        <w:szCs w:val="20"/>
      </w:rPr>
      <w:fldChar w:fldCharType="separate"/>
    </w:r>
    <w:r>
      <w:rPr>
        <w:sz w:val="20"/>
        <w:szCs w:val="20"/>
      </w:rPr>
      <w:t>1</w:t>
    </w:r>
    <w:r w:rsidRPr="00C47302">
      <w:rPr>
        <w:sz w:val="20"/>
        <w:szCs w:val="20"/>
      </w:rPr>
      <w:fldChar w:fldCharType="end"/>
    </w:r>
    <w:r w:rsidRPr="00C47302">
      <w:rPr>
        <w:sz w:val="20"/>
        <w:szCs w:val="20"/>
      </w:rPr>
      <w:t xml:space="preserve"> of </w:t>
    </w:r>
    <w:r w:rsidRPr="00C47302">
      <w:rPr>
        <w:sz w:val="20"/>
        <w:szCs w:val="20"/>
      </w:rPr>
      <w:fldChar w:fldCharType="begin"/>
    </w:r>
    <w:r w:rsidRPr="00C47302">
      <w:rPr>
        <w:sz w:val="20"/>
        <w:szCs w:val="20"/>
      </w:rPr>
      <w:instrText>NUMPAGES</w:instrText>
    </w:r>
    <w:r w:rsidRPr="00C47302">
      <w:rPr>
        <w:sz w:val="20"/>
        <w:szCs w:val="20"/>
      </w:rPr>
      <w:fldChar w:fldCharType="separate"/>
    </w:r>
    <w:r>
      <w:rPr>
        <w:sz w:val="20"/>
        <w:szCs w:val="20"/>
      </w:rPr>
      <w:t>3</w:t>
    </w:r>
    <w:r w:rsidRPr="00C47302">
      <w:rPr>
        <w:sz w:val="20"/>
        <w:szCs w:val="20"/>
      </w:rPr>
      <w:fldChar w:fldCharType="end"/>
    </w:r>
    <w:r w:rsidRPr="00C47302">
      <w:rPr>
        <w:sz w:val="20"/>
        <w:szCs w:val="20"/>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8597" w14:textId="77777777" w:rsidR="00795F7F" w:rsidRDefault="00795F7F">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046AF" w14:textId="77777777" w:rsidR="005C28B8" w:rsidRDefault="005C28B8">
      <w:pPr>
        <w:spacing w:after="0" w:line="240" w:lineRule="auto"/>
      </w:pPr>
      <w:r>
        <w:separator/>
      </w:r>
    </w:p>
  </w:footnote>
  <w:footnote w:type="continuationSeparator" w:id="0">
    <w:p w14:paraId="27D13606" w14:textId="77777777" w:rsidR="005C28B8" w:rsidRDefault="005C2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AAF8" w14:textId="568B9F6F" w:rsidR="00795F7F" w:rsidRDefault="00795F7F">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795F7F" w:rsidRDefault="00795F7F">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5161" w14:textId="45705724" w:rsidR="00795F7F" w:rsidRDefault="00795F7F">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795F7F" w:rsidRDefault="00795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4267" w14:textId="7A743113" w:rsidR="00795F7F" w:rsidRDefault="00795F7F">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795F7F" w:rsidRDefault="00795F7F">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8"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0"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D05BF4"/>
    <w:multiLevelType w:val="multilevel"/>
    <w:tmpl w:val="D0AAAB78"/>
    <w:numStyleLink w:val="Style1"/>
  </w:abstractNum>
  <w:abstractNum w:abstractNumId="29"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2"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E8686B"/>
    <w:multiLevelType w:val="multilevel"/>
    <w:tmpl w:val="0DF6D922"/>
    <w:lvl w:ilvl="0">
      <w:start w:val="1"/>
      <w:numFmt w:val="decimal"/>
      <w:isLgl/>
      <w:lvlText w:val="%1."/>
      <w:lvlJc w:val="left"/>
      <w:pPr>
        <w:tabs>
          <w:tab w:val="num" w:pos="1134"/>
        </w:tabs>
        <w:ind w:left="1134" w:hanging="1134"/>
      </w:pPr>
      <w:rPr>
        <w:rFonts w:ascii="Times New Roman" w:eastAsia="Times New Roman" w:hAnsi="Times New Roman" w:cs="Times New Roman" w:hint="default"/>
      </w:rPr>
    </w:lvl>
    <w:lvl w:ilvl="1">
      <w:start w:val="1"/>
      <w:numFmt w:val="none"/>
      <w:isLgl/>
      <w:lvlText w:val=""/>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134"/>
        </w:tabs>
        <w:ind w:left="1134" w:hanging="1134"/>
      </w:pPr>
      <w:rPr>
        <w:rFonts w:hint="default"/>
      </w:rPr>
    </w:lvl>
    <w:lvl w:ilvl="3">
      <w:start w:val="1"/>
      <w:numFmt w:val="decimal"/>
      <w:isLgl/>
      <w:lvlText w:val="%1.%4"/>
      <w:lvlJc w:val="left"/>
      <w:pPr>
        <w:tabs>
          <w:tab w:val="num" w:pos="1134"/>
        </w:tabs>
        <w:ind w:left="1134" w:hanging="1134"/>
      </w:pPr>
      <w:rPr>
        <w:rFonts w:hint="default"/>
      </w:rPr>
    </w:lvl>
    <w:lvl w:ilvl="4">
      <w:start w:val="1"/>
      <w:numFmt w:val="decimal"/>
      <w:lvlText w:val="%1.%2.%5"/>
      <w:lvlJc w:val="left"/>
      <w:pPr>
        <w:tabs>
          <w:tab w:val="num" w:pos="1134"/>
        </w:tabs>
        <w:ind w:left="1134" w:hanging="1134"/>
      </w:pPr>
      <w:rPr>
        <w:rFonts w:hint="default"/>
      </w:rPr>
    </w:lvl>
    <w:lvl w:ilvl="5">
      <w:start w:val="1"/>
      <w:numFmt w:val="decimal"/>
      <w:lvlText w:val="%1.%2.%3.%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decimal"/>
      <w:lvlText w:val="%8."/>
      <w:lvlJc w:val="left"/>
      <w:pPr>
        <w:tabs>
          <w:tab w:val="num" w:pos="709"/>
        </w:tabs>
        <w:ind w:left="709" w:hanging="567"/>
      </w:pPr>
      <w:rPr>
        <w:rFonts w:hint="default"/>
      </w:rPr>
    </w:lvl>
    <w:lvl w:ilvl="8">
      <w:start w:val="1"/>
      <w:numFmt w:val="lowerRoman"/>
      <w:lvlText w:val="%9."/>
      <w:lvlJc w:val="left"/>
      <w:pPr>
        <w:tabs>
          <w:tab w:val="num" w:pos="2988"/>
        </w:tabs>
        <w:ind w:left="2835" w:hanging="567"/>
      </w:pPr>
      <w:rPr>
        <w:rFonts w:hint="default"/>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8"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1"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4"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71656F48"/>
    <w:multiLevelType w:val="multilevel"/>
    <w:tmpl w:val="599C2DF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6840606"/>
    <w:multiLevelType w:val="multilevel"/>
    <w:tmpl w:val="B24A67F2"/>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92" w15:restartNumberingAfterBreak="0">
    <w:nsid w:val="772936E4"/>
    <w:multiLevelType w:val="multilevel"/>
    <w:tmpl w:val="616E2612"/>
    <w:lvl w:ilvl="0">
      <w:start w:val="1"/>
      <w:numFmt w:val="decimal"/>
      <w:lvlText w:val="%1."/>
      <w:lvlJc w:val="left"/>
      <w:pPr>
        <w:ind w:left="360" w:hanging="360"/>
      </w:pPr>
      <w:rPr>
        <w:rFonts w:hint="default"/>
        <w:i w:val="0"/>
      </w:rPr>
    </w:lvl>
    <w:lvl w:ilvl="1">
      <w:start w:val="1"/>
      <w:numFmt w:val="decimal"/>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7"/>
  </w:num>
  <w:num w:numId="2">
    <w:abstractNumId w:val="28"/>
  </w:num>
  <w:num w:numId="3">
    <w:abstractNumId w:val="7"/>
  </w:num>
  <w:num w:numId="4">
    <w:abstractNumId w:val="90"/>
  </w:num>
  <w:num w:numId="5">
    <w:abstractNumId w:val="42"/>
  </w:num>
  <w:num w:numId="6">
    <w:abstractNumId w:val="16"/>
  </w:num>
  <w:num w:numId="7">
    <w:abstractNumId w:val="51"/>
  </w:num>
  <w:num w:numId="8">
    <w:abstractNumId w:val="29"/>
  </w:num>
  <w:num w:numId="9">
    <w:abstractNumId w:val="88"/>
  </w:num>
  <w:num w:numId="10">
    <w:abstractNumId w:val="87"/>
  </w:num>
  <w:num w:numId="11">
    <w:abstractNumId w:val="58"/>
  </w:num>
  <w:num w:numId="12">
    <w:abstractNumId w:val="27"/>
  </w:num>
  <w:num w:numId="13">
    <w:abstractNumId w:val="13"/>
  </w:num>
  <w:num w:numId="14">
    <w:abstractNumId w:val="72"/>
  </w:num>
  <w:num w:numId="15">
    <w:abstractNumId w:val="37"/>
  </w:num>
  <w:num w:numId="16">
    <w:abstractNumId w:val="93"/>
  </w:num>
  <w:num w:numId="17">
    <w:abstractNumId w:val="56"/>
  </w:num>
  <w:num w:numId="18">
    <w:abstractNumId w:val="20"/>
  </w:num>
  <w:num w:numId="19">
    <w:abstractNumId w:val="62"/>
  </w:num>
  <w:num w:numId="20">
    <w:abstractNumId w:val="82"/>
  </w:num>
  <w:num w:numId="21">
    <w:abstractNumId w:val="49"/>
  </w:num>
  <w:num w:numId="22">
    <w:abstractNumId w:val="11"/>
  </w:num>
  <w:num w:numId="23">
    <w:abstractNumId w:val="39"/>
  </w:num>
  <w:num w:numId="24">
    <w:abstractNumId w:val="65"/>
  </w:num>
  <w:num w:numId="25">
    <w:abstractNumId w:val="69"/>
  </w:num>
  <w:num w:numId="26">
    <w:abstractNumId w:val="15"/>
  </w:num>
  <w:num w:numId="27">
    <w:abstractNumId w:val="71"/>
  </w:num>
  <w:num w:numId="28">
    <w:abstractNumId w:val="4"/>
  </w:num>
  <w:num w:numId="29">
    <w:abstractNumId w:val="96"/>
  </w:num>
  <w:num w:numId="30">
    <w:abstractNumId w:val="5"/>
  </w:num>
  <w:num w:numId="31">
    <w:abstractNumId w:val="66"/>
  </w:num>
  <w:num w:numId="32">
    <w:abstractNumId w:val="50"/>
  </w:num>
  <w:num w:numId="33">
    <w:abstractNumId w:val="9"/>
  </w:num>
  <w:num w:numId="34">
    <w:abstractNumId w:val="94"/>
  </w:num>
  <w:num w:numId="35">
    <w:abstractNumId w:val="44"/>
  </w:num>
  <w:num w:numId="36">
    <w:abstractNumId w:val="40"/>
  </w:num>
  <w:num w:numId="37">
    <w:abstractNumId w:val="86"/>
  </w:num>
  <w:num w:numId="38">
    <w:abstractNumId w:val="32"/>
  </w:num>
  <w:num w:numId="39">
    <w:abstractNumId w:val="54"/>
  </w:num>
  <w:num w:numId="40">
    <w:abstractNumId w:val="23"/>
  </w:num>
  <w:num w:numId="41">
    <w:abstractNumId w:val="26"/>
  </w:num>
  <w:num w:numId="42">
    <w:abstractNumId w:val="95"/>
  </w:num>
  <w:num w:numId="43">
    <w:abstractNumId w:val="34"/>
  </w:num>
  <w:num w:numId="44">
    <w:abstractNumId w:val="55"/>
  </w:num>
  <w:num w:numId="45">
    <w:abstractNumId w:val="61"/>
  </w:num>
  <w:num w:numId="46">
    <w:abstractNumId w:val="46"/>
  </w:num>
  <w:num w:numId="47">
    <w:abstractNumId w:val="68"/>
  </w:num>
  <w:num w:numId="48">
    <w:abstractNumId w:val="14"/>
  </w:num>
  <w:num w:numId="49">
    <w:abstractNumId w:val="75"/>
  </w:num>
  <w:num w:numId="50">
    <w:abstractNumId w:val="24"/>
  </w:num>
  <w:num w:numId="51">
    <w:abstractNumId w:val="74"/>
  </w:num>
  <w:num w:numId="52">
    <w:abstractNumId w:val="63"/>
  </w:num>
  <w:num w:numId="53">
    <w:abstractNumId w:val="78"/>
  </w:num>
  <w:num w:numId="54">
    <w:abstractNumId w:val="70"/>
  </w:num>
  <w:num w:numId="55">
    <w:abstractNumId w:val="43"/>
  </w:num>
  <w:num w:numId="56">
    <w:abstractNumId w:val="60"/>
  </w:num>
  <w:num w:numId="57">
    <w:abstractNumId w:val="31"/>
  </w:num>
  <w:num w:numId="58">
    <w:abstractNumId w:val="77"/>
  </w:num>
  <w:num w:numId="59">
    <w:abstractNumId w:val="64"/>
  </w:num>
  <w:num w:numId="60">
    <w:abstractNumId w:val="25"/>
  </w:num>
  <w:num w:numId="61">
    <w:abstractNumId w:val="0"/>
  </w:num>
  <w:num w:numId="62">
    <w:abstractNumId w:val="1"/>
  </w:num>
  <w:num w:numId="63">
    <w:abstractNumId w:val="41"/>
  </w:num>
  <w:num w:numId="64">
    <w:abstractNumId w:val="17"/>
  </w:num>
  <w:num w:numId="65">
    <w:abstractNumId w:val="19"/>
  </w:num>
  <w:num w:numId="66">
    <w:abstractNumId w:val="2"/>
  </w:num>
  <w:num w:numId="67">
    <w:abstractNumId w:val="83"/>
  </w:num>
  <w:num w:numId="68">
    <w:abstractNumId w:val="38"/>
  </w:num>
  <w:num w:numId="69">
    <w:abstractNumId w:val="57"/>
  </w:num>
  <w:num w:numId="70">
    <w:abstractNumId w:val="3"/>
  </w:num>
  <w:num w:numId="71">
    <w:abstractNumId w:val="73"/>
  </w:num>
  <w:num w:numId="72">
    <w:abstractNumId w:val="12"/>
  </w:num>
  <w:num w:numId="73">
    <w:abstractNumId w:val="6"/>
  </w:num>
  <w:num w:numId="74">
    <w:abstractNumId w:val="8"/>
  </w:num>
  <w:num w:numId="75">
    <w:abstractNumId w:val="52"/>
  </w:num>
  <w:num w:numId="76">
    <w:abstractNumId w:val="80"/>
  </w:num>
  <w:num w:numId="77">
    <w:abstractNumId w:val="59"/>
  </w:num>
  <w:num w:numId="78">
    <w:abstractNumId w:val="84"/>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3"/>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num>
  <w:num w:numId="88">
    <w:abstractNumId w:val="76"/>
  </w:num>
  <w:num w:numId="89">
    <w:abstractNumId w:val="35"/>
  </w:num>
  <w:num w:numId="90">
    <w:abstractNumId w:val="79"/>
  </w:num>
  <w:num w:numId="91">
    <w:abstractNumId w:val="21"/>
  </w:num>
  <w:num w:numId="92">
    <w:abstractNumId w:val="18"/>
  </w:num>
  <w:num w:numId="93">
    <w:abstractNumId w:val="89"/>
  </w:num>
  <w:num w:numId="94">
    <w:abstractNumId w:val="22"/>
  </w:num>
  <w:num w:numId="95">
    <w:abstractNumId w:val="10"/>
  </w:num>
  <w:num w:numId="96">
    <w:abstractNumId w:val="30"/>
  </w:num>
  <w:num w:numId="97">
    <w:abstractNumId w:val="45"/>
  </w:num>
  <w:num w:numId="98">
    <w:abstractNumId w:val="92"/>
  </w:num>
  <w:num w:numId="99">
    <w:abstractNumId w:val="85"/>
  </w:num>
  <w:num w:numId="100">
    <w:abstractNumId w:val="9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E3AD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C509A"/>
    <w:rsid w:val="004D4420"/>
    <w:rsid w:val="004E46CD"/>
    <w:rsid w:val="004E6E31"/>
    <w:rsid w:val="004F2F33"/>
    <w:rsid w:val="004F36D7"/>
    <w:rsid w:val="00502701"/>
    <w:rsid w:val="00510368"/>
    <w:rsid w:val="005118DC"/>
    <w:rsid w:val="0051416F"/>
    <w:rsid w:val="00515C43"/>
    <w:rsid w:val="00535B86"/>
    <w:rsid w:val="005426B7"/>
    <w:rsid w:val="00546A74"/>
    <w:rsid w:val="00550F26"/>
    <w:rsid w:val="00553EC4"/>
    <w:rsid w:val="00557414"/>
    <w:rsid w:val="00560547"/>
    <w:rsid w:val="00571A04"/>
    <w:rsid w:val="00571AAA"/>
    <w:rsid w:val="005741CF"/>
    <w:rsid w:val="00575ECA"/>
    <w:rsid w:val="00581060"/>
    <w:rsid w:val="00590E09"/>
    <w:rsid w:val="005956EE"/>
    <w:rsid w:val="005A2CC6"/>
    <w:rsid w:val="005B3903"/>
    <w:rsid w:val="005C13B5"/>
    <w:rsid w:val="005C28B8"/>
    <w:rsid w:val="005C6F61"/>
    <w:rsid w:val="005D5E66"/>
    <w:rsid w:val="005E6AEA"/>
    <w:rsid w:val="005E77E1"/>
    <w:rsid w:val="00601506"/>
    <w:rsid w:val="00606101"/>
    <w:rsid w:val="00610A44"/>
    <w:rsid w:val="00625687"/>
    <w:rsid w:val="00637C27"/>
    <w:rsid w:val="00640827"/>
    <w:rsid w:val="006419AB"/>
    <w:rsid w:val="006425B5"/>
    <w:rsid w:val="006446F3"/>
    <w:rsid w:val="0064643A"/>
    <w:rsid w:val="00654E18"/>
    <w:rsid w:val="006550B0"/>
    <w:rsid w:val="0066029F"/>
    <w:rsid w:val="00661527"/>
    <w:rsid w:val="00661CD9"/>
    <w:rsid w:val="0066744B"/>
    <w:rsid w:val="006734BC"/>
    <w:rsid w:val="006824DD"/>
    <w:rsid w:val="0068441B"/>
    <w:rsid w:val="00687D78"/>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0DA6"/>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5F7F"/>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1AD8"/>
    <w:rsid w:val="00A95526"/>
    <w:rsid w:val="00A97546"/>
    <w:rsid w:val="00AA027B"/>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3201"/>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2D00"/>
    <w:rsid w:val="00D75CA5"/>
    <w:rsid w:val="00D7786F"/>
    <w:rsid w:val="00D92B8A"/>
    <w:rsid w:val="00DA418E"/>
    <w:rsid w:val="00DB0341"/>
    <w:rsid w:val="00DB2AC9"/>
    <w:rsid w:val="00DC2924"/>
    <w:rsid w:val="00DC33CE"/>
    <w:rsid w:val="00DC41FC"/>
    <w:rsid w:val="00DD000E"/>
    <w:rsid w:val="00DD0F63"/>
    <w:rsid w:val="00DD1425"/>
    <w:rsid w:val="00DF2DAF"/>
    <w:rsid w:val="00DF2EF8"/>
    <w:rsid w:val="00DF5909"/>
    <w:rsid w:val="00DF6F75"/>
    <w:rsid w:val="00E00851"/>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ListNumber2">
    <w:name w:val="List Number 2"/>
    <w:aliases w:val="ln2,CO List Number 2"/>
    <w:basedOn w:val="Normal"/>
    <w:qFormat/>
    <w:rsid w:val="006824DD"/>
    <w:pPr>
      <w:tabs>
        <w:tab w:val="num" w:pos="709"/>
      </w:tabs>
      <w:spacing w:before="120" w:after="160" w:line="259" w:lineRule="auto"/>
      <w:ind w:left="709" w:hanging="567"/>
      <w:jc w:val="left"/>
    </w:pPr>
    <w:rPr>
      <w:rFonts w:asciiTheme="minorHAnsi" w:eastAsiaTheme="minorEastAsia" w:hAnsiTheme="minorHAnsi" w:cstheme="minorBidi"/>
      <w:color w:val="auto"/>
    </w:rPr>
  </w:style>
  <w:style w:type="paragraph" w:customStyle="1" w:styleId="Table">
    <w:name w:val="Table"/>
    <w:aliases w:val="t"/>
    <w:basedOn w:val="Normal"/>
    <w:uiPriority w:val="99"/>
    <w:rsid w:val="006824DD"/>
    <w:pPr>
      <w:spacing w:before="60" w:after="60" w:line="259" w:lineRule="auto"/>
      <w:ind w:left="0" w:firstLine="0"/>
      <w:jc w:val="left"/>
    </w:pPr>
    <w:rPr>
      <w:rFonts w:asciiTheme="minorHAnsi" w:eastAsiaTheme="minorEastAsia" w:hAnsiTheme="minorHAnsi" w:cstheme="minorBidi"/>
      <w:color w:val="auto"/>
      <w:sz w:val="18"/>
    </w:rPr>
  </w:style>
  <w:style w:type="paragraph" w:customStyle="1" w:styleId="Space">
    <w:name w:val="Space"/>
    <w:aliases w:val="s"/>
    <w:basedOn w:val="Normal"/>
    <w:rsid w:val="006824DD"/>
    <w:pPr>
      <w:keepNext/>
      <w:spacing w:after="160" w:line="259" w:lineRule="auto"/>
      <w:ind w:left="0" w:firstLine="0"/>
      <w:jc w:val="left"/>
    </w:pPr>
    <w:rPr>
      <w:rFonts w:asciiTheme="minorHAnsi" w:eastAsiaTheme="minorEastAsia" w:hAnsiTheme="minorHAnsi" w:cstheme="minorBidi"/>
      <w:color w:val="auto"/>
      <w:sz w:val="12"/>
    </w:rPr>
  </w:style>
  <w:style w:type="table" w:customStyle="1" w:styleId="TableGrid3">
    <w:name w:val="Table Grid3"/>
    <w:basedOn w:val="TableNormal"/>
    <w:next w:val="TableGrid0"/>
    <w:uiPriority w:val="59"/>
    <w:rsid w:val="006824DD"/>
    <w:pPr>
      <w:spacing w:after="160" w:line="259" w:lineRule="auto"/>
    </w:pPr>
    <w:rPr>
      <w:rFonts w:eastAsia="Times New Roman"/>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package" Target="embeddings/Microsoft_Excel_Worksheet.xlsx"/><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image" Target="media/image1.emf"/><Relationship Id="rId38" Type="http://schemas.openxmlformats.org/officeDocument/2006/relationships/hyperlink" Target="http://eur-lex.europa.eu/legal-content/EN/TXT/PDF/?uri=CELEX:32016R0679&amp;from=EN"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s://www.ncsc.gov.uk/guidance/risk-management-collection" TargetMode="External"/><Relationship Id="rId40" Type="http://schemas.openxmlformats.org/officeDocument/2006/relationships/hyperlink" Target="http://eur-lex.europa.eu/legal-content/EN/TXT/PDF/?uri=CELEX:32016R0679&amp;from=EN"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package" Target="embeddings/Microsoft_Word_Document.docx"/><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image" Target="media/image2.emf"/><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EDA53-BD87-4935-8502-ADB758FF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58151</Words>
  <Characters>331466</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2022-05-03T13:05:00Z</dcterms:created>
  <dcterms:modified xsi:type="dcterms:W3CDTF">2023-11-06T08:12:00Z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