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0E3C6AD0" w14:textId="77777777" w:rsidR="00A13A6D"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7746091" w:history="1">
        <w:r w:rsidR="00A13A6D" w:rsidRPr="00315601">
          <w:rPr>
            <w:rStyle w:val="Hyperlink"/>
            <w:noProof/>
          </w:rPr>
          <w:t>1.</w:t>
        </w:r>
        <w:r w:rsidR="00A13A6D">
          <w:rPr>
            <w:rFonts w:asciiTheme="minorHAnsi" w:eastAsiaTheme="minorEastAsia" w:hAnsiTheme="minorHAnsi" w:cstheme="minorBidi"/>
            <w:caps w:val="0"/>
            <w:noProof/>
            <w:szCs w:val="22"/>
            <w:lang w:eastAsia="en-GB"/>
          </w:rPr>
          <w:tab/>
        </w:r>
        <w:r w:rsidR="00A13A6D" w:rsidRPr="00315601">
          <w:rPr>
            <w:rStyle w:val="Hyperlink"/>
            <w:noProof/>
          </w:rPr>
          <w:t>PURPOSE</w:t>
        </w:r>
        <w:r w:rsidR="00A13A6D">
          <w:rPr>
            <w:noProof/>
            <w:webHidden/>
          </w:rPr>
          <w:tab/>
        </w:r>
        <w:r w:rsidR="00A13A6D">
          <w:rPr>
            <w:noProof/>
            <w:webHidden/>
          </w:rPr>
          <w:fldChar w:fldCharType="begin"/>
        </w:r>
        <w:r w:rsidR="00A13A6D">
          <w:rPr>
            <w:noProof/>
            <w:webHidden/>
          </w:rPr>
          <w:instrText xml:space="preserve"> PAGEREF _Toc497746091 \h </w:instrText>
        </w:r>
        <w:r w:rsidR="00A13A6D">
          <w:rPr>
            <w:noProof/>
            <w:webHidden/>
          </w:rPr>
        </w:r>
        <w:r w:rsidR="00A13A6D">
          <w:rPr>
            <w:noProof/>
            <w:webHidden/>
          </w:rPr>
          <w:fldChar w:fldCharType="separate"/>
        </w:r>
        <w:r w:rsidR="00A13A6D">
          <w:rPr>
            <w:noProof/>
            <w:webHidden/>
          </w:rPr>
          <w:t>2</w:t>
        </w:r>
        <w:r w:rsidR="00A13A6D">
          <w:rPr>
            <w:noProof/>
            <w:webHidden/>
          </w:rPr>
          <w:fldChar w:fldCharType="end"/>
        </w:r>
      </w:hyperlink>
    </w:p>
    <w:p w14:paraId="3EDA6396" w14:textId="77777777" w:rsidR="00A13A6D" w:rsidRDefault="00BF632C">
      <w:pPr>
        <w:pStyle w:val="TOC1"/>
        <w:rPr>
          <w:rFonts w:asciiTheme="minorHAnsi" w:eastAsiaTheme="minorEastAsia" w:hAnsiTheme="minorHAnsi" w:cstheme="minorBidi"/>
          <w:caps w:val="0"/>
          <w:noProof/>
          <w:szCs w:val="22"/>
          <w:lang w:eastAsia="en-GB"/>
        </w:rPr>
      </w:pPr>
      <w:hyperlink w:anchor="_Toc497746092" w:history="1">
        <w:r w:rsidR="00A13A6D" w:rsidRPr="00315601">
          <w:rPr>
            <w:rStyle w:val="Hyperlink"/>
            <w:noProof/>
          </w:rPr>
          <w:t>2.</w:t>
        </w:r>
        <w:r w:rsidR="00A13A6D">
          <w:rPr>
            <w:rFonts w:asciiTheme="minorHAnsi" w:eastAsiaTheme="minorEastAsia" w:hAnsiTheme="minorHAnsi" w:cstheme="minorBidi"/>
            <w:caps w:val="0"/>
            <w:noProof/>
            <w:szCs w:val="22"/>
            <w:lang w:eastAsia="en-GB"/>
          </w:rPr>
          <w:tab/>
        </w:r>
        <w:r w:rsidR="00A13A6D" w:rsidRPr="00315601">
          <w:rPr>
            <w:rStyle w:val="Hyperlink"/>
            <w:noProof/>
          </w:rPr>
          <w:t>BACKGROUND TO THE CONTRACTING AUTHORITY</w:t>
        </w:r>
        <w:r w:rsidR="00A13A6D">
          <w:rPr>
            <w:noProof/>
            <w:webHidden/>
          </w:rPr>
          <w:tab/>
        </w:r>
        <w:r w:rsidR="00A13A6D">
          <w:rPr>
            <w:noProof/>
            <w:webHidden/>
          </w:rPr>
          <w:fldChar w:fldCharType="begin"/>
        </w:r>
        <w:r w:rsidR="00A13A6D">
          <w:rPr>
            <w:noProof/>
            <w:webHidden/>
          </w:rPr>
          <w:instrText xml:space="preserve"> PAGEREF _Toc497746092 \h </w:instrText>
        </w:r>
        <w:r w:rsidR="00A13A6D">
          <w:rPr>
            <w:noProof/>
            <w:webHidden/>
          </w:rPr>
        </w:r>
        <w:r w:rsidR="00A13A6D">
          <w:rPr>
            <w:noProof/>
            <w:webHidden/>
          </w:rPr>
          <w:fldChar w:fldCharType="separate"/>
        </w:r>
        <w:r w:rsidR="00A13A6D">
          <w:rPr>
            <w:noProof/>
            <w:webHidden/>
          </w:rPr>
          <w:t>2</w:t>
        </w:r>
        <w:r w:rsidR="00A13A6D">
          <w:rPr>
            <w:noProof/>
            <w:webHidden/>
          </w:rPr>
          <w:fldChar w:fldCharType="end"/>
        </w:r>
      </w:hyperlink>
    </w:p>
    <w:p w14:paraId="5B2B49E8" w14:textId="77777777" w:rsidR="00A13A6D" w:rsidRDefault="00BF632C">
      <w:pPr>
        <w:pStyle w:val="TOC1"/>
        <w:rPr>
          <w:rFonts w:asciiTheme="minorHAnsi" w:eastAsiaTheme="minorEastAsia" w:hAnsiTheme="minorHAnsi" w:cstheme="minorBidi"/>
          <w:caps w:val="0"/>
          <w:noProof/>
          <w:szCs w:val="22"/>
          <w:lang w:eastAsia="en-GB"/>
        </w:rPr>
      </w:pPr>
      <w:hyperlink w:anchor="_Toc497746093" w:history="1">
        <w:r w:rsidR="00A13A6D" w:rsidRPr="00315601">
          <w:rPr>
            <w:rStyle w:val="Hyperlink"/>
            <w:noProof/>
          </w:rPr>
          <w:t>3.</w:t>
        </w:r>
        <w:r w:rsidR="00A13A6D">
          <w:rPr>
            <w:rFonts w:asciiTheme="minorHAnsi" w:eastAsiaTheme="minorEastAsia" w:hAnsiTheme="minorHAnsi" w:cstheme="minorBidi"/>
            <w:caps w:val="0"/>
            <w:noProof/>
            <w:szCs w:val="22"/>
            <w:lang w:eastAsia="en-GB"/>
          </w:rPr>
          <w:tab/>
        </w:r>
        <w:r w:rsidR="00A13A6D" w:rsidRPr="00315601">
          <w:rPr>
            <w:rStyle w:val="Hyperlink"/>
            <w:noProof/>
          </w:rPr>
          <w:t>Background to requirement/OVERVIEW of requirement</w:t>
        </w:r>
        <w:r w:rsidR="00A13A6D">
          <w:rPr>
            <w:noProof/>
            <w:webHidden/>
          </w:rPr>
          <w:tab/>
        </w:r>
        <w:r w:rsidR="00A13A6D">
          <w:rPr>
            <w:noProof/>
            <w:webHidden/>
          </w:rPr>
          <w:fldChar w:fldCharType="begin"/>
        </w:r>
        <w:r w:rsidR="00A13A6D">
          <w:rPr>
            <w:noProof/>
            <w:webHidden/>
          </w:rPr>
          <w:instrText xml:space="preserve"> PAGEREF _Toc497746093 \h </w:instrText>
        </w:r>
        <w:r w:rsidR="00A13A6D">
          <w:rPr>
            <w:noProof/>
            <w:webHidden/>
          </w:rPr>
        </w:r>
        <w:r w:rsidR="00A13A6D">
          <w:rPr>
            <w:noProof/>
            <w:webHidden/>
          </w:rPr>
          <w:fldChar w:fldCharType="separate"/>
        </w:r>
        <w:r w:rsidR="00A13A6D">
          <w:rPr>
            <w:noProof/>
            <w:webHidden/>
          </w:rPr>
          <w:t>3</w:t>
        </w:r>
        <w:r w:rsidR="00A13A6D">
          <w:rPr>
            <w:noProof/>
            <w:webHidden/>
          </w:rPr>
          <w:fldChar w:fldCharType="end"/>
        </w:r>
      </w:hyperlink>
    </w:p>
    <w:p w14:paraId="26BF3003" w14:textId="77777777" w:rsidR="00A13A6D" w:rsidRDefault="00BF632C">
      <w:pPr>
        <w:pStyle w:val="TOC1"/>
        <w:rPr>
          <w:rFonts w:asciiTheme="minorHAnsi" w:eastAsiaTheme="minorEastAsia" w:hAnsiTheme="minorHAnsi" w:cstheme="minorBidi"/>
          <w:caps w:val="0"/>
          <w:noProof/>
          <w:szCs w:val="22"/>
          <w:lang w:eastAsia="en-GB"/>
        </w:rPr>
      </w:pPr>
      <w:hyperlink w:anchor="_Toc497746094" w:history="1">
        <w:r w:rsidR="00A13A6D" w:rsidRPr="00315601">
          <w:rPr>
            <w:rStyle w:val="Hyperlink"/>
            <w:noProof/>
          </w:rPr>
          <w:t>4.</w:t>
        </w:r>
        <w:r w:rsidR="00A13A6D">
          <w:rPr>
            <w:rFonts w:asciiTheme="minorHAnsi" w:eastAsiaTheme="minorEastAsia" w:hAnsiTheme="minorHAnsi" w:cstheme="minorBidi"/>
            <w:caps w:val="0"/>
            <w:noProof/>
            <w:szCs w:val="22"/>
            <w:lang w:eastAsia="en-GB"/>
          </w:rPr>
          <w:tab/>
        </w:r>
        <w:r w:rsidR="00A13A6D" w:rsidRPr="00315601">
          <w:rPr>
            <w:rStyle w:val="Hyperlink"/>
            <w:noProof/>
          </w:rPr>
          <w:t>definitions</w:t>
        </w:r>
        <w:r w:rsidR="00A13A6D">
          <w:rPr>
            <w:noProof/>
            <w:webHidden/>
          </w:rPr>
          <w:tab/>
        </w:r>
        <w:r w:rsidR="00A13A6D">
          <w:rPr>
            <w:noProof/>
            <w:webHidden/>
          </w:rPr>
          <w:fldChar w:fldCharType="begin"/>
        </w:r>
        <w:r w:rsidR="00A13A6D">
          <w:rPr>
            <w:noProof/>
            <w:webHidden/>
          </w:rPr>
          <w:instrText xml:space="preserve"> PAGEREF _Toc497746094 \h </w:instrText>
        </w:r>
        <w:r w:rsidR="00A13A6D">
          <w:rPr>
            <w:noProof/>
            <w:webHidden/>
          </w:rPr>
        </w:r>
        <w:r w:rsidR="00A13A6D">
          <w:rPr>
            <w:noProof/>
            <w:webHidden/>
          </w:rPr>
          <w:fldChar w:fldCharType="separate"/>
        </w:r>
        <w:r w:rsidR="00A13A6D">
          <w:rPr>
            <w:noProof/>
            <w:webHidden/>
          </w:rPr>
          <w:t>3</w:t>
        </w:r>
        <w:r w:rsidR="00A13A6D">
          <w:rPr>
            <w:noProof/>
            <w:webHidden/>
          </w:rPr>
          <w:fldChar w:fldCharType="end"/>
        </w:r>
      </w:hyperlink>
    </w:p>
    <w:p w14:paraId="0FA197B1" w14:textId="77777777" w:rsidR="00A13A6D" w:rsidRDefault="00BF632C">
      <w:pPr>
        <w:pStyle w:val="TOC1"/>
        <w:rPr>
          <w:rFonts w:asciiTheme="minorHAnsi" w:eastAsiaTheme="minorEastAsia" w:hAnsiTheme="minorHAnsi" w:cstheme="minorBidi"/>
          <w:caps w:val="0"/>
          <w:noProof/>
          <w:szCs w:val="22"/>
          <w:lang w:eastAsia="en-GB"/>
        </w:rPr>
      </w:pPr>
      <w:hyperlink w:anchor="_Toc497746095" w:history="1">
        <w:r w:rsidR="00A13A6D" w:rsidRPr="00315601">
          <w:rPr>
            <w:rStyle w:val="Hyperlink"/>
            <w:noProof/>
          </w:rPr>
          <w:t>5.</w:t>
        </w:r>
        <w:r w:rsidR="00A13A6D">
          <w:rPr>
            <w:rFonts w:asciiTheme="minorHAnsi" w:eastAsiaTheme="minorEastAsia" w:hAnsiTheme="minorHAnsi" w:cstheme="minorBidi"/>
            <w:caps w:val="0"/>
            <w:noProof/>
            <w:szCs w:val="22"/>
            <w:lang w:eastAsia="en-GB"/>
          </w:rPr>
          <w:tab/>
        </w:r>
        <w:r w:rsidR="00A13A6D" w:rsidRPr="00315601">
          <w:rPr>
            <w:rStyle w:val="Hyperlink"/>
            <w:noProof/>
          </w:rPr>
          <w:t>scope of requirement</w:t>
        </w:r>
        <w:r w:rsidR="00A13A6D">
          <w:rPr>
            <w:noProof/>
            <w:webHidden/>
          </w:rPr>
          <w:tab/>
        </w:r>
        <w:r w:rsidR="00A13A6D">
          <w:rPr>
            <w:noProof/>
            <w:webHidden/>
          </w:rPr>
          <w:fldChar w:fldCharType="begin"/>
        </w:r>
        <w:r w:rsidR="00A13A6D">
          <w:rPr>
            <w:noProof/>
            <w:webHidden/>
          </w:rPr>
          <w:instrText xml:space="preserve"> PAGEREF _Toc497746095 \h </w:instrText>
        </w:r>
        <w:r w:rsidR="00A13A6D">
          <w:rPr>
            <w:noProof/>
            <w:webHidden/>
          </w:rPr>
        </w:r>
        <w:r w:rsidR="00A13A6D">
          <w:rPr>
            <w:noProof/>
            <w:webHidden/>
          </w:rPr>
          <w:fldChar w:fldCharType="separate"/>
        </w:r>
        <w:r w:rsidR="00A13A6D">
          <w:rPr>
            <w:noProof/>
            <w:webHidden/>
          </w:rPr>
          <w:t>4</w:t>
        </w:r>
        <w:r w:rsidR="00A13A6D">
          <w:rPr>
            <w:noProof/>
            <w:webHidden/>
          </w:rPr>
          <w:fldChar w:fldCharType="end"/>
        </w:r>
      </w:hyperlink>
    </w:p>
    <w:p w14:paraId="45452868" w14:textId="77777777" w:rsidR="00A13A6D" w:rsidRDefault="00BF632C">
      <w:pPr>
        <w:pStyle w:val="TOC1"/>
        <w:rPr>
          <w:rFonts w:asciiTheme="minorHAnsi" w:eastAsiaTheme="minorEastAsia" w:hAnsiTheme="minorHAnsi" w:cstheme="minorBidi"/>
          <w:caps w:val="0"/>
          <w:noProof/>
          <w:szCs w:val="22"/>
          <w:lang w:eastAsia="en-GB"/>
        </w:rPr>
      </w:pPr>
      <w:hyperlink w:anchor="_Toc497746096" w:history="1">
        <w:r w:rsidR="00A13A6D" w:rsidRPr="00315601">
          <w:rPr>
            <w:rStyle w:val="Hyperlink"/>
            <w:noProof/>
          </w:rPr>
          <w:t>6.</w:t>
        </w:r>
        <w:r w:rsidR="00A13A6D">
          <w:rPr>
            <w:rFonts w:asciiTheme="minorHAnsi" w:eastAsiaTheme="minorEastAsia" w:hAnsiTheme="minorHAnsi" w:cstheme="minorBidi"/>
            <w:caps w:val="0"/>
            <w:noProof/>
            <w:szCs w:val="22"/>
            <w:lang w:eastAsia="en-GB"/>
          </w:rPr>
          <w:tab/>
        </w:r>
        <w:r w:rsidR="00A13A6D" w:rsidRPr="00315601">
          <w:rPr>
            <w:rStyle w:val="Hyperlink"/>
            <w:noProof/>
          </w:rPr>
          <w:t>The requirement</w:t>
        </w:r>
        <w:r w:rsidR="00A13A6D">
          <w:rPr>
            <w:noProof/>
            <w:webHidden/>
          </w:rPr>
          <w:tab/>
        </w:r>
        <w:r w:rsidR="00A13A6D">
          <w:rPr>
            <w:noProof/>
            <w:webHidden/>
          </w:rPr>
          <w:fldChar w:fldCharType="begin"/>
        </w:r>
        <w:r w:rsidR="00A13A6D">
          <w:rPr>
            <w:noProof/>
            <w:webHidden/>
          </w:rPr>
          <w:instrText xml:space="preserve"> PAGEREF _Toc497746096 \h </w:instrText>
        </w:r>
        <w:r w:rsidR="00A13A6D">
          <w:rPr>
            <w:noProof/>
            <w:webHidden/>
          </w:rPr>
        </w:r>
        <w:r w:rsidR="00A13A6D">
          <w:rPr>
            <w:noProof/>
            <w:webHidden/>
          </w:rPr>
          <w:fldChar w:fldCharType="separate"/>
        </w:r>
        <w:r w:rsidR="00A13A6D">
          <w:rPr>
            <w:noProof/>
            <w:webHidden/>
          </w:rPr>
          <w:t>7</w:t>
        </w:r>
        <w:r w:rsidR="00A13A6D">
          <w:rPr>
            <w:noProof/>
            <w:webHidden/>
          </w:rPr>
          <w:fldChar w:fldCharType="end"/>
        </w:r>
      </w:hyperlink>
    </w:p>
    <w:p w14:paraId="092C0616" w14:textId="77777777" w:rsidR="00A13A6D" w:rsidRDefault="00BF632C">
      <w:pPr>
        <w:pStyle w:val="TOC1"/>
        <w:rPr>
          <w:rFonts w:asciiTheme="minorHAnsi" w:eastAsiaTheme="minorEastAsia" w:hAnsiTheme="minorHAnsi" w:cstheme="minorBidi"/>
          <w:caps w:val="0"/>
          <w:noProof/>
          <w:szCs w:val="22"/>
          <w:lang w:eastAsia="en-GB"/>
        </w:rPr>
      </w:pPr>
      <w:hyperlink w:anchor="_Toc497746097" w:history="1">
        <w:r w:rsidR="00A13A6D" w:rsidRPr="00315601">
          <w:rPr>
            <w:rStyle w:val="Hyperlink"/>
            <w:noProof/>
          </w:rPr>
          <w:t>7.</w:t>
        </w:r>
        <w:r w:rsidR="00A13A6D">
          <w:rPr>
            <w:rFonts w:asciiTheme="minorHAnsi" w:eastAsiaTheme="minorEastAsia" w:hAnsiTheme="minorHAnsi" w:cstheme="minorBidi"/>
            <w:caps w:val="0"/>
            <w:noProof/>
            <w:szCs w:val="22"/>
            <w:lang w:eastAsia="en-GB"/>
          </w:rPr>
          <w:tab/>
        </w:r>
        <w:r w:rsidR="00A13A6D" w:rsidRPr="00315601">
          <w:rPr>
            <w:rStyle w:val="Hyperlink"/>
            <w:noProof/>
          </w:rPr>
          <w:t>key milestones</w:t>
        </w:r>
        <w:r w:rsidR="00A13A6D">
          <w:rPr>
            <w:noProof/>
            <w:webHidden/>
          </w:rPr>
          <w:tab/>
        </w:r>
        <w:r w:rsidR="00A13A6D">
          <w:rPr>
            <w:noProof/>
            <w:webHidden/>
          </w:rPr>
          <w:fldChar w:fldCharType="begin"/>
        </w:r>
        <w:r w:rsidR="00A13A6D">
          <w:rPr>
            <w:noProof/>
            <w:webHidden/>
          </w:rPr>
          <w:instrText xml:space="preserve"> PAGEREF _Toc497746097 \h </w:instrText>
        </w:r>
        <w:r w:rsidR="00A13A6D">
          <w:rPr>
            <w:noProof/>
            <w:webHidden/>
          </w:rPr>
        </w:r>
        <w:r w:rsidR="00A13A6D">
          <w:rPr>
            <w:noProof/>
            <w:webHidden/>
          </w:rPr>
          <w:fldChar w:fldCharType="separate"/>
        </w:r>
        <w:r w:rsidR="00A13A6D">
          <w:rPr>
            <w:noProof/>
            <w:webHidden/>
          </w:rPr>
          <w:t>8</w:t>
        </w:r>
        <w:r w:rsidR="00A13A6D">
          <w:rPr>
            <w:noProof/>
            <w:webHidden/>
          </w:rPr>
          <w:fldChar w:fldCharType="end"/>
        </w:r>
      </w:hyperlink>
    </w:p>
    <w:p w14:paraId="78F22778" w14:textId="77777777" w:rsidR="00A13A6D" w:rsidRDefault="00BF632C">
      <w:pPr>
        <w:pStyle w:val="TOC1"/>
        <w:rPr>
          <w:rFonts w:asciiTheme="minorHAnsi" w:eastAsiaTheme="minorEastAsia" w:hAnsiTheme="minorHAnsi" w:cstheme="minorBidi"/>
          <w:caps w:val="0"/>
          <w:noProof/>
          <w:szCs w:val="22"/>
          <w:lang w:eastAsia="en-GB"/>
        </w:rPr>
      </w:pPr>
      <w:hyperlink w:anchor="_Toc497746098" w:history="1">
        <w:r w:rsidR="00A13A6D" w:rsidRPr="00315601">
          <w:rPr>
            <w:rStyle w:val="Hyperlink"/>
            <w:rFonts w:cs="Arial"/>
            <w:noProof/>
          </w:rPr>
          <w:t>8.</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Authority’s responsibilities</w:t>
        </w:r>
        <w:r w:rsidR="00A13A6D">
          <w:rPr>
            <w:noProof/>
            <w:webHidden/>
          </w:rPr>
          <w:tab/>
        </w:r>
        <w:r w:rsidR="00A13A6D">
          <w:rPr>
            <w:noProof/>
            <w:webHidden/>
          </w:rPr>
          <w:fldChar w:fldCharType="begin"/>
        </w:r>
        <w:r w:rsidR="00A13A6D">
          <w:rPr>
            <w:noProof/>
            <w:webHidden/>
          </w:rPr>
          <w:instrText xml:space="preserve"> PAGEREF _Toc497746098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7CE1309C" w14:textId="77777777" w:rsidR="00A13A6D" w:rsidRDefault="00BF632C">
      <w:pPr>
        <w:pStyle w:val="TOC1"/>
        <w:rPr>
          <w:rFonts w:asciiTheme="minorHAnsi" w:eastAsiaTheme="minorEastAsia" w:hAnsiTheme="minorHAnsi" w:cstheme="minorBidi"/>
          <w:caps w:val="0"/>
          <w:noProof/>
          <w:szCs w:val="22"/>
          <w:lang w:eastAsia="en-GB"/>
        </w:rPr>
      </w:pPr>
      <w:hyperlink w:anchor="_Toc497746099" w:history="1">
        <w:r w:rsidR="00A13A6D" w:rsidRPr="00315601">
          <w:rPr>
            <w:rStyle w:val="Hyperlink"/>
            <w:rFonts w:cs="Arial"/>
            <w:noProof/>
          </w:rPr>
          <w:t>9.</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reporting</w:t>
        </w:r>
        <w:r w:rsidR="00A13A6D">
          <w:rPr>
            <w:noProof/>
            <w:webHidden/>
          </w:rPr>
          <w:tab/>
        </w:r>
        <w:r w:rsidR="00A13A6D">
          <w:rPr>
            <w:noProof/>
            <w:webHidden/>
          </w:rPr>
          <w:fldChar w:fldCharType="begin"/>
        </w:r>
        <w:r w:rsidR="00A13A6D">
          <w:rPr>
            <w:noProof/>
            <w:webHidden/>
          </w:rPr>
          <w:instrText xml:space="preserve"> PAGEREF _Toc497746099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6612C0FD" w14:textId="77777777" w:rsidR="00A13A6D" w:rsidRDefault="00BF632C">
      <w:pPr>
        <w:pStyle w:val="TOC1"/>
        <w:rPr>
          <w:rFonts w:asciiTheme="minorHAnsi" w:eastAsiaTheme="minorEastAsia" w:hAnsiTheme="minorHAnsi" w:cstheme="minorBidi"/>
          <w:caps w:val="0"/>
          <w:noProof/>
          <w:szCs w:val="22"/>
          <w:lang w:eastAsia="en-GB"/>
        </w:rPr>
      </w:pPr>
      <w:hyperlink w:anchor="_Toc497746100" w:history="1">
        <w:r w:rsidR="00A13A6D" w:rsidRPr="00315601">
          <w:rPr>
            <w:rStyle w:val="Hyperlink"/>
            <w:rFonts w:cs="Arial"/>
            <w:noProof/>
          </w:rPr>
          <w:t>10.</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volumes</w:t>
        </w:r>
        <w:r w:rsidR="00A13A6D">
          <w:rPr>
            <w:noProof/>
            <w:webHidden/>
          </w:rPr>
          <w:tab/>
        </w:r>
        <w:r w:rsidR="00A13A6D">
          <w:rPr>
            <w:noProof/>
            <w:webHidden/>
          </w:rPr>
          <w:fldChar w:fldCharType="begin"/>
        </w:r>
        <w:r w:rsidR="00A13A6D">
          <w:rPr>
            <w:noProof/>
            <w:webHidden/>
          </w:rPr>
          <w:instrText xml:space="preserve"> PAGEREF _Toc497746100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78828E89" w14:textId="77777777" w:rsidR="00A13A6D" w:rsidRDefault="00BF632C">
      <w:pPr>
        <w:pStyle w:val="TOC1"/>
        <w:rPr>
          <w:rFonts w:asciiTheme="minorHAnsi" w:eastAsiaTheme="minorEastAsia" w:hAnsiTheme="minorHAnsi" w:cstheme="minorBidi"/>
          <w:caps w:val="0"/>
          <w:noProof/>
          <w:szCs w:val="22"/>
          <w:lang w:eastAsia="en-GB"/>
        </w:rPr>
      </w:pPr>
      <w:hyperlink w:anchor="_Toc497746101" w:history="1">
        <w:r w:rsidR="00A13A6D" w:rsidRPr="00315601">
          <w:rPr>
            <w:rStyle w:val="Hyperlink"/>
            <w:rFonts w:cs="Arial"/>
            <w:noProof/>
          </w:rPr>
          <w:t>11.</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continuous improvement</w:t>
        </w:r>
        <w:r w:rsidR="00A13A6D">
          <w:rPr>
            <w:noProof/>
            <w:webHidden/>
          </w:rPr>
          <w:tab/>
        </w:r>
        <w:r w:rsidR="00A13A6D">
          <w:rPr>
            <w:noProof/>
            <w:webHidden/>
          </w:rPr>
          <w:fldChar w:fldCharType="begin"/>
        </w:r>
        <w:r w:rsidR="00A13A6D">
          <w:rPr>
            <w:noProof/>
            <w:webHidden/>
          </w:rPr>
          <w:instrText xml:space="preserve"> PAGEREF _Toc497746101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43A31BCD" w14:textId="77777777" w:rsidR="00A13A6D" w:rsidRDefault="00BF632C">
      <w:pPr>
        <w:pStyle w:val="TOC1"/>
        <w:rPr>
          <w:rFonts w:asciiTheme="minorHAnsi" w:eastAsiaTheme="minorEastAsia" w:hAnsiTheme="minorHAnsi" w:cstheme="minorBidi"/>
          <w:caps w:val="0"/>
          <w:noProof/>
          <w:szCs w:val="22"/>
          <w:lang w:eastAsia="en-GB"/>
        </w:rPr>
      </w:pPr>
      <w:hyperlink w:anchor="_Toc497746102" w:history="1">
        <w:r w:rsidR="00A13A6D" w:rsidRPr="00315601">
          <w:rPr>
            <w:rStyle w:val="Hyperlink"/>
            <w:noProof/>
          </w:rPr>
          <w:t>12.</w:t>
        </w:r>
        <w:r w:rsidR="00A13A6D">
          <w:rPr>
            <w:rFonts w:asciiTheme="minorHAnsi" w:eastAsiaTheme="minorEastAsia" w:hAnsiTheme="minorHAnsi" w:cstheme="minorBidi"/>
            <w:caps w:val="0"/>
            <w:noProof/>
            <w:szCs w:val="22"/>
            <w:lang w:eastAsia="en-GB"/>
          </w:rPr>
          <w:tab/>
        </w:r>
        <w:r w:rsidR="00A13A6D" w:rsidRPr="00315601">
          <w:rPr>
            <w:rStyle w:val="Hyperlink"/>
            <w:noProof/>
          </w:rPr>
          <w:t>Sustainability</w:t>
        </w:r>
        <w:r w:rsidR="00A13A6D">
          <w:rPr>
            <w:noProof/>
            <w:webHidden/>
          </w:rPr>
          <w:tab/>
        </w:r>
        <w:r w:rsidR="00A13A6D">
          <w:rPr>
            <w:noProof/>
            <w:webHidden/>
          </w:rPr>
          <w:fldChar w:fldCharType="begin"/>
        </w:r>
        <w:r w:rsidR="00A13A6D">
          <w:rPr>
            <w:noProof/>
            <w:webHidden/>
          </w:rPr>
          <w:instrText xml:space="preserve"> PAGEREF _Toc497746102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636E4F07" w14:textId="77777777" w:rsidR="00A13A6D" w:rsidRDefault="00BF632C">
      <w:pPr>
        <w:pStyle w:val="TOC1"/>
        <w:rPr>
          <w:rFonts w:asciiTheme="minorHAnsi" w:eastAsiaTheme="minorEastAsia" w:hAnsiTheme="minorHAnsi" w:cstheme="minorBidi"/>
          <w:caps w:val="0"/>
          <w:noProof/>
          <w:szCs w:val="22"/>
          <w:lang w:eastAsia="en-GB"/>
        </w:rPr>
      </w:pPr>
      <w:hyperlink w:anchor="_Toc497746103" w:history="1">
        <w:r w:rsidR="00A13A6D" w:rsidRPr="00315601">
          <w:rPr>
            <w:rStyle w:val="Hyperlink"/>
            <w:rFonts w:cs="Arial"/>
            <w:noProof/>
          </w:rPr>
          <w:t>13.</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quality</w:t>
        </w:r>
        <w:r w:rsidR="00A13A6D">
          <w:rPr>
            <w:noProof/>
            <w:webHidden/>
          </w:rPr>
          <w:tab/>
        </w:r>
        <w:r w:rsidR="00A13A6D">
          <w:rPr>
            <w:noProof/>
            <w:webHidden/>
          </w:rPr>
          <w:fldChar w:fldCharType="begin"/>
        </w:r>
        <w:r w:rsidR="00A13A6D">
          <w:rPr>
            <w:noProof/>
            <w:webHidden/>
          </w:rPr>
          <w:instrText xml:space="preserve"> PAGEREF _Toc497746103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19DAAB4B" w14:textId="77777777" w:rsidR="00A13A6D" w:rsidRDefault="00BF632C">
      <w:pPr>
        <w:pStyle w:val="TOC1"/>
        <w:rPr>
          <w:rFonts w:asciiTheme="minorHAnsi" w:eastAsiaTheme="minorEastAsia" w:hAnsiTheme="minorHAnsi" w:cstheme="minorBidi"/>
          <w:caps w:val="0"/>
          <w:noProof/>
          <w:szCs w:val="22"/>
          <w:lang w:eastAsia="en-GB"/>
        </w:rPr>
      </w:pPr>
      <w:hyperlink w:anchor="_Toc497746104" w:history="1">
        <w:r w:rsidR="00A13A6D" w:rsidRPr="00315601">
          <w:rPr>
            <w:rStyle w:val="Hyperlink"/>
            <w:rFonts w:cs="Arial"/>
            <w:noProof/>
          </w:rPr>
          <w:t>14.</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PRICE</w:t>
        </w:r>
        <w:r w:rsidR="00A13A6D">
          <w:rPr>
            <w:noProof/>
            <w:webHidden/>
          </w:rPr>
          <w:tab/>
        </w:r>
        <w:r w:rsidR="00A13A6D">
          <w:rPr>
            <w:noProof/>
            <w:webHidden/>
          </w:rPr>
          <w:fldChar w:fldCharType="begin"/>
        </w:r>
        <w:r w:rsidR="00A13A6D">
          <w:rPr>
            <w:noProof/>
            <w:webHidden/>
          </w:rPr>
          <w:instrText xml:space="preserve"> PAGEREF _Toc497746104 \h </w:instrText>
        </w:r>
        <w:r w:rsidR="00A13A6D">
          <w:rPr>
            <w:noProof/>
            <w:webHidden/>
          </w:rPr>
        </w:r>
        <w:r w:rsidR="00A13A6D">
          <w:rPr>
            <w:noProof/>
            <w:webHidden/>
          </w:rPr>
          <w:fldChar w:fldCharType="separate"/>
        </w:r>
        <w:r w:rsidR="00A13A6D">
          <w:rPr>
            <w:noProof/>
            <w:webHidden/>
          </w:rPr>
          <w:t>9</w:t>
        </w:r>
        <w:r w:rsidR="00A13A6D">
          <w:rPr>
            <w:noProof/>
            <w:webHidden/>
          </w:rPr>
          <w:fldChar w:fldCharType="end"/>
        </w:r>
      </w:hyperlink>
    </w:p>
    <w:p w14:paraId="74EA175D" w14:textId="77777777" w:rsidR="00A13A6D" w:rsidRDefault="00BF632C">
      <w:pPr>
        <w:pStyle w:val="TOC1"/>
        <w:rPr>
          <w:rFonts w:asciiTheme="minorHAnsi" w:eastAsiaTheme="minorEastAsia" w:hAnsiTheme="minorHAnsi" w:cstheme="minorBidi"/>
          <w:caps w:val="0"/>
          <w:noProof/>
          <w:szCs w:val="22"/>
          <w:lang w:eastAsia="en-GB"/>
        </w:rPr>
      </w:pPr>
      <w:hyperlink w:anchor="_Toc497746105" w:history="1">
        <w:r w:rsidR="00A13A6D" w:rsidRPr="00315601">
          <w:rPr>
            <w:rStyle w:val="Hyperlink"/>
            <w:rFonts w:cs="Arial"/>
            <w:noProof/>
          </w:rPr>
          <w:t>15.</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STAFF AND CUSTOMER SERVICE</w:t>
        </w:r>
        <w:r w:rsidR="00A13A6D">
          <w:rPr>
            <w:noProof/>
            <w:webHidden/>
          </w:rPr>
          <w:tab/>
        </w:r>
        <w:r w:rsidR="00A13A6D">
          <w:rPr>
            <w:noProof/>
            <w:webHidden/>
          </w:rPr>
          <w:fldChar w:fldCharType="begin"/>
        </w:r>
        <w:r w:rsidR="00A13A6D">
          <w:rPr>
            <w:noProof/>
            <w:webHidden/>
          </w:rPr>
          <w:instrText xml:space="preserve"> PAGEREF _Toc497746105 \h </w:instrText>
        </w:r>
        <w:r w:rsidR="00A13A6D">
          <w:rPr>
            <w:noProof/>
            <w:webHidden/>
          </w:rPr>
        </w:r>
        <w:r w:rsidR="00A13A6D">
          <w:rPr>
            <w:noProof/>
            <w:webHidden/>
          </w:rPr>
          <w:fldChar w:fldCharType="separate"/>
        </w:r>
        <w:r w:rsidR="00A13A6D">
          <w:rPr>
            <w:noProof/>
            <w:webHidden/>
          </w:rPr>
          <w:t>10</w:t>
        </w:r>
        <w:r w:rsidR="00A13A6D">
          <w:rPr>
            <w:noProof/>
            <w:webHidden/>
          </w:rPr>
          <w:fldChar w:fldCharType="end"/>
        </w:r>
      </w:hyperlink>
    </w:p>
    <w:p w14:paraId="538F30B0" w14:textId="77777777" w:rsidR="00A13A6D" w:rsidRDefault="00BF632C">
      <w:pPr>
        <w:pStyle w:val="TOC1"/>
        <w:rPr>
          <w:rFonts w:asciiTheme="minorHAnsi" w:eastAsiaTheme="minorEastAsia" w:hAnsiTheme="minorHAnsi" w:cstheme="minorBidi"/>
          <w:caps w:val="0"/>
          <w:noProof/>
          <w:szCs w:val="22"/>
          <w:lang w:eastAsia="en-GB"/>
        </w:rPr>
      </w:pPr>
      <w:hyperlink w:anchor="_Toc497746106" w:history="1">
        <w:r w:rsidR="00A13A6D" w:rsidRPr="00315601">
          <w:rPr>
            <w:rStyle w:val="Hyperlink"/>
            <w:rFonts w:cs="Arial"/>
            <w:noProof/>
          </w:rPr>
          <w:t>16.</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service levels and performance</w:t>
        </w:r>
        <w:r w:rsidR="00A13A6D">
          <w:rPr>
            <w:noProof/>
            <w:webHidden/>
          </w:rPr>
          <w:tab/>
        </w:r>
        <w:r w:rsidR="00A13A6D">
          <w:rPr>
            <w:noProof/>
            <w:webHidden/>
          </w:rPr>
          <w:fldChar w:fldCharType="begin"/>
        </w:r>
        <w:r w:rsidR="00A13A6D">
          <w:rPr>
            <w:noProof/>
            <w:webHidden/>
          </w:rPr>
          <w:instrText xml:space="preserve"> PAGEREF _Toc497746106 \h </w:instrText>
        </w:r>
        <w:r w:rsidR="00A13A6D">
          <w:rPr>
            <w:noProof/>
            <w:webHidden/>
          </w:rPr>
        </w:r>
        <w:r w:rsidR="00A13A6D">
          <w:rPr>
            <w:noProof/>
            <w:webHidden/>
          </w:rPr>
          <w:fldChar w:fldCharType="separate"/>
        </w:r>
        <w:r w:rsidR="00A13A6D">
          <w:rPr>
            <w:noProof/>
            <w:webHidden/>
          </w:rPr>
          <w:t>10</w:t>
        </w:r>
        <w:r w:rsidR="00A13A6D">
          <w:rPr>
            <w:noProof/>
            <w:webHidden/>
          </w:rPr>
          <w:fldChar w:fldCharType="end"/>
        </w:r>
      </w:hyperlink>
    </w:p>
    <w:p w14:paraId="374BAAFA" w14:textId="77777777" w:rsidR="00A13A6D" w:rsidRDefault="00BF632C">
      <w:pPr>
        <w:pStyle w:val="TOC1"/>
        <w:rPr>
          <w:rFonts w:asciiTheme="minorHAnsi" w:eastAsiaTheme="minorEastAsia" w:hAnsiTheme="minorHAnsi" w:cstheme="minorBidi"/>
          <w:caps w:val="0"/>
          <w:noProof/>
          <w:szCs w:val="22"/>
          <w:lang w:eastAsia="en-GB"/>
        </w:rPr>
      </w:pPr>
      <w:hyperlink w:anchor="_Toc497746107" w:history="1">
        <w:r w:rsidR="00A13A6D" w:rsidRPr="00315601">
          <w:rPr>
            <w:rStyle w:val="Hyperlink"/>
            <w:noProof/>
          </w:rPr>
          <w:t>17.</w:t>
        </w:r>
        <w:r w:rsidR="00A13A6D">
          <w:rPr>
            <w:rFonts w:asciiTheme="minorHAnsi" w:eastAsiaTheme="minorEastAsia" w:hAnsiTheme="minorHAnsi" w:cstheme="minorBidi"/>
            <w:caps w:val="0"/>
            <w:noProof/>
            <w:szCs w:val="22"/>
            <w:lang w:eastAsia="en-GB"/>
          </w:rPr>
          <w:tab/>
        </w:r>
        <w:r w:rsidR="00A13A6D" w:rsidRPr="00315601">
          <w:rPr>
            <w:rStyle w:val="Hyperlink"/>
            <w:noProof/>
          </w:rPr>
          <w:t>Security requirements</w:t>
        </w:r>
        <w:r w:rsidR="00A13A6D">
          <w:rPr>
            <w:noProof/>
            <w:webHidden/>
          </w:rPr>
          <w:tab/>
        </w:r>
        <w:r w:rsidR="00A13A6D">
          <w:rPr>
            <w:noProof/>
            <w:webHidden/>
          </w:rPr>
          <w:fldChar w:fldCharType="begin"/>
        </w:r>
        <w:r w:rsidR="00A13A6D">
          <w:rPr>
            <w:noProof/>
            <w:webHidden/>
          </w:rPr>
          <w:instrText xml:space="preserve"> PAGEREF _Toc497746107 \h </w:instrText>
        </w:r>
        <w:r w:rsidR="00A13A6D">
          <w:rPr>
            <w:noProof/>
            <w:webHidden/>
          </w:rPr>
        </w:r>
        <w:r w:rsidR="00A13A6D">
          <w:rPr>
            <w:noProof/>
            <w:webHidden/>
          </w:rPr>
          <w:fldChar w:fldCharType="separate"/>
        </w:r>
        <w:r w:rsidR="00A13A6D">
          <w:rPr>
            <w:noProof/>
            <w:webHidden/>
          </w:rPr>
          <w:t>14</w:t>
        </w:r>
        <w:r w:rsidR="00A13A6D">
          <w:rPr>
            <w:noProof/>
            <w:webHidden/>
          </w:rPr>
          <w:fldChar w:fldCharType="end"/>
        </w:r>
      </w:hyperlink>
    </w:p>
    <w:p w14:paraId="6CEB06E5" w14:textId="77777777" w:rsidR="00A13A6D" w:rsidRDefault="00BF632C">
      <w:pPr>
        <w:pStyle w:val="TOC1"/>
        <w:rPr>
          <w:rFonts w:asciiTheme="minorHAnsi" w:eastAsiaTheme="minorEastAsia" w:hAnsiTheme="minorHAnsi" w:cstheme="minorBidi"/>
          <w:caps w:val="0"/>
          <w:noProof/>
          <w:szCs w:val="22"/>
          <w:lang w:eastAsia="en-GB"/>
        </w:rPr>
      </w:pPr>
      <w:hyperlink w:anchor="_Toc497746108" w:history="1">
        <w:r w:rsidR="00A13A6D" w:rsidRPr="00315601">
          <w:rPr>
            <w:rStyle w:val="Hyperlink"/>
            <w:rFonts w:cs="Arial"/>
            <w:noProof/>
          </w:rPr>
          <w:t>18.</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intellectual property rights (ipr)</w:t>
        </w:r>
        <w:r w:rsidR="00A13A6D">
          <w:rPr>
            <w:noProof/>
            <w:webHidden/>
          </w:rPr>
          <w:tab/>
        </w:r>
        <w:r w:rsidR="00A13A6D">
          <w:rPr>
            <w:noProof/>
            <w:webHidden/>
          </w:rPr>
          <w:fldChar w:fldCharType="begin"/>
        </w:r>
        <w:r w:rsidR="00A13A6D">
          <w:rPr>
            <w:noProof/>
            <w:webHidden/>
          </w:rPr>
          <w:instrText xml:space="preserve"> PAGEREF _Toc497746108 \h </w:instrText>
        </w:r>
        <w:r w:rsidR="00A13A6D">
          <w:rPr>
            <w:noProof/>
            <w:webHidden/>
          </w:rPr>
        </w:r>
        <w:r w:rsidR="00A13A6D">
          <w:rPr>
            <w:noProof/>
            <w:webHidden/>
          </w:rPr>
          <w:fldChar w:fldCharType="separate"/>
        </w:r>
        <w:r w:rsidR="00A13A6D">
          <w:rPr>
            <w:noProof/>
            <w:webHidden/>
          </w:rPr>
          <w:t>14</w:t>
        </w:r>
        <w:r w:rsidR="00A13A6D">
          <w:rPr>
            <w:noProof/>
            <w:webHidden/>
          </w:rPr>
          <w:fldChar w:fldCharType="end"/>
        </w:r>
      </w:hyperlink>
    </w:p>
    <w:p w14:paraId="0F746360" w14:textId="77777777" w:rsidR="00A13A6D" w:rsidRDefault="00BF632C">
      <w:pPr>
        <w:pStyle w:val="TOC1"/>
        <w:rPr>
          <w:rFonts w:asciiTheme="minorHAnsi" w:eastAsiaTheme="minorEastAsia" w:hAnsiTheme="minorHAnsi" w:cstheme="minorBidi"/>
          <w:caps w:val="0"/>
          <w:noProof/>
          <w:szCs w:val="22"/>
          <w:lang w:eastAsia="en-GB"/>
        </w:rPr>
      </w:pPr>
      <w:hyperlink w:anchor="_Toc497746109" w:history="1">
        <w:r w:rsidR="00A13A6D" w:rsidRPr="00315601">
          <w:rPr>
            <w:rStyle w:val="Hyperlink"/>
            <w:rFonts w:cs="Arial"/>
            <w:noProof/>
          </w:rPr>
          <w:t>19.</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payment</w:t>
        </w:r>
        <w:r w:rsidR="00A13A6D">
          <w:rPr>
            <w:noProof/>
            <w:webHidden/>
          </w:rPr>
          <w:tab/>
        </w:r>
        <w:r w:rsidR="00A13A6D">
          <w:rPr>
            <w:noProof/>
            <w:webHidden/>
          </w:rPr>
          <w:fldChar w:fldCharType="begin"/>
        </w:r>
        <w:r w:rsidR="00A13A6D">
          <w:rPr>
            <w:noProof/>
            <w:webHidden/>
          </w:rPr>
          <w:instrText xml:space="preserve"> PAGEREF _Toc497746109 \h </w:instrText>
        </w:r>
        <w:r w:rsidR="00A13A6D">
          <w:rPr>
            <w:noProof/>
            <w:webHidden/>
          </w:rPr>
        </w:r>
        <w:r w:rsidR="00A13A6D">
          <w:rPr>
            <w:noProof/>
            <w:webHidden/>
          </w:rPr>
          <w:fldChar w:fldCharType="separate"/>
        </w:r>
        <w:r w:rsidR="00A13A6D">
          <w:rPr>
            <w:noProof/>
            <w:webHidden/>
          </w:rPr>
          <w:t>14</w:t>
        </w:r>
        <w:r w:rsidR="00A13A6D">
          <w:rPr>
            <w:noProof/>
            <w:webHidden/>
          </w:rPr>
          <w:fldChar w:fldCharType="end"/>
        </w:r>
      </w:hyperlink>
    </w:p>
    <w:p w14:paraId="7F1507CD" w14:textId="77777777" w:rsidR="00A13A6D" w:rsidRDefault="00BF632C">
      <w:pPr>
        <w:pStyle w:val="TOC1"/>
        <w:rPr>
          <w:rFonts w:asciiTheme="minorHAnsi" w:eastAsiaTheme="minorEastAsia" w:hAnsiTheme="minorHAnsi" w:cstheme="minorBidi"/>
          <w:caps w:val="0"/>
          <w:noProof/>
          <w:szCs w:val="22"/>
          <w:lang w:eastAsia="en-GB"/>
        </w:rPr>
      </w:pPr>
      <w:hyperlink w:anchor="_Toc497746110" w:history="1">
        <w:r w:rsidR="00A13A6D" w:rsidRPr="00315601">
          <w:rPr>
            <w:rStyle w:val="Hyperlink"/>
            <w:rFonts w:cs="Arial"/>
            <w:noProof/>
          </w:rPr>
          <w:t>20.</w:t>
        </w:r>
        <w:r w:rsidR="00A13A6D">
          <w:rPr>
            <w:rFonts w:asciiTheme="minorHAnsi" w:eastAsiaTheme="minorEastAsia" w:hAnsiTheme="minorHAnsi" w:cstheme="minorBidi"/>
            <w:caps w:val="0"/>
            <w:noProof/>
            <w:szCs w:val="22"/>
            <w:lang w:eastAsia="en-GB"/>
          </w:rPr>
          <w:tab/>
        </w:r>
        <w:r w:rsidR="00A13A6D" w:rsidRPr="00315601">
          <w:rPr>
            <w:rStyle w:val="Hyperlink"/>
            <w:rFonts w:cs="Arial"/>
            <w:noProof/>
          </w:rPr>
          <w:t>additional information</w:t>
        </w:r>
        <w:r w:rsidR="00A13A6D">
          <w:rPr>
            <w:noProof/>
            <w:webHidden/>
          </w:rPr>
          <w:tab/>
        </w:r>
        <w:r w:rsidR="00A13A6D">
          <w:rPr>
            <w:noProof/>
            <w:webHidden/>
          </w:rPr>
          <w:fldChar w:fldCharType="begin"/>
        </w:r>
        <w:r w:rsidR="00A13A6D">
          <w:rPr>
            <w:noProof/>
            <w:webHidden/>
          </w:rPr>
          <w:instrText xml:space="preserve"> PAGEREF _Toc497746110 \h </w:instrText>
        </w:r>
        <w:r w:rsidR="00A13A6D">
          <w:rPr>
            <w:noProof/>
            <w:webHidden/>
          </w:rPr>
        </w:r>
        <w:r w:rsidR="00A13A6D">
          <w:rPr>
            <w:noProof/>
            <w:webHidden/>
          </w:rPr>
          <w:fldChar w:fldCharType="separate"/>
        </w:r>
        <w:r w:rsidR="00A13A6D">
          <w:rPr>
            <w:noProof/>
            <w:webHidden/>
          </w:rPr>
          <w:t>14</w:t>
        </w:r>
        <w:r w:rsidR="00A13A6D">
          <w:rPr>
            <w:noProof/>
            <w:webHidden/>
          </w:rPr>
          <w:fldChar w:fldCharType="end"/>
        </w:r>
      </w:hyperlink>
    </w:p>
    <w:p w14:paraId="64D950EF" w14:textId="77777777" w:rsidR="00A13A6D" w:rsidRDefault="00BF632C">
      <w:pPr>
        <w:pStyle w:val="TOC1"/>
        <w:rPr>
          <w:rFonts w:asciiTheme="minorHAnsi" w:eastAsiaTheme="minorEastAsia" w:hAnsiTheme="minorHAnsi" w:cstheme="minorBidi"/>
          <w:caps w:val="0"/>
          <w:noProof/>
          <w:szCs w:val="22"/>
          <w:lang w:eastAsia="en-GB"/>
        </w:rPr>
      </w:pPr>
      <w:hyperlink w:anchor="_Toc497746111" w:history="1">
        <w:r w:rsidR="00A13A6D" w:rsidRPr="00315601">
          <w:rPr>
            <w:rStyle w:val="Hyperlink"/>
            <w:noProof/>
          </w:rPr>
          <w:t>21.</w:t>
        </w:r>
        <w:r w:rsidR="00A13A6D">
          <w:rPr>
            <w:rFonts w:asciiTheme="minorHAnsi" w:eastAsiaTheme="minorEastAsia" w:hAnsiTheme="minorHAnsi" w:cstheme="minorBidi"/>
            <w:caps w:val="0"/>
            <w:noProof/>
            <w:szCs w:val="22"/>
            <w:lang w:eastAsia="en-GB"/>
          </w:rPr>
          <w:tab/>
        </w:r>
        <w:r w:rsidR="00A13A6D" w:rsidRPr="00315601">
          <w:rPr>
            <w:rStyle w:val="Hyperlink"/>
            <w:noProof/>
          </w:rPr>
          <w:t>Location</w:t>
        </w:r>
        <w:r w:rsidR="00A13A6D">
          <w:rPr>
            <w:noProof/>
            <w:webHidden/>
          </w:rPr>
          <w:tab/>
        </w:r>
        <w:r w:rsidR="00A13A6D">
          <w:rPr>
            <w:noProof/>
            <w:webHidden/>
          </w:rPr>
          <w:fldChar w:fldCharType="begin"/>
        </w:r>
        <w:r w:rsidR="00A13A6D">
          <w:rPr>
            <w:noProof/>
            <w:webHidden/>
          </w:rPr>
          <w:instrText xml:space="preserve"> PAGEREF _Toc497746111 \h </w:instrText>
        </w:r>
        <w:r w:rsidR="00A13A6D">
          <w:rPr>
            <w:noProof/>
            <w:webHidden/>
          </w:rPr>
        </w:r>
        <w:r w:rsidR="00A13A6D">
          <w:rPr>
            <w:noProof/>
            <w:webHidden/>
          </w:rPr>
          <w:fldChar w:fldCharType="separate"/>
        </w:r>
        <w:r w:rsidR="00A13A6D">
          <w:rPr>
            <w:noProof/>
            <w:webHidden/>
          </w:rPr>
          <w:t>14</w:t>
        </w:r>
        <w:r w:rsidR="00A13A6D">
          <w:rPr>
            <w:noProof/>
            <w:webHidden/>
          </w:rPr>
          <w:fldChar w:fldCharType="end"/>
        </w:r>
      </w:hyperlink>
    </w:p>
    <w:p w14:paraId="374B790A" w14:textId="79306A12"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3D17A2">
      <w:pPr>
        <w:pStyle w:val="Heading1"/>
        <w:numPr>
          <w:ilvl w:val="0"/>
          <w:numId w:val="0"/>
        </w:numPr>
        <w:overflowPunct w:val="0"/>
        <w:autoSpaceDE w:val="0"/>
        <w:autoSpaceDN w:val="0"/>
        <w:spacing w:after="120"/>
        <w:textAlignment w:val="baseline"/>
        <w:rPr>
          <w:szCs w:val="22"/>
        </w:rPr>
      </w:pPr>
      <w:bookmarkStart w:id="0" w:name="_Toc297554772"/>
      <w:r>
        <w:rPr>
          <w:caps w:val="0"/>
          <w:szCs w:val="22"/>
        </w:rPr>
        <w:br w:type="page"/>
      </w:r>
    </w:p>
    <w:p w14:paraId="52EE2194" w14:textId="113F317E" w:rsidR="00165916" w:rsidRPr="00EE0C1D" w:rsidRDefault="00FE18AC" w:rsidP="00E81B12">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497746091"/>
      <w:r w:rsidRPr="00CE295C">
        <w:rPr>
          <w:caps w:val="0"/>
          <w:szCs w:val="22"/>
        </w:rPr>
        <w:lastRenderedPageBreak/>
        <w:t>PURPOSE</w:t>
      </w:r>
      <w:bookmarkEnd w:id="0"/>
      <w:bookmarkEnd w:id="1"/>
      <w:bookmarkEnd w:id="2"/>
    </w:p>
    <w:p w14:paraId="4AC9D201" w14:textId="53EA6B93" w:rsidR="000371A7" w:rsidRPr="006F0630" w:rsidRDefault="006F0630"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The purpose of this Procurement is to source</w:t>
      </w:r>
      <w:r w:rsidR="00A0141E" w:rsidRPr="00165916">
        <w:rPr>
          <w:szCs w:val="22"/>
        </w:rPr>
        <w:t xml:space="preserve"> a </w:t>
      </w:r>
      <w:r w:rsidR="00165916" w:rsidRPr="00165916">
        <w:rPr>
          <w:szCs w:val="22"/>
        </w:rPr>
        <w:t>P</w:t>
      </w:r>
      <w:r w:rsidR="00A0141E" w:rsidRPr="00165916">
        <w:rPr>
          <w:szCs w:val="22"/>
        </w:rPr>
        <w:t xml:space="preserve">otential </w:t>
      </w:r>
      <w:r w:rsidR="00165916" w:rsidRPr="00165916">
        <w:rPr>
          <w:szCs w:val="22"/>
        </w:rPr>
        <w:t>P</w:t>
      </w:r>
      <w:r w:rsidR="00A0141E" w:rsidRPr="00165916">
        <w:rPr>
          <w:szCs w:val="22"/>
        </w:rPr>
        <w:t xml:space="preserve">rovider that will provide the </w:t>
      </w:r>
      <w:r w:rsidR="00165916" w:rsidRPr="00165916">
        <w:rPr>
          <w:szCs w:val="22"/>
        </w:rPr>
        <w:t xml:space="preserve">National Infrastructure </w:t>
      </w:r>
      <w:r w:rsidR="008572E9">
        <w:rPr>
          <w:szCs w:val="22"/>
        </w:rPr>
        <w:t>Commission</w:t>
      </w:r>
      <w:r>
        <w:rPr>
          <w:szCs w:val="22"/>
        </w:rPr>
        <w:t xml:space="preserve"> (NIC)</w:t>
      </w:r>
      <w:r w:rsidR="008572E9" w:rsidRPr="00165916">
        <w:rPr>
          <w:szCs w:val="22"/>
        </w:rPr>
        <w:t xml:space="preserve"> </w:t>
      </w:r>
      <w:r w:rsidR="00A0141E" w:rsidRPr="00165916">
        <w:rPr>
          <w:szCs w:val="22"/>
        </w:rPr>
        <w:t xml:space="preserve">(henceforth the </w:t>
      </w:r>
      <w:r w:rsidR="00196534">
        <w:rPr>
          <w:szCs w:val="22"/>
        </w:rPr>
        <w:t>A</w:t>
      </w:r>
      <w:r w:rsidR="00A0141E" w:rsidRPr="00165916">
        <w:rPr>
          <w:szCs w:val="22"/>
        </w:rPr>
        <w:t>uthority) with</w:t>
      </w:r>
      <w:r w:rsidR="00165916" w:rsidRPr="00165916">
        <w:rPr>
          <w:szCs w:val="22"/>
        </w:rPr>
        <w:t xml:space="preserve"> </w:t>
      </w:r>
      <w:r w:rsidR="00A0141E" w:rsidRPr="00165916">
        <w:rPr>
          <w:szCs w:val="22"/>
        </w:rPr>
        <w:t>modell</w:t>
      </w:r>
      <w:r w:rsidR="00165916" w:rsidRPr="00165916">
        <w:rPr>
          <w:szCs w:val="22"/>
        </w:rPr>
        <w:t xml:space="preserve">ed </w:t>
      </w:r>
      <w:r w:rsidR="00A0141E" w:rsidRPr="00EE0C1D">
        <w:rPr>
          <w:szCs w:val="22"/>
        </w:rPr>
        <w:t>pathways to achieve deca</w:t>
      </w:r>
      <w:r w:rsidR="00EE0C1D">
        <w:rPr>
          <w:szCs w:val="22"/>
        </w:rPr>
        <w:t>rbonisation of the power sector. This will be</w:t>
      </w:r>
      <w:r w:rsidR="00A0141E" w:rsidRPr="00EE0C1D">
        <w:rPr>
          <w:szCs w:val="22"/>
        </w:rPr>
        <w:t xml:space="preserve"> with a particular focus on total system costs of renewables relative to other generation technologies</w:t>
      </w:r>
      <w:r w:rsidR="00165916" w:rsidRPr="00EE0C1D">
        <w:rPr>
          <w:szCs w:val="22"/>
        </w:rPr>
        <w:t>.</w:t>
      </w:r>
    </w:p>
    <w:p w14:paraId="081B3AD6" w14:textId="4E01F0D3" w:rsidR="000371A7" w:rsidRPr="00CE295C" w:rsidRDefault="000371A7" w:rsidP="00EE0C1D">
      <w:pPr>
        <w:pStyle w:val="Heading1"/>
      </w:pPr>
      <w:bookmarkStart w:id="3" w:name="_Toc497746092"/>
      <w:r>
        <w:t>BACKGROUND TO THE CONTRACTING AUTHORITY</w:t>
      </w:r>
      <w:bookmarkEnd w:id="3"/>
    </w:p>
    <w:p w14:paraId="5B0EBE45" w14:textId="734C106A" w:rsidR="009A55EB" w:rsidRPr="00EE0C1D" w:rsidRDefault="008C50C2" w:rsidP="00EE0C1D">
      <w:pPr>
        <w:pStyle w:val="Heading2"/>
        <w:tabs>
          <w:tab w:val="clear" w:pos="1996"/>
          <w:tab w:val="num" w:pos="709"/>
        </w:tabs>
        <w:overflowPunct w:val="0"/>
        <w:autoSpaceDE w:val="0"/>
        <w:autoSpaceDN w:val="0"/>
        <w:spacing w:after="120"/>
        <w:ind w:left="709" w:hanging="709"/>
        <w:textAlignment w:val="baseline"/>
        <w:rPr>
          <w:szCs w:val="22"/>
        </w:rPr>
      </w:pPr>
      <w:bookmarkStart w:id="4" w:name="_Toc297554773"/>
      <w:bookmarkStart w:id="5" w:name="_Toc296415805"/>
      <w:bookmarkStart w:id="6" w:name="_Toc296415793"/>
      <w:r w:rsidRPr="00A87967">
        <w:rPr>
          <w:szCs w:val="22"/>
        </w:rPr>
        <w:t>The Authority</w:t>
      </w:r>
      <w:r w:rsidR="005513A9" w:rsidRPr="00EE0C1D">
        <w:rPr>
          <w:szCs w:val="22"/>
        </w:rPr>
        <w:t xml:space="preserve"> </w:t>
      </w:r>
      <w:r w:rsidRPr="00EE0C1D">
        <w:rPr>
          <w:szCs w:val="22"/>
        </w:rPr>
        <w:t>provides the government with impartial, expert advice on major long-term infrastructure challenges. It has been operating in interim form since October 2015 and was established as a permanent Executive Agency of HM Treasury on 24 January 2017.</w:t>
      </w:r>
    </w:p>
    <w:p w14:paraId="0A884F42" w14:textId="4AA934FA" w:rsidR="008C50C2" w:rsidRPr="00A87967" w:rsidRDefault="008C50C2"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Authority’s relationship with the government is set out in a published </w:t>
      </w:r>
      <w:hyperlink r:id="rId14" w:history="1">
        <w:r w:rsidRPr="00EE0C1D">
          <w:rPr>
            <w:szCs w:val="22"/>
          </w:rPr>
          <w:t>Charter</w:t>
        </w:r>
      </w:hyperlink>
      <w:r w:rsidRPr="00A87967">
        <w:rPr>
          <w:szCs w:val="22"/>
        </w:rPr>
        <w:t>. This explains</w:t>
      </w:r>
      <w:r w:rsidR="003C7BE8" w:rsidRPr="00A87967">
        <w:rPr>
          <w:szCs w:val="22"/>
        </w:rPr>
        <w:t xml:space="preserve"> that it must carry out its work in accordance with a remit (and terms of reference for specific studies) set by the government</w:t>
      </w:r>
      <w:r w:rsidR="006F0630" w:rsidRPr="00EE0C1D">
        <w:rPr>
          <w:szCs w:val="22"/>
        </w:rPr>
        <w:t>.</w:t>
      </w:r>
      <w:r w:rsidR="003C7BE8" w:rsidRPr="00EE0C1D">
        <w:rPr>
          <w:szCs w:val="22"/>
        </w:rPr>
        <w:t xml:space="preserve"> </w:t>
      </w:r>
      <w:r w:rsidR="006F0630" w:rsidRPr="00EE0C1D">
        <w:rPr>
          <w:szCs w:val="22"/>
        </w:rPr>
        <w:t>I</w:t>
      </w:r>
      <w:r w:rsidR="003C7BE8" w:rsidRPr="00EE0C1D">
        <w:rPr>
          <w:szCs w:val="22"/>
        </w:rPr>
        <w:t>n all other respects it has complete discretion to determine independently its work programme, methodologies and recommendations</w:t>
      </w:r>
      <w:r w:rsidR="00E303AF" w:rsidRPr="00EE0C1D">
        <w:rPr>
          <w:szCs w:val="22"/>
        </w:rPr>
        <w:t>,</w:t>
      </w:r>
      <w:r w:rsidR="003C7BE8" w:rsidRPr="00EE0C1D">
        <w:rPr>
          <w:szCs w:val="22"/>
        </w:rPr>
        <w:t xml:space="preserve"> as well as the content of its reports a</w:t>
      </w:r>
      <w:r w:rsidR="00AE5E31" w:rsidRPr="00EE0C1D">
        <w:rPr>
          <w:szCs w:val="22"/>
        </w:rPr>
        <w:t>n</w:t>
      </w:r>
      <w:r w:rsidR="003C7BE8" w:rsidRPr="00EE0C1D">
        <w:rPr>
          <w:szCs w:val="22"/>
        </w:rPr>
        <w:t xml:space="preserve">d public statements. A manually agreed </w:t>
      </w:r>
      <w:hyperlink r:id="rId15" w:history="1">
        <w:r w:rsidR="00AE5E31" w:rsidRPr="00EE0C1D">
          <w:rPr>
            <w:szCs w:val="22"/>
          </w:rPr>
          <w:t>F</w:t>
        </w:r>
        <w:r w:rsidR="003C7BE8" w:rsidRPr="00EE0C1D">
          <w:rPr>
            <w:szCs w:val="22"/>
          </w:rPr>
          <w:t>ramework Document</w:t>
        </w:r>
      </w:hyperlink>
      <w:r w:rsidR="003C7BE8" w:rsidRPr="00EE0C1D">
        <w:rPr>
          <w:szCs w:val="22"/>
        </w:rPr>
        <w:t xml:space="preserve"> </w:t>
      </w:r>
      <w:r w:rsidR="003C7BE8" w:rsidRPr="00A87967">
        <w:rPr>
          <w:szCs w:val="22"/>
        </w:rPr>
        <w:t>provides further details of the Authority’s working relationship with the government.</w:t>
      </w:r>
    </w:p>
    <w:p w14:paraId="14A17EAC" w14:textId="0E9A9D94" w:rsidR="003C7BE8" w:rsidRPr="00EE0C1D" w:rsidRDefault="003C7BE8"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5513A9" w:rsidRPr="00EE0C1D">
        <w:rPr>
          <w:szCs w:val="22"/>
        </w:rPr>
        <w:t>government</w:t>
      </w:r>
      <w:r w:rsidRPr="00EE0C1D">
        <w:rPr>
          <w:szCs w:val="22"/>
        </w:rPr>
        <w:t xml:space="preserve"> has outlined the high-level objectives of the Authority as follows:</w:t>
      </w:r>
    </w:p>
    <w:p w14:paraId="26035140" w14:textId="19D0A418" w:rsidR="003C7BE8" w:rsidRDefault="003C7BE8" w:rsidP="00EE0C1D">
      <w:pPr>
        <w:pStyle w:val="Heading4"/>
        <w:tabs>
          <w:tab w:val="clear" w:pos="2880"/>
        </w:tabs>
        <w:ind w:left="1560" w:hanging="851"/>
      </w:pPr>
      <w:r>
        <w:t>Support sustainable economic growth across all regions of the UK;</w:t>
      </w:r>
    </w:p>
    <w:p w14:paraId="7433F7F2" w14:textId="1B28BA03" w:rsidR="003C7BE8" w:rsidRDefault="003C7BE8" w:rsidP="00EE0C1D">
      <w:pPr>
        <w:pStyle w:val="Heading4"/>
        <w:tabs>
          <w:tab w:val="clear" w:pos="2880"/>
        </w:tabs>
        <w:ind w:left="1560" w:hanging="851"/>
      </w:pPr>
      <w:r>
        <w:t>Improve competitiveness</w:t>
      </w:r>
      <w:r w:rsidR="00943303">
        <w:t>;</w:t>
      </w:r>
      <w:r>
        <w:t xml:space="preserve"> </w:t>
      </w:r>
    </w:p>
    <w:p w14:paraId="1D1EE841" w14:textId="0474D438" w:rsidR="00023298" w:rsidRDefault="003C7BE8" w:rsidP="00EE0C1D">
      <w:pPr>
        <w:pStyle w:val="Heading4"/>
        <w:tabs>
          <w:tab w:val="clear" w:pos="2880"/>
        </w:tabs>
        <w:ind w:left="1560" w:hanging="851"/>
      </w:pPr>
      <w:r>
        <w:t>Improve quality of life</w:t>
      </w:r>
      <w:r w:rsidR="00943303">
        <w:t>.</w:t>
      </w:r>
    </w:p>
    <w:p w14:paraId="7FEC10B7" w14:textId="7E7F8BF7" w:rsidR="003549B1" w:rsidRPr="00EE0C1D" w:rsidRDefault="003549B1"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Each Parliament, the </w:t>
      </w:r>
      <w:r w:rsidR="001A091C" w:rsidRPr="00A87967">
        <w:rPr>
          <w:szCs w:val="22"/>
        </w:rPr>
        <w:t xml:space="preserve">Authority </w:t>
      </w:r>
      <w:r w:rsidRPr="00EE0C1D">
        <w:rPr>
          <w:szCs w:val="22"/>
        </w:rPr>
        <w:t>will deliver a study on the UK’s long-term strategic infrastructure needs and produce recommendations to address those needs across the economic infrastructure sectors including transport, energy, water and wastewater, digital communications, solid waste, flood risk management as well as considering their interdependencies and their interaction with the built environment.</w:t>
      </w:r>
    </w:p>
    <w:p w14:paraId="1E4A303F" w14:textId="261B409B" w:rsidR="003549B1" w:rsidRPr="00EE0C1D" w:rsidRDefault="003549B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This study is the National Infrastructure Assessment (NIA). The delivery of the NIA will be overseen by the </w:t>
      </w:r>
      <w:r w:rsidR="001A091C" w:rsidRPr="00EE0C1D">
        <w:rPr>
          <w:szCs w:val="22"/>
        </w:rPr>
        <w:t>Authority’s</w:t>
      </w:r>
      <w:r w:rsidR="00D03720" w:rsidRPr="00EE0C1D">
        <w:rPr>
          <w:szCs w:val="22"/>
        </w:rPr>
        <w:t xml:space="preserve"> </w:t>
      </w:r>
      <w:r w:rsidR="003B5857" w:rsidRPr="00EE0C1D">
        <w:rPr>
          <w:szCs w:val="22"/>
        </w:rPr>
        <w:t>Commission</w:t>
      </w:r>
      <w:r w:rsidR="00D03720" w:rsidRPr="00EE0C1D">
        <w:rPr>
          <w:szCs w:val="22"/>
        </w:rPr>
        <w:t xml:space="preserve">ers, </w:t>
      </w:r>
      <w:r w:rsidRPr="00EE0C1D">
        <w:rPr>
          <w:szCs w:val="22"/>
        </w:rPr>
        <w:t xml:space="preserve">who </w:t>
      </w:r>
      <w:r w:rsidR="00165916" w:rsidRPr="00EE0C1D">
        <w:rPr>
          <w:szCs w:val="22"/>
        </w:rPr>
        <w:t>can</w:t>
      </w:r>
      <w:r w:rsidRPr="00EE0C1D">
        <w:rPr>
          <w:szCs w:val="22"/>
        </w:rPr>
        <w:t xml:space="preserve"> </w:t>
      </w:r>
      <w:r w:rsidR="00CE57CE" w:rsidRPr="00EE0C1D">
        <w:rPr>
          <w:szCs w:val="22"/>
        </w:rPr>
        <w:t xml:space="preserve">commission </w:t>
      </w:r>
      <w:r w:rsidRPr="00EE0C1D">
        <w:rPr>
          <w:szCs w:val="22"/>
        </w:rPr>
        <w:t>research and call for evidence from public sector bodies and private sector and other third party experts.</w:t>
      </w:r>
    </w:p>
    <w:p w14:paraId="1F29ACCB" w14:textId="024D1A88" w:rsidR="003549B1" w:rsidRPr="00EE0C1D" w:rsidRDefault="003549B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NIA will consist of two stages: </w:t>
      </w:r>
      <w:r w:rsidR="00CE57CE" w:rsidRPr="00EE0C1D">
        <w:rPr>
          <w:szCs w:val="22"/>
        </w:rPr>
        <w:t xml:space="preserve">an interim report </w:t>
      </w:r>
      <w:r w:rsidR="00770C07" w:rsidRPr="00EE0C1D">
        <w:rPr>
          <w:szCs w:val="22"/>
        </w:rPr>
        <w:t>“</w:t>
      </w:r>
      <w:r w:rsidR="00CE57CE" w:rsidRPr="00EE0C1D">
        <w:rPr>
          <w:szCs w:val="22"/>
        </w:rPr>
        <w:t>Congestion, Capacity, Carbon: Priorities for National Infrastructure</w:t>
      </w:r>
      <w:r w:rsidR="00770C07" w:rsidRPr="00EE0C1D">
        <w:rPr>
          <w:szCs w:val="22"/>
        </w:rPr>
        <w:t>”</w:t>
      </w:r>
      <w:r w:rsidR="00CE57CE" w:rsidRPr="00EE0C1D">
        <w:rPr>
          <w:szCs w:val="22"/>
        </w:rPr>
        <w:t>,</w:t>
      </w:r>
      <w:r w:rsidRPr="00EE0C1D">
        <w:rPr>
          <w:szCs w:val="22"/>
        </w:rPr>
        <w:t xml:space="preserve"> </w:t>
      </w:r>
      <w:r w:rsidRPr="00A87967">
        <w:rPr>
          <w:szCs w:val="22"/>
        </w:rPr>
        <w:t>identifying the vision and long-term infrastructure needs</w:t>
      </w:r>
      <w:r w:rsidR="00165916" w:rsidRPr="00A87967">
        <w:rPr>
          <w:szCs w:val="22"/>
        </w:rPr>
        <w:t xml:space="preserve">, </w:t>
      </w:r>
      <w:r w:rsidRPr="00EE0C1D">
        <w:rPr>
          <w:szCs w:val="22"/>
        </w:rPr>
        <w:t xml:space="preserve">published </w:t>
      </w:r>
      <w:r w:rsidR="00165916" w:rsidRPr="00EE0C1D">
        <w:rPr>
          <w:szCs w:val="22"/>
        </w:rPr>
        <w:t>o</w:t>
      </w:r>
      <w:r w:rsidRPr="00EE0C1D">
        <w:rPr>
          <w:szCs w:val="22"/>
        </w:rPr>
        <w:t xml:space="preserve">n </w:t>
      </w:r>
      <w:r w:rsidR="00165916" w:rsidRPr="00EE0C1D">
        <w:rPr>
          <w:szCs w:val="22"/>
        </w:rPr>
        <w:t>13 October 2</w:t>
      </w:r>
      <w:r w:rsidRPr="00EE0C1D">
        <w:rPr>
          <w:szCs w:val="22"/>
        </w:rPr>
        <w:t>017; and the National Infrastructure Assessment, a roadmap of recommendations including both policy and infrastructure solutions to be published in mid-2018.</w:t>
      </w:r>
    </w:p>
    <w:p w14:paraId="1CD69B4D" w14:textId="4CCC536D" w:rsidR="003549B1" w:rsidRPr="00EE0C1D" w:rsidRDefault="003549B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CE57CE" w:rsidRPr="00EE0C1D">
        <w:rPr>
          <w:szCs w:val="22"/>
        </w:rPr>
        <w:t xml:space="preserve">Authority </w:t>
      </w:r>
      <w:r w:rsidRPr="00EE0C1D">
        <w:rPr>
          <w:szCs w:val="22"/>
        </w:rPr>
        <w:t xml:space="preserve">has undertaken a </w:t>
      </w:r>
      <w:hyperlink r:id="rId16" w:history="1">
        <w:r w:rsidRPr="00EE0C1D">
          <w:rPr>
            <w:szCs w:val="22"/>
          </w:rPr>
          <w:t>NIA consultation</w:t>
        </w:r>
      </w:hyperlink>
      <w:r w:rsidRPr="00A87967">
        <w:rPr>
          <w:szCs w:val="22"/>
        </w:rPr>
        <w:t xml:space="preserve"> in order to develop the best process and methodology of the assessment. The consultation </w:t>
      </w:r>
      <w:r w:rsidRPr="00EE0C1D">
        <w:rPr>
          <w:szCs w:val="22"/>
        </w:rPr>
        <w:t>has now closed.</w:t>
      </w:r>
      <w:r w:rsidR="00165916" w:rsidRPr="00EE0C1D">
        <w:rPr>
          <w:szCs w:val="22"/>
        </w:rPr>
        <w:t xml:space="preserve"> The NIC is finalising work on </w:t>
      </w:r>
      <w:r w:rsidR="00CE57CE" w:rsidRPr="00EE0C1D">
        <w:rPr>
          <w:szCs w:val="22"/>
        </w:rPr>
        <w:t>“Congestion, Capacity, Carbon: Priorities for National Infrastructure”</w:t>
      </w:r>
      <w:r w:rsidR="00165916" w:rsidRPr="00A87967">
        <w:rPr>
          <w:szCs w:val="22"/>
        </w:rPr>
        <w:t xml:space="preserve"> and intends to consult on the priorities outlined</w:t>
      </w:r>
      <w:r w:rsidR="00165916" w:rsidRPr="00EE0C1D">
        <w:rPr>
          <w:szCs w:val="22"/>
        </w:rPr>
        <w:t xml:space="preserve"> in the document for a period of 3 months.</w:t>
      </w:r>
    </w:p>
    <w:p w14:paraId="56FE1A5C" w14:textId="0578F100" w:rsidR="004814EF" w:rsidRPr="00EE0C1D" w:rsidRDefault="004814EF"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To understand the broader context for this requirement and to inform their response </w:t>
      </w:r>
      <w:r w:rsidR="003549B1" w:rsidRPr="00EE0C1D">
        <w:rPr>
          <w:szCs w:val="22"/>
        </w:rPr>
        <w:t>Potential Providers should read</w:t>
      </w:r>
      <w:r w:rsidRPr="00EE0C1D">
        <w:rPr>
          <w:szCs w:val="22"/>
        </w:rPr>
        <w:t>:</w:t>
      </w:r>
    </w:p>
    <w:p w14:paraId="2963A70D" w14:textId="72A6D780" w:rsidR="004814EF" w:rsidRDefault="004814EF" w:rsidP="00E52BC2">
      <w:pPr>
        <w:pStyle w:val="Heading4"/>
        <w:tabs>
          <w:tab w:val="clear" w:pos="2880"/>
        </w:tabs>
        <w:ind w:left="1560" w:hanging="851"/>
      </w:pPr>
      <w:r>
        <w:t>T</w:t>
      </w:r>
      <w:r w:rsidR="003549B1">
        <w:t xml:space="preserve">he </w:t>
      </w:r>
      <w:hyperlink r:id="rId17" w:history="1">
        <w:r w:rsidR="003549B1" w:rsidRPr="006150AF">
          <w:rPr>
            <w:rStyle w:val="Hyperlink"/>
          </w:rPr>
          <w:t>NIC’s consultation on the NIA</w:t>
        </w:r>
      </w:hyperlink>
      <w:r>
        <w:t xml:space="preserve"> and</w:t>
      </w:r>
      <w:r w:rsidR="00DB4285">
        <w:t xml:space="preserve"> </w:t>
      </w:r>
      <w:hyperlink r:id="rId18" w:history="1">
        <w:r w:rsidR="00DB4285" w:rsidRPr="00DB4285">
          <w:rPr>
            <w:rStyle w:val="Hyperlink"/>
          </w:rPr>
          <w:t>HM</w:t>
        </w:r>
        <w:r w:rsidR="00AD42BF">
          <w:rPr>
            <w:rStyle w:val="Hyperlink"/>
          </w:rPr>
          <w:t xml:space="preserve"> </w:t>
        </w:r>
        <w:r w:rsidR="00DB4285" w:rsidRPr="00DB4285">
          <w:rPr>
            <w:rStyle w:val="Hyperlink"/>
          </w:rPr>
          <w:t>Treasury’s response</w:t>
        </w:r>
      </w:hyperlink>
      <w:r w:rsidR="003549B1" w:rsidRPr="002A237E">
        <w:t xml:space="preserve"> to its consultation on NI</w:t>
      </w:r>
      <w:r w:rsidR="00DB4285">
        <w:t>A</w:t>
      </w:r>
      <w:r>
        <w:t>;</w:t>
      </w:r>
    </w:p>
    <w:p w14:paraId="5AE7CB00" w14:textId="41E621F7" w:rsidR="004814EF" w:rsidRPr="003B5857" w:rsidRDefault="004814EF" w:rsidP="00E52BC2">
      <w:pPr>
        <w:pStyle w:val="Heading4"/>
        <w:tabs>
          <w:tab w:val="clear" w:pos="2880"/>
        </w:tabs>
        <w:ind w:left="1560" w:hanging="851"/>
      </w:pPr>
      <w:r w:rsidRPr="003B5857">
        <w:t>The NIC</w:t>
      </w:r>
      <w:r w:rsidR="00DB4285">
        <w:t xml:space="preserve">’s </w:t>
      </w:r>
      <w:hyperlink r:id="rId19" w:history="1">
        <w:r w:rsidR="00DB4285" w:rsidRPr="00DB4285">
          <w:rPr>
            <w:rStyle w:val="Hyperlink"/>
          </w:rPr>
          <w:t>Smart Power</w:t>
        </w:r>
      </w:hyperlink>
      <w:r w:rsidR="00DB4285">
        <w:t xml:space="preserve"> report</w:t>
      </w:r>
      <w:r w:rsidRPr="003B5857">
        <w:t xml:space="preserve">; </w:t>
      </w:r>
    </w:p>
    <w:p w14:paraId="1FA19F42" w14:textId="78092E73" w:rsidR="004814EF" w:rsidRPr="003B5857" w:rsidRDefault="004814EF" w:rsidP="00E52BC2">
      <w:pPr>
        <w:pStyle w:val="Heading4"/>
        <w:tabs>
          <w:tab w:val="clear" w:pos="2880"/>
        </w:tabs>
        <w:ind w:left="1560" w:hanging="851"/>
      </w:pPr>
      <w:r w:rsidRPr="003B5857">
        <w:t xml:space="preserve">The NIC’s interim publication, </w:t>
      </w:r>
      <w:hyperlink r:id="rId20" w:history="1">
        <w:r w:rsidR="00CE57CE" w:rsidRPr="006150AF">
          <w:rPr>
            <w:rStyle w:val="Hyperlink"/>
          </w:rPr>
          <w:t xml:space="preserve">Congestion, Capacity, Carbon: </w:t>
        </w:r>
        <w:r w:rsidR="006150AF" w:rsidRPr="006150AF">
          <w:rPr>
            <w:rStyle w:val="Hyperlink"/>
          </w:rPr>
          <w:t>p</w:t>
        </w:r>
        <w:r w:rsidR="00CE57CE" w:rsidRPr="006150AF">
          <w:rPr>
            <w:rStyle w:val="Hyperlink"/>
          </w:rPr>
          <w:t xml:space="preserve">riorities for </w:t>
        </w:r>
        <w:r w:rsidR="006150AF" w:rsidRPr="006150AF">
          <w:rPr>
            <w:rStyle w:val="Hyperlink"/>
          </w:rPr>
          <w:t>n</w:t>
        </w:r>
        <w:r w:rsidR="00CE57CE" w:rsidRPr="006150AF">
          <w:rPr>
            <w:rStyle w:val="Hyperlink"/>
          </w:rPr>
          <w:t xml:space="preserve">ational </w:t>
        </w:r>
        <w:r w:rsidR="006150AF" w:rsidRPr="006150AF">
          <w:rPr>
            <w:rStyle w:val="Hyperlink"/>
          </w:rPr>
          <w:t>i</w:t>
        </w:r>
        <w:r w:rsidR="00CE57CE" w:rsidRPr="006150AF">
          <w:rPr>
            <w:rStyle w:val="Hyperlink"/>
          </w:rPr>
          <w:t>nfrastructure</w:t>
        </w:r>
      </w:hyperlink>
      <w:r w:rsidRPr="003B5857">
        <w:t>,</w:t>
      </w:r>
      <w:r w:rsidR="00165916" w:rsidRPr="003B5857">
        <w:t xml:space="preserve"> </w:t>
      </w:r>
      <w:r w:rsidRPr="003B5857">
        <w:t xml:space="preserve">and </w:t>
      </w:r>
      <w:r w:rsidR="00196534" w:rsidRPr="003B5857">
        <w:t xml:space="preserve">accompanying </w:t>
      </w:r>
      <w:hyperlink r:id="rId21" w:history="1">
        <w:r w:rsidR="00196534" w:rsidRPr="006150AF">
          <w:rPr>
            <w:rStyle w:val="Hyperlink"/>
          </w:rPr>
          <w:t>Modelling Annex</w:t>
        </w:r>
      </w:hyperlink>
      <w:r w:rsidR="006150AF">
        <w:t>.</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7" w:name="_Toc368573029"/>
      <w:bookmarkStart w:id="8" w:name="_Toc497746093"/>
      <w:r>
        <w:rPr>
          <w:szCs w:val="22"/>
        </w:rPr>
        <w:t>Background to requirement/</w:t>
      </w:r>
      <w:r w:rsidRPr="002C546C">
        <w:rPr>
          <w:szCs w:val="22"/>
        </w:rPr>
        <w:t>OVERVIEW</w:t>
      </w:r>
      <w:bookmarkEnd w:id="4"/>
      <w:r>
        <w:rPr>
          <w:szCs w:val="22"/>
        </w:rPr>
        <w:t xml:space="preserve"> of requirement</w:t>
      </w:r>
      <w:bookmarkEnd w:id="7"/>
      <w:bookmarkEnd w:id="8"/>
    </w:p>
    <w:p w14:paraId="197E4D54" w14:textId="77E6C604" w:rsidR="00086DCF" w:rsidRPr="00EE0C1D" w:rsidRDefault="006E0BC9" w:rsidP="00EE0C1D">
      <w:pPr>
        <w:pStyle w:val="Heading2"/>
        <w:tabs>
          <w:tab w:val="clear" w:pos="1996"/>
          <w:tab w:val="num" w:pos="709"/>
        </w:tabs>
        <w:overflowPunct w:val="0"/>
        <w:autoSpaceDE w:val="0"/>
        <w:autoSpaceDN w:val="0"/>
        <w:spacing w:after="120"/>
        <w:ind w:left="709" w:hanging="709"/>
        <w:textAlignment w:val="baseline"/>
        <w:rPr>
          <w:szCs w:val="22"/>
        </w:rPr>
      </w:pPr>
      <w:bookmarkStart w:id="9" w:name="_Toc297554774"/>
      <w:bookmarkEnd w:id="5"/>
      <w:r w:rsidRPr="00A87967">
        <w:rPr>
          <w:szCs w:val="22"/>
        </w:rPr>
        <w:t xml:space="preserve">The </w:t>
      </w:r>
      <w:r w:rsidR="001A091C" w:rsidRPr="00A87967">
        <w:rPr>
          <w:szCs w:val="22"/>
        </w:rPr>
        <w:t>Authority</w:t>
      </w:r>
      <w:r w:rsidRPr="00EE0C1D">
        <w:rPr>
          <w:szCs w:val="22"/>
        </w:rPr>
        <w:t xml:space="preserve"> must have accurate and independent information on future electricity capacity requirements and costs of supplying electricity under different assumptions to inform </w:t>
      </w:r>
      <w:r w:rsidR="00FC5AEA" w:rsidRPr="00EE0C1D">
        <w:rPr>
          <w:szCs w:val="22"/>
        </w:rPr>
        <w:t>its assessment of future energy sector needs in the NIA</w:t>
      </w:r>
      <w:r w:rsidR="00086DCF" w:rsidRPr="00EE0C1D">
        <w:rPr>
          <w:szCs w:val="22"/>
        </w:rPr>
        <w:t>.</w:t>
      </w:r>
    </w:p>
    <w:p w14:paraId="325BC034" w14:textId="52635BFC" w:rsidR="003549B1" w:rsidRPr="00EE0C1D" w:rsidRDefault="001A091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Authority </w:t>
      </w:r>
      <w:r w:rsidR="003549B1" w:rsidRPr="00EE0C1D">
        <w:rPr>
          <w:szCs w:val="22"/>
        </w:rPr>
        <w:t>would like to understand the cost trade-off between renewables and other technologies (namely nuclear power and carbon capture and storage) as the proportion of renewables on the system increases.</w:t>
      </w:r>
      <w:r w:rsidR="00CD55AD" w:rsidRPr="00EE0C1D">
        <w:rPr>
          <w:szCs w:val="22"/>
        </w:rPr>
        <w:t xml:space="preserve"> The </w:t>
      </w:r>
      <w:r w:rsidRPr="00EE0C1D">
        <w:rPr>
          <w:szCs w:val="22"/>
        </w:rPr>
        <w:t>Authority</w:t>
      </w:r>
      <w:r w:rsidR="00CD55AD" w:rsidRPr="00EE0C1D">
        <w:rPr>
          <w:szCs w:val="22"/>
        </w:rPr>
        <w:t xml:space="preserve"> would also like to understand how these costs change under different levels of demand. </w:t>
      </w:r>
      <w:r w:rsidR="003549B1" w:rsidRPr="00EE0C1D">
        <w:rPr>
          <w:szCs w:val="22"/>
        </w:rPr>
        <w:t>Th</w:t>
      </w:r>
      <w:r w:rsidR="00CD55AD" w:rsidRPr="00EE0C1D">
        <w:rPr>
          <w:szCs w:val="22"/>
        </w:rPr>
        <w:t>is</w:t>
      </w:r>
      <w:r w:rsidR="003549B1" w:rsidRPr="00EE0C1D">
        <w:rPr>
          <w:szCs w:val="22"/>
        </w:rPr>
        <w:t xml:space="preserve"> work is necessary for the </w:t>
      </w:r>
      <w:r w:rsidRPr="00EE0C1D">
        <w:rPr>
          <w:szCs w:val="22"/>
        </w:rPr>
        <w:t>Authority</w:t>
      </w:r>
      <w:r w:rsidR="003549B1" w:rsidRPr="00EE0C1D">
        <w:rPr>
          <w:szCs w:val="22"/>
        </w:rPr>
        <w:t>’s ability to make objective and evidenc</w:t>
      </w:r>
      <w:r w:rsidR="00FC5AEA" w:rsidRPr="00EE0C1D">
        <w:rPr>
          <w:szCs w:val="22"/>
        </w:rPr>
        <w:t>e</w:t>
      </w:r>
      <w:r w:rsidR="004061DD" w:rsidRPr="00EE0C1D">
        <w:rPr>
          <w:szCs w:val="22"/>
        </w:rPr>
        <w:t>-</w:t>
      </w:r>
      <w:r w:rsidR="003549B1" w:rsidRPr="00EE0C1D">
        <w:rPr>
          <w:szCs w:val="22"/>
        </w:rPr>
        <w:t>based policy recommendations on the best options for achieving a</w:t>
      </w:r>
      <w:r w:rsidR="004061DD" w:rsidRPr="00EE0C1D">
        <w:rPr>
          <w:szCs w:val="22"/>
        </w:rPr>
        <w:t xml:space="preserve"> cost-effective</w:t>
      </w:r>
      <w:r w:rsidRPr="00EE0C1D">
        <w:rPr>
          <w:szCs w:val="22"/>
        </w:rPr>
        <w:t xml:space="preserve"> transition to a low-carbon</w:t>
      </w:r>
      <w:r w:rsidR="003549B1" w:rsidRPr="00EE0C1D">
        <w:rPr>
          <w:szCs w:val="22"/>
        </w:rPr>
        <w:t xml:space="preserve"> </w:t>
      </w:r>
      <w:r w:rsidRPr="00EE0C1D">
        <w:rPr>
          <w:szCs w:val="22"/>
        </w:rPr>
        <w:t>future.</w:t>
      </w:r>
    </w:p>
    <w:p w14:paraId="1CB5B1CE" w14:textId="6BDC90AC" w:rsidR="00086DCF" w:rsidRPr="00A87967" w:rsidRDefault="006C39D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1A091C" w:rsidRPr="00EE0C1D">
        <w:rPr>
          <w:szCs w:val="22"/>
        </w:rPr>
        <w:t>Authority</w:t>
      </w:r>
      <w:r w:rsidRPr="00EE0C1D">
        <w:rPr>
          <w:szCs w:val="22"/>
        </w:rPr>
        <w:t xml:space="preserve"> has already undertaken whole-systems energy modelling with the support of the Department for Business, Energy and Industrial Strategy (BEIS) and the Infrastructure Transitions Research Consortium (ITRC) which has generated future energy and electricity demand outputs, under a range of scenarios.</w:t>
      </w:r>
      <w:r w:rsidR="00790E40" w:rsidRPr="00EE0C1D">
        <w:rPr>
          <w:szCs w:val="22"/>
        </w:rPr>
        <w:t xml:space="preserve"> The Potential Provider should build upon this work, which is outlined in the aforementioned Modelling Annex to the </w:t>
      </w:r>
      <w:r w:rsidR="005C23A9" w:rsidRPr="00EE0C1D">
        <w:rPr>
          <w:szCs w:val="22"/>
        </w:rPr>
        <w:t>“Congestion, Capacity, Carbon: Priorities for National Infrastructure”</w:t>
      </w:r>
      <w:r w:rsidR="00790E40" w:rsidRPr="00A87967">
        <w:rPr>
          <w:szCs w:val="22"/>
        </w:rPr>
        <w:t xml:space="preserve"> report.</w:t>
      </w:r>
    </w:p>
    <w:p w14:paraId="11DB622F" w14:textId="050D6E50" w:rsidR="006C39D1" w:rsidRPr="00EE0C1D" w:rsidRDefault="006C39D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1A091C" w:rsidRPr="00EE0C1D">
        <w:rPr>
          <w:szCs w:val="22"/>
        </w:rPr>
        <w:t>Authority</w:t>
      </w:r>
      <w:r w:rsidR="00646C90" w:rsidRPr="00EE0C1D">
        <w:rPr>
          <w:szCs w:val="22"/>
        </w:rPr>
        <w:t xml:space="preserve"> </w:t>
      </w:r>
      <w:r w:rsidRPr="00EE0C1D">
        <w:rPr>
          <w:szCs w:val="22"/>
        </w:rPr>
        <w:t>is</w:t>
      </w:r>
      <w:r w:rsidR="00646C90" w:rsidRPr="00EE0C1D">
        <w:rPr>
          <w:szCs w:val="22"/>
        </w:rPr>
        <w:t xml:space="preserve"> seeking</w:t>
      </w:r>
      <w:r w:rsidRPr="00EE0C1D">
        <w:rPr>
          <w:szCs w:val="22"/>
        </w:rPr>
        <w:t xml:space="preserve"> to identify the total </w:t>
      </w:r>
      <w:r w:rsidR="00FC5AEA" w:rsidRPr="00EE0C1D">
        <w:rPr>
          <w:szCs w:val="22"/>
        </w:rPr>
        <w:t xml:space="preserve">power </w:t>
      </w:r>
      <w:r w:rsidRPr="00EE0C1D">
        <w:rPr>
          <w:szCs w:val="22"/>
        </w:rPr>
        <w:t xml:space="preserve">system costs (including system balancing costs) as the proportion of </w:t>
      </w:r>
      <w:r w:rsidR="00646C90" w:rsidRPr="00EE0C1D">
        <w:rPr>
          <w:szCs w:val="22"/>
        </w:rPr>
        <w:t>renewables</w:t>
      </w:r>
      <w:r w:rsidRPr="00EE0C1D">
        <w:rPr>
          <w:szCs w:val="22"/>
        </w:rPr>
        <w:t xml:space="preserve"> </w:t>
      </w:r>
      <w:r w:rsidR="00196534" w:rsidRPr="00EE0C1D">
        <w:rPr>
          <w:szCs w:val="22"/>
        </w:rPr>
        <w:t>on</w:t>
      </w:r>
      <w:r w:rsidRPr="00EE0C1D">
        <w:rPr>
          <w:szCs w:val="22"/>
        </w:rPr>
        <w:t xml:space="preserve"> the system increases</w:t>
      </w:r>
      <w:r w:rsidR="00196534" w:rsidRPr="00EE0C1D">
        <w:rPr>
          <w:szCs w:val="22"/>
        </w:rPr>
        <w:t>,</w:t>
      </w:r>
      <w:r w:rsidRPr="00EE0C1D">
        <w:rPr>
          <w:szCs w:val="22"/>
        </w:rPr>
        <w:t xml:space="preserve"> under </w:t>
      </w:r>
      <w:r w:rsidR="00196534" w:rsidRPr="00EE0C1D">
        <w:rPr>
          <w:szCs w:val="22"/>
        </w:rPr>
        <w:t>a set of assumptions</w:t>
      </w:r>
      <w:r w:rsidR="00CD55AD" w:rsidRPr="00EE0C1D">
        <w:rPr>
          <w:szCs w:val="22"/>
        </w:rPr>
        <w:t xml:space="preserve"> around electricity supply and demand,</w:t>
      </w:r>
      <w:r w:rsidR="00FC5AEA" w:rsidRPr="00EE0C1D">
        <w:rPr>
          <w:szCs w:val="22"/>
        </w:rPr>
        <w:t xml:space="preserve"> developed by the </w:t>
      </w:r>
      <w:r w:rsidR="001A091C" w:rsidRPr="00EE0C1D">
        <w:rPr>
          <w:szCs w:val="22"/>
        </w:rPr>
        <w:t>Authority</w:t>
      </w:r>
      <w:r w:rsidR="00CD55AD" w:rsidRPr="00EE0C1D">
        <w:rPr>
          <w:szCs w:val="22"/>
        </w:rPr>
        <w:t>.</w:t>
      </w:r>
    </w:p>
    <w:p w14:paraId="15490172" w14:textId="77777777" w:rsidR="00B95757" w:rsidRPr="00EE0C1D" w:rsidRDefault="00790E40"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As part of this work, t</w:t>
      </w:r>
      <w:r w:rsidR="00B058E4" w:rsidRPr="00EE0C1D">
        <w:rPr>
          <w:szCs w:val="22"/>
        </w:rPr>
        <w:t xml:space="preserve">he </w:t>
      </w:r>
      <w:r w:rsidR="002F5294" w:rsidRPr="00EE0C1D">
        <w:rPr>
          <w:szCs w:val="22"/>
        </w:rPr>
        <w:t>Authority</w:t>
      </w:r>
      <w:r w:rsidR="00B058E4" w:rsidRPr="00EE0C1D">
        <w:rPr>
          <w:szCs w:val="22"/>
        </w:rPr>
        <w:t xml:space="preserve"> is interested in finding</w:t>
      </w:r>
      <w:r w:rsidR="001836CB" w:rsidRPr="00EE0C1D">
        <w:rPr>
          <w:szCs w:val="22"/>
        </w:rPr>
        <w:t>:</w:t>
      </w:r>
    </w:p>
    <w:p w14:paraId="3792F912" w14:textId="0025CA66" w:rsidR="00B95757" w:rsidRDefault="00FC5AEA" w:rsidP="00EE0C1D">
      <w:pPr>
        <w:pStyle w:val="Heading4"/>
        <w:tabs>
          <w:tab w:val="clear" w:pos="2880"/>
        </w:tabs>
        <w:ind w:left="1560" w:hanging="851"/>
      </w:pPr>
      <w:r>
        <w:t>T</w:t>
      </w:r>
      <w:r w:rsidR="00B058E4">
        <w:t xml:space="preserve">he marginal costs </w:t>
      </w:r>
      <w:r w:rsidR="00545356">
        <w:t>of the whole system as the pr</w:t>
      </w:r>
      <w:r w:rsidR="001836CB">
        <w:t>oportion of renewable</w:t>
      </w:r>
      <w:r>
        <w:t>s</w:t>
      </w:r>
      <w:r w:rsidR="001836CB">
        <w:t xml:space="preserve"> increases and tends towards 100%</w:t>
      </w:r>
      <w:r>
        <w:t xml:space="preserve">, to identify whether there is a point at which renewables become marginally more expensive than other generation technologies (namely nuclear </w:t>
      </w:r>
      <w:r w:rsidR="00CD55AD">
        <w:t xml:space="preserve">power </w:t>
      </w:r>
      <w:r>
        <w:t xml:space="preserve">and </w:t>
      </w:r>
      <w:r w:rsidR="00CD55AD">
        <w:t>fossil fuels couple</w:t>
      </w:r>
      <w:r w:rsidR="009415C5">
        <w:t>d</w:t>
      </w:r>
      <w:r w:rsidR="00CD55AD">
        <w:t xml:space="preserve"> with </w:t>
      </w:r>
      <w:r w:rsidR="006E79EB">
        <w:t>CCAS</w:t>
      </w:r>
      <w:r>
        <w:t>)</w:t>
      </w:r>
      <w:r w:rsidR="002F5294">
        <w:t>;</w:t>
      </w:r>
    </w:p>
    <w:p w14:paraId="528E79DE" w14:textId="67475BA0" w:rsidR="00545356" w:rsidRPr="00165916" w:rsidRDefault="00FC5AEA" w:rsidP="00EE0C1D">
      <w:pPr>
        <w:pStyle w:val="Heading4"/>
        <w:tabs>
          <w:tab w:val="clear" w:pos="2880"/>
        </w:tabs>
        <w:ind w:left="1560" w:hanging="851"/>
      </w:pPr>
      <w:r>
        <w:t>T</w:t>
      </w:r>
      <w:r w:rsidR="00545356">
        <w:t>he difference in the outcome of the above under different demand scenarios</w:t>
      </w:r>
      <w:r w:rsidR="002F5294">
        <w:t>.</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0" w:name="_Toc497746094"/>
      <w:bookmarkStart w:id="11" w:name="_Toc368573030"/>
      <w:r>
        <w:rPr>
          <w:szCs w:val="22"/>
        </w:rPr>
        <w:t>definitions</w:t>
      </w:r>
      <w:bookmarkEnd w:id="10"/>
      <w:r>
        <w:rPr>
          <w:szCs w:val="22"/>
        </w:rPr>
        <w:t xml:space="preserve"> </w:t>
      </w:r>
    </w:p>
    <w:tbl>
      <w:tblPr>
        <w:tblStyle w:val="TableGrid"/>
        <w:tblW w:w="0" w:type="auto"/>
        <w:tblInd w:w="279" w:type="dxa"/>
        <w:tblLook w:val="04A0" w:firstRow="1" w:lastRow="0" w:firstColumn="1" w:lastColumn="0" w:noHBand="0" w:noVBand="1"/>
      </w:tblPr>
      <w:tblGrid>
        <w:gridCol w:w="2282"/>
        <w:gridCol w:w="6458"/>
      </w:tblGrid>
      <w:tr w:rsidR="00EE0C1D" w14:paraId="6F6D9D86" w14:textId="77777777" w:rsidTr="00EE0C1D">
        <w:tc>
          <w:tcPr>
            <w:tcW w:w="2282" w:type="dxa"/>
            <w:shd w:val="clear" w:color="auto" w:fill="B8CCE4" w:themeFill="accent1" w:themeFillTint="66"/>
          </w:tcPr>
          <w:p w14:paraId="1DF01013" w14:textId="5B410F0B" w:rsidR="00EE0C1D" w:rsidRPr="00525738" w:rsidRDefault="00EE0C1D" w:rsidP="00196534">
            <w:pPr>
              <w:pStyle w:val="Heading2"/>
              <w:numPr>
                <w:ilvl w:val="0"/>
                <w:numId w:val="0"/>
              </w:numPr>
              <w:spacing w:after="120"/>
              <w:ind w:left="18" w:hanging="18"/>
              <w:jc w:val="left"/>
              <w:outlineLvl w:val="1"/>
            </w:pPr>
            <w:r>
              <w:t>Expression or Acronym</w:t>
            </w:r>
          </w:p>
        </w:tc>
        <w:tc>
          <w:tcPr>
            <w:tcW w:w="6458" w:type="dxa"/>
            <w:shd w:val="clear" w:color="auto" w:fill="B8CCE4" w:themeFill="accent1" w:themeFillTint="66"/>
          </w:tcPr>
          <w:p w14:paraId="1DA5745C" w14:textId="69EB1274" w:rsidR="00EE0C1D" w:rsidRPr="00525738" w:rsidRDefault="00EE0C1D" w:rsidP="00103921">
            <w:pPr>
              <w:pStyle w:val="Heading2"/>
              <w:numPr>
                <w:ilvl w:val="0"/>
                <w:numId w:val="0"/>
              </w:numPr>
              <w:spacing w:after="0"/>
              <w:jc w:val="left"/>
              <w:outlineLvl w:val="1"/>
            </w:pPr>
            <w:r>
              <w:t>Definition</w:t>
            </w:r>
          </w:p>
        </w:tc>
      </w:tr>
      <w:tr w:rsidR="004C745B" w14:paraId="4DB7BCD9" w14:textId="77777777" w:rsidTr="00560C92">
        <w:tc>
          <w:tcPr>
            <w:tcW w:w="2282" w:type="dxa"/>
            <w:shd w:val="clear" w:color="auto" w:fill="FFFFFF" w:themeFill="background1"/>
          </w:tcPr>
          <w:p w14:paraId="55B92C74" w14:textId="45D80FD1" w:rsidR="004C745B" w:rsidRDefault="004C745B" w:rsidP="00196534">
            <w:pPr>
              <w:pStyle w:val="Heading2"/>
              <w:numPr>
                <w:ilvl w:val="0"/>
                <w:numId w:val="0"/>
              </w:numPr>
              <w:spacing w:after="120"/>
              <w:ind w:left="18" w:hanging="18"/>
              <w:jc w:val="left"/>
              <w:outlineLvl w:val="1"/>
              <w:rPr>
                <w:szCs w:val="22"/>
              </w:rPr>
            </w:pPr>
            <w:r>
              <w:rPr>
                <w:szCs w:val="22"/>
              </w:rPr>
              <w:t>EVs</w:t>
            </w:r>
          </w:p>
        </w:tc>
        <w:tc>
          <w:tcPr>
            <w:tcW w:w="6458" w:type="dxa"/>
            <w:shd w:val="clear" w:color="auto" w:fill="FFFFFF" w:themeFill="background1"/>
          </w:tcPr>
          <w:p w14:paraId="3BEB520E" w14:textId="3667C407" w:rsidR="004C745B" w:rsidRPr="00EE0C1D" w:rsidRDefault="004C745B" w:rsidP="00103921">
            <w:pPr>
              <w:pStyle w:val="Heading2"/>
              <w:numPr>
                <w:ilvl w:val="0"/>
                <w:numId w:val="0"/>
              </w:numPr>
              <w:spacing w:after="0"/>
              <w:jc w:val="left"/>
              <w:outlineLvl w:val="1"/>
              <w:rPr>
                <w:szCs w:val="22"/>
              </w:rPr>
            </w:pPr>
            <w:r>
              <w:t>Electric vehicles</w:t>
            </w:r>
          </w:p>
        </w:tc>
      </w:tr>
      <w:tr w:rsidR="004C745B" w14:paraId="38937050" w14:textId="77777777" w:rsidTr="00560C92">
        <w:tc>
          <w:tcPr>
            <w:tcW w:w="2282" w:type="dxa"/>
            <w:shd w:val="clear" w:color="auto" w:fill="FFFFFF" w:themeFill="background1"/>
          </w:tcPr>
          <w:p w14:paraId="179A62D4" w14:textId="75895ED3" w:rsidR="004C745B" w:rsidRDefault="004C745B" w:rsidP="00196534">
            <w:pPr>
              <w:pStyle w:val="Heading2"/>
              <w:numPr>
                <w:ilvl w:val="0"/>
                <w:numId w:val="0"/>
              </w:numPr>
              <w:spacing w:after="120"/>
              <w:ind w:left="18" w:hanging="18"/>
              <w:jc w:val="left"/>
              <w:outlineLvl w:val="1"/>
              <w:rPr>
                <w:szCs w:val="22"/>
              </w:rPr>
            </w:pPr>
            <w:r>
              <w:rPr>
                <w:szCs w:val="22"/>
              </w:rPr>
              <w:t>ITRC</w:t>
            </w:r>
          </w:p>
        </w:tc>
        <w:tc>
          <w:tcPr>
            <w:tcW w:w="6458" w:type="dxa"/>
            <w:shd w:val="clear" w:color="auto" w:fill="FFFFFF" w:themeFill="background1"/>
          </w:tcPr>
          <w:p w14:paraId="18CE2CA5" w14:textId="0B4873A6" w:rsidR="004C745B" w:rsidRPr="00EE0C1D" w:rsidRDefault="004C745B" w:rsidP="00103921">
            <w:pPr>
              <w:pStyle w:val="Heading2"/>
              <w:numPr>
                <w:ilvl w:val="0"/>
                <w:numId w:val="0"/>
              </w:numPr>
              <w:spacing w:after="0"/>
              <w:jc w:val="left"/>
              <w:outlineLvl w:val="1"/>
              <w:rPr>
                <w:szCs w:val="22"/>
              </w:rPr>
            </w:pPr>
            <w:r w:rsidRPr="00EE0C1D">
              <w:rPr>
                <w:szCs w:val="22"/>
              </w:rPr>
              <w:t>Infrastructure Transitions Research Consortium</w:t>
            </w:r>
          </w:p>
        </w:tc>
      </w:tr>
      <w:tr w:rsidR="004C745B" w14:paraId="5041B343" w14:textId="77777777" w:rsidTr="00560C92">
        <w:tc>
          <w:tcPr>
            <w:tcW w:w="2282" w:type="dxa"/>
            <w:shd w:val="clear" w:color="auto" w:fill="FFFFFF" w:themeFill="background1"/>
          </w:tcPr>
          <w:p w14:paraId="04161C9F" w14:textId="6A3292CB" w:rsidR="004C745B" w:rsidRDefault="004C745B" w:rsidP="00196534">
            <w:pPr>
              <w:pStyle w:val="Heading2"/>
              <w:numPr>
                <w:ilvl w:val="0"/>
                <w:numId w:val="0"/>
              </w:numPr>
              <w:spacing w:after="120"/>
              <w:ind w:left="18" w:hanging="18"/>
              <w:jc w:val="left"/>
              <w:outlineLvl w:val="1"/>
              <w:rPr>
                <w:szCs w:val="22"/>
              </w:rPr>
            </w:pPr>
            <w:r>
              <w:rPr>
                <w:szCs w:val="22"/>
              </w:rPr>
              <w:t>BEIS</w:t>
            </w:r>
          </w:p>
        </w:tc>
        <w:tc>
          <w:tcPr>
            <w:tcW w:w="6458" w:type="dxa"/>
            <w:shd w:val="clear" w:color="auto" w:fill="FFFFFF" w:themeFill="background1"/>
          </w:tcPr>
          <w:p w14:paraId="5F54B8C8" w14:textId="0386ECAE" w:rsidR="004C745B" w:rsidRPr="00EE0C1D" w:rsidRDefault="004C745B" w:rsidP="00103921">
            <w:pPr>
              <w:pStyle w:val="Heading2"/>
              <w:numPr>
                <w:ilvl w:val="0"/>
                <w:numId w:val="0"/>
              </w:numPr>
              <w:spacing w:after="0"/>
              <w:jc w:val="left"/>
              <w:outlineLvl w:val="1"/>
              <w:rPr>
                <w:szCs w:val="22"/>
              </w:rPr>
            </w:pPr>
            <w:r w:rsidRPr="00EE0C1D">
              <w:rPr>
                <w:szCs w:val="22"/>
              </w:rPr>
              <w:t>Department for Business, Energy and Industrial Strategy</w:t>
            </w:r>
          </w:p>
        </w:tc>
      </w:tr>
      <w:tr w:rsidR="004C745B" w14:paraId="59EE9475" w14:textId="77777777" w:rsidTr="00560C92">
        <w:tc>
          <w:tcPr>
            <w:tcW w:w="2282" w:type="dxa"/>
            <w:shd w:val="clear" w:color="auto" w:fill="FFFFFF" w:themeFill="background1"/>
          </w:tcPr>
          <w:p w14:paraId="3A888223" w14:textId="24DB1D68" w:rsidR="004C745B" w:rsidRDefault="004C745B" w:rsidP="00196534">
            <w:pPr>
              <w:pStyle w:val="Heading2"/>
              <w:numPr>
                <w:ilvl w:val="0"/>
                <w:numId w:val="0"/>
              </w:numPr>
              <w:spacing w:after="120"/>
              <w:ind w:left="18" w:hanging="18"/>
              <w:jc w:val="left"/>
              <w:outlineLvl w:val="1"/>
              <w:rPr>
                <w:szCs w:val="22"/>
              </w:rPr>
            </w:pPr>
            <w:r>
              <w:rPr>
                <w:szCs w:val="22"/>
              </w:rPr>
              <w:t>NIA</w:t>
            </w:r>
          </w:p>
        </w:tc>
        <w:tc>
          <w:tcPr>
            <w:tcW w:w="6458" w:type="dxa"/>
            <w:shd w:val="clear" w:color="auto" w:fill="FFFFFF" w:themeFill="background1"/>
          </w:tcPr>
          <w:p w14:paraId="21F54897" w14:textId="30C230E9" w:rsidR="004C745B" w:rsidRPr="00165916" w:rsidRDefault="004C745B" w:rsidP="00103921">
            <w:pPr>
              <w:pStyle w:val="Heading2"/>
              <w:numPr>
                <w:ilvl w:val="0"/>
                <w:numId w:val="0"/>
              </w:numPr>
              <w:spacing w:after="0"/>
              <w:jc w:val="left"/>
              <w:outlineLvl w:val="1"/>
              <w:rPr>
                <w:szCs w:val="22"/>
              </w:rPr>
            </w:pPr>
            <w:r w:rsidRPr="00EE0C1D">
              <w:rPr>
                <w:szCs w:val="22"/>
              </w:rPr>
              <w:t>National Infrastructure Assessment</w:t>
            </w:r>
          </w:p>
        </w:tc>
      </w:tr>
      <w:tr w:rsidR="00EE0C1D" w14:paraId="6E96E66F" w14:textId="77777777" w:rsidTr="00560C92">
        <w:tc>
          <w:tcPr>
            <w:tcW w:w="2282" w:type="dxa"/>
            <w:shd w:val="clear" w:color="auto" w:fill="FFFFFF" w:themeFill="background1"/>
          </w:tcPr>
          <w:p w14:paraId="78E3D60D" w14:textId="1A0E82DE" w:rsidR="00EE0C1D" w:rsidRPr="00525738" w:rsidRDefault="004C745B" w:rsidP="00196534">
            <w:pPr>
              <w:pStyle w:val="Heading2"/>
              <w:numPr>
                <w:ilvl w:val="0"/>
                <w:numId w:val="0"/>
              </w:numPr>
              <w:spacing w:after="120"/>
              <w:ind w:left="18" w:hanging="18"/>
              <w:jc w:val="left"/>
              <w:outlineLvl w:val="1"/>
            </w:pPr>
            <w:r>
              <w:rPr>
                <w:szCs w:val="22"/>
              </w:rPr>
              <w:t>NIC</w:t>
            </w:r>
          </w:p>
        </w:tc>
        <w:tc>
          <w:tcPr>
            <w:tcW w:w="6458" w:type="dxa"/>
            <w:shd w:val="clear" w:color="auto" w:fill="FFFFFF" w:themeFill="background1"/>
          </w:tcPr>
          <w:p w14:paraId="57979E0B" w14:textId="2E200DDC" w:rsidR="00EE0C1D" w:rsidRPr="00525738" w:rsidRDefault="004C745B" w:rsidP="00103921">
            <w:pPr>
              <w:pStyle w:val="Heading2"/>
              <w:numPr>
                <w:ilvl w:val="0"/>
                <w:numId w:val="0"/>
              </w:numPr>
              <w:spacing w:after="0"/>
              <w:jc w:val="left"/>
              <w:outlineLvl w:val="1"/>
            </w:pPr>
            <w:r w:rsidRPr="00165916">
              <w:rPr>
                <w:szCs w:val="22"/>
              </w:rPr>
              <w:t xml:space="preserve">National Infrastructure </w:t>
            </w:r>
            <w:r>
              <w:rPr>
                <w:szCs w:val="22"/>
              </w:rPr>
              <w:t>Commission.</w:t>
            </w:r>
          </w:p>
        </w:tc>
      </w:tr>
      <w:tr w:rsidR="001C1D4B" w14:paraId="0D6ECC7D" w14:textId="77777777" w:rsidTr="00560C92">
        <w:tc>
          <w:tcPr>
            <w:tcW w:w="2282" w:type="dxa"/>
            <w:shd w:val="clear" w:color="auto" w:fill="FFFFFF" w:themeFill="background1"/>
          </w:tcPr>
          <w:p w14:paraId="2A46A7BE" w14:textId="283D49B3" w:rsidR="001C1D4B" w:rsidRPr="00525738" w:rsidRDefault="00525738" w:rsidP="00196534">
            <w:pPr>
              <w:pStyle w:val="Heading2"/>
              <w:numPr>
                <w:ilvl w:val="0"/>
                <w:numId w:val="0"/>
              </w:numPr>
              <w:spacing w:after="120"/>
              <w:ind w:left="18" w:hanging="18"/>
              <w:jc w:val="left"/>
              <w:outlineLvl w:val="1"/>
            </w:pPr>
            <w:r w:rsidRPr="00525738">
              <w:t xml:space="preserve">Power system </w:t>
            </w:r>
            <w:r w:rsidR="0028333E" w:rsidRPr="00525738">
              <w:t>flexibility</w:t>
            </w:r>
          </w:p>
        </w:tc>
        <w:tc>
          <w:tcPr>
            <w:tcW w:w="6458" w:type="dxa"/>
            <w:shd w:val="clear" w:color="auto" w:fill="FFFFFF" w:themeFill="background1"/>
          </w:tcPr>
          <w:p w14:paraId="739DF28C" w14:textId="08532B37" w:rsidR="001C1D4B" w:rsidRPr="00525738" w:rsidRDefault="00525738" w:rsidP="00103921">
            <w:pPr>
              <w:pStyle w:val="Heading2"/>
              <w:numPr>
                <w:ilvl w:val="0"/>
                <w:numId w:val="0"/>
              </w:numPr>
              <w:spacing w:after="0"/>
              <w:jc w:val="left"/>
              <w:outlineLvl w:val="1"/>
            </w:pPr>
            <w:r w:rsidRPr="00525738">
              <w:t xml:space="preserve">Being flexible with how and when </w:t>
            </w:r>
            <w:r>
              <w:t>electricity is</w:t>
            </w:r>
            <w:r w:rsidRPr="00525738">
              <w:t xml:space="preserve"> consume</w:t>
            </w:r>
            <w:r>
              <w:t>d</w:t>
            </w:r>
            <w:r w:rsidRPr="00525738">
              <w:t xml:space="preserve"> and produce</w:t>
            </w:r>
            <w:r>
              <w:t>d</w:t>
            </w:r>
            <w:r w:rsidRPr="00525738">
              <w:t>. This encompasses the use of d</w:t>
            </w:r>
            <w:r w:rsidR="0051587D" w:rsidRPr="00525738">
              <w:t>emand-side response</w:t>
            </w:r>
            <w:r w:rsidRPr="00525738">
              <w:t xml:space="preserve">, </w:t>
            </w:r>
            <w:r w:rsidR="0051587D" w:rsidRPr="00525738">
              <w:t>energy storage</w:t>
            </w:r>
            <w:r>
              <w:t xml:space="preserve"> and </w:t>
            </w:r>
            <w:r w:rsidRPr="00525738">
              <w:t>interconnectors.</w:t>
            </w:r>
          </w:p>
        </w:tc>
      </w:tr>
      <w:tr w:rsidR="00CF0623" w14:paraId="180CA3B6" w14:textId="77777777" w:rsidTr="00560C92">
        <w:tc>
          <w:tcPr>
            <w:tcW w:w="2282" w:type="dxa"/>
            <w:shd w:val="clear" w:color="auto" w:fill="FFFFFF" w:themeFill="background1"/>
          </w:tcPr>
          <w:p w14:paraId="4FCCD99A" w14:textId="596C2505" w:rsidR="00CF0623" w:rsidRPr="00525738" w:rsidDel="0028333E" w:rsidRDefault="00CF0623" w:rsidP="00196534">
            <w:pPr>
              <w:pStyle w:val="Heading2"/>
              <w:numPr>
                <w:ilvl w:val="0"/>
                <w:numId w:val="0"/>
              </w:numPr>
              <w:spacing w:after="120"/>
              <w:ind w:left="18" w:hanging="18"/>
              <w:jc w:val="left"/>
              <w:outlineLvl w:val="1"/>
            </w:pPr>
            <w:r w:rsidRPr="00525738">
              <w:t>Demand side response (DSR)</w:t>
            </w:r>
          </w:p>
        </w:tc>
        <w:tc>
          <w:tcPr>
            <w:tcW w:w="6458" w:type="dxa"/>
            <w:shd w:val="clear" w:color="auto" w:fill="FFFFFF" w:themeFill="background1"/>
          </w:tcPr>
          <w:p w14:paraId="00C4C6D6" w14:textId="0DB662BF" w:rsidR="0051587D" w:rsidRPr="00525738" w:rsidRDefault="00560C92" w:rsidP="00103921">
            <w:pPr>
              <w:pStyle w:val="Heading2"/>
              <w:numPr>
                <w:ilvl w:val="0"/>
                <w:numId w:val="0"/>
              </w:numPr>
              <w:spacing w:after="0"/>
              <w:jc w:val="left"/>
              <w:outlineLvl w:val="1"/>
            </w:pPr>
            <w:r>
              <w:t>Includes</w:t>
            </w:r>
            <w:r w:rsidR="00525738" w:rsidRPr="00525738">
              <w:t xml:space="preserve"> </w:t>
            </w:r>
            <w:r w:rsidR="00525738">
              <w:t>the</w:t>
            </w:r>
            <w:r w:rsidR="00525738" w:rsidRPr="00525738">
              <w:t xml:space="preserve"> range of activities that can be undertaken to reduce or shift demand for electricity during peak periods, including adjusting the consumption of electrical appliances, vehicles or other facilities or deploying off-grid sources of power.</w:t>
            </w:r>
          </w:p>
        </w:tc>
      </w:tr>
      <w:tr w:rsidR="00CF0623" w14:paraId="7D3CC60D" w14:textId="77777777" w:rsidTr="00560C92">
        <w:tc>
          <w:tcPr>
            <w:tcW w:w="2282" w:type="dxa"/>
            <w:shd w:val="clear" w:color="auto" w:fill="FFFFFF" w:themeFill="background1"/>
          </w:tcPr>
          <w:p w14:paraId="649708FD" w14:textId="22D1D1B1" w:rsidR="00CF0623" w:rsidRPr="00525738" w:rsidRDefault="00CF0623" w:rsidP="00196534">
            <w:pPr>
              <w:pStyle w:val="Heading2"/>
              <w:numPr>
                <w:ilvl w:val="0"/>
                <w:numId w:val="0"/>
              </w:numPr>
              <w:spacing w:after="120"/>
              <w:ind w:left="18" w:hanging="18"/>
              <w:jc w:val="left"/>
              <w:outlineLvl w:val="1"/>
            </w:pPr>
            <w:r w:rsidRPr="00525738">
              <w:t>Energy storage</w:t>
            </w:r>
          </w:p>
        </w:tc>
        <w:tc>
          <w:tcPr>
            <w:tcW w:w="6458" w:type="dxa"/>
            <w:shd w:val="clear" w:color="auto" w:fill="FFFFFF" w:themeFill="background1"/>
          </w:tcPr>
          <w:p w14:paraId="1140C7C7" w14:textId="4E11133E" w:rsidR="00D061B2" w:rsidRPr="00525738" w:rsidRDefault="00D061B2" w:rsidP="00EB0A68">
            <w:pPr>
              <w:pStyle w:val="Heading2"/>
              <w:numPr>
                <w:ilvl w:val="0"/>
                <w:numId w:val="0"/>
              </w:numPr>
              <w:spacing w:after="0"/>
              <w:jc w:val="left"/>
              <w:outlineLvl w:val="1"/>
            </w:pPr>
            <w:r w:rsidRPr="00525738">
              <w:t>The process of capturing energy produced at on</w:t>
            </w:r>
            <w:r w:rsidR="007E647F">
              <w:t>e time for use at a later time.</w:t>
            </w:r>
          </w:p>
        </w:tc>
      </w:tr>
      <w:tr w:rsidR="0051587D" w14:paraId="5B38F87B" w14:textId="77777777" w:rsidTr="00560C92">
        <w:tc>
          <w:tcPr>
            <w:tcW w:w="2282" w:type="dxa"/>
            <w:shd w:val="clear" w:color="auto" w:fill="FFFFFF" w:themeFill="background1"/>
          </w:tcPr>
          <w:p w14:paraId="5B9FE5BA" w14:textId="176838E7" w:rsidR="0051587D" w:rsidRPr="00525738" w:rsidRDefault="00924CE9" w:rsidP="00196534">
            <w:pPr>
              <w:pStyle w:val="Heading2"/>
              <w:numPr>
                <w:ilvl w:val="0"/>
                <w:numId w:val="0"/>
              </w:numPr>
              <w:spacing w:after="120"/>
              <w:ind w:left="18" w:hanging="18"/>
              <w:jc w:val="left"/>
              <w:outlineLvl w:val="1"/>
            </w:pPr>
            <w:r w:rsidRPr="00525738">
              <w:t>Interconnectors</w:t>
            </w:r>
            <w:r w:rsidR="0051587D" w:rsidRPr="00525738">
              <w:t xml:space="preserve"> </w:t>
            </w:r>
          </w:p>
        </w:tc>
        <w:tc>
          <w:tcPr>
            <w:tcW w:w="6458" w:type="dxa"/>
            <w:shd w:val="clear" w:color="auto" w:fill="FFFFFF" w:themeFill="background1"/>
          </w:tcPr>
          <w:p w14:paraId="203CE564" w14:textId="293314F1" w:rsidR="0051587D" w:rsidRPr="00525738" w:rsidRDefault="0051587D" w:rsidP="00103921">
            <w:pPr>
              <w:pStyle w:val="Heading2"/>
              <w:numPr>
                <w:ilvl w:val="0"/>
                <w:numId w:val="0"/>
              </w:numPr>
              <w:spacing w:after="0"/>
              <w:jc w:val="left"/>
              <w:outlineLvl w:val="1"/>
            </w:pPr>
            <w:r w:rsidRPr="00525738">
              <w:t>Physical links which allow the transfer of electricity across borders</w:t>
            </w:r>
          </w:p>
        </w:tc>
      </w:tr>
      <w:tr w:rsidR="001C1D4B" w14:paraId="79050D3A" w14:textId="77777777" w:rsidTr="00560C92">
        <w:tc>
          <w:tcPr>
            <w:tcW w:w="2282" w:type="dxa"/>
            <w:shd w:val="clear" w:color="auto" w:fill="FFFFFF" w:themeFill="background1"/>
          </w:tcPr>
          <w:p w14:paraId="5144EA53" w14:textId="64E26B48" w:rsidR="001C1D4B" w:rsidRPr="00525738" w:rsidRDefault="001C1D4B" w:rsidP="00196534">
            <w:pPr>
              <w:pStyle w:val="Heading2"/>
              <w:numPr>
                <w:ilvl w:val="0"/>
                <w:numId w:val="0"/>
              </w:numPr>
              <w:spacing w:after="120"/>
              <w:ind w:left="18" w:hanging="18"/>
              <w:jc w:val="left"/>
              <w:outlineLvl w:val="1"/>
            </w:pPr>
            <w:r w:rsidRPr="00525738">
              <w:t>Greener gas</w:t>
            </w:r>
          </w:p>
        </w:tc>
        <w:tc>
          <w:tcPr>
            <w:tcW w:w="6458" w:type="dxa"/>
            <w:shd w:val="clear" w:color="auto" w:fill="FFFFFF" w:themeFill="background1"/>
          </w:tcPr>
          <w:p w14:paraId="5BDE44DF" w14:textId="55E44FC2" w:rsidR="00D061B2" w:rsidRPr="00525738" w:rsidRDefault="00DD150A" w:rsidP="00EB0A68">
            <w:pPr>
              <w:pStyle w:val="Heading2"/>
              <w:numPr>
                <w:ilvl w:val="0"/>
                <w:numId w:val="0"/>
              </w:numPr>
              <w:spacing w:after="0"/>
              <w:jc w:val="left"/>
              <w:outlineLvl w:val="1"/>
            </w:pPr>
            <w:r w:rsidRPr="00DD150A">
              <w:t xml:space="preserve">Term used to refer to hydrogen and biogas, a gaseous fuel, especially methane, produced by the fermentation of organic matter, or through thermal processing of waste matter. </w:t>
            </w:r>
          </w:p>
        </w:tc>
      </w:tr>
      <w:tr w:rsidR="001C1D4B" w14:paraId="7BBB1B69" w14:textId="77777777" w:rsidTr="00560C92">
        <w:tc>
          <w:tcPr>
            <w:tcW w:w="2282" w:type="dxa"/>
            <w:shd w:val="clear" w:color="auto" w:fill="FFFFFF" w:themeFill="background1"/>
          </w:tcPr>
          <w:p w14:paraId="65017741" w14:textId="17E04D45" w:rsidR="001C1D4B" w:rsidRPr="00525738" w:rsidRDefault="001C1D4B" w:rsidP="00196534">
            <w:pPr>
              <w:pStyle w:val="Heading2"/>
              <w:numPr>
                <w:ilvl w:val="0"/>
                <w:numId w:val="0"/>
              </w:numPr>
              <w:spacing w:after="120"/>
              <w:ind w:left="18" w:hanging="18"/>
              <w:jc w:val="left"/>
              <w:outlineLvl w:val="1"/>
            </w:pPr>
            <w:r w:rsidRPr="00525738">
              <w:t>Nuclear</w:t>
            </w:r>
          </w:p>
        </w:tc>
        <w:tc>
          <w:tcPr>
            <w:tcW w:w="6458" w:type="dxa"/>
            <w:shd w:val="clear" w:color="auto" w:fill="FFFFFF" w:themeFill="background1"/>
          </w:tcPr>
          <w:p w14:paraId="0448E663" w14:textId="4648045A" w:rsidR="00D061B2" w:rsidRPr="00525738" w:rsidRDefault="00D061B2" w:rsidP="00560C92">
            <w:pPr>
              <w:pStyle w:val="Heading2"/>
              <w:numPr>
                <w:ilvl w:val="0"/>
                <w:numId w:val="0"/>
              </w:numPr>
              <w:spacing w:after="0"/>
              <w:jc w:val="left"/>
              <w:outlineLvl w:val="1"/>
            </w:pPr>
            <w:r w:rsidRPr="00525738">
              <w:t>A technology that uses nuclear reaction to generate electricity and heat.</w:t>
            </w:r>
          </w:p>
        </w:tc>
      </w:tr>
      <w:tr w:rsidR="001C1D4B" w14:paraId="2CA92C50" w14:textId="77777777" w:rsidTr="00560C92">
        <w:tc>
          <w:tcPr>
            <w:tcW w:w="2282" w:type="dxa"/>
            <w:shd w:val="clear" w:color="auto" w:fill="FFFFFF" w:themeFill="background1"/>
          </w:tcPr>
          <w:p w14:paraId="7DBF1647" w14:textId="4873D48A" w:rsidR="001C1D4B" w:rsidRPr="00525738" w:rsidRDefault="00406AB9" w:rsidP="00196534">
            <w:pPr>
              <w:pStyle w:val="Heading2"/>
              <w:numPr>
                <w:ilvl w:val="0"/>
                <w:numId w:val="0"/>
              </w:numPr>
              <w:spacing w:after="120"/>
              <w:ind w:left="18" w:hanging="18"/>
              <w:jc w:val="left"/>
              <w:outlineLvl w:val="1"/>
            </w:pPr>
            <w:r w:rsidRPr="00525738">
              <w:t>Carbon Capture and Storage (</w:t>
            </w:r>
            <w:r w:rsidR="001C1D4B" w:rsidRPr="00525738">
              <w:t>CC</w:t>
            </w:r>
            <w:r w:rsidR="006E79EB">
              <w:t>A</w:t>
            </w:r>
            <w:r w:rsidR="001C1D4B" w:rsidRPr="00525738">
              <w:t>S</w:t>
            </w:r>
            <w:r w:rsidRPr="00525738">
              <w:t>)</w:t>
            </w:r>
          </w:p>
        </w:tc>
        <w:tc>
          <w:tcPr>
            <w:tcW w:w="6458" w:type="dxa"/>
            <w:shd w:val="clear" w:color="auto" w:fill="FFFFFF" w:themeFill="background1"/>
          </w:tcPr>
          <w:p w14:paraId="26C69E07" w14:textId="3B8A0E20" w:rsidR="001C1D4B" w:rsidRPr="00525738" w:rsidRDefault="007E647F" w:rsidP="00103921">
            <w:pPr>
              <w:pStyle w:val="Heading2"/>
              <w:numPr>
                <w:ilvl w:val="0"/>
                <w:numId w:val="0"/>
              </w:numPr>
              <w:spacing w:after="0"/>
              <w:jc w:val="left"/>
              <w:outlineLvl w:val="1"/>
            </w:pPr>
            <w:r w:rsidRPr="007E647F">
              <w:t>A technology that can capture carbon dioxide emissions produced from the use of fossil fuels, preventing the carbon dioxide from entering the atmosphere</w:t>
            </w:r>
            <w:r w:rsidR="0065521B">
              <w:t xml:space="preserve">, and store it </w:t>
            </w:r>
            <w:r w:rsidRPr="007E647F">
              <w:t>to prevent release.</w:t>
            </w:r>
          </w:p>
        </w:tc>
      </w:tr>
      <w:tr w:rsidR="00FC5AEA" w14:paraId="4347C984" w14:textId="77777777" w:rsidTr="00560C92">
        <w:tc>
          <w:tcPr>
            <w:tcW w:w="2282" w:type="dxa"/>
            <w:shd w:val="clear" w:color="auto" w:fill="FFFFFF" w:themeFill="background1"/>
          </w:tcPr>
          <w:p w14:paraId="34EA3713" w14:textId="4241683F" w:rsidR="00FC5AEA" w:rsidRPr="00525738" w:rsidRDefault="00FC5AEA" w:rsidP="00196534">
            <w:pPr>
              <w:pStyle w:val="Heading2"/>
              <w:numPr>
                <w:ilvl w:val="0"/>
                <w:numId w:val="0"/>
              </w:numPr>
              <w:spacing w:after="120"/>
              <w:ind w:left="18" w:hanging="18"/>
              <w:jc w:val="left"/>
              <w:outlineLvl w:val="1"/>
            </w:pPr>
            <w:r w:rsidRPr="00525738">
              <w:t>Renewables</w:t>
            </w:r>
          </w:p>
        </w:tc>
        <w:tc>
          <w:tcPr>
            <w:tcW w:w="6458" w:type="dxa"/>
            <w:shd w:val="clear" w:color="auto" w:fill="FFFFFF" w:themeFill="background1"/>
          </w:tcPr>
          <w:p w14:paraId="184FAA5F" w14:textId="3D552F6F" w:rsidR="00D061B2" w:rsidRPr="00525738" w:rsidRDefault="00FA2704" w:rsidP="00560C92">
            <w:pPr>
              <w:pStyle w:val="Heading2"/>
              <w:numPr>
                <w:ilvl w:val="0"/>
                <w:numId w:val="0"/>
              </w:numPr>
              <w:spacing w:after="0"/>
              <w:jc w:val="left"/>
              <w:outlineLvl w:val="1"/>
            </w:pPr>
            <w:r w:rsidRPr="00525738">
              <w:t>Zero-emission t</w:t>
            </w:r>
            <w:r w:rsidR="00D061B2" w:rsidRPr="00525738">
              <w:t>echnologies that generate energy from renewable resou</w:t>
            </w:r>
            <w:r w:rsidRPr="00525738">
              <w:t>rces, namely wind</w:t>
            </w:r>
            <w:r w:rsidR="00560C92">
              <w:t xml:space="preserve"> (onshore and offshore)</w:t>
            </w:r>
            <w:r w:rsidRPr="00525738">
              <w:t>, s</w:t>
            </w:r>
            <w:r w:rsidR="00560C92">
              <w:t>olar,</w:t>
            </w:r>
            <w:r w:rsidRPr="00525738">
              <w:t xml:space="preserve"> tid</w:t>
            </w:r>
            <w:r w:rsidR="00560C92">
              <w:t>al, energy from waste and biomass.</w:t>
            </w:r>
          </w:p>
        </w:tc>
      </w:tr>
      <w:tr w:rsidR="001C1D4B" w14:paraId="7C5C06ED" w14:textId="77777777" w:rsidTr="00560C92">
        <w:tc>
          <w:tcPr>
            <w:tcW w:w="2282" w:type="dxa"/>
            <w:shd w:val="clear" w:color="auto" w:fill="FFFFFF" w:themeFill="background1"/>
          </w:tcPr>
          <w:p w14:paraId="3386F37B" w14:textId="4288C861" w:rsidR="001C1D4B" w:rsidRPr="00525738" w:rsidRDefault="00560C92" w:rsidP="004061DD">
            <w:pPr>
              <w:pStyle w:val="Heading2"/>
              <w:numPr>
                <w:ilvl w:val="0"/>
                <w:numId w:val="0"/>
              </w:numPr>
              <w:spacing w:after="120"/>
              <w:jc w:val="left"/>
              <w:outlineLvl w:val="1"/>
            </w:pPr>
            <w:r>
              <w:t>Whole p</w:t>
            </w:r>
            <w:r w:rsidR="00790E40" w:rsidRPr="00525738">
              <w:t>ower system costs</w:t>
            </w:r>
          </w:p>
        </w:tc>
        <w:tc>
          <w:tcPr>
            <w:tcW w:w="6458" w:type="dxa"/>
            <w:shd w:val="clear" w:color="auto" w:fill="FFFFFF" w:themeFill="background1"/>
          </w:tcPr>
          <w:p w14:paraId="7D91EB52" w14:textId="77777777" w:rsidR="00560C92" w:rsidRDefault="00B1466A" w:rsidP="00103921">
            <w:pPr>
              <w:pStyle w:val="Heading2"/>
              <w:numPr>
                <w:ilvl w:val="0"/>
                <w:numId w:val="0"/>
              </w:numPr>
              <w:spacing w:after="0"/>
              <w:jc w:val="left"/>
              <w:outlineLvl w:val="1"/>
            </w:pPr>
            <w:r w:rsidRPr="00525738">
              <w:t>The total costs required</w:t>
            </w:r>
            <w:r w:rsidR="00924CE9" w:rsidRPr="00525738">
              <w:t xml:space="preserve"> to ensure provision of electricity to consumers</w:t>
            </w:r>
            <w:r w:rsidR="00560C92">
              <w:t>, includes:</w:t>
            </w:r>
          </w:p>
          <w:p w14:paraId="3AFB5FDF" w14:textId="2BE942C6" w:rsidR="00560C92" w:rsidRDefault="00560C92" w:rsidP="00B95757">
            <w:pPr>
              <w:pStyle w:val="Heading2"/>
              <w:numPr>
                <w:ilvl w:val="0"/>
                <w:numId w:val="29"/>
              </w:numPr>
              <w:spacing w:after="0"/>
              <w:jc w:val="left"/>
              <w:outlineLvl w:val="1"/>
            </w:pPr>
            <w:r>
              <w:t>Generation costs – including system integration and balancing costs</w:t>
            </w:r>
          </w:p>
          <w:p w14:paraId="6AEB6A21" w14:textId="77777777" w:rsidR="00560C92" w:rsidRDefault="00560C92" w:rsidP="00B95757">
            <w:pPr>
              <w:pStyle w:val="Heading2"/>
              <w:numPr>
                <w:ilvl w:val="0"/>
                <w:numId w:val="29"/>
              </w:numPr>
              <w:spacing w:after="0"/>
              <w:jc w:val="left"/>
              <w:outlineLvl w:val="1"/>
            </w:pPr>
            <w:r>
              <w:t>Transmission costs</w:t>
            </w:r>
          </w:p>
          <w:p w14:paraId="5B3787A7" w14:textId="22D4FDA8" w:rsidR="001C1D4B" w:rsidRPr="00525738" w:rsidRDefault="00560C92" w:rsidP="00B95757">
            <w:pPr>
              <w:pStyle w:val="Heading2"/>
              <w:numPr>
                <w:ilvl w:val="0"/>
                <w:numId w:val="29"/>
              </w:numPr>
              <w:spacing w:after="0"/>
              <w:jc w:val="left"/>
              <w:outlineLvl w:val="1"/>
            </w:pPr>
            <w:r>
              <w:t>Distribution costs</w:t>
            </w:r>
          </w:p>
        </w:tc>
      </w:tr>
      <w:tr w:rsidR="001C1D4B" w14:paraId="769E655F" w14:textId="77777777" w:rsidTr="00560C92">
        <w:tc>
          <w:tcPr>
            <w:tcW w:w="2282" w:type="dxa"/>
            <w:shd w:val="clear" w:color="auto" w:fill="FFFFFF" w:themeFill="background1"/>
          </w:tcPr>
          <w:p w14:paraId="357CFB8A" w14:textId="5B3956CC" w:rsidR="001C1D4B" w:rsidRPr="00525738" w:rsidRDefault="00790E40" w:rsidP="00196534">
            <w:pPr>
              <w:pStyle w:val="Heading2"/>
              <w:numPr>
                <w:ilvl w:val="0"/>
                <w:numId w:val="0"/>
              </w:numPr>
              <w:spacing w:after="120"/>
              <w:ind w:left="18" w:hanging="18"/>
              <w:jc w:val="left"/>
              <w:outlineLvl w:val="1"/>
            </w:pPr>
            <w:r w:rsidRPr="00525738">
              <w:t>Marginal system costs</w:t>
            </w:r>
          </w:p>
        </w:tc>
        <w:tc>
          <w:tcPr>
            <w:tcW w:w="6458" w:type="dxa"/>
            <w:shd w:val="clear" w:color="auto" w:fill="FFFFFF" w:themeFill="background1"/>
          </w:tcPr>
          <w:p w14:paraId="16CAA165" w14:textId="1159CA53" w:rsidR="001C1D4B" w:rsidRPr="00525738" w:rsidRDefault="00560C92" w:rsidP="00103921">
            <w:pPr>
              <w:pStyle w:val="Heading2"/>
              <w:numPr>
                <w:ilvl w:val="0"/>
                <w:numId w:val="0"/>
              </w:numPr>
              <w:spacing w:after="0"/>
              <w:jc w:val="left"/>
              <w:outlineLvl w:val="1"/>
            </w:pPr>
            <w:r>
              <w:t>The economic marginal costs of the power system - i.e. the first difference of whole power system costs.</w:t>
            </w:r>
          </w:p>
        </w:tc>
      </w:tr>
      <w:tr w:rsidR="00790E40" w14:paraId="16128191" w14:textId="77777777" w:rsidTr="00560C92">
        <w:tc>
          <w:tcPr>
            <w:tcW w:w="2282" w:type="dxa"/>
            <w:shd w:val="clear" w:color="auto" w:fill="FFFFFF" w:themeFill="background1"/>
          </w:tcPr>
          <w:p w14:paraId="621E4B96" w14:textId="3EAB217A" w:rsidR="00790E40" w:rsidRPr="00525738" w:rsidRDefault="00790E40" w:rsidP="00196534">
            <w:pPr>
              <w:pStyle w:val="Heading2"/>
              <w:numPr>
                <w:ilvl w:val="0"/>
                <w:numId w:val="0"/>
              </w:numPr>
              <w:spacing w:after="120"/>
              <w:ind w:left="18" w:hanging="18"/>
              <w:jc w:val="left"/>
              <w:outlineLvl w:val="1"/>
            </w:pPr>
            <w:r w:rsidRPr="00525738">
              <w:t xml:space="preserve">System </w:t>
            </w:r>
            <w:r w:rsidR="00560C92">
              <w:t xml:space="preserve">integration </w:t>
            </w:r>
            <w:r w:rsidRPr="00525738">
              <w:t>costs</w:t>
            </w:r>
          </w:p>
        </w:tc>
        <w:tc>
          <w:tcPr>
            <w:tcW w:w="6458" w:type="dxa"/>
            <w:shd w:val="clear" w:color="auto" w:fill="FFFFFF" w:themeFill="background1"/>
          </w:tcPr>
          <w:p w14:paraId="3F46B174" w14:textId="2B4757D3" w:rsidR="00072BE9" w:rsidRPr="00525738" w:rsidRDefault="00681949" w:rsidP="00072BE9">
            <w:pPr>
              <w:pStyle w:val="Heading2"/>
              <w:numPr>
                <w:ilvl w:val="0"/>
                <w:numId w:val="0"/>
              </w:numPr>
              <w:spacing w:after="0"/>
              <w:jc w:val="left"/>
              <w:outlineLvl w:val="1"/>
            </w:pPr>
            <w:r>
              <w:t xml:space="preserve">The </w:t>
            </w:r>
            <w:r w:rsidRPr="00681949">
              <w:t>additional costs</w:t>
            </w:r>
            <w:r w:rsidR="00072BE9">
              <w:t xml:space="preserve"> imposed by a particular generation technology when it is connected to the system. Renewables </w:t>
            </w:r>
            <w:r w:rsidR="00DF6477">
              <w:t xml:space="preserve">tend to </w:t>
            </w:r>
            <w:r w:rsidR="00072BE9">
              <w:t xml:space="preserve">impose higher integration costs due to their </w:t>
            </w:r>
            <w:r w:rsidR="00DF6477">
              <w:t>intermittency.</w:t>
            </w:r>
          </w:p>
        </w:tc>
      </w:tr>
      <w:tr w:rsidR="00CF0623" w14:paraId="6F4C7F8D" w14:textId="77777777" w:rsidTr="00560C92">
        <w:tc>
          <w:tcPr>
            <w:tcW w:w="2282" w:type="dxa"/>
            <w:shd w:val="clear" w:color="auto" w:fill="FFFFFF" w:themeFill="background1"/>
          </w:tcPr>
          <w:p w14:paraId="3B963E75" w14:textId="31D512DB" w:rsidR="00CF0623" w:rsidRPr="00525738" w:rsidRDefault="00CF0623" w:rsidP="00196534">
            <w:pPr>
              <w:pStyle w:val="Heading2"/>
              <w:numPr>
                <w:ilvl w:val="0"/>
                <w:numId w:val="0"/>
              </w:numPr>
              <w:spacing w:after="120"/>
              <w:ind w:left="18" w:hanging="18"/>
              <w:jc w:val="left"/>
              <w:outlineLvl w:val="1"/>
            </w:pPr>
            <w:r w:rsidRPr="00525738">
              <w:t>Policy packages</w:t>
            </w:r>
          </w:p>
        </w:tc>
        <w:tc>
          <w:tcPr>
            <w:tcW w:w="6458" w:type="dxa"/>
            <w:shd w:val="clear" w:color="auto" w:fill="FFFFFF" w:themeFill="background1"/>
          </w:tcPr>
          <w:p w14:paraId="0DE6EE31" w14:textId="570ED2D8" w:rsidR="00CF0623" w:rsidRPr="00525738" w:rsidRDefault="00700A77" w:rsidP="00103921">
            <w:pPr>
              <w:pStyle w:val="Heading2"/>
              <w:numPr>
                <w:ilvl w:val="0"/>
                <w:numId w:val="0"/>
              </w:numPr>
              <w:spacing w:after="0"/>
              <w:jc w:val="left"/>
              <w:outlineLvl w:val="1"/>
            </w:pPr>
            <w:r w:rsidRPr="00525738">
              <w:t xml:space="preserve">Combinations of demand-side and supply-side policies developed by the </w:t>
            </w:r>
            <w:r w:rsidR="001A091C" w:rsidRPr="00525738">
              <w:t>Authority</w:t>
            </w:r>
            <w:r w:rsidR="00560C92">
              <w:t>.</w:t>
            </w:r>
          </w:p>
        </w:tc>
      </w:tr>
      <w:tr w:rsidR="004757BC" w14:paraId="72703A68" w14:textId="77777777" w:rsidTr="00560C92">
        <w:tc>
          <w:tcPr>
            <w:tcW w:w="2282" w:type="dxa"/>
            <w:shd w:val="clear" w:color="auto" w:fill="FFFFFF" w:themeFill="background1"/>
          </w:tcPr>
          <w:p w14:paraId="2DB288F3" w14:textId="6A749B52" w:rsidR="004757BC" w:rsidRPr="00525738" w:rsidRDefault="004757BC" w:rsidP="00196534">
            <w:pPr>
              <w:pStyle w:val="Heading2"/>
              <w:numPr>
                <w:ilvl w:val="0"/>
                <w:numId w:val="0"/>
              </w:numPr>
              <w:spacing w:after="120"/>
              <w:ind w:left="18" w:hanging="18"/>
              <w:jc w:val="left"/>
              <w:outlineLvl w:val="1"/>
            </w:pPr>
            <w:r>
              <w:t>Vehicle to grid technology</w:t>
            </w:r>
          </w:p>
        </w:tc>
        <w:tc>
          <w:tcPr>
            <w:tcW w:w="6458" w:type="dxa"/>
            <w:shd w:val="clear" w:color="auto" w:fill="FFFFFF" w:themeFill="background1"/>
          </w:tcPr>
          <w:p w14:paraId="353CA41A" w14:textId="0678EB97" w:rsidR="004757BC" w:rsidRPr="00525738" w:rsidRDefault="004757BC" w:rsidP="00103921">
            <w:pPr>
              <w:pStyle w:val="Heading2"/>
              <w:numPr>
                <w:ilvl w:val="0"/>
                <w:numId w:val="0"/>
              </w:numPr>
              <w:spacing w:after="0"/>
              <w:jc w:val="left"/>
              <w:outlineLvl w:val="1"/>
            </w:pPr>
            <w:r>
              <w:t>Ability to transfer electricity back to the grid from electric vehicle batteries.</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2" w:name="_Toc497746095"/>
      <w:r w:rsidRPr="00B9425F">
        <w:rPr>
          <w:szCs w:val="22"/>
        </w:rPr>
        <w:t>scope of requirement</w:t>
      </w:r>
      <w:bookmarkEnd w:id="9"/>
      <w:bookmarkEnd w:id="11"/>
      <w:bookmarkEnd w:id="12"/>
      <w:r w:rsidRPr="00B9425F">
        <w:rPr>
          <w:szCs w:val="22"/>
        </w:rPr>
        <w:t xml:space="preserve"> </w:t>
      </w:r>
    </w:p>
    <w:bookmarkEnd w:id="6"/>
    <w:p w14:paraId="76CF5D7E" w14:textId="1592BE4E" w:rsidR="00776D8E" w:rsidRPr="00EE0C1D" w:rsidRDefault="00776D8E"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Pr="00EE0C1D">
        <w:rPr>
          <w:szCs w:val="22"/>
        </w:rPr>
        <w:t xml:space="preserve"> is seeking </w:t>
      </w:r>
      <w:r w:rsidR="004814EF" w:rsidRPr="00EE0C1D">
        <w:rPr>
          <w:szCs w:val="22"/>
        </w:rPr>
        <w:t>to identify, through modelling,</w:t>
      </w:r>
      <w:r w:rsidRPr="00EE0C1D">
        <w:rPr>
          <w:szCs w:val="22"/>
        </w:rPr>
        <w:t xml:space="preserve"> the whole </w:t>
      </w:r>
      <w:r w:rsidR="00445E5E" w:rsidRPr="00EE0C1D">
        <w:rPr>
          <w:szCs w:val="22"/>
        </w:rPr>
        <w:t xml:space="preserve">power </w:t>
      </w:r>
      <w:r w:rsidRPr="00EE0C1D">
        <w:rPr>
          <w:szCs w:val="22"/>
        </w:rPr>
        <w:t>system costs</w:t>
      </w:r>
      <w:r w:rsidR="00445E5E" w:rsidRPr="00EE0C1D">
        <w:rPr>
          <w:szCs w:val="22"/>
        </w:rPr>
        <w:t xml:space="preserve"> </w:t>
      </w:r>
      <w:r w:rsidRPr="00EE0C1D">
        <w:rPr>
          <w:szCs w:val="22"/>
        </w:rPr>
        <w:t xml:space="preserve">(including </w:t>
      </w:r>
      <w:r w:rsidR="00790E40" w:rsidRPr="00EE0C1D">
        <w:rPr>
          <w:szCs w:val="22"/>
        </w:rPr>
        <w:t xml:space="preserve">system </w:t>
      </w:r>
      <w:r w:rsidR="00DF6477" w:rsidRPr="00EE0C1D">
        <w:rPr>
          <w:szCs w:val="22"/>
        </w:rPr>
        <w:t>integration</w:t>
      </w:r>
      <w:r w:rsidRPr="00EE0C1D">
        <w:rPr>
          <w:szCs w:val="22"/>
        </w:rPr>
        <w:t xml:space="preserve"> costs) as the proportion of renewables </w:t>
      </w:r>
      <w:r w:rsidR="00790E40" w:rsidRPr="00EE0C1D">
        <w:rPr>
          <w:szCs w:val="22"/>
        </w:rPr>
        <w:t>on</w:t>
      </w:r>
      <w:r w:rsidRPr="00EE0C1D">
        <w:rPr>
          <w:szCs w:val="22"/>
        </w:rPr>
        <w:t xml:space="preserve"> the system increases</w:t>
      </w:r>
      <w:r w:rsidR="000C4175" w:rsidRPr="00EE0C1D">
        <w:rPr>
          <w:szCs w:val="22"/>
        </w:rPr>
        <w:t>,</w:t>
      </w:r>
      <w:r w:rsidR="00646C90" w:rsidRPr="00EE0C1D">
        <w:rPr>
          <w:szCs w:val="22"/>
        </w:rPr>
        <w:t xml:space="preserve"> </w:t>
      </w:r>
      <w:r w:rsidRPr="00EE0C1D">
        <w:rPr>
          <w:szCs w:val="22"/>
        </w:rPr>
        <w:t xml:space="preserve">under </w:t>
      </w:r>
      <w:r w:rsidR="00AD0425" w:rsidRPr="00EE0C1D">
        <w:rPr>
          <w:szCs w:val="22"/>
        </w:rPr>
        <w:t>different</w:t>
      </w:r>
      <w:r w:rsidR="00945723" w:rsidRPr="00EE0C1D">
        <w:rPr>
          <w:szCs w:val="22"/>
        </w:rPr>
        <w:t xml:space="preserve"> combinations of</w:t>
      </w:r>
      <w:r w:rsidR="00AD0425" w:rsidRPr="00EE0C1D">
        <w:rPr>
          <w:szCs w:val="22"/>
        </w:rPr>
        <w:t xml:space="preserve"> </w:t>
      </w:r>
      <w:r w:rsidR="00945723" w:rsidRPr="00EE0C1D">
        <w:rPr>
          <w:szCs w:val="22"/>
        </w:rPr>
        <w:t xml:space="preserve">electricity </w:t>
      </w:r>
      <w:r w:rsidRPr="00EE0C1D">
        <w:rPr>
          <w:szCs w:val="22"/>
        </w:rPr>
        <w:t>demand and supply</w:t>
      </w:r>
      <w:r w:rsidR="0063471C" w:rsidRPr="00EE0C1D">
        <w:rPr>
          <w:szCs w:val="22"/>
        </w:rPr>
        <w:t>-side</w:t>
      </w:r>
      <w:r w:rsidR="00DF6477" w:rsidRPr="00EE0C1D">
        <w:rPr>
          <w:szCs w:val="22"/>
        </w:rPr>
        <w:t xml:space="preserve"> scenarios</w:t>
      </w:r>
      <w:r w:rsidRPr="00EE0C1D">
        <w:rPr>
          <w:szCs w:val="22"/>
        </w:rPr>
        <w:t>.</w:t>
      </w:r>
      <w:r w:rsidR="004814EF" w:rsidRPr="00EE0C1D">
        <w:rPr>
          <w:szCs w:val="22"/>
        </w:rPr>
        <w:t xml:space="preserve"> The modelling should look out to 2050. </w:t>
      </w:r>
      <w:r w:rsidR="00AD0425" w:rsidRPr="00EE0C1D">
        <w:rPr>
          <w:szCs w:val="22"/>
        </w:rPr>
        <w:t xml:space="preserve">The demand and supply </w:t>
      </w:r>
      <w:r w:rsidR="004061DD" w:rsidRPr="00EE0C1D">
        <w:rPr>
          <w:szCs w:val="22"/>
        </w:rPr>
        <w:t xml:space="preserve">scenarios </w:t>
      </w:r>
      <w:r w:rsidR="004814EF" w:rsidRPr="00EE0C1D">
        <w:rPr>
          <w:szCs w:val="22"/>
        </w:rPr>
        <w:t xml:space="preserve">to be considered </w:t>
      </w:r>
      <w:r w:rsidR="00AD0425" w:rsidRPr="00EE0C1D">
        <w:rPr>
          <w:szCs w:val="22"/>
        </w:rPr>
        <w:t xml:space="preserve">have been developed by the </w:t>
      </w:r>
      <w:r w:rsidR="001A091C" w:rsidRPr="00EE0C1D">
        <w:rPr>
          <w:szCs w:val="22"/>
        </w:rPr>
        <w:t>Authority</w:t>
      </w:r>
      <w:r w:rsidR="00945723" w:rsidRPr="00EE0C1D">
        <w:rPr>
          <w:szCs w:val="22"/>
        </w:rPr>
        <w:t>, and are described in further detail below.</w:t>
      </w:r>
    </w:p>
    <w:p w14:paraId="340E808D" w14:textId="60CDE3EC" w:rsidR="00945723" w:rsidRPr="004061DD" w:rsidRDefault="00CD55AD" w:rsidP="004061DD">
      <w:pPr>
        <w:pStyle w:val="Heading2"/>
        <w:numPr>
          <w:ilvl w:val="0"/>
          <w:numId w:val="0"/>
        </w:numPr>
        <w:spacing w:after="120"/>
        <w:rPr>
          <w:b/>
          <w:szCs w:val="22"/>
        </w:rPr>
      </w:pPr>
      <w:r>
        <w:rPr>
          <w:b/>
          <w:szCs w:val="22"/>
        </w:rPr>
        <w:t>Electricity d</w:t>
      </w:r>
      <w:r w:rsidR="00945723" w:rsidRPr="004061DD">
        <w:rPr>
          <w:b/>
          <w:szCs w:val="22"/>
        </w:rPr>
        <w:t>emand</w:t>
      </w:r>
    </w:p>
    <w:p w14:paraId="27B5ED87" w14:textId="0E7FCD85" w:rsidR="00446374" w:rsidRPr="00EE0C1D" w:rsidRDefault="00023298"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00290CAD" w:rsidRPr="00EE0C1D">
        <w:rPr>
          <w:szCs w:val="22"/>
        </w:rPr>
        <w:t xml:space="preserve">’s </w:t>
      </w:r>
      <w:r w:rsidR="00D60EA0" w:rsidRPr="00EE0C1D">
        <w:rPr>
          <w:szCs w:val="22"/>
        </w:rPr>
        <w:t xml:space="preserve">existing </w:t>
      </w:r>
      <w:r w:rsidR="00290CAD" w:rsidRPr="00EE0C1D">
        <w:rPr>
          <w:szCs w:val="22"/>
        </w:rPr>
        <w:t>electricity demand modelling outputs</w:t>
      </w:r>
      <w:r w:rsidR="00AD0425" w:rsidRPr="00EE0C1D">
        <w:rPr>
          <w:szCs w:val="22"/>
        </w:rPr>
        <w:t xml:space="preserve"> a</w:t>
      </w:r>
      <w:r w:rsidR="00D60EA0" w:rsidRPr="00EE0C1D">
        <w:rPr>
          <w:szCs w:val="22"/>
        </w:rPr>
        <w:t>re the</w:t>
      </w:r>
      <w:r w:rsidR="00AD0425" w:rsidRPr="00EE0C1D">
        <w:rPr>
          <w:szCs w:val="22"/>
        </w:rPr>
        <w:t xml:space="preserve"> starting point</w:t>
      </w:r>
      <w:r w:rsidR="00D60EA0" w:rsidRPr="00EE0C1D">
        <w:rPr>
          <w:szCs w:val="22"/>
        </w:rPr>
        <w:t xml:space="preserve"> for this work</w:t>
      </w:r>
      <w:r w:rsidR="00790E40" w:rsidRPr="00EE0C1D">
        <w:rPr>
          <w:szCs w:val="22"/>
        </w:rPr>
        <w:t xml:space="preserve">. </w:t>
      </w:r>
      <w:r w:rsidR="00776D8E" w:rsidRPr="00EE0C1D">
        <w:rPr>
          <w:szCs w:val="22"/>
        </w:rPr>
        <w:t xml:space="preserve">The </w:t>
      </w:r>
      <w:r w:rsidR="001A091C" w:rsidRPr="00EE0C1D">
        <w:rPr>
          <w:szCs w:val="22"/>
        </w:rPr>
        <w:t>Authority</w:t>
      </w:r>
      <w:r w:rsidR="00776D8E" w:rsidRPr="00EE0C1D">
        <w:rPr>
          <w:szCs w:val="22"/>
        </w:rPr>
        <w:t xml:space="preserve"> has developed exogenous scenarios</w:t>
      </w:r>
      <w:r w:rsidR="00446374" w:rsidRPr="00EE0C1D">
        <w:rPr>
          <w:szCs w:val="22"/>
        </w:rPr>
        <w:t xml:space="preserve"> </w:t>
      </w:r>
      <w:r w:rsidR="00AD0425" w:rsidRPr="00EE0C1D">
        <w:rPr>
          <w:szCs w:val="22"/>
        </w:rPr>
        <w:t>under</w:t>
      </w:r>
      <w:r w:rsidR="00446374" w:rsidRPr="00EE0C1D">
        <w:rPr>
          <w:szCs w:val="22"/>
        </w:rPr>
        <w:t xml:space="preserve"> a </w:t>
      </w:r>
      <w:r w:rsidR="00646C90" w:rsidRPr="00EE0C1D">
        <w:rPr>
          <w:szCs w:val="22"/>
        </w:rPr>
        <w:t>“</w:t>
      </w:r>
      <w:r w:rsidR="00446374" w:rsidRPr="00EE0C1D">
        <w:rPr>
          <w:szCs w:val="22"/>
        </w:rPr>
        <w:t>no policy baseline</w:t>
      </w:r>
      <w:r w:rsidR="00646C90" w:rsidRPr="00EE0C1D">
        <w:rPr>
          <w:szCs w:val="22"/>
        </w:rPr>
        <w:t>”</w:t>
      </w:r>
      <w:r w:rsidR="00446374" w:rsidRPr="00EE0C1D">
        <w:rPr>
          <w:szCs w:val="22"/>
        </w:rPr>
        <w:t xml:space="preserve"> which are driven by:</w:t>
      </w:r>
    </w:p>
    <w:p w14:paraId="272B8E3D" w14:textId="3E209216" w:rsidR="00446374" w:rsidRDefault="00446374" w:rsidP="00EE0C1D">
      <w:pPr>
        <w:pStyle w:val="Heading4"/>
        <w:tabs>
          <w:tab w:val="clear" w:pos="2880"/>
        </w:tabs>
        <w:ind w:left="1560" w:hanging="851"/>
      </w:pPr>
      <w:r w:rsidRPr="00165916">
        <w:t>Economic</w:t>
      </w:r>
      <w:r>
        <w:t xml:space="preserve"> growth</w:t>
      </w:r>
      <w:r w:rsidR="00515236">
        <w:t>;</w:t>
      </w:r>
    </w:p>
    <w:p w14:paraId="229386B9" w14:textId="02913D53" w:rsidR="00446374" w:rsidRDefault="00446374" w:rsidP="00EE0C1D">
      <w:pPr>
        <w:pStyle w:val="Heading4"/>
        <w:tabs>
          <w:tab w:val="clear" w:pos="2880"/>
        </w:tabs>
        <w:ind w:left="1560" w:hanging="851"/>
      </w:pPr>
      <w:r>
        <w:t>Population growth</w:t>
      </w:r>
      <w:r w:rsidR="00515236">
        <w:t>;</w:t>
      </w:r>
    </w:p>
    <w:p w14:paraId="14F93BA3" w14:textId="18EA38C6" w:rsidR="00446374" w:rsidRDefault="00446374" w:rsidP="00EE0C1D">
      <w:pPr>
        <w:pStyle w:val="Heading4"/>
        <w:tabs>
          <w:tab w:val="clear" w:pos="2880"/>
        </w:tabs>
        <w:ind w:left="1560" w:hanging="851"/>
      </w:pPr>
      <w:r>
        <w:t xml:space="preserve">Technological </w:t>
      </w:r>
      <w:r w:rsidR="00DF6477">
        <w:t>change</w:t>
      </w:r>
      <w:r w:rsidR="00515236">
        <w:t>.</w:t>
      </w:r>
    </w:p>
    <w:p w14:paraId="63E6652B" w14:textId="740E8CCF" w:rsidR="00945723" w:rsidRPr="00EE0C1D" w:rsidRDefault="00AD0425"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00945723" w:rsidRPr="00EE0C1D">
        <w:rPr>
          <w:szCs w:val="22"/>
        </w:rPr>
        <w:t xml:space="preserve"> would like to consider the impact of demand-side policies on </w:t>
      </w:r>
      <w:r w:rsidR="004814EF" w:rsidRPr="00EE0C1D">
        <w:rPr>
          <w:szCs w:val="22"/>
        </w:rPr>
        <w:t xml:space="preserve">the exogenous </w:t>
      </w:r>
      <w:r w:rsidR="00945723" w:rsidRPr="00EE0C1D">
        <w:rPr>
          <w:szCs w:val="22"/>
        </w:rPr>
        <w:t>electricity demand</w:t>
      </w:r>
      <w:r w:rsidR="004814EF" w:rsidRPr="00EE0C1D">
        <w:rPr>
          <w:szCs w:val="22"/>
        </w:rPr>
        <w:t xml:space="preserve"> scenarios</w:t>
      </w:r>
      <w:r w:rsidR="00945723" w:rsidRPr="00EE0C1D">
        <w:rPr>
          <w:szCs w:val="22"/>
        </w:rPr>
        <w:t>.</w:t>
      </w:r>
      <w:r w:rsidR="00D60EA0" w:rsidRPr="00EE0C1D">
        <w:rPr>
          <w:szCs w:val="22"/>
        </w:rPr>
        <w:t xml:space="preserve"> These policies are:</w:t>
      </w:r>
    </w:p>
    <w:p w14:paraId="3FC7F920" w14:textId="0A990E44" w:rsidR="00D60EA0" w:rsidRDefault="00D60EA0" w:rsidP="00EE0C1D">
      <w:pPr>
        <w:pStyle w:val="Heading4"/>
        <w:tabs>
          <w:tab w:val="clear" w:pos="2880"/>
        </w:tabs>
        <w:ind w:left="1560" w:hanging="851"/>
      </w:pPr>
      <w:r>
        <w:t>Future of heat</w:t>
      </w:r>
      <w:r w:rsidR="00515236">
        <w:t>;</w:t>
      </w:r>
    </w:p>
    <w:p w14:paraId="320351B5" w14:textId="2CC4F563" w:rsidR="00D60EA0" w:rsidRDefault="00D60EA0" w:rsidP="00EE0C1D">
      <w:pPr>
        <w:pStyle w:val="Heading4"/>
        <w:tabs>
          <w:tab w:val="clear" w:pos="2880"/>
        </w:tabs>
        <w:ind w:left="1560" w:hanging="851"/>
      </w:pPr>
      <w:r>
        <w:t>Electric vehicles (EVs)</w:t>
      </w:r>
      <w:r w:rsidR="00515236">
        <w:t>.</w:t>
      </w:r>
    </w:p>
    <w:p w14:paraId="544D9E13" w14:textId="5F9D7394" w:rsidR="00AD0425" w:rsidRPr="00EE0C1D" w:rsidRDefault="00D60EA0"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Pr="00EE0C1D">
        <w:rPr>
          <w:szCs w:val="22"/>
        </w:rPr>
        <w:t xml:space="preserve"> has already</w:t>
      </w:r>
      <w:r w:rsidR="00AD0425" w:rsidRPr="00EE0C1D">
        <w:rPr>
          <w:szCs w:val="22"/>
        </w:rPr>
        <w:t xml:space="preserve"> procured analysis on decarbonisation pathways for the heat sector</w:t>
      </w:r>
      <w:r w:rsidRPr="00EE0C1D">
        <w:rPr>
          <w:szCs w:val="22"/>
        </w:rPr>
        <w:t xml:space="preserve">, which will provide outputs on the impact of </w:t>
      </w:r>
      <w:r w:rsidR="004814EF" w:rsidRPr="00EE0C1D">
        <w:rPr>
          <w:szCs w:val="22"/>
        </w:rPr>
        <w:t xml:space="preserve">the first </w:t>
      </w:r>
      <w:r w:rsidRPr="00EE0C1D">
        <w:rPr>
          <w:szCs w:val="22"/>
        </w:rPr>
        <w:t xml:space="preserve">demand-side policy – future of heat. The future of heat procurement </w:t>
      </w:r>
      <w:r w:rsidR="004814EF" w:rsidRPr="00EE0C1D">
        <w:rPr>
          <w:szCs w:val="22"/>
        </w:rPr>
        <w:t>is looking</w:t>
      </w:r>
      <w:r w:rsidRPr="00EE0C1D">
        <w:rPr>
          <w:szCs w:val="22"/>
        </w:rPr>
        <w:t xml:space="preserve"> at the</w:t>
      </w:r>
      <w:r w:rsidR="00AD0425" w:rsidRPr="00EE0C1D">
        <w:rPr>
          <w:szCs w:val="22"/>
        </w:rPr>
        <w:t xml:space="preserve"> electrification of heat and/or the use of greener gas combined with </w:t>
      </w:r>
      <w:r w:rsidR="006E79EB" w:rsidRPr="00EE0C1D">
        <w:rPr>
          <w:szCs w:val="22"/>
        </w:rPr>
        <w:t>CCAS</w:t>
      </w:r>
      <w:r w:rsidR="00AD0425" w:rsidRPr="00EE0C1D">
        <w:rPr>
          <w:szCs w:val="22"/>
        </w:rPr>
        <w:t xml:space="preserve"> for heat supp</w:t>
      </w:r>
      <w:r w:rsidR="004814EF" w:rsidRPr="00EE0C1D">
        <w:rPr>
          <w:szCs w:val="22"/>
        </w:rPr>
        <w:t xml:space="preserve">ly, and is due to deliver results in </w:t>
      </w:r>
      <w:r w:rsidR="00DF6477" w:rsidRPr="00EE0C1D">
        <w:rPr>
          <w:szCs w:val="22"/>
        </w:rPr>
        <w:t>December 2017</w:t>
      </w:r>
      <w:r w:rsidR="004814EF" w:rsidRPr="00EE0C1D">
        <w:rPr>
          <w:szCs w:val="22"/>
        </w:rPr>
        <w:t>.</w:t>
      </w:r>
      <w:r w:rsidR="00AD0425" w:rsidRPr="00EE0C1D">
        <w:rPr>
          <w:szCs w:val="22"/>
        </w:rPr>
        <w:t xml:space="preserve"> The outputs of this work should be utilised by the Potential Provider, where they affect:</w:t>
      </w:r>
    </w:p>
    <w:p w14:paraId="6ADF5DBD" w14:textId="24C51957" w:rsidR="00AD0425" w:rsidRPr="00E33339" w:rsidRDefault="00AD0425" w:rsidP="00EE0C1D">
      <w:pPr>
        <w:pStyle w:val="Heading4"/>
        <w:tabs>
          <w:tab w:val="clear" w:pos="2880"/>
        </w:tabs>
        <w:ind w:left="1560" w:hanging="851"/>
      </w:pPr>
      <w:r>
        <w:t>Electricity demand (in the case of electrification of heat)</w:t>
      </w:r>
      <w:r w:rsidR="00DF6477">
        <w:t>;</w:t>
      </w:r>
      <w:r>
        <w:t xml:space="preserve"> and/or</w:t>
      </w:r>
    </w:p>
    <w:p w14:paraId="63BF09D4" w14:textId="03B4133B" w:rsidR="00AD0425" w:rsidRPr="00E33339" w:rsidRDefault="00AD0425" w:rsidP="00EE0C1D">
      <w:pPr>
        <w:pStyle w:val="Heading4"/>
        <w:tabs>
          <w:tab w:val="clear" w:pos="2880"/>
        </w:tabs>
        <w:ind w:left="1560" w:hanging="851"/>
      </w:pPr>
      <w:r>
        <w:t>Technology cos</w:t>
      </w:r>
      <w:r w:rsidR="00CD55AD">
        <w:t>ts (in the case of greener gas coupled with</w:t>
      </w:r>
      <w:r>
        <w:t xml:space="preserve"> </w:t>
      </w:r>
      <w:r w:rsidR="006E79EB">
        <w:t>CCAS</w:t>
      </w:r>
      <w:r w:rsidR="00CD55AD">
        <w:t xml:space="preserve">, which may affect the costs of utilising </w:t>
      </w:r>
      <w:r w:rsidR="006E79EB">
        <w:t>CCAS</w:t>
      </w:r>
      <w:r w:rsidR="00CD55AD">
        <w:t xml:space="preserve"> for electricity generation</w:t>
      </w:r>
      <w:r>
        <w:t>)</w:t>
      </w:r>
      <w:r w:rsidR="00DF6477">
        <w:t>.</w:t>
      </w:r>
    </w:p>
    <w:p w14:paraId="665BD221" w14:textId="7DB11C8B" w:rsidR="004814EF" w:rsidRPr="00EE0C1D" w:rsidRDefault="00D60EA0"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second demand-side policy relates to the take-up of EVs. The </w:t>
      </w:r>
      <w:r w:rsidR="001A091C" w:rsidRPr="00A87967">
        <w:rPr>
          <w:szCs w:val="22"/>
        </w:rPr>
        <w:t>Authority</w:t>
      </w:r>
      <w:r w:rsidRPr="00EE0C1D">
        <w:rPr>
          <w:szCs w:val="22"/>
        </w:rPr>
        <w:t xml:space="preserve"> will </w:t>
      </w:r>
      <w:r w:rsidR="00CD55AD" w:rsidRPr="00EE0C1D">
        <w:rPr>
          <w:szCs w:val="22"/>
        </w:rPr>
        <w:t xml:space="preserve">establish </w:t>
      </w:r>
      <w:r w:rsidRPr="00EE0C1D">
        <w:rPr>
          <w:szCs w:val="22"/>
        </w:rPr>
        <w:t>a pathway for EV take-up out to 20</w:t>
      </w:r>
      <w:r w:rsidR="004814EF" w:rsidRPr="00EE0C1D">
        <w:rPr>
          <w:szCs w:val="22"/>
        </w:rPr>
        <w:t>50</w:t>
      </w:r>
      <w:r w:rsidR="00E33339" w:rsidRPr="00EE0C1D">
        <w:rPr>
          <w:szCs w:val="22"/>
        </w:rPr>
        <w:t xml:space="preserve"> and would like the Potential Provider to model the impact of this pathway on average electricity demand and peak electricity demand. </w:t>
      </w:r>
      <w:r w:rsidR="004814EF" w:rsidRPr="00EE0C1D">
        <w:rPr>
          <w:szCs w:val="22"/>
        </w:rPr>
        <w:t xml:space="preserve">The </w:t>
      </w:r>
      <w:r w:rsidR="001A091C" w:rsidRPr="00EE0C1D">
        <w:rPr>
          <w:szCs w:val="22"/>
        </w:rPr>
        <w:t>Authority</w:t>
      </w:r>
      <w:r w:rsidR="004814EF" w:rsidRPr="00EE0C1D">
        <w:rPr>
          <w:szCs w:val="22"/>
        </w:rPr>
        <w:t xml:space="preserve"> would </w:t>
      </w:r>
      <w:r w:rsidR="00E33339" w:rsidRPr="00EE0C1D">
        <w:rPr>
          <w:szCs w:val="22"/>
        </w:rPr>
        <w:t xml:space="preserve">also </w:t>
      </w:r>
      <w:r w:rsidR="004814EF" w:rsidRPr="00EE0C1D">
        <w:rPr>
          <w:szCs w:val="22"/>
        </w:rPr>
        <w:t xml:space="preserve">like the Potential Provider to </w:t>
      </w:r>
      <w:r w:rsidR="003239EE" w:rsidRPr="00EE0C1D">
        <w:rPr>
          <w:szCs w:val="22"/>
        </w:rPr>
        <w:t>incorporate</w:t>
      </w:r>
      <w:r w:rsidR="004814EF" w:rsidRPr="00EE0C1D">
        <w:rPr>
          <w:szCs w:val="22"/>
        </w:rPr>
        <w:t xml:space="preserve"> </w:t>
      </w:r>
      <w:r w:rsidR="003239EE" w:rsidRPr="00EE0C1D">
        <w:rPr>
          <w:szCs w:val="22"/>
        </w:rPr>
        <w:t>a</w:t>
      </w:r>
      <w:r w:rsidR="00E33339" w:rsidRPr="00EE0C1D">
        <w:rPr>
          <w:szCs w:val="22"/>
        </w:rPr>
        <w:t xml:space="preserve"> </w:t>
      </w:r>
      <w:r w:rsidR="008D3928" w:rsidRPr="00EE0C1D">
        <w:rPr>
          <w:szCs w:val="22"/>
        </w:rPr>
        <w:t xml:space="preserve">smart </w:t>
      </w:r>
      <w:r w:rsidR="00DF6477" w:rsidRPr="00EE0C1D">
        <w:rPr>
          <w:szCs w:val="22"/>
        </w:rPr>
        <w:t xml:space="preserve">charging </w:t>
      </w:r>
      <w:r w:rsidR="00E33339" w:rsidRPr="00EE0C1D">
        <w:rPr>
          <w:szCs w:val="22"/>
        </w:rPr>
        <w:t>prof</w:t>
      </w:r>
      <w:r w:rsidR="003239EE" w:rsidRPr="00EE0C1D">
        <w:rPr>
          <w:szCs w:val="22"/>
        </w:rPr>
        <w:t>ile</w:t>
      </w:r>
      <w:r w:rsidR="00E33339" w:rsidRPr="00EE0C1D">
        <w:rPr>
          <w:szCs w:val="22"/>
        </w:rPr>
        <w:t xml:space="preserve"> for</w:t>
      </w:r>
      <w:r w:rsidR="00DF6477" w:rsidRPr="00EE0C1D">
        <w:rPr>
          <w:szCs w:val="22"/>
        </w:rPr>
        <w:t xml:space="preserve"> EVs</w:t>
      </w:r>
      <w:r w:rsidR="004757BC" w:rsidRPr="00EE0C1D">
        <w:rPr>
          <w:szCs w:val="22"/>
        </w:rPr>
        <w:t xml:space="preserve"> which will be agreed between the Authority and the Potential Provider in conjunction.</w:t>
      </w:r>
    </w:p>
    <w:p w14:paraId="051E678F" w14:textId="4BC1768A" w:rsidR="00945723" w:rsidRPr="00EE0C1D" w:rsidRDefault="00CF0623"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The demand-side policies above are combined to generate three demand-side “policy packages”</w:t>
      </w:r>
      <w:r w:rsidR="00945723" w:rsidRPr="00EE0C1D">
        <w:rPr>
          <w:szCs w:val="22"/>
        </w:rPr>
        <w:t>:</w:t>
      </w:r>
    </w:p>
    <w:p w14:paraId="4580FB94" w14:textId="22500186" w:rsidR="00AC604A" w:rsidRPr="001B781F" w:rsidRDefault="00AC604A" w:rsidP="00EE0C1D">
      <w:pPr>
        <w:pStyle w:val="Heading4"/>
        <w:tabs>
          <w:tab w:val="clear" w:pos="2880"/>
        </w:tabs>
        <w:ind w:left="1560" w:hanging="851"/>
      </w:pPr>
      <w:r w:rsidRPr="001B781F">
        <w:t>Heat el</w:t>
      </w:r>
      <w:r>
        <w:t>ectrification; EV take-up</w:t>
      </w:r>
      <w:r w:rsidR="00515236">
        <w:t>.</w:t>
      </w:r>
    </w:p>
    <w:p w14:paraId="391CF9C2" w14:textId="725738A2" w:rsidR="00AC604A" w:rsidRDefault="00AC604A" w:rsidP="00EE0C1D">
      <w:pPr>
        <w:pStyle w:val="Heading4"/>
        <w:tabs>
          <w:tab w:val="clear" w:pos="2880"/>
        </w:tabs>
        <w:ind w:left="1560" w:hanging="851"/>
      </w:pPr>
      <w:r>
        <w:t>Heat greener gas</w:t>
      </w:r>
      <w:r w:rsidR="00BD25F6">
        <w:t>; EV take-up</w:t>
      </w:r>
      <w:r w:rsidR="00515236">
        <w:t>.</w:t>
      </w:r>
    </w:p>
    <w:p w14:paraId="3ED61C5C" w14:textId="17249F95" w:rsidR="00AC604A" w:rsidRDefault="008261AF" w:rsidP="00EE0C1D">
      <w:pPr>
        <w:pStyle w:val="Heading4"/>
        <w:tabs>
          <w:tab w:val="clear" w:pos="2880"/>
        </w:tabs>
        <w:ind w:left="1560" w:hanging="851"/>
      </w:pPr>
      <w:r w:rsidRPr="001B781F">
        <w:t>Mix of heat electrification and greener gas</w:t>
      </w:r>
      <w:r>
        <w:t>;</w:t>
      </w:r>
      <w:r w:rsidRPr="001B781F">
        <w:t xml:space="preserve"> </w:t>
      </w:r>
      <w:r>
        <w:t>EV take-up</w:t>
      </w:r>
      <w:r w:rsidR="00515236">
        <w:t>.</w:t>
      </w:r>
      <w:r w:rsidR="00BD25F6" w:rsidDel="008261AF">
        <w:t xml:space="preserve"> </w:t>
      </w:r>
    </w:p>
    <w:p w14:paraId="16FCCC8D" w14:textId="2375A01A" w:rsidR="00AC604A" w:rsidRPr="00EE0C1D" w:rsidRDefault="00AC604A"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Assumptions on EV take-up are consistent throughout all three policy packages, with differences driven by the approach to decarbonising heat. The </w:t>
      </w:r>
      <w:r w:rsidR="001A091C" w:rsidRPr="00EE0C1D">
        <w:rPr>
          <w:szCs w:val="22"/>
        </w:rPr>
        <w:t>Authority</w:t>
      </w:r>
      <w:r w:rsidRPr="00EE0C1D">
        <w:rPr>
          <w:szCs w:val="22"/>
        </w:rPr>
        <w:t xml:space="preserve"> would like supply-side requirements to be modelled for these three demand-side policy packages under two exogenous scenarios. The </w:t>
      </w:r>
      <w:r w:rsidR="001A091C" w:rsidRPr="00EE0C1D">
        <w:rPr>
          <w:szCs w:val="22"/>
        </w:rPr>
        <w:t>Authority</w:t>
      </w:r>
      <w:r w:rsidRPr="00EE0C1D">
        <w:rPr>
          <w:szCs w:val="22"/>
        </w:rPr>
        <w:t xml:space="preserve"> would therefore expect the Potential Provider to model supply-side requirements driven by six demand scenarios</w:t>
      </w:r>
      <w:r w:rsidR="00BD25F6" w:rsidRPr="00EE0C1D">
        <w:rPr>
          <w:szCs w:val="22"/>
        </w:rPr>
        <w:t>.</w:t>
      </w:r>
    </w:p>
    <w:p w14:paraId="22D1D1B1" w14:textId="7139D72D" w:rsidR="00AC604A" w:rsidRPr="008261AF" w:rsidRDefault="00AC604A" w:rsidP="008261AF">
      <w:pPr>
        <w:pStyle w:val="Heading2"/>
        <w:numPr>
          <w:ilvl w:val="0"/>
          <w:numId w:val="0"/>
        </w:numPr>
        <w:spacing w:after="120"/>
        <w:rPr>
          <w:b/>
        </w:rPr>
      </w:pPr>
      <w:r>
        <w:rPr>
          <w:b/>
        </w:rPr>
        <w:t>Electricity supply</w:t>
      </w:r>
    </w:p>
    <w:p w14:paraId="3C2BF687" w14:textId="1B50A127" w:rsidR="00023298" w:rsidRPr="00EE0C1D" w:rsidRDefault="00023298"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008D5561" w:rsidRPr="00EE0C1D">
        <w:rPr>
          <w:szCs w:val="22"/>
        </w:rPr>
        <w:t xml:space="preserve"> would like the Potential Provider to model the capacity requirements and power s</w:t>
      </w:r>
      <w:r w:rsidR="004F4B33" w:rsidRPr="00EE0C1D">
        <w:rPr>
          <w:szCs w:val="22"/>
        </w:rPr>
        <w:t>ystem costs</w:t>
      </w:r>
      <w:r w:rsidR="008D5561" w:rsidRPr="00EE0C1D">
        <w:rPr>
          <w:szCs w:val="22"/>
        </w:rPr>
        <w:t>, fo</w:t>
      </w:r>
      <w:r w:rsidR="00E6243F" w:rsidRPr="00EE0C1D">
        <w:rPr>
          <w:szCs w:val="22"/>
        </w:rPr>
        <w:t>r each of</w:t>
      </w:r>
      <w:r w:rsidR="003239EE" w:rsidRPr="00EE0C1D">
        <w:rPr>
          <w:szCs w:val="22"/>
        </w:rPr>
        <w:t xml:space="preserve"> the six demand</w:t>
      </w:r>
      <w:r w:rsidR="008D5561" w:rsidRPr="00EE0C1D">
        <w:rPr>
          <w:szCs w:val="22"/>
        </w:rPr>
        <w:t xml:space="preserve"> scenarios mentioned, under three supply-side </w:t>
      </w:r>
      <w:r w:rsidR="003706DF" w:rsidRPr="00EE0C1D">
        <w:rPr>
          <w:szCs w:val="22"/>
        </w:rPr>
        <w:t>technology availability scenarios:</w:t>
      </w:r>
    </w:p>
    <w:p w14:paraId="7D9D68B0" w14:textId="61BB6D53" w:rsidR="00023298" w:rsidRPr="001B781F" w:rsidRDefault="00023298" w:rsidP="00EE0C1D">
      <w:pPr>
        <w:pStyle w:val="Heading4"/>
        <w:tabs>
          <w:tab w:val="clear" w:pos="2880"/>
        </w:tabs>
        <w:ind w:left="1560" w:hanging="851"/>
      </w:pPr>
      <w:r w:rsidRPr="001B781F">
        <w:t>“Anything goes”: the fuel</w:t>
      </w:r>
      <w:r w:rsidR="00E6243F">
        <w:t>/</w:t>
      </w:r>
      <w:r w:rsidRPr="001B781F">
        <w:t xml:space="preserve">generation mix </w:t>
      </w:r>
      <w:r w:rsidR="008D3928">
        <w:t>can</w:t>
      </w:r>
      <w:r w:rsidR="008D3928" w:rsidRPr="001B781F">
        <w:t xml:space="preserve"> </w:t>
      </w:r>
      <w:r w:rsidRPr="001B781F">
        <w:t>be made up of renewables, nuclear</w:t>
      </w:r>
      <w:r w:rsidR="003D4ED9">
        <w:t xml:space="preserve"> power</w:t>
      </w:r>
      <w:r w:rsidR="006F392A">
        <w:t xml:space="preserve"> and/or </w:t>
      </w:r>
      <w:r w:rsidR="006E79EB">
        <w:t>CCAS</w:t>
      </w:r>
      <w:r w:rsidR="006F392A">
        <w:t xml:space="preserve"> plus</w:t>
      </w:r>
      <w:r w:rsidRPr="001B781F">
        <w:t xml:space="preserve"> fossil fuels</w:t>
      </w:r>
      <w:r w:rsidR="003239EE">
        <w:t>;</w:t>
      </w:r>
    </w:p>
    <w:p w14:paraId="1AC62B5D" w14:textId="64B1DA72" w:rsidR="00023298" w:rsidRPr="001B781F" w:rsidRDefault="00023298" w:rsidP="00EE0C1D">
      <w:pPr>
        <w:pStyle w:val="Heading4"/>
        <w:tabs>
          <w:tab w:val="clear" w:pos="2880"/>
        </w:tabs>
        <w:ind w:left="1560" w:hanging="851"/>
      </w:pPr>
      <w:r w:rsidRPr="001B781F">
        <w:t>“No Nuclear”: the fuel</w:t>
      </w:r>
      <w:r w:rsidR="00E6243F">
        <w:t>/</w:t>
      </w:r>
      <w:r w:rsidRPr="001B781F">
        <w:t xml:space="preserve">generation mix </w:t>
      </w:r>
      <w:r w:rsidR="008D3928">
        <w:t>can</w:t>
      </w:r>
      <w:r w:rsidR="008D3928" w:rsidRPr="001B781F">
        <w:t xml:space="preserve"> </w:t>
      </w:r>
      <w:r w:rsidRPr="001B781F">
        <w:t>be</w:t>
      </w:r>
      <w:r w:rsidR="006F392A">
        <w:t xml:space="preserve"> made up of renewables and </w:t>
      </w:r>
      <w:r w:rsidR="006E79EB">
        <w:t>CCAS</w:t>
      </w:r>
      <w:r w:rsidR="006F392A">
        <w:t xml:space="preserve"> plus</w:t>
      </w:r>
      <w:r w:rsidRPr="001B781F">
        <w:t xml:space="preserve"> fossil fuels</w:t>
      </w:r>
      <w:r w:rsidR="003239EE">
        <w:t>;</w:t>
      </w:r>
    </w:p>
    <w:p w14:paraId="6545548E" w14:textId="7F0C1AB2" w:rsidR="003706DF" w:rsidRPr="001B781F" w:rsidRDefault="00023298" w:rsidP="00EE0C1D">
      <w:pPr>
        <w:pStyle w:val="Heading4"/>
        <w:tabs>
          <w:tab w:val="clear" w:pos="2880"/>
        </w:tabs>
        <w:ind w:left="1560" w:hanging="851"/>
      </w:pPr>
      <w:r w:rsidRPr="001B781F">
        <w:t xml:space="preserve">“No </w:t>
      </w:r>
      <w:r w:rsidR="006E79EB">
        <w:t>CCAS</w:t>
      </w:r>
      <w:r w:rsidRPr="001B781F">
        <w:t>”: the fuel</w:t>
      </w:r>
      <w:r w:rsidR="00E6243F">
        <w:t>/</w:t>
      </w:r>
      <w:r w:rsidRPr="001B781F">
        <w:t xml:space="preserve">generation mix </w:t>
      </w:r>
      <w:r w:rsidR="008D3928">
        <w:t>can</w:t>
      </w:r>
      <w:r w:rsidR="008D3928" w:rsidRPr="001B781F">
        <w:t xml:space="preserve"> </w:t>
      </w:r>
      <w:r w:rsidRPr="001B781F">
        <w:t>be made up of renewables and nuclear</w:t>
      </w:r>
      <w:r w:rsidR="003D4ED9">
        <w:t xml:space="preserve"> power</w:t>
      </w:r>
      <w:r w:rsidR="003239EE">
        <w:t>.</w:t>
      </w:r>
    </w:p>
    <w:p w14:paraId="33F56509" w14:textId="54A0725C" w:rsidR="004D7F13" w:rsidRPr="00EE0C1D" w:rsidRDefault="00E6243F"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In addition, the </w:t>
      </w:r>
      <w:r w:rsidR="001A091C" w:rsidRPr="00A87967">
        <w:rPr>
          <w:szCs w:val="22"/>
        </w:rPr>
        <w:t>Authority</w:t>
      </w:r>
      <w:r w:rsidRPr="00EE0C1D">
        <w:rPr>
          <w:szCs w:val="22"/>
        </w:rPr>
        <w:t xml:space="preserve"> would like the Potential Provider to</w:t>
      </w:r>
      <w:r w:rsidR="004D7F13" w:rsidRPr="00EE0C1D">
        <w:rPr>
          <w:szCs w:val="22"/>
        </w:rPr>
        <w:t>:</w:t>
      </w:r>
    </w:p>
    <w:p w14:paraId="19C0E024" w14:textId="76E055FF" w:rsidR="003706DF" w:rsidRPr="008261AF" w:rsidRDefault="004D7F13" w:rsidP="00EE0C1D">
      <w:pPr>
        <w:pStyle w:val="Heading4"/>
        <w:tabs>
          <w:tab w:val="clear" w:pos="2880"/>
        </w:tabs>
        <w:ind w:left="1560" w:hanging="851"/>
      </w:pPr>
      <w:r w:rsidRPr="008261AF">
        <w:t>I</w:t>
      </w:r>
      <w:r w:rsidR="00E6243F" w:rsidRPr="008261AF">
        <w:t xml:space="preserve">ncorporate a high degree of </w:t>
      </w:r>
      <w:r w:rsidR="003239EE">
        <w:t>system</w:t>
      </w:r>
      <w:r w:rsidR="003706DF" w:rsidRPr="008261AF">
        <w:t xml:space="preserve"> flexibility</w:t>
      </w:r>
      <w:r w:rsidR="00DC696E" w:rsidRPr="008261AF">
        <w:t xml:space="preserve"> in</w:t>
      </w:r>
      <w:r w:rsidR="003239EE">
        <w:t>to</w:t>
      </w:r>
      <w:r w:rsidR="00DC696E" w:rsidRPr="008261AF">
        <w:t xml:space="preserve"> the modelling </w:t>
      </w:r>
      <w:r w:rsidR="00E6243F" w:rsidRPr="008261AF">
        <w:t>– i.e.</w:t>
      </w:r>
      <w:r w:rsidR="003706DF" w:rsidRPr="008261AF">
        <w:t xml:space="preserve"> </w:t>
      </w:r>
      <w:r w:rsidR="00427D79">
        <w:t xml:space="preserve">storage, </w:t>
      </w:r>
      <w:r w:rsidR="00E6243F" w:rsidRPr="008261AF">
        <w:t xml:space="preserve">flexibility of generation, use of </w:t>
      </w:r>
      <w:r w:rsidR="003239EE">
        <w:t>interconnectors</w:t>
      </w:r>
      <w:r w:rsidR="00E6243F" w:rsidRPr="008261AF">
        <w:t>,</w:t>
      </w:r>
      <w:r w:rsidR="00427D79">
        <w:t xml:space="preserve"> </w:t>
      </w:r>
      <w:r w:rsidR="00664516" w:rsidRPr="008261AF">
        <w:t>increased system efficiency</w:t>
      </w:r>
      <w:r w:rsidR="00427D79">
        <w:t xml:space="preserve"> and demand-side response</w:t>
      </w:r>
      <w:r w:rsidR="00E6243F" w:rsidRPr="008261AF">
        <w:t>.</w:t>
      </w:r>
      <w:r w:rsidR="00427D79">
        <w:t xml:space="preserve"> </w:t>
      </w:r>
      <w:r w:rsidR="00427D79" w:rsidRPr="00427D79">
        <w:t xml:space="preserve">There is scope to determine how this policy will be modelled – this will depend on the modelling capability of the Potential Provider and the approach and assumptions will be agreed between the </w:t>
      </w:r>
      <w:r w:rsidR="008D3928">
        <w:t>Authority</w:t>
      </w:r>
      <w:r w:rsidR="008D3928" w:rsidRPr="00427D79">
        <w:t xml:space="preserve"> </w:t>
      </w:r>
      <w:r w:rsidR="00427D79" w:rsidRPr="00427D79">
        <w:t xml:space="preserve">and the Potential Provider in conjunction. </w:t>
      </w:r>
      <w:r w:rsidR="00DC696E" w:rsidRPr="00427D79">
        <w:t xml:space="preserve">The assumptions made should reflect the </w:t>
      </w:r>
      <w:r w:rsidR="001A091C" w:rsidRPr="00427D79">
        <w:t>Authority</w:t>
      </w:r>
      <w:r w:rsidR="00DC696E" w:rsidRPr="00427D79">
        <w:t>’s recommendations from the Smart Power report.</w:t>
      </w:r>
    </w:p>
    <w:p w14:paraId="50A570A4" w14:textId="125E8D4E" w:rsidR="004D7F13" w:rsidRPr="00427D79" w:rsidRDefault="004D7F13" w:rsidP="00EE0C1D">
      <w:pPr>
        <w:pStyle w:val="Heading4"/>
        <w:tabs>
          <w:tab w:val="clear" w:pos="2880"/>
        </w:tabs>
        <w:ind w:left="1560" w:hanging="851"/>
      </w:pPr>
      <w:r w:rsidRPr="00427D79">
        <w:t>Link the costs of electricity generation technologies</w:t>
      </w:r>
      <w:r w:rsidR="00427D79">
        <w:t xml:space="preserve"> and battery storage</w:t>
      </w:r>
      <w:r w:rsidRPr="00427D79">
        <w:t xml:space="preserve"> to the </w:t>
      </w:r>
      <w:r w:rsidR="001A091C" w:rsidRPr="00427D79">
        <w:t>Authority</w:t>
      </w:r>
      <w:r w:rsidRPr="00427D79">
        <w:t xml:space="preserve">’s exogenous scenarios </w:t>
      </w:r>
      <w:r w:rsidR="00427D79">
        <w:t>–</w:t>
      </w:r>
      <w:r w:rsidRPr="00427D79">
        <w:t xml:space="preserve"> </w:t>
      </w:r>
      <w:r w:rsidR="00427D79">
        <w:t xml:space="preserve">in practise this means utilising two sets of costs, one for the central technology scenario and one for the high technology scenario. The Commission has two sets of capital costs which were used in the first phase of modelling, linked to the central and high technology variants. The Potential Provider can either use these capital costs </w:t>
      </w:r>
      <w:r w:rsidR="00E81B12">
        <w:t xml:space="preserve">or recommend different costs. The </w:t>
      </w:r>
      <w:r w:rsidR="00AE13DA">
        <w:t xml:space="preserve">Authority </w:t>
      </w:r>
      <w:r w:rsidR="00E81B12">
        <w:t>will decide which costs to use.</w:t>
      </w:r>
    </w:p>
    <w:p w14:paraId="05A39675" w14:textId="052AEF92" w:rsidR="00664516" w:rsidRPr="00EE0C1D" w:rsidRDefault="003706DF"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For each </w:t>
      </w:r>
      <w:r w:rsidR="004F4B33" w:rsidRPr="00A87967">
        <w:rPr>
          <w:szCs w:val="22"/>
        </w:rPr>
        <w:t>of the six</w:t>
      </w:r>
      <w:r w:rsidR="00A72772" w:rsidRPr="00EE0C1D">
        <w:rPr>
          <w:szCs w:val="22"/>
        </w:rPr>
        <w:t xml:space="preserve"> demand scenarios</w:t>
      </w:r>
      <w:r w:rsidR="00DC696E" w:rsidRPr="00EE0C1D">
        <w:rPr>
          <w:szCs w:val="22"/>
        </w:rPr>
        <w:t xml:space="preserve"> </w:t>
      </w:r>
      <w:r w:rsidR="00664516" w:rsidRPr="00EE0C1D">
        <w:rPr>
          <w:szCs w:val="22"/>
        </w:rPr>
        <w:t>and</w:t>
      </w:r>
      <w:r w:rsidR="00E6243F" w:rsidRPr="00EE0C1D">
        <w:rPr>
          <w:szCs w:val="22"/>
        </w:rPr>
        <w:t xml:space="preserve"> </w:t>
      </w:r>
      <w:r w:rsidR="004F4B33" w:rsidRPr="00EE0C1D">
        <w:rPr>
          <w:szCs w:val="22"/>
        </w:rPr>
        <w:t xml:space="preserve">three </w:t>
      </w:r>
      <w:r w:rsidR="00E6243F" w:rsidRPr="00EE0C1D">
        <w:rPr>
          <w:szCs w:val="22"/>
        </w:rPr>
        <w:t>technology availability scenarios</w:t>
      </w:r>
      <w:r w:rsidR="00E82812" w:rsidRPr="00EE0C1D">
        <w:rPr>
          <w:szCs w:val="22"/>
        </w:rPr>
        <w:t xml:space="preserve"> that are described above, </w:t>
      </w:r>
      <w:r w:rsidR="00664516" w:rsidRPr="00EE0C1D">
        <w:rPr>
          <w:szCs w:val="22"/>
        </w:rPr>
        <w:t xml:space="preserve">the </w:t>
      </w:r>
      <w:r w:rsidR="001A091C" w:rsidRPr="00EE0C1D">
        <w:rPr>
          <w:szCs w:val="22"/>
        </w:rPr>
        <w:t>Authority</w:t>
      </w:r>
      <w:r w:rsidR="00664516" w:rsidRPr="00EE0C1D">
        <w:rPr>
          <w:szCs w:val="22"/>
        </w:rPr>
        <w:t xml:space="preserve"> is seeking to identify the whole system costs</w:t>
      </w:r>
      <w:r w:rsidR="00F8490C" w:rsidRPr="00EE0C1D">
        <w:rPr>
          <w:szCs w:val="22"/>
        </w:rPr>
        <w:t>,</w:t>
      </w:r>
      <w:r w:rsidR="00664516" w:rsidRPr="00EE0C1D">
        <w:rPr>
          <w:szCs w:val="22"/>
        </w:rPr>
        <w:t xml:space="preserve"> as the proportion of renewables o</w:t>
      </w:r>
      <w:r w:rsidR="004F4B33" w:rsidRPr="00EE0C1D">
        <w:rPr>
          <w:szCs w:val="22"/>
        </w:rPr>
        <w:t>n</w:t>
      </w:r>
      <w:r w:rsidR="00664516" w:rsidRPr="00EE0C1D">
        <w:rPr>
          <w:szCs w:val="22"/>
        </w:rPr>
        <w:t xml:space="preserve"> the system increase</w:t>
      </w:r>
      <w:r w:rsidR="004F4B33" w:rsidRPr="00EE0C1D">
        <w:rPr>
          <w:szCs w:val="22"/>
        </w:rPr>
        <w:t>s</w:t>
      </w:r>
      <w:r w:rsidR="00664516" w:rsidRPr="00EE0C1D">
        <w:rPr>
          <w:szCs w:val="22"/>
        </w:rPr>
        <w:t xml:space="preserve"> gradually and tend</w:t>
      </w:r>
      <w:r w:rsidR="00A72772" w:rsidRPr="00EE0C1D">
        <w:rPr>
          <w:szCs w:val="22"/>
        </w:rPr>
        <w:t>s</w:t>
      </w:r>
      <w:r w:rsidR="00664516" w:rsidRPr="00EE0C1D">
        <w:rPr>
          <w:szCs w:val="22"/>
        </w:rPr>
        <w:t xml:space="preserve"> towards 100%.</w:t>
      </w:r>
      <w:r w:rsidR="004F4B33" w:rsidRPr="00EE0C1D">
        <w:rPr>
          <w:szCs w:val="22"/>
        </w:rPr>
        <w:t xml:space="preserve"> </w:t>
      </w:r>
      <w:r w:rsidR="00CD2EBE" w:rsidRPr="00EE0C1D">
        <w:rPr>
          <w:szCs w:val="22"/>
        </w:rPr>
        <w:t xml:space="preserve">The whole system costs must reflect the costs of </w:t>
      </w:r>
      <w:r w:rsidR="00E81B12" w:rsidRPr="00EE0C1D">
        <w:rPr>
          <w:szCs w:val="22"/>
        </w:rPr>
        <w:t xml:space="preserve">integrating </w:t>
      </w:r>
      <w:r w:rsidR="00CD2EBE" w:rsidRPr="00EE0C1D">
        <w:rPr>
          <w:szCs w:val="22"/>
        </w:rPr>
        <w:t>renewables on</w:t>
      </w:r>
      <w:r w:rsidR="00E81B12" w:rsidRPr="00EE0C1D">
        <w:rPr>
          <w:szCs w:val="22"/>
        </w:rPr>
        <w:t>to</w:t>
      </w:r>
      <w:r w:rsidR="00CD2EBE" w:rsidRPr="00EE0C1D">
        <w:rPr>
          <w:szCs w:val="22"/>
        </w:rPr>
        <w:t xml:space="preserve"> the system. </w:t>
      </w:r>
      <w:r w:rsidR="00664516" w:rsidRPr="00EE0C1D">
        <w:rPr>
          <w:szCs w:val="22"/>
        </w:rPr>
        <w:t xml:space="preserve">The Potential Provider should </w:t>
      </w:r>
      <w:r w:rsidR="00A72772" w:rsidRPr="00EE0C1D">
        <w:rPr>
          <w:szCs w:val="22"/>
        </w:rPr>
        <w:t xml:space="preserve">be able to </w:t>
      </w:r>
      <w:r w:rsidR="00193E7B" w:rsidRPr="00EE0C1D">
        <w:rPr>
          <w:szCs w:val="22"/>
        </w:rPr>
        <w:t xml:space="preserve">model an </w:t>
      </w:r>
      <w:r w:rsidR="00A72772" w:rsidRPr="00EE0C1D">
        <w:rPr>
          <w:szCs w:val="22"/>
        </w:rPr>
        <w:t>optim</w:t>
      </w:r>
      <w:r w:rsidR="00193E7B" w:rsidRPr="00EE0C1D">
        <w:rPr>
          <w:szCs w:val="22"/>
        </w:rPr>
        <w:t>al</w:t>
      </w:r>
      <w:r w:rsidR="00664516" w:rsidRPr="00EE0C1D">
        <w:rPr>
          <w:szCs w:val="22"/>
        </w:rPr>
        <w:t xml:space="preserve"> fuel/generation mix </w:t>
      </w:r>
      <w:r w:rsidR="00193E7B" w:rsidRPr="00EE0C1D">
        <w:rPr>
          <w:szCs w:val="22"/>
        </w:rPr>
        <w:t>given the scenarios under</w:t>
      </w:r>
      <w:r w:rsidR="00B700BE" w:rsidRPr="00EE0C1D">
        <w:rPr>
          <w:szCs w:val="22"/>
        </w:rPr>
        <w:t xml:space="preserve"> constraints </w:t>
      </w:r>
      <w:r w:rsidR="000A0AA9" w:rsidRPr="00EE0C1D">
        <w:rPr>
          <w:szCs w:val="22"/>
        </w:rPr>
        <w:t xml:space="preserve">(such as carbon constraints, security of supply, capacity margins) </w:t>
      </w:r>
      <w:r w:rsidR="00193E7B" w:rsidRPr="00EE0C1D">
        <w:rPr>
          <w:szCs w:val="22"/>
        </w:rPr>
        <w:t xml:space="preserve">for </w:t>
      </w:r>
      <w:r w:rsidR="00E81B12" w:rsidRPr="00EE0C1D">
        <w:rPr>
          <w:szCs w:val="22"/>
        </w:rPr>
        <w:t>a</w:t>
      </w:r>
      <w:r w:rsidR="00664516" w:rsidRPr="00EE0C1D">
        <w:rPr>
          <w:szCs w:val="22"/>
        </w:rPr>
        <w:t xml:space="preserve"> proportion of ren</w:t>
      </w:r>
      <w:r w:rsidR="003D4ED9" w:rsidRPr="00EE0C1D">
        <w:rPr>
          <w:szCs w:val="22"/>
        </w:rPr>
        <w:t>ewables</w:t>
      </w:r>
      <w:r w:rsidR="00193E7B" w:rsidRPr="00EE0C1D">
        <w:rPr>
          <w:szCs w:val="22"/>
        </w:rPr>
        <w:t>. The</w:t>
      </w:r>
      <w:r w:rsidR="00CD2EBE" w:rsidRPr="00EE0C1D">
        <w:rPr>
          <w:szCs w:val="22"/>
        </w:rPr>
        <w:t xml:space="preserve"> proportion </w:t>
      </w:r>
      <w:r w:rsidR="00193E7B" w:rsidRPr="00EE0C1D">
        <w:rPr>
          <w:szCs w:val="22"/>
        </w:rPr>
        <w:t xml:space="preserve">of renewables will </w:t>
      </w:r>
      <w:r w:rsidR="004D7F13" w:rsidRPr="00EE0C1D">
        <w:rPr>
          <w:szCs w:val="22"/>
        </w:rPr>
        <w:t>gradua</w:t>
      </w:r>
      <w:r w:rsidR="003D4ED9" w:rsidRPr="00EE0C1D">
        <w:rPr>
          <w:szCs w:val="22"/>
        </w:rPr>
        <w:t>lly increas</w:t>
      </w:r>
      <w:r w:rsidR="00CD2EBE" w:rsidRPr="00EE0C1D">
        <w:rPr>
          <w:szCs w:val="22"/>
        </w:rPr>
        <w:t>e</w:t>
      </w:r>
      <w:r w:rsidR="00927848" w:rsidRPr="00EE0C1D">
        <w:rPr>
          <w:szCs w:val="22"/>
        </w:rPr>
        <w:t xml:space="preserve"> by </w:t>
      </w:r>
      <w:r w:rsidR="004D7F13" w:rsidRPr="00EE0C1D">
        <w:rPr>
          <w:szCs w:val="22"/>
        </w:rPr>
        <w:t>a fixed increment. Both the starting pro</w:t>
      </w:r>
      <w:r w:rsidR="00E81B12" w:rsidRPr="00EE0C1D">
        <w:rPr>
          <w:szCs w:val="22"/>
        </w:rPr>
        <w:t>portion and the fixed increment</w:t>
      </w:r>
      <w:r w:rsidR="004D7F13" w:rsidRPr="00EE0C1D">
        <w:rPr>
          <w:szCs w:val="22"/>
        </w:rPr>
        <w:t xml:space="preserve"> will be agreed between the Potential Provider and the </w:t>
      </w:r>
      <w:r w:rsidR="001A091C" w:rsidRPr="00EE0C1D">
        <w:rPr>
          <w:szCs w:val="22"/>
        </w:rPr>
        <w:t>Authority</w:t>
      </w:r>
      <w:r w:rsidR="004D7F13" w:rsidRPr="00EE0C1D">
        <w:rPr>
          <w:szCs w:val="22"/>
        </w:rPr>
        <w:t>.</w:t>
      </w:r>
    </w:p>
    <w:p w14:paraId="119542B2" w14:textId="4782FD1C" w:rsidR="003239EE" w:rsidRDefault="003239EE" w:rsidP="003239EE">
      <w:pPr>
        <w:pStyle w:val="Heading2"/>
        <w:numPr>
          <w:ilvl w:val="0"/>
          <w:numId w:val="0"/>
        </w:numPr>
        <w:tabs>
          <w:tab w:val="num" w:pos="1996"/>
        </w:tabs>
        <w:overflowPunct w:val="0"/>
        <w:autoSpaceDE w:val="0"/>
        <w:autoSpaceDN w:val="0"/>
        <w:spacing w:after="120"/>
        <w:textAlignment w:val="baseline"/>
        <w:rPr>
          <w:b/>
          <w:szCs w:val="22"/>
        </w:rPr>
      </w:pPr>
      <w:r w:rsidRPr="003239EE">
        <w:rPr>
          <w:b/>
          <w:szCs w:val="22"/>
        </w:rPr>
        <w:t>Sensitivity tests</w:t>
      </w:r>
    </w:p>
    <w:p w14:paraId="112CD5D0" w14:textId="0B5EB62F" w:rsidR="00E81B12" w:rsidRPr="00EE0C1D" w:rsidRDefault="00E81B12"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The Authority would like the Potential Provider to produce two sensitivity tests</w:t>
      </w:r>
      <w:r w:rsidR="003B5857" w:rsidRPr="00EE0C1D">
        <w:rPr>
          <w:szCs w:val="22"/>
        </w:rPr>
        <w:t xml:space="preserve"> on at least one of the supply-demand scenarios</w:t>
      </w:r>
      <w:r w:rsidRPr="00EE0C1D">
        <w:rPr>
          <w:szCs w:val="22"/>
        </w:rPr>
        <w:t>:</w:t>
      </w:r>
    </w:p>
    <w:p w14:paraId="7DF914D2" w14:textId="69942155" w:rsidR="003239EE" w:rsidRDefault="003B5857" w:rsidP="00EE0C1D">
      <w:pPr>
        <w:pStyle w:val="Heading4"/>
        <w:tabs>
          <w:tab w:val="clear" w:pos="2880"/>
        </w:tabs>
        <w:ind w:left="1560" w:hanging="851"/>
      </w:pPr>
      <w:r>
        <w:t>Lower</w:t>
      </w:r>
      <w:r w:rsidR="003239EE" w:rsidRPr="00E81B12">
        <w:t xml:space="preserve"> </w:t>
      </w:r>
      <w:r>
        <w:t>degree of system</w:t>
      </w:r>
      <w:r w:rsidR="003239EE" w:rsidRPr="00E81B12">
        <w:t xml:space="preserve"> flexibility </w:t>
      </w:r>
      <w:r>
        <w:t>– the Authority would like to explore the impact of lower flexibility on the modelling outputs of at least one scenario. The assumptions which represent a less flexible system will be agreed</w:t>
      </w:r>
      <w:r w:rsidR="003239EE" w:rsidRPr="00E81B12">
        <w:t xml:space="preserve"> between the </w:t>
      </w:r>
      <w:r w:rsidR="00357A92">
        <w:t>Authority</w:t>
      </w:r>
      <w:r w:rsidR="00357A92" w:rsidRPr="00E81B12">
        <w:t xml:space="preserve"> </w:t>
      </w:r>
      <w:r w:rsidR="003239EE" w:rsidRPr="00E81B12">
        <w:t>and the Potential Provider in conjunction.</w:t>
      </w:r>
    </w:p>
    <w:p w14:paraId="11C738F6" w14:textId="2077205C" w:rsidR="00E81B12" w:rsidRDefault="007C4229" w:rsidP="00EE0C1D">
      <w:pPr>
        <w:pStyle w:val="Heading4"/>
        <w:tabs>
          <w:tab w:val="clear" w:pos="2880"/>
        </w:tabs>
        <w:ind w:left="1560" w:hanging="851"/>
      </w:pPr>
      <w:r>
        <w:t>EV c</w:t>
      </w:r>
      <w:r w:rsidR="00E81B12">
        <w:t>harging profile</w:t>
      </w:r>
      <w:r>
        <w:t xml:space="preserve"> – the Authority would like to explore the impact on average and peak electricity demand of assuming a different chargin</w:t>
      </w:r>
      <w:r w:rsidR="004757BC">
        <w:t>g profile</w:t>
      </w:r>
      <w:r w:rsidR="00346E9F" w:rsidRPr="00346E9F">
        <w:t xml:space="preserve"> </w:t>
      </w:r>
      <w:r w:rsidR="00346E9F">
        <w:t>for electric vehicles</w:t>
      </w:r>
      <w:r w:rsidR="004757BC">
        <w:t>, including assumptions around use</w:t>
      </w:r>
      <w:r w:rsidR="00357A92">
        <w:t xml:space="preserve"> of smart</w:t>
      </w:r>
      <w:r w:rsidR="00346E9F">
        <w:t xml:space="preserve"> charging technologies, </w:t>
      </w:r>
      <w:r w:rsidR="00357A92">
        <w:t>consumer engagement and possibly use</w:t>
      </w:r>
      <w:r w:rsidR="004757BC">
        <w:t xml:space="preserve"> of vehicle to grid technology</w:t>
      </w:r>
      <w:r>
        <w:t>. It would also like to assess the impact of the different average/peak electricity demand on the other key modelling outputs.</w:t>
      </w:r>
    </w:p>
    <w:p w14:paraId="4D104089" w14:textId="0CAE54CD" w:rsidR="00E81B12" w:rsidRPr="00A87967" w:rsidRDefault="00E81B12"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All assumptions made must be clearly stated and agreed upon by the Authority.</w:t>
      </w:r>
    </w:p>
    <w:p w14:paraId="3491B80B" w14:textId="00AA90CA" w:rsidR="00671798" w:rsidRPr="004757BC" w:rsidRDefault="00FE18AC">
      <w:pPr>
        <w:pStyle w:val="Heading1"/>
        <w:spacing w:after="120"/>
      </w:pPr>
      <w:bookmarkStart w:id="13" w:name="_Toc368573031"/>
      <w:bookmarkStart w:id="14" w:name="_Toc497746096"/>
      <w:r w:rsidRPr="004757BC">
        <w:t>The requirement</w:t>
      </w:r>
      <w:bookmarkEnd w:id="13"/>
      <w:bookmarkEnd w:id="14"/>
    </w:p>
    <w:p w14:paraId="3161E83C" w14:textId="45EC32F9" w:rsidR="00770C07" w:rsidRPr="00EE0C1D" w:rsidRDefault="00770C07"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The key out</w:t>
      </w:r>
      <w:r w:rsidR="0070563E" w:rsidRPr="00A87967">
        <w:rPr>
          <w:szCs w:val="22"/>
        </w:rPr>
        <w:t>put</w:t>
      </w:r>
      <w:r w:rsidR="007C4229" w:rsidRPr="00EE0C1D">
        <w:rPr>
          <w:szCs w:val="22"/>
        </w:rPr>
        <w:t>s</w:t>
      </w:r>
      <w:r w:rsidRPr="00EE0C1D">
        <w:rPr>
          <w:szCs w:val="22"/>
        </w:rPr>
        <w:t xml:space="preserve"> </w:t>
      </w:r>
      <w:r w:rsidR="0070563E" w:rsidRPr="00EE0C1D">
        <w:rPr>
          <w:szCs w:val="22"/>
        </w:rPr>
        <w:t xml:space="preserve">from this project </w:t>
      </w:r>
      <w:r w:rsidR="007C4229" w:rsidRPr="00EE0C1D">
        <w:rPr>
          <w:szCs w:val="22"/>
        </w:rPr>
        <w:t>are</w:t>
      </w:r>
      <w:r w:rsidR="0070563E" w:rsidRPr="00EE0C1D">
        <w:rPr>
          <w:szCs w:val="22"/>
        </w:rPr>
        <w:t xml:space="preserve"> whole system costs as the proportion of renewables on the system increases for each of the </w:t>
      </w:r>
      <w:r w:rsidR="001A091C" w:rsidRPr="00EE0C1D">
        <w:rPr>
          <w:szCs w:val="22"/>
        </w:rPr>
        <w:t>Authority</w:t>
      </w:r>
      <w:r w:rsidR="0070563E" w:rsidRPr="00EE0C1D">
        <w:rPr>
          <w:szCs w:val="22"/>
        </w:rPr>
        <w:t xml:space="preserve">’s demand and supply-side </w:t>
      </w:r>
      <w:r w:rsidR="007C4229" w:rsidRPr="00EE0C1D">
        <w:rPr>
          <w:szCs w:val="22"/>
        </w:rPr>
        <w:t xml:space="preserve">scenarios and </w:t>
      </w:r>
      <w:r w:rsidR="0070563E" w:rsidRPr="00EE0C1D">
        <w:rPr>
          <w:szCs w:val="22"/>
        </w:rPr>
        <w:t>policy packages</w:t>
      </w:r>
      <w:r w:rsidR="007C4229" w:rsidRPr="00EE0C1D">
        <w:rPr>
          <w:szCs w:val="22"/>
        </w:rPr>
        <w:t>,</w:t>
      </w:r>
      <w:r w:rsidR="0070563E" w:rsidRPr="00EE0C1D">
        <w:rPr>
          <w:szCs w:val="22"/>
        </w:rPr>
        <w:t xml:space="preserve"> as described in the section above.</w:t>
      </w:r>
    </w:p>
    <w:p w14:paraId="43C93CD2" w14:textId="77777777" w:rsidR="0070563E" w:rsidRPr="00EE0C1D" w:rsidRDefault="0070563E"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The Potential Provider should also provide outputs for:</w:t>
      </w:r>
    </w:p>
    <w:p w14:paraId="1A2F0AB9" w14:textId="50A5C4C9" w:rsidR="0070563E" w:rsidRPr="00C4098F" w:rsidRDefault="0070563E" w:rsidP="00EE0C1D">
      <w:pPr>
        <w:pStyle w:val="Heading4"/>
        <w:tabs>
          <w:tab w:val="clear" w:pos="2880"/>
        </w:tabs>
        <w:ind w:left="1560" w:hanging="851"/>
      </w:pPr>
      <w:r w:rsidRPr="00C4098F">
        <w:t>Marginal whole system costs (first difference of whole system costs)</w:t>
      </w:r>
      <w:r w:rsidR="00C4098F">
        <w:t>;</w:t>
      </w:r>
    </w:p>
    <w:p w14:paraId="19BB2B28" w14:textId="027B2751" w:rsidR="0070563E" w:rsidRPr="00C4098F" w:rsidRDefault="0070563E" w:rsidP="00EE0C1D">
      <w:pPr>
        <w:pStyle w:val="Heading4"/>
        <w:tabs>
          <w:tab w:val="clear" w:pos="2880"/>
        </w:tabs>
        <w:ind w:left="1560" w:hanging="851"/>
      </w:pPr>
      <w:r w:rsidRPr="00C4098F">
        <w:t xml:space="preserve">Marginal costs for different generation technologies (renewables, nuclear and fossil fuels coupled with </w:t>
      </w:r>
      <w:r w:rsidR="006E79EB" w:rsidRPr="00C4098F">
        <w:t>CCAS</w:t>
      </w:r>
      <w:r w:rsidRPr="00C4098F">
        <w:t>)</w:t>
      </w:r>
      <w:r w:rsidR="00C4098F">
        <w:t>;</w:t>
      </w:r>
    </w:p>
    <w:p w14:paraId="3C73701A" w14:textId="49A00F2A" w:rsidR="0070563E" w:rsidRPr="00C4098F" w:rsidRDefault="0070563E" w:rsidP="00EE0C1D">
      <w:pPr>
        <w:pStyle w:val="Heading4"/>
        <w:tabs>
          <w:tab w:val="clear" w:pos="2880"/>
        </w:tabs>
        <w:ind w:left="1560" w:hanging="851"/>
      </w:pPr>
      <w:r w:rsidRPr="00C4098F">
        <w:t>Average electricity demand</w:t>
      </w:r>
      <w:r w:rsidR="00C4098F">
        <w:t>;</w:t>
      </w:r>
    </w:p>
    <w:p w14:paraId="33A075BB" w14:textId="1C7295B4" w:rsidR="0070563E" w:rsidRPr="00C4098F" w:rsidRDefault="0070563E" w:rsidP="00EE0C1D">
      <w:pPr>
        <w:pStyle w:val="Heading4"/>
        <w:tabs>
          <w:tab w:val="clear" w:pos="2880"/>
        </w:tabs>
        <w:ind w:left="1560" w:hanging="851"/>
      </w:pPr>
      <w:r w:rsidRPr="00C4098F">
        <w:t>Peak electricity demand</w:t>
      </w:r>
      <w:r w:rsidR="00C4098F">
        <w:t>;</w:t>
      </w:r>
    </w:p>
    <w:p w14:paraId="2DD14A12" w14:textId="72E5E3E4" w:rsidR="0070563E" w:rsidRPr="00C4098F" w:rsidRDefault="0070563E" w:rsidP="00EE0C1D">
      <w:pPr>
        <w:pStyle w:val="Heading4"/>
        <w:tabs>
          <w:tab w:val="clear" w:pos="2880"/>
        </w:tabs>
        <w:ind w:left="1560" w:hanging="851"/>
      </w:pPr>
      <w:r w:rsidRPr="00C4098F">
        <w:t>Electricity generation capacity</w:t>
      </w:r>
      <w:r w:rsidR="00C4098F">
        <w:t>;</w:t>
      </w:r>
    </w:p>
    <w:p w14:paraId="50DF61E5" w14:textId="7864A94C" w:rsidR="0069525F" w:rsidRPr="00C4098F" w:rsidRDefault="0070563E" w:rsidP="00EE0C1D">
      <w:pPr>
        <w:pStyle w:val="Heading4"/>
        <w:tabs>
          <w:tab w:val="clear" w:pos="2880"/>
        </w:tabs>
        <w:ind w:left="1560" w:hanging="851"/>
      </w:pPr>
      <w:r w:rsidRPr="00C4098F">
        <w:t>Electricity generation/fuel mix</w:t>
      </w:r>
      <w:r w:rsidR="00C4098F">
        <w:t>.</w:t>
      </w:r>
    </w:p>
    <w:p w14:paraId="43D0671C" w14:textId="30007B15" w:rsidR="009F713E" w:rsidRPr="00A87967" w:rsidRDefault="009F713E"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These products must be delivered by no later than </w:t>
      </w:r>
      <w:r w:rsidR="008F7316" w:rsidRPr="00A87967">
        <w:rPr>
          <w:szCs w:val="22"/>
        </w:rPr>
        <w:t>5</w:t>
      </w:r>
      <w:r w:rsidR="008F7316" w:rsidRPr="00EE0C1D">
        <w:rPr>
          <w:szCs w:val="22"/>
        </w:rPr>
        <w:t>th</w:t>
      </w:r>
      <w:r w:rsidR="007C4229" w:rsidRPr="00A87967">
        <w:rPr>
          <w:szCs w:val="22"/>
        </w:rPr>
        <w:t xml:space="preserve"> March 2018</w:t>
      </w:r>
      <w:r w:rsidRPr="00A87967">
        <w:rPr>
          <w:szCs w:val="22"/>
        </w:rPr>
        <w:t xml:space="preserve"> to ensure that the findings of the report can be used to inform the NIA. Delivery will be staggered, with initial high level output being supplied to the </w:t>
      </w:r>
      <w:r w:rsidR="001A091C" w:rsidRPr="00EE0C1D">
        <w:rPr>
          <w:szCs w:val="22"/>
        </w:rPr>
        <w:t>Authority</w:t>
      </w:r>
      <w:r w:rsidRPr="00EE0C1D">
        <w:rPr>
          <w:szCs w:val="22"/>
        </w:rPr>
        <w:t xml:space="preserve"> </w:t>
      </w:r>
      <w:r w:rsidR="007C4229" w:rsidRPr="00EE0C1D">
        <w:rPr>
          <w:szCs w:val="22"/>
        </w:rPr>
        <w:t xml:space="preserve">by </w:t>
      </w:r>
      <w:r w:rsidR="008F7316" w:rsidRPr="00EE0C1D">
        <w:rPr>
          <w:szCs w:val="22"/>
        </w:rPr>
        <w:t>15th</w:t>
      </w:r>
      <w:r w:rsidR="008F7316" w:rsidRPr="00A87967">
        <w:rPr>
          <w:szCs w:val="22"/>
        </w:rPr>
        <w:t xml:space="preserve"> </w:t>
      </w:r>
      <w:r w:rsidR="005C6809" w:rsidRPr="00A87967">
        <w:rPr>
          <w:szCs w:val="22"/>
        </w:rPr>
        <w:t>February</w:t>
      </w:r>
      <w:r w:rsidRPr="00EE0C1D">
        <w:rPr>
          <w:szCs w:val="22"/>
        </w:rPr>
        <w:t xml:space="preserve"> </w:t>
      </w:r>
      <w:r w:rsidR="00C4098F" w:rsidRPr="00EE0C1D">
        <w:rPr>
          <w:szCs w:val="22"/>
        </w:rPr>
        <w:t xml:space="preserve">2018 </w:t>
      </w:r>
      <w:r w:rsidRPr="00EE0C1D">
        <w:rPr>
          <w:szCs w:val="22"/>
        </w:rPr>
        <w:t xml:space="preserve">with </w:t>
      </w:r>
      <w:r w:rsidR="008F7316" w:rsidRPr="00EE0C1D">
        <w:rPr>
          <w:szCs w:val="22"/>
        </w:rPr>
        <w:t>5th</w:t>
      </w:r>
      <w:r w:rsidR="008F7316" w:rsidRPr="00A87967">
        <w:rPr>
          <w:szCs w:val="22"/>
        </w:rPr>
        <w:t xml:space="preserve"> </w:t>
      </w:r>
      <w:r w:rsidR="007C4229" w:rsidRPr="00A87967">
        <w:rPr>
          <w:szCs w:val="22"/>
        </w:rPr>
        <w:t xml:space="preserve">March </w:t>
      </w:r>
      <w:r w:rsidR="00C4098F" w:rsidRPr="00EE0C1D">
        <w:rPr>
          <w:szCs w:val="22"/>
        </w:rPr>
        <w:t xml:space="preserve">2018 </w:t>
      </w:r>
      <w:r w:rsidR="007C4229" w:rsidRPr="00EE0C1D">
        <w:rPr>
          <w:szCs w:val="22"/>
        </w:rPr>
        <w:t>an</w:t>
      </w:r>
      <w:r w:rsidRPr="00EE0C1D">
        <w:rPr>
          <w:szCs w:val="22"/>
        </w:rPr>
        <w:t xml:space="preserve"> absolute deadline for all products. The Potential Provider must therefore ensure that, following feedback and comments by the </w:t>
      </w:r>
      <w:r w:rsidR="001A091C" w:rsidRPr="00EE0C1D">
        <w:rPr>
          <w:szCs w:val="22"/>
        </w:rPr>
        <w:t>Authority</w:t>
      </w:r>
      <w:r w:rsidRPr="00EE0C1D">
        <w:rPr>
          <w:szCs w:val="22"/>
        </w:rPr>
        <w:t xml:space="preserve"> of the first draft on </w:t>
      </w:r>
      <w:r w:rsidR="008F7316" w:rsidRPr="00EE0C1D">
        <w:rPr>
          <w:szCs w:val="22"/>
        </w:rPr>
        <w:t>22nd</w:t>
      </w:r>
      <w:r w:rsidR="008F7316" w:rsidRPr="00A87967">
        <w:rPr>
          <w:szCs w:val="22"/>
        </w:rPr>
        <w:t xml:space="preserve"> December</w:t>
      </w:r>
      <w:r w:rsidR="00C4098F" w:rsidRPr="00A87967">
        <w:rPr>
          <w:szCs w:val="22"/>
        </w:rPr>
        <w:t xml:space="preserve"> 2017</w:t>
      </w:r>
      <w:r w:rsidRPr="00EE0C1D">
        <w:rPr>
          <w:szCs w:val="22"/>
        </w:rPr>
        <w:t xml:space="preserve">, interim findings can be provided by </w:t>
      </w:r>
      <w:r w:rsidR="008F7316" w:rsidRPr="00EE0C1D">
        <w:rPr>
          <w:szCs w:val="22"/>
        </w:rPr>
        <w:t>30th</w:t>
      </w:r>
      <w:r w:rsidR="005C6809" w:rsidRPr="00A87967">
        <w:rPr>
          <w:szCs w:val="22"/>
        </w:rPr>
        <w:t xml:space="preserve"> January 2018.</w:t>
      </w:r>
    </w:p>
    <w:p w14:paraId="7BF94387" w14:textId="65F449C6" w:rsidR="00193E7B" w:rsidRPr="00EE0C1D" w:rsidRDefault="00193E7B"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At the start of the project the </w:t>
      </w:r>
      <w:r w:rsidR="001A091C" w:rsidRPr="00EE0C1D">
        <w:rPr>
          <w:szCs w:val="22"/>
        </w:rPr>
        <w:t>Authority</w:t>
      </w:r>
      <w:r w:rsidRPr="00EE0C1D">
        <w:rPr>
          <w:szCs w:val="22"/>
        </w:rPr>
        <w:t xml:space="preserve"> expects to hold an inception/scoping meeting with the Potential Provider. Following this meeting a short inception report should be provided by the Potential Provider which clarifies the approach to be taken, along with a plan setting out key milestones and dates for deliverables, risks and how these will be managed, etc. The </w:t>
      </w:r>
      <w:r w:rsidR="001A091C" w:rsidRPr="00EE0C1D">
        <w:rPr>
          <w:szCs w:val="22"/>
        </w:rPr>
        <w:t>Authority</w:t>
      </w:r>
      <w:r w:rsidR="005C6809" w:rsidRPr="00EE0C1D">
        <w:rPr>
          <w:szCs w:val="22"/>
        </w:rPr>
        <w:t xml:space="preserve"> and the Potential P</w:t>
      </w:r>
      <w:r w:rsidRPr="00EE0C1D">
        <w:rPr>
          <w:szCs w:val="22"/>
        </w:rPr>
        <w:t xml:space="preserve">rovider should agree on this inception report before proceeding to carry out the analysis. </w:t>
      </w:r>
      <w:r w:rsidR="005C6809" w:rsidRPr="00EE0C1D">
        <w:rPr>
          <w:szCs w:val="22"/>
        </w:rPr>
        <w:t xml:space="preserve">The Authority then expects to hold a longer meeting with the Potential Provider to agree further details of the modelling approach and key assumptions. The Potential Provider should produce a log of all assumptions made following this meeting. </w:t>
      </w:r>
      <w:r w:rsidRPr="00EE0C1D">
        <w:rPr>
          <w:szCs w:val="22"/>
        </w:rPr>
        <w:t xml:space="preserve">The </w:t>
      </w:r>
      <w:r w:rsidR="001A091C" w:rsidRPr="00EE0C1D">
        <w:rPr>
          <w:szCs w:val="22"/>
        </w:rPr>
        <w:t>Authority</w:t>
      </w:r>
      <w:r w:rsidRPr="00EE0C1D">
        <w:rPr>
          <w:szCs w:val="22"/>
        </w:rPr>
        <w:t xml:space="preserve"> expects to work closely with the </w:t>
      </w:r>
      <w:r w:rsidR="00346E9F" w:rsidRPr="00EE0C1D">
        <w:rPr>
          <w:szCs w:val="22"/>
        </w:rPr>
        <w:t>Potential Provider</w:t>
      </w:r>
      <w:r w:rsidRPr="00EE0C1D">
        <w:rPr>
          <w:szCs w:val="22"/>
        </w:rPr>
        <w:t>, including through weekly meetings or phone calls.</w:t>
      </w:r>
    </w:p>
    <w:p w14:paraId="1F2EDB4B" w14:textId="5BC408BE" w:rsidR="00193E7B" w:rsidRPr="00EE0C1D" w:rsidRDefault="00193E7B"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Potential Provider will present the report to technical and non-technical members of the </w:t>
      </w:r>
      <w:r w:rsidR="001A091C" w:rsidRPr="00EE0C1D">
        <w:rPr>
          <w:szCs w:val="22"/>
        </w:rPr>
        <w:t>Authority</w:t>
      </w:r>
      <w:r w:rsidRPr="00EE0C1D">
        <w:rPr>
          <w:szCs w:val="22"/>
        </w:rPr>
        <w:t xml:space="preserve"> in a clear and concise fashion. The purpose would be to set out the key findings from the report, and the key assumptions, results and caveats in a clear and concise fashion, to ensure these are fully understood by </w:t>
      </w:r>
      <w:r w:rsidR="007C4229" w:rsidRPr="00EE0C1D">
        <w:rPr>
          <w:szCs w:val="22"/>
        </w:rPr>
        <w:t>Commissioner</w:t>
      </w:r>
      <w:r w:rsidRPr="00EE0C1D">
        <w:rPr>
          <w:szCs w:val="22"/>
        </w:rPr>
        <w:t>.</w:t>
      </w:r>
    </w:p>
    <w:p w14:paraId="5AD4E9AF" w14:textId="0E3BBEEC" w:rsidR="009F713E" w:rsidRPr="00EE0C1D" w:rsidRDefault="00193E7B"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Potential Provider must submit a final report detailing analysis, findings and comments in clear and concise fashion – this should reflect any inputs/requests made by the </w:t>
      </w:r>
      <w:r w:rsidR="001A091C" w:rsidRPr="00EE0C1D">
        <w:rPr>
          <w:szCs w:val="22"/>
        </w:rPr>
        <w:t>Authority</w:t>
      </w:r>
      <w:r w:rsidRPr="00EE0C1D">
        <w:rPr>
          <w:szCs w:val="22"/>
        </w:rPr>
        <w:t xml:space="preserve"> during the production phase. </w:t>
      </w:r>
      <w:r w:rsidR="009F713E" w:rsidRPr="00EE0C1D">
        <w:rPr>
          <w:szCs w:val="22"/>
        </w:rPr>
        <w:t>This should include:</w:t>
      </w:r>
    </w:p>
    <w:p w14:paraId="6287D318" w14:textId="392B7E41" w:rsidR="009F713E" w:rsidRDefault="009F713E" w:rsidP="00EE0C1D">
      <w:pPr>
        <w:pStyle w:val="Heading4"/>
        <w:tabs>
          <w:tab w:val="clear" w:pos="2880"/>
        </w:tabs>
        <w:ind w:left="1560" w:hanging="851"/>
      </w:pPr>
      <w:r>
        <w:t>The modelling approach, key findings and interpretation of results</w:t>
      </w:r>
      <w:r w:rsidR="00271916">
        <w:t>;</w:t>
      </w:r>
    </w:p>
    <w:p w14:paraId="2DC98FC8" w14:textId="54975536" w:rsidR="009F713E" w:rsidRDefault="009F713E" w:rsidP="00EE0C1D">
      <w:pPr>
        <w:pStyle w:val="Heading4"/>
        <w:tabs>
          <w:tab w:val="clear" w:pos="2880"/>
        </w:tabs>
        <w:ind w:left="1560" w:hanging="851"/>
      </w:pPr>
      <w:r>
        <w:t xml:space="preserve">A summary of the model(s) used by the </w:t>
      </w:r>
      <w:r w:rsidR="00FA661D">
        <w:t>Potential Provider</w:t>
      </w:r>
      <w:r>
        <w:t xml:space="preserve"> and </w:t>
      </w:r>
      <w:r w:rsidR="00FA661D">
        <w:t>its/</w:t>
      </w:r>
      <w:r>
        <w:t>their high-level structure, including a model schematic</w:t>
      </w:r>
      <w:r w:rsidR="00271916">
        <w:t>;</w:t>
      </w:r>
    </w:p>
    <w:p w14:paraId="31B5A636" w14:textId="4CACE20A" w:rsidR="009F713E" w:rsidRDefault="009F713E" w:rsidP="00EE0C1D">
      <w:pPr>
        <w:pStyle w:val="Heading4"/>
        <w:tabs>
          <w:tab w:val="clear" w:pos="2880"/>
        </w:tabs>
        <w:ind w:left="1560" w:hanging="851"/>
      </w:pPr>
      <w:r>
        <w:t>A summary of key modelling assumptions and their references</w:t>
      </w:r>
      <w:r w:rsidR="00271916">
        <w:t>;</w:t>
      </w:r>
    </w:p>
    <w:p w14:paraId="2B9E35CA" w14:textId="1F688947" w:rsidR="009F713E" w:rsidRDefault="009F713E" w:rsidP="00EE0C1D">
      <w:pPr>
        <w:pStyle w:val="Heading4"/>
        <w:tabs>
          <w:tab w:val="clear" w:pos="2880"/>
        </w:tabs>
        <w:ind w:left="1560" w:hanging="851"/>
      </w:pPr>
      <w:r>
        <w:t>All relevant findings in spreadsheet format</w:t>
      </w:r>
      <w:r w:rsidR="00271916">
        <w:t>.</w:t>
      </w:r>
    </w:p>
    <w:p w14:paraId="16863B61" w14:textId="7F16D554" w:rsidR="00193E7B" w:rsidRPr="00EE0C1D" w:rsidRDefault="00193E7B"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1A091C" w:rsidRPr="00A87967">
        <w:rPr>
          <w:szCs w:val="22"/>
        </w:rPr>
        <w:t>Authority</w:t>
      </w:r>
      <w:r w:rsidRPr="00EE0C1D">
        <w:rPr>
          <w:szCs w:val="22"/>
        </w:rPr>
        <w:t xml:space="preserve"> intends to publish </w:t>
      </w:r>
      <w:r w:rsidR="009F713E" w:rsidRPr="00EE0C1D">
        <w:rPr>
          <w:szCs w:val="22"/>
        </w:rPr>
        <w:t>the final report and associated documents, as well as the relevant findings in spreadsheet format.</w:t>
      </w:r>
    </w:p>
    <w:p w14:paraId="6EE7C8C4" w14:textId="7889EE7E" w:rsidR="00671798" w:rsidRPr="00297858" w:rsidRDefault="00FE18AC" w:rsidP="00297858">
      <w:pPr>
        <w:pStyle w:val="Heading1"/>
        <w:spacing w:after="120"/>
      </w:pPr>
      <w:bookmarkStart w:id="15" w:name="_Toc368573032"/>
      <w:bookmarkStart w:id="16" w:name="_Toc497746097"/>
      <w:r>
        <w:t>key milestones</w:t>
      </w:r>
      <w:bookmarkEnd w:id="15"/>
      <w:bookmarkEnd w:id="16"/>
    </w:p>
    <w:p w14:paraId="6E140ED3" w14:textId="5B9275E6" w:rsidR="005E2F04" w:rsidRPr="00EE0C1D" w:rsidRDefault="003438D3"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The Potential Provider should note the following pr</w:t>
      </w:r>
      <w:r w:rsidR="00A57B4E" w:rsidRPr="00A87967">
        <w:rPr>
          <w:szCs w:val="22"/>
        </w:rPr>
        <w:t xml:space="preserve">oject milestones that the </w:t>
      </w:r>
      <w:r w:rsidR="001A091C" w:rsidRPr="00EE0C1D">
        <w:rPr>
          <w:szCs w:val="22"/>
        </w:rPr>
        <w:t>Authority</w:t>
      </w:r>
      <w:r w:rsidRPr="00EE0C1D">
        <w:rPr>
          <w:szCs w:val="22"/>
        </w:rPr>
        <w:t xml:space="preserve"> will measure the quality of delivery against:</w:t>
      </w:r>
    </w:p>
    <w:tbl>
      <w:tblPr>
        <w:tblStyle w:val="TableGrid"/>
        <w:tblW w:w="4948" w:type="pct"/>
        <w:tblLook w:val="04A0" w:firstRow="1" w:lastRow="0" w:firstColumn="1" w:lastColumn="0" w:noHBand="0" w:noVBand="1"/>
      </w:tblPr>
      <w:tblGrid>
        <w:gridCol w:w="1233"/>
        <w:gridCol w:w="4433"/>
        <w:gridCol w:w="3259"/>
      </w:tblGrid>
      <w:tr w:rsidR="006818AD" w:rsidRPr="00297CF4" w14:paraId="6BF78E35" w14:textId="36A9E0FC" w:rsidTr="006818AD">
        <w:tc>
          <w:tcPr>
            <w:tcW w:w="690" w:type="pct"/>
            <w:shd w:val="clear" w:color="auto" w:fill="C6D9F1" w:themeFill="text2" w:themeFillTint="33"/>
            <w:vAlign w:val="center"/>
          </w:tcPr>
          <w:p w14:paraId="2F0B096C" w14:textId="77777777" w:rsidR="006818AD" w:rsidRPr="00195B9A" w:rsidRDefault="006818AD">
            <w:pPr>
              <w:pStyle w:val="Heading3"/>
              <w:numPr>
                <w:ilvl w:val="0"/>
                <w:numId w:val="0"/>
              </w:numPr>
              <w:spacing w:after="120"/>
              <w:jc w:val="center"/>
              <w:outlineLvl w:val="2"/>
              <w:rPr>
                <w:b/>
                <w:szCs w:val="24"/>
              </w:rPr>
            </w:pPr>
            <w:r w:rsidRPr="00195B9A">
              <w:rPr>
                <w:b/>
              </w:rPr>
              <w:t>Milestone</w:t>
            </w:r>
          </w:p>
        </w:tc>
        <w:tc>
          <w:tcPr>
            <w:tcW w:w="2483" w:type="pct"/>
            <w:shd w:val="clear" w:color="auto" w:fill="C6D9F1" w:themeFill="text2" w:themeFillTint="33"/>
            <w:vAlign w:val="center"/>
          </w:tcPr>
          <w:p w14:paraId="55754382" w14:textId="77777777" w:rsidR="006818AD" w:rsidRPr="00195B9A" w:rsidRDefault="006818AD">
            <w:pPr>
              <w:pStyle w:val="Heading3"/>
              <w:numPr>
                <w:ilvl w:val="0"/>
                <w:numId w:val="0"/>
              </w:numPr>
              <w:spacing w:after="120"/>
              <w:jc w:val="center"/>
              <w:outlineLvl w:val="2"/>
              <w:rPr>
                <w:b/>
                <w:szCs w:val="24"/>
              </w:rPr>
            </w:pPr>
            <w:r w:rsidRPr="00195B9A">
              <w:rPr>
                <w:b/>
              </w:rPr>
              <w:t>Description</w:t>
            </w:r>
          </w:p>
        </w:tc>
        <w:tc>
          <w:tcPr>
            <w:tcW w:w="1826" w:type="pct"/>
            <w:shd w:val="clear" w:color="auto" w:fill="C6D9F1" w:themeFill="text2" w:themeFillTint="33"/>
            <w:vAlign w:val="center"/>
          </w:tcPr>
          <w:p w14:paraId="0EABB2D0" w14:textId="77777777" w:rsidR="006818AD" w:rsidRPr="00195B9A" w:rsidRDefault="006818AD">
            <w:pPr>
              <w:pStyle w:val="Heading3"/>
              <w:numPr>
                <w:ilvl w:val="0"/>
                <w:numId w:val="0"/>
              </w:numPr>
              <w:spacing w:after="120"/>
              <w:jc w:val="center"/>
              <w:outlineLvl w:val="2"/>
              <w:rPr>
                <w:b/>
                <w:szCs w:val="24"/>
              </w:rPr>
            </w:pPr>
            <w:r w:rsidRPr="00195B9A">
              <w:rPr>
                <w:b/>
              </w:rPr>
              <w:t>Timeframe</w:t>
            </w:r>
          </w:p>
        </w:tc>
      </w:tr>
      <w:tr w:rsidR="006818AD" w:rsidRPr="00297CF4" w14:paraId="2B6EAC37" w14:textId="724BF623" w:rsidTr="006818AD">
        <w:tc>
          <w:tcPr>
            <w:tcW w:w="690" w:type="pct"/>
            <w:vAlign w:val="center"/>
          </w:tcPr>
          <w:p w14:paraId="13176D62" w14:textId="483115A1" w:rsidR="006818AD" w:rsidRPr="00195B9A" w:rsidRDefault="006818AD" w:rsidP="005E2F04">
            <w:pPr>
              <w:pStyle w:val="Heading3"/>
              <w:numPr>
                <w:ilvl w:val="0"/>
                <w:numId w:val="0"/>
              </w:numPr>
              <w:spacing w:after="120"/>
              <w:jc w:val="center"/>
              <w:outlineLvl w:val="2"/>
              <w:rPr>
                <w:szCs w:val="24"/>
              </w:rPr>
            </w:pPr>
            <w:r w:rsidRPr="00733BA6">
              <w:t>1</w:t>
            </w:r>
          </w:p>
        </w:tc>
        <w:tc>
          <w:tcPr>
            <w:tcW w:w="2483" w:type="pct"/>
            <w:vAlign w:val="center"/>
          </w:tcPr>
          <w:p w14:paraId="04CC1243" w14:textId="3D4A31D9" w:rsidR="006818AD" w:rsidRPr="00195B9A" w:rsidRDefault="006818AD" w:rsidP="005E2F04">
            <w:pPr>
              <w:pStyle w:val="Heading3"/>
              <w:numPr>
                <w:ilvl w:val="0"/>
                <w:numId w:val="0"/>
              </w:numPr>
              <w:spacing w:after="120"/>
              <w:jc w:val="left"/>
              <w:outlineLvl w:val="2"/>
              <w:rPr>
                <w:szCs w:val="24"/>
              </w:rPr>
            </w:pPr>
            <w:r w:rsidRPr="00733BA6">
              <w:t xml:space="preserve">Project inception meeting with </w:t>
            </w:r>
            <w:r>
              <w:t xml:space="preserve">the Authority </w:t>
            </w:r>
            <w:r w:rsidRPr="00195B9A">
              <w:t xml:space="preserve">to agree </w:t>
            </w:r>
            <w:r>
              <w:t>deliverables and timelines</w:t>
            </w:r>
          </w:p>
        </w:tc>
        <w:tc>
          <w:tcPr>
            <w:tcW w:w="1826" w:type="pct"/>
            <w:vAlign w:val="center"/>
          </w:tcPr>
          <w:p w14:paraId="23E536A9" w14:textId="3A477261" w:rsidR="006818AD" w:rsidRPr="00E81B12" w:rsidRDefault="006818AD" w:rsidP="005E2F04">
            <w:pPr>
              <w:pStyle w:val="Heading3"/>
              <w:numPr>
                <w:ilvl w:val="0"/>
                <w:numId w:val="0"/>
              </w:numPr>
              <w:spacing w:after="120"/>
              <w:jc w:val="center"/>
              <w:outlineLvl w:val="2"/>
            </w:pPr>
            <w:r w:rsidRPr="00E81B12">
              <w:t xml:space="preserve">Within week 1 of Contract Award </w:t>
            </w:r>
          </w:p>
        </w:tc>
      </w:tr>
      <w:tr w:rsidR="006818AD" w:rsidRPr="00297CF4" w14:paraId="3411A599" w14:textId="0315ABCF" w:rsidTr="006818AD">
        <w:tc>
          <w:tcPr>
            <w:tcW w:w="690" w:type="pct"/>
            <w:vAlign w:val="center"/>
          </w:tcPr>
          <w:p w14:paraId="7309A6A2" w14:textId="1313DBF4" w:rsidR="006818AD" w:rsidRPr="00733BA6" w:rsidRDefault="006818AD" w:rsidP="005C6809">
            <w:pPr>
              <w:pStyle w:val="Heading3"/>
              <w:numPr>
                <w:ilvl w:val="0"/>
                <w:numId w:val="0"/>
              </w:numPr>
              <w:spacing w:after="120"/>
              <w:jc w:val="center"/>
              <w:outlineLvl w:val="2"/>
            </w:pPr>
            <w:r>
              <w:t>2</w:t>
            </w:r>
          </w:p>
        </w:tc>
        <w:tc>
          <w:tcPr>
            <w:tcW w:w="2483" w:type="pct"/>
            <w:vAlign w:val="center"/>
          </w:tcPr>
          <w:p w14:paraId="544A77AE" w14:textId="203EFA23" w:rsidR="006818AD" w:rsidRPr="00733BA6" w:rsidRDefault="006818AD" w:rsidP="005C6809">
            <w:pPr>
              <w:pStyle w:val="Heading3"/>
              <w:numPr>
                <w:ilvl w:val="0"/>
                <w:numId w:val="0"/>
              </w:numPr>
              <w:spacing w:after="120"/>
              <w:jc w:val="left"/>
              <w:outlineLvl w:val="2"/>
            </w:pPr>
            <w:r>
              <w:t>Inception report submitted to the Authority outlining the methodology, set milestones, deliverables, risks and mitigation.</w:t>
            </w:r>
          </w:p>
        </w:tc>
        <w:tc>
          <w:tcPr>
            <w:tcW w:w="1826" w:type="pct"/>
            <w:vAlign w:val="center"/>
          </w:tcPr>
          <w:p w14:paraId="47DE3E87" w14:textId="20A8CF99" w:rsidR="006818AD" w:rsidRPr="00E81B12" w:rsidRDefault="006818AD" w:rsidP="005C6809">
            <w:pPr>
              <w:pStyle w:val="Heading3"/>
              <w:numPr>
                <w:ilvl w:val="0"/>
                <w:numId w:val="0"/>
              </w:numPr>
              <w:spacing w:after="120"/>
              <w:jc w:val="center"/>
              <w:outlineLvl w:val="2"/>
            </w:pPr>
            <w:r w:rsidRPr="00E81B12">
              <w:t xml:space="preserve">Within week </w:t>
            </w:r>
            <w:r>
              <w:t>2</w:t>
            </w:r>
            <w:r w:rsidRPr="00E81B12">
              <w:t xml:space="preserve"> of Contract Award</w:t>
            </w:r>
          </w:p>
        </w:tc>
      </w:tr>
      <w:tr w:rsidR="006818AD" w:rsidRPr="00297CF4" w14:paraId="08913009" w14:textId="7A1BDCAE" w:rsidTr="006818AD">
        <w:tc>
          <w:tcPr>
            <w:tcW w:w="690" w:type="pct"/>
            <w:vAlign w:val="center"/>
          </w:tcPr>
          <w:p w14:paraId="3911CE42" w14:textId="3569B57E" w:rsidR="006818AD" w:rsidRDefault="006818AD" w:rsidP="005C6809">
            <w:pPr>
              <w:pStyle w:val="Heading3"/>
              <w:numPr>
                <w:ilvl w:val="0"/>
                <w:numId w:val="0"/>
              </w:numPr>
              <w:spacing w:after="120"/>
              <w:jc w:val="center"/>
              <w:outlineLvl w:val="2"/>
            </w:pPr>
            <w:r>
              <w:t>3</w:t>
            </w:r>
          </w:p>
        </w:tc>
        <w:tc>
          <w:tcPr>
            <w:tcW w:w="2483" w:type="pct"/>
            <w:vAlign w:val="center"/>
          </w:tcPr>
          <w:p w14:paraId="7B229323" w14:textId="0AD67FC2" w:rsidR="006818AD" w:rsidRDefault="006818AD" w:rsidP="005C6809">
            <w:pPr>
              <w:pStyle w:val="Heading3"/>
              <w:numPr>
                <w:ilvl w:val="0"/>
                <w:numId w:val="0"/>
              </w:numPr>
              <w:spacing w:after="120"/>
              <w:jc w:val="left"/>
              <w:outlineLvl w:val="2"/>
            </w:pPr>
            <w:r>
              <w:t>Follow-up to the inception report meeting to agree detailed assumptions and approach. A book of assumptions agreed at this meeting should be submitted to the Authority for sign off.</w:t>
            </w:r>
          </w:p>
        </w:tc>
        <w:tc>
          <w:tcPr>
            <w:tcW w:w="1826" w:type="pct"/>
            <w:vAlign w:val="center"/>
          </w:tcPr>
          <w:p w14:paraId="7873ABC2" w14:textId="002C0B71" w:rsidR="006818AD" w:rsidRPr="00E81B12" w:rsidRDefault="006818AD" w:rsidP="005C6809">
            <w:pPr>
              <w:pStyle w:val="Heading3"/>
              <w:numPr>
                <w:ilvl w:val="0"/>
                <w:numId w:val="0"/>
              </w:numPr>
              <w:spacing w:after="120"/>
              <w:jc w:val="center"/>
              <w:outlineLvl w:val="2"/>
            </w:pPr>
            <w:r w:rsidRPr="00E81B12">
              <w:t xml:space="preserve">Within week </w:t>
            </w:r>
            <w:r>
              <w:t>3</w:t>
            </w:r>
            <w:r w:rsidRPr="00E81B12">
              <w:t xml:space="preserve"> of the Contract.</w:t>
            </w:r>
          </w:p>
        </w:tc>
      </w:tr>
      <w:tr w:rsidR="006818AD" w:rsidRPr="00297CF4" w14:paraId="3FD394DC" w14:textId="584FEF91" w:rsidTr="006818AD">
        <w:tc>
          <w:tcPr>
            <w:tcW w:w="690" w:type="pct"/>
            <w:vAlign w:val="center"/>
          </w:tcPr>
          <w:p w14:paraId="3995F849" w14:textId="56F1E0F8" w:rsidR="006818AD" w:rsidRPr="00195B9A" w:rsidRDefault="006818AD" w:rsidP="005C6809">
            <w:pPr>
              <w:pStyle w:val="Heading3"/>
              <w:numPr>
                <w:ilvl w:val="0"/>
                <w:numId w:val="0"/>
              </w:numPr>
              <w:spacing w:after="120"/>
              <w:jc w:val="center"/>
              <w:outlineLvl w:val="2"/>
              <w:rPr>
                <w:szCs w:val="24"/>
              </w:rPr>
            </w:pPr>
            <w:r>
              <w:t>4</w:t>
            </w:r>
          </w:p>
        </w:tc>
        <w:tc>
          <w:tcPr>
            <w:tcW w:w="2483" w:type="pct"/>
            <w:vAlign w:val="center"/>
          </w:tcPr>
          <w:p w14:paraId="4962E129" w14:textId="3B5722AA" w:rsidR="006818AD" w:rsidRPr="00195B9A" w:rsidRDefault="006818AD" w:rsidP="005C6809">
            <w:pPr>
              <w:pStyle w:val="Heading3"/>
              <w:numPr>
                <w:ilvl w:val="0"/>
                <w:numId w:val="0"/>
              </w:numPr>
              <w:spacing w:after="120"/>
              <w:jc w:val="left"/>
              <w:outlineLvl w:val="2"/>
              <w:rPr>
                <w:szCs w:val="24"/>
              </w:rPr>
            </w:pPr>
            <w:r>
              <w:t>Update meetings/phone calls/email correspondence to discuss assumptions, findings and progress</w:t>
            </w:r>
          </w:p>
        </w:tc>
        <w:tc>
          <w:tcPr>
            <w:tcW w:w="1826" w:type="pct"/>
            <w:vAlign w:val="center"/>
          </w:tcPr>
          <w:p w14:paraId="7164B729" w14:textId="461CCF03" w:rsidR="006818AD" w:rsidRPr="00E81B12" w:rsidRDefault="006818AD" w:rsidP="005C6809">
            <w:pPr>
              <w:pStyle w:val="Heading3"/>
              <w:numPr>
                <w:ilvl w:val="0"/>
                <w:numId w:val="0"/>
              </w:numPr>
              <w:spacing w:after="120"/>
              <w:jc w:val="center"/>
              <w:outlineLvl w:val="2"/>
            </w:pPr>
            <w:r w:rsidRPr="00E81B12">
              <w:t xml:space="preserve">Weekly </w:t>
            </w:r>
          </w:p>
        </w:tc>
      </w:tr>
      <w:tr w:rsidR="006818AD" w:rsidRPr="00297CF4" w14:paraId="519D61A1" w14:textId="45F78C71" w:rsidTr="006818AD">
        <w:tc>
          <w:tcPr>
            <w:tcW w:w="690" w:type="pct"/>
            <w:vAlign w:val="center"/>
          </w:tcPr>
          <w:p w14:paraId="52399A4A" w14:textId="56039953" w:rsidR="006818AD" w:rsidRPr="00195B9A" w:rsidRDefault="006818AD" w:rsidP="005C6809">
            <w:pPr>
              <w:pStyle w:val="Heading3"/>
              <w:numPr>
                <w:ilvl w:val="0"/>
                <w:numId w:val="0"/>
              </w:numPr>
              <w:spacing w:after="120"/>
              <w:jc w:val="center"/>
              <w:outlineLvl w:val="2"/>
            </w:pPr>
            <w:r>
              <w:t>5</w:t>
            </w:r>
          </w:p>
        </w:tc>
        <w:tc>
          <w:tcPr>
            <w:tcW w:w="2483" w:type="pct"/>
            <w:vAlign w:val="center"/>
          </w:tcPr>
          <w:p w14:paraId="06E0E520" w14:textId="175F3114" w:rsidR="006818AD" w:rsidRPr="00195B9A" w:rsidRDefault="006818AD" w:rsidP="005C6809">
            <w:pPr>
              <w:pStyle w:val="Heading3"/>
              <w:numPr>
                <w:ilvl w:val="0"/>
                <w:numId w:val="0"/>
              </w:numPr>
              <w:spacing w:after="120"/>
              <w:jc w:val="left"/>
              <w:outlineLvl w:val="2"/>
            </w:pPr>
            <w:r>
              <w:t>First draft of interim findings to be shared with the Authority</w:t>
            </w:r>
          </w:p>
        </w:tc>
        <w:tc>
          <w:tcPr>
            <w:tcW w:w="1826" w:type="pct"/>
            <w:vAlign w:val="center"/>
          </w:tcPr>
          <w:p w14:paraId="7CC2A0BD" w14:textId="052A0D54" w:rsidR="006818AD" w:rsidRPr="00B16FE6" w:rsidRDefault="006818AD" w:rsidP="005C6809">
            <w:pPr>
              <w:pStyle w:val="Heading3"/>
              <w:numPr>
                <w:ilvl w:val="0"/>
                <w:numId w:val="0"/>
              </w:numPr>
              <w:spacing w:after="120"/>
              <w:jc w:val="center"/>
              <w:outlineLvl w:val="2"/>
            </w:pPr>
            <w:r>
              <w:t>22</w:t>
            </w:r>
            <w:r w:rsidRPr="00C75F13">
              <w:rPr>
                <w:vertAlign w:val="superscript"/>
              </w:rPr>
              <w:t>nd</w:t>
            </w:r>
            <w:r>
              <w:t xml:space="preserve"> December</w:t>
            </w:r>
            <w:r w:rsidRPr="00B16FE6">
              <w:t xml:space="preserve"> 2017</w:t>
            </w:r>
          </w:p>
        </w:tc>
      </w:tr>
      <w:tr w:rsidR="006818AD" w:rsidRPr="00297CF4" w14:paraId="6B40658C" w14:textId="05D6F719" w:rsidTr="006818AD">
        <w:tc>
          <w:tcPr>
            <w:tcW w:w="690" w:type="pct"/>
            <w:vAlign w:val="center"/>
          </w:tcPr>
          <w:p w14:paraId="7A761FCA" w14:textId="79D22F81" w:rsidR="006818AD" w:rsidRDefault="006818AD" w:rsidP="005C6809">
            <w:pPr>
              <w:pStyle w:val="Heading3"/>
              <w:numPr>
                <w:ilvl w:val="0"/>
                <w:numId w:val="0"/>
              </w:numPr>
              <w:spacing w:after="120"/>
              <w:jc w:val="center"/>
              <w:outlineLvl w:val="2"/>
            </w:pPr>
            <w:r>
              <w:t>6</w:t>
            </w:r>
          </w:p>
        </w:tc>
        <w:tc>
          <w:tcPr>
            <w:tcW w:w="2483" w:type="pct"/>
            <w:vAlign w:val="center"/>
          </w:tcPr>
          <w:p w14:paraId="20AE733C" w14:textId="4A7727A6" w:rsidR="006818AD" w:rsidRDefault="006818AD" w:rsidP="005C6809">
            <w:pPr>
              <w:pStyle w:val="Heading3"/>
              <w:numPr>
                <w:ilvl w:val="0"/>
                <w:numId w:val="0"/>
              </w:numPr>
              <w:spacing w:after="120"/>
              <w:jc w:val="left"/>
              <w:outlineLvl w:val="2"/>
            </w:pPr>
            <w:r>
              <w:t>Attend roundtable with the Authority and stakeholders to discuss interim findings</w:t>
            </w:r>
          </w:p>
        </w:tc>
        <w:tc>
          <w:tcPr>
            <w:tcW w:w="1826" w:type="pct"/>
            <w:vAlign w:val="center"/>
          </w:tcPr>
          <w:p w14:paraId="5F87792C" w14:textId="34B4DAB7" w:rsidR="006818AD" w:rsidRPr="00F548D3" w:rsidRDefault="006818AD" w:rsidP="005C6809">
            <w:pPr>
              <w:pStyle w:val="Heading3"/>
              <w:numPr>
                <w:ilvl w:val="0"/>
                <w:numId w:val="0"/>
              </w:numPr>
              <w:spacing w:after="120"/>
              <w:jc w:val="center"/>
              <w:outlineLvl w:val="2"/>
            </w:pPr>
            <w:r>
              <w:t>Within week commencing 15</w:t>
            </w:r>
            <w:r w:rsidRPr="00AB60EE">
              <w:rPr>
                <w:vertAlign w:val="superscript"/>
              </w:rPr>
              <w:t>th</w:t>
            </w:r>
            <w:r>
              <w:t xml:space="preserve"> January 2018</w:t>
            </w:r>
          </w:p>
        </w:tc>
      </w:tr>
      <w:tr w:rsidR="006818AD" w14:paraId="6A3230F6" w14:textId="76D999B6" w:rsidTr="006818AD">
        <w:tc>
          <w:tcPr>
            <w:tcW w:w="690" w:type="pct"/>
            <w:vAlign w:val="center"/>
          </w:tcPr>
          <w:p w14:paraId="3302843B" w14:textId="7703D0DB" w:rsidR="006818AD" w:rsidRPr="00195B9A" w:rsidRDefault="006818AD" w:rsidP="005C6809">
            <w:pPr>
              <w:pStyle w:val="Heading3"/>
              <w:numPr>
                <w:ilvl w:val="0"/>
                <w:numId w:val="0"/>
              </w:numPr>
              <w:spacing w:after="120"/>
              <w:jc w:val="center"/>
              <w:outlineLvl w:val="2"/>
              <w:rPr>
                <w:szCs w:val="24"/>
              </w:rPr>
            </w:pPr>
            <w:r>
              <w:t>7</w:t>
            </w:r>
          </w:p>
        </w:tc>
        <w:tc>
          <w:tcPr>
            <w:tcW w:w="2483" w:type="pct"/>
            <w:vAlign w:val="center"/>
          </w:tcPr>
          <w:p w14:paraId="029789C7" w14:textId="203EF936" w:rsidR="006818AD" w:rsidRPr="00195B9A" w:rsidRDefault="006818AD" w:rsidP="005C6809">
            <w:pPr>
              <w:pStyle w:val="Heading3"/>
              <w:numPr>
                <w:ilvl w:val="0"/>
                <w:numId w:val="0"/>
              </w:numPr>
              <w:spacing w:after="120"/>
              <w:jc w:val="left"/>
              <w:outlineLvl w:val="2"/>
              <w:rPr>
                <w:szCs w:val="24"/>
              </w:rPr>
            </w:pPr>
            <w:r>
              <w:t xml:space="preserve">Second draft of interim findings to be shared with the Authority, </w:t>
            </w:r>
            <w:r w:rsidRPr="00413E64">
              <w:t>following comments and feedback by the Authority.</w:t>
            </w:r>
          </w:p>
        </w:tc>
        <w:tc>
          <w:tcPr>
            <w:tcW w:w="1826" w:type="pct"/>
            <w:vAlign w:val="center"/>
          </w:tcPr>
          <w:p w14:paraId="0A8D4F91" w14:textId="396FA17F" w:rsidR="006818AD" w:rsidRPr="00F548D3" w:rsidRDefault="006818AD" w:rsidP="00AB60EE">
            <w:pPr>
              <w:pStyle w:val="Heading3"/>
              <w:numPr>
                <w:ilvl w:val="0"/>
                <w:numId w:val="0"/>
              </w:numPr>
              <w:spacing w:after="120"/>
              <w:jc w:val="center"/>
              <w:outlineLvl w:val="2"/>
            </w:pPr>
            <w:r>
              <w:t>30</w:t>
            </w:r>
            <w:r w:rsidRPr="00C75F13">
              <w:rPr>
                <w:vertAlign w:val="superscript"/>
              </w:rPr>
              <w:t>th</w:t>
            </w:r>
            <w:r>
              <w:rPr>
                <w:vertAlign w:val="superscript"/>
              </w:rPr>
              <w:t xml:space="preserve"> </w:t>
            </w:r>
            <w:r w:rsidRPr="00B16FE6">
              <w:t>January 2018</w:t>
            </w:r>
          </w:p>
        </w:tc>
      </w:tr>
      <w:tr w:rsidR="006818AD" w14:paraId="19DC2806" w14:textId="0CFBB7DC" w:rsidTr="006818AD">
        <w:tc>
          <w:tcPr>
            <w:tcW w:w="690" w:type="pct"/>
            <w:vAlign w:val="center"/>
          </w:tcPr>
          <w:p w14:paraId="713E7D18" w14:textId="3BF2E113" w:rsidR="006818AD" w:rsidRDefault="006818AD" w:rsidP="005C6809">
            <w:pPr>
              <w:pStyle w:val="Heading3"/>
              <w:numPr>
                <w:ilvl w:val="0"/>
                <w:numId w:val="0"/>
              </w:numPr>
              <w:spacing w:after="120"/>
              <w:jc w:val="center"/>
              <w:outlineLvl w:val="2"/>
            </w:pPr>
            <w:r>
              <w:t>8</w:t>
            </w:r>
          </w:p>
        </w:tc>
        <w:tc>
          <w:tcPr>
            <w:tcW w:w="2483" w:type="pct"/>
            <w:vAlign w:val="center"/>
          </w:tcPr>
          <w:p w14:paraId="0551FD0E" w14:textId="71924395" w:rsidR="006818AD" w:rsidRDefault="006818AD" w:rsidP="005C6809">
            <w:pPr>
              <w:pStyle w:val="Heading3"/>
              <w:numPr>
                <w:ilvl w:val="0"/>
                <w:numId w:val="0"/>
              </w:numPr>
              <w:spacing w:after="120"/>
              <w:jc w:val="left"/>
              <w:outlineLvl w:val="2"/>
            </w:pPr>
            <w:r>
              <w:t>Draft report to be submitted to the Authority</w:t>
            </w:r>
          </w:p>
        </w:tc>
        <w:tc>
          <w:tcPr>
            <w:tcW w:w="1826" w:type="pct"/>
            <w:vAlign w:val="center"/>
          </w:tcPr>
          <w:p w14:paraId="3565B4F7" w14:textId="1621019F" w:rsidR="006818AD" w:rsidRPr="00B16FE6" w:rsidRDefault="006818AD" w:rsidP="005C6809">
            <w:pPr>
              <w:pStyle w:val="Heading3"/>
              <w:numPr>
                <w:ilvl w:val="0"/>
                <w:numId w:val="0"/>
              </w:numPr>
              <w:spacing w:after="120"/>
              <w:jc w:val="center"/>
              <w:outlineLvl w:val="2"/>
            </w:pPr>
            <w:r>
              <w:t>15</w:t>
            </w:r>
            <w:r>
              <w:rPr>
                <w:vertAlign w:val="superscript"/>
              </w:rPr>
              <w:t>th</w:t>
            </w:r>
            <w:r w:rsidRPr="00B16FE6">
              <w:t xml:space="preserve"> February 2018</w:t>
            </w:r>
          </w:p>
        </w:tc>
      </w:tr>
      <w:tr w:rsidR="006818AD" w14:paraId="0DD058E3" w14:textId="510F9D08" w:rsidTr="006818AD">
        <w:tc>
          <w:tcPr>
            <w:tcW w:w="690" w:type="pct"/>
            <w:vAlign w:val="center"/>
          </w:tcPr>
          <w:p w14:paraId="0D509EB7" w14:textId="6FB170DD" w:rsidR="006818AD" w:rsidRDefault="006818AD" w:rsidP="005C6809">
            <w:pPr>
              <w:pStyle w:val="Heading3"/>
              <w:numPr>
                <w:ilvl w:val="0"/>
                <w:numId w:val="0"/>
              </w:numPr>
              <w:spacing w:after="120"/>
              <w:jc w:val="center"/>
              <w:outlineLvl w:val="2"/>
            </w:pPr>
            <w:r>
              <w:t>9</w:t>
            </w:r>
          </w:p>
        </w:tc>
        <w:tc>
          <w:tcPr>
            <w:tcW w:w="2483" w:type="pct"/>
            <w:vAlign w:val="center"/>
          </w:tcPr>
          <w:p w14:paraId="68E58E6C" w14:textId="58EE569F" w:rsidR="006818AD" w:rsidRDefault="006818AD" w:rsidP="005C6809">
            <w:pPr>
              <w:pStyle w:val="Heading3"/>
              <w:numPr>
                <w:ilvl w:val="0"/>
                <w:numId w:val="0"/>
              </w:numPr>
              <w:spacing w:after="120"/>
              <w:jc w:val="left"/>
              <w:outlineLvl w:val="2"/>
            </w:pPr>
            <w:r>
              <w:t xml:space="preserve">Final report and modelling spreadsheets to be shared with the Authority </w:t>
            </w:r>
          </w:p>
        </w:tc>
        <w:tc>
          <w:tcPr>
            <w:tcW w:w="1826" w:type="pct"/>
            <w:vAlign w:val="center"/>
          </w:tcPr>
          <w:p w14:paraId="4995AB10" w14:textId="0BA21621" w:rsidR="006818AD" w:rsidRPr="00F548D3" w:rsidRDefault="006818AD" w:rsidP="005C6809">
            <w:pPr>
              <w:pStyle w:val="Heading3"/>
              <w:numPr>
                <w:ilvl w:val="0"/>
                <w:numId w:val="0"/>
              </w:numPr>
              <w:spacing w:after="120"/>
              <w:jc w:val="center"/>
              <w:outlineLvl w:val="2"/>
            </w:pPr>
            <w:r>
              <w:t>5</w:t>
            </w:r>
            <w:r w:rsidRPr="00C75F13">
              <w:rPr>
                <w:vertAlign w:val="superscript"/>
              </w:rPr>
              <w:t>th</w:t>
            </w:r>
            <w:r w:rsidRPr="00B16FE6">
              <w:t xml:space="preserve"> March 2018</w:t>
            </w:r>
          </w:p>
        </w:tc>
      </w:tr>
    </w:tbl>
    <w:p w14:paraId="5A1042F4" w14:textId="00EBC75D" w:rsidR="00E17C61" w:rsidRDefault="00E17C61" w:rsidP="00F44D62">
      <w:pPr>
        <w:pStyle w:val="Heading1"/>
        <w:numPr>
          <w:ilvl w:val="0"/>
          <w:numId w:val="0"/>
        </w:numPr>
        <w:overflowPunct w:val="0"/>
        <w:autoSpaceDE w:val="0"/>
        <w:autoSpaceDN w:val="0"/>
        <w:spacing w:after="120"/>
        <w:textAlignment w:val="baseline"/>
        <w:rPr>
          <w:rFonts w:cs="Arial"/>
          <w:szCs w:val="22"/>
        </w:rPr>
      </w:pPr>
      <w:bookmarkStart w:id="17" w:name="_Toc302637211"/>
    </w:p>
    <w:p w14:paraId="1CE966DE" w14:textId="7DD7A24A" w:rsidR="00E17C61" w:rsidRPr="00EE0C1D" w:rsidRDefault="00E17C61"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above timetable assumes the Contract will be awarded </w:t>
      </w:r>
      <w:r w:rsidR="00B15EB6" w:rsidRPr="00A87967">
        <w:rPr>
          <w:szCs w:val="22"/>
        </w:rPr>
        <w:t xml:space="preserve">during the </w:t>
      </w:r>
      <w:r w:rsidRPr="00EE0C1D">
        <w:rPr>
          <w:szCs w:val="22"/>
        </w:rPr>
        <w:t xml:space="preserve">w/c </w:t>
      </w:r>
      <w:r w:rsidR="008F7316" w:rsidRPr="00EE0C1D">
        <w:rPr>
          <w:szCs w:val="22"/>
        </w:rPr>
        <w:t>13</w:t>
      </w:r>
      <w:r w:rsidR="005C6809" w:rsidRPr="00EE0C1D">
        <w:rPr>
          <w:szCs w:val="22"/>
        </w:rPr>
        <w:t>t</w:t>
      </w:r>
      <w:r w:rsidR="003453D5" w:rsidRPr="00EE0C1D">
        <w:rPr>
          <w:szCs w:val="22"/>
        </w:rPr>
        <w:t xml:space="preserve">h </w:t>
      </w:r>
      <w:r w:rsidR="00493AF6" w:rsidRPr="00EE0C1D">
        <w:rPr>
          <w:szCs w:val="22"/>
        </w:rPr>
        <w:t>November</w:t>
      </w:r>
      <w:r w:rsidRPr="00EE0C1D">
        <w:rPr>
          <w:szCs w:val="22"/>
        </w:rPr>
        <w:t>. As such</w:t>
      </w:r>
      <w:r w:rsidR="0069525F" w:rsidRPr="00EE0C1D">
        <w:rPr>
          <w:szCs w:val="22"/>
        </w:rPr>
        <w:t>,</w:t>
      </w:r>
      <w:r w:rsidRPr="00EE0C1D">
        <w:rPr>
          <w:szCs w:val="22"/>
        </w:rPr>
        <w:t xml:space="preserve"> Milestone 1 </w:t>
      </w:r>
      <w:r w:rsidR="00413E64" w:rsidRPr="00EE0C1D">
        <w:rPr>
          <w:szCs w:val="22"/>
        </w:rPr>
        <w:t xml:space="preserve">is </w:t>
      </w:r>
      <w:r w:rsidRPr="00EE0C1D">
        <w:rPr>
          <w:szCs w:val="22"/>
        </w:rPr>
        <w:t>subject to change and is dependent upon key gateway points being met in terms of receiving information from the customer and obtaining all required approvals</w:t>
      </w:r>
      <w:r w:rsidR="00CF7157" w:rsidRPr="00EE0C1D">
        <w:rPr>
          <w:szCs w:val="22"/>
        </w:rPr>
        <w:t>.</w:t>
      </w:r>
    </w:p>
    <w:p w14:paraId="3C36765A" w14:textId="6C51DB11" w:rsidR="00106F24" w:rsidRPr="00351B41" w:rsidRDefault="001A091C">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497746098"/>
      <w:bookmarkStart w:id="19" w:name="_Toc368573033"/>
      <w:r>
        <w:rPr>
          <w:rFonts w:cs="Arial"/>
          <w:szCs w:val="22"/>
        </w:rPr>
        <w:t>Authority</w:t>
      </w:r>
      <w:r w:rsidR="00106F24" w:rsidRPr="00351B41">
        <w:rPr>
          <w:rFonts w:cs="Arial"/>
          <w:szCs w:val="22"/>
        </w:rPr>
        <w:t>’s responsibilities</w:t>
      </w:r>
      <w:bookmarkEnd w:id="18"/>
    </w:p>
    <w:p w14:paraId="6417A944" w14:textId="7ACCEFB8" w:rsidR="00106F24" w:rsidRPr="00EE0C1D" w:rsidRDefault="00E76DDB"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 </w:t>
      </w:r>
      <w:r w:rsidR="004757BC" w:rsidRPr="00A87967">
        <w:rPr>
          <w:szCs w:val="22"/>
        </w:rPr>
        <w:t xml:space="preserve">Authority </w:t>
      </w:r>
      <w:r w:rsidRPr="00EE0C1D">
        <w:rPr>
          <w:szCs w:val="22"/>
        </w:rPr>
        <w:t xml:space="preserve">will share pertinent information </w:t>
      </w:r>
      <w:r w:rsidR="00351B41" w:rsidRPr="00EE0C1D">
        <w:rPr>
          <w:szCs w:val="22"/>
        </w:rPr>
        <w:t>received through relevant stakeholders</w:t>
      </w:r>
      <w:r w:rsidR="00680EAF" w:rsidRPr="00EE0C1D">
        <w:rPr>
          <w:szCs w:val="22"/>
        </w:rPr>
        <w:t xml:space="preserve"> and introduce the Potential Provider to relevant stakeholders, which can offer valuable advice on the requirement</w:t>
      </w:r>
      <w:r w:rsidRPr="00EE0C1D">
        <w:rPr>
          <w:szCs w:val="22"/>
        </w:rPr>
        <w:t>.</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97746099"/>
      <w:r w:rsidRPr="00BE6EE0">
        <w:rPr>
          <w:rFonts w:cs="Arial"/>
          <w:szCs w:val="22"/>
        </w:rPr>
        <w:t>reporting</w:t>
      </w:r>
      <w:bookmarkEnd w:id="19"/>
      <w:bookmarkEnd w:id="20"/>
    </w:p>
    <w:p w14:paraId="20A2C933" w14:textId="2C99033E" w:rsidR="00FB2115" w:rsidRPr="00EE0C1D" w:rsidRDefault="00E17C61"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As set out in Section </w:t>
      </w:r>
      <w:r w:rsidR="00FE384B" w:rsidRPr="00A87967">
        <w:rPr>
          <w:szCs w:val="22"/>
        </w:rPr>
        <w:t>7</w:t>
      </w:r>
      <w:r w:rsidRPr="00EE0C1D">
        <w:rPr>
          <w:szCs w:val="22"/>
        </w:rPr>
        <w:t xml:space="preserve"> (Key Mileston</w:t>
      </w:r>
      <w:r w:rsidR="003B7301" w:rsidRPr="00EE0C1D">
        <w:rPr>
          <w:szCs w:val="22"/>
        </w:rPr>
        <w:t xml:space="preserve">es).  Additionally, the Potential Provider </w:t>
      </w:r>
      <w:r w:rsidRPr="00EE0C1D">
        <w:rPr>
          <w:szCs w:val="22"/>
        </w:rPr>
        <w:t xml:space="preserve">will be expected to update the </w:t>
      </w:r>
      <w:r w:rsidR="001A091C" w:rsidRPr="00EE0C1D">
        <w:rPr>
          <w:szCs w:val="22"/>
        </w:rPr>
        <w:t>Authority</w:t>
      </w:r>
      <w:r w:rsidRPr="00EE0C1D">
        <w:rPr>
          <w:szCs w:val="22"/>
        </w:rPr>
        <w:t xml:space="preserve"> on project progress on at least a weekly basis via a meeting or phone call, including to flag any issues or early findings</w:t>
      </w:r>
      <w:r w:rsidR="00FB2115" w:rsidRPr="00EE0C1D">
        <w:rPr>
          <w:szCs w:val="22"/>
        </w:rPr>
        <w:t>.</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4"/>
      <w:bookmarkStart w:id="22" w:name="_Toc497746100"/>
      <w:r w:rsidRPr="00BE6EE0">
        <w:rPr>
          <w:rFonts w:cs="Arial"/>
          <w:szCs w:val="22"/>
        </w:rPr>
        <w:t>volumes</w:t>
      </w:r>
      <w:bookmarkEnd w:id="21"/>
      <w:bookmarkEnd w:id="22"/>
    </w:p>
    <w:p w14:paraId="3AB9FCA7" w14:textId="7F4DD918" w:rsidR="00671798" w:rsidRPr="00EE0C1D" w:rsidRDefault="00E17C61"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This is a substantial piece of work – the expectation is that the key outputs and related materials will be both extensive and of </w:t>
      </w:r>
      <w:r w:rsidR="00042243" w:rsidRPr="00A87967">
        <w:rPr>
          <w:szCs w:val="22"/>
        </w:rPr>
        <w:t xml:space="preserve">a </w:t>
      </w:r>
      <w:r w:rsidRPr="00EE0C1D">
        <w:rPr>
          <w:szCs w:val="22"/>
        </w:rPr>
        <w:t>publishable standard.</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5"/>
      <w:bookmarkStart w:id="24" w:name="_Toc497746101"/>
      <w:r w:rsidRPr="00BE6EE0">
        <w:rPr>
          <w:rFonts w:cs="Arial"/>
          <w:szCs w:val="22"/>
        </w:rPr>
        <w:t>continuous improvement</w:t>
      </w:r>
      <w:bookmarkEnd w:id="23"/>
      <w:bookmarkEnd w:id="24"/>
    </w:p>
    <w:p w14:paraId="3F61B6BF" w14:textId="084BFDE5" w:rsidR="00FB2115" w:rsidRPr="00EE0C1D" w:rsidRDefault="003B7301"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The Potential Provider</w:t>
      </w:r>
      <w:r w:rsidR="00E17C61" w:rsidRPr="00A87967">
        <w:rPr>
          <w:szCs w:val="22"/>
        </w:rPr>
        <w:t xml:space="preserve"> will be expected to give due consideration to the way in which the required Services are to be delivered throughout the Contract duration and can be continually improved.</w:t>
      </w:r>
    </w:p>
    <w:p w14:paraId="031D2B5A" w14:textId="73108655" w:rsidR="00671798" w:rsidRPr="00EE0C1D" w:rsidRDefault="00E17C6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Changes to the way in which the Services are to be delivered </w:t>
      </w:r>
      <w:r w:rsidR="004757BC" w:rsidRPr="00EE0C1D">
        <w:rPr>
          <w:szCs w:val="22"/>
        </w:rPr>
        <w:t>must be brought to the Authority’</w:t>
      </w:r>
      <w:r w:rsidRPr="00EE0C1D">
        <w:rPr>
          <w:szCs w:val="22"/>
        </w:rPr>
        <w:t>s attention and agreed prior to any changes being implemented.</w:t>
      </w:r>
    </w:p>
    <w:p w14:paraId="55155E3B" w14:textId="1DD0667F" w:rsidR="00F613EE" w:rsidRDefault="00F613EE"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Potential Provider must present new ways of working to the </w:t>
      </w:r>
      <w:r w:rsidR="001A091C" w:rsidRPr="00EE0C1D">
        <w:rPr>
          <w:szCs w:val="22"/>
        </w:rPr>
        <w:t>Authority</w:t>
      </w:r>
      <w:r w:rsidRPr="00EE0C1D">
        <w:rPr>
          <w:szCs w:val="22"/>
        </w:rPr>
        <w:t xml:space="preserve"> during the weekly update meetings/phone calls.</w:t>
      </w:r>
    </w:p>
    <w:p w14:paraId="3E689042" w14:textId="6880A526" w:rsidR="00AD42BF" w:rsidRPr="00A87967" w:rsidRDefault="00AD42BF"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 xml:space="preserve">Changes to the way in which the Services are to be delivered must be brought to the Authority’s attention and agreed prior to any changes being implemented. </w:t>
      </w:r>
    </w:p>
    <w:p w14:paraId="7CC141C7" w14:textId="3806E783" w:rsidR="004E78BC" w:rsidRDefault="004E78BC" w:rsidP="004E78BC">
      <w:pPr>
        <w:pStyle w:val="Heading1"/>
      </w:pPr>
      <w:bookmarkStart w:id="25" w:name="_Toc497746102"/>
      <w:r>
        <w:t>Sustainability</w:t>
      </w:r>
      <w:bookmarkEnd w:id="25"/>
    </w:p>
    <w:p w14:paraId="2E637186" w14:textId="616409EF" w:rsidR="004E78BC" w:rsidRPr="00A87967" w:rsidRDefault="009413D2"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There are no sustainability considerations applicable to this requirement. </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6"/>
      <w:bookmarkStart w:id="27" w:name="_Toc497746103"/>
      <w:r w:rsidRPr="00517FEF">
        <w:rPr>
          <w:rFonts w:cs="Arial"/>
          <w:szCs w:val="22"/>
        </w:rPr>
        <w:t>quality</w:t>
      </w:r>
      <w:bookmarkEnd w:id="26"/>
      <w:bookmarkEnd w:id="27"/>
    </w:p>
    <w:p w14:paraId="53AAD0BC" w14:textId="501BFD03" w:rsidR="00E76DDB" w:rsidRPr="004A36D4" w:rsidRDefault="00F613EE" w:rsidP="006818AD">
      <w:pPr>
        <w:pStyle w:val="Heading2"/>
        <w:tabs>
          <w:tab w:val="clear" w:pos="1996"/>
          <w:tab w:val="num" w:pos="709"/>
        </w:tabs>
        <w:overflowPunct w:val="0"/>
        <w:autoSpaceDE w:val="0"/>
        <w:autoSpaceDN w:val="0"/>
        <w:spacing w:after="120"/>
        <w:ind w:left="709" w:hanging="709"/>
        <w:textAlignment w:val="baseline"/>
        <w:rPr>
          <w:szCs w:val="22"/>
        </w:rPr>
      </w:pPr>
      <w:r w:rsidRPr="004A36D4">
        <w:rPr>
          <w:szCs w:val="22"/>
        </w:rPr>
        <w:t>T</w:t>
      </w:r>
      <w:r w:rsidR="004A36D4">
        <w:rPr>
          <w:szCs w:val="22"/>
        </w:rPr>
        <w:t xml:space="preserve">here are no specific quality </w:t>
      </w:r>
      <w:r w:rsidR="009A750D">
        <w:rPr>
          <w:szCs w:val="22"/>
        </w:rPr>
        <w:t xml:space="preserve">requirements however all reports and presentations should be of a high standard.  </w:t>
      </w:r>
    </w:p>
    <w:p w14:paraId="522EB186" w14:textId="1D08EFE1" w:rsidR="00671798" w:rsidRPr="005E0ABF" w:rsidRDefault="00FE18AC" w:rsidP="005E0ABF">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7"/>
      <w:bookmarkStart w:id="29" w:name="_Toc497746104"/>
      <w:r w:rsidRPr="00BE6EE0">
        <w:rPr>
          <w:rFonts w:cs="Arial"/>
          <w:szCs w:val="22"/>
        </w:rPr>
        <w:t>PRICE</w:t>
      </w:r>
      <w:bookmarkEnd w:id="28"/>
      <w:bookmarkEnd w:id="29"/>
    </w:p>
    <w:p w14:paraId="34708EA2" w14:textId="6E8B5773" w:rsidR="00A87967" w:rsidRDefault="00A87967"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P</w:t>
      </w:r>
      <w:r w:rsidR="00985AD6" w:rsidRPr="00A87967">
        <w:rPr>
          <w:szCs w:val="22"/>
        </w:rPr>
        <w:t>rices are to be submitted via the e-Sourcing Suite Appendix E excluding VAT.</w:t>
      </w:r>
      <w:r>
        <w:rPr>
          <w:szCs w:val="22"/>
        </w:rPr>
        <w:t xml:space="preserve"> The total capped price is</w:t>
      </w:r>
      <w:r w:rsidRPr="007E7243">
        <w:rPr>
          <w:szCs w:val="22"/>
        </w:rPr>
        <w:t xml:space="preserve"> to include expenses and any other additional costs.</w:t>
      </w:r>
    </w:p>
    <w:p w14:paraId="3EEBED8E" w14:textId="5D1CAC0D" w:rsidR="00985AD6" w:rsidRDefault="00985AD6" w:rsidP="00EE0C1D">
      <w:pPr>
        <w:pStyle w:val="Heading2"/>
        <w:tabs>
          <w:tab w:val="clear" w:pos="1996"/>
          <w:tab w:val="num" w:pos="709"/>
        </w:tabs>
        <w:overflowPunct w:val="0"/>
        <w:autoSpaceDE w:val="0"/>
        <w:autoSpaceDN w:val="0"/>
        <w:spacing w:after="120"/>
        <w:ind w:left="709" w:hanging="709"/>
        <w:textAlignment w:val="baseline"/>
        <w:rPr>
          <w:szCs w:val="22"/>
        </w:rPr>
      </w:pPr>
      <w:r w:rsidRPr="00A87967">
        <w:rPr>
          <w:szCs w:val="22"/>
        </w:rPr>
        <w:t xml:space="preserve">Any bids over the £100,000 (excluding VAT) budget will not be considered by the </w:t>
      </w:r>
      <w:r w:rsidR="00F523FE" w:rsidRPr="00A87967">
        <w:rPr>
          <w:szCs w:val="22"/>
        </w:rPr>
        <w:t>Authority</w:t>
      </w:r>
      <w:r w:rsidRPr="00A87967">
        <w:rPr>
          <w:szCs w:val="22"/>
        </w:rPr>
        <w:t>.</w:t>
      </w:r>
    </w:p>
    <w:p w14:paraId="57918DFB" w14:textId="6AC52427" w:rsidR="006818AD" w:rsidRDefault="006818AD"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 xml:space="preserve">It is the Authority’s intention to adopt the following payment schedule:  </w:t>
      </w:r>
    </w:p>
    <w:p w14:paraId="0A4DFFF5" w14:textId="12D6597A" w:rsidR="006818AD" w:rsidRDefault="008F6B72"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15</w:t>
      </w:r>
      <w:r w:rsidR="006818AD">
        <w:rPr>
          <w:szCs w:val="22"/>
        </w:rPr>
        <w:t>% of the total contract price for successful delivery up to and including milestone 3;</w:t>
      </w:r>
    </w:p>
    <w:p w14:paraId="6D611D10" w14:textId="02027904" w:rsidR="006818AD" w:rsidRDefault="008F6B72"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15</w:t>
      </w:r>
      <w:r w:rsidR="006818AD">
        <w:rPr>
          <w:szCs w:val="22"/>
        </w:rPr>
        <w:t>% of the total contract price for successful delivery up to and including milestone 5;</w:t>
      </w:r>
    </w:p>
    <w:p w14:paraId="5A0280EB" w14:textId="15260990" w:rsidR="006818AD" w:rsidRDefault="008F6B72"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15</w:t>
      </w:r>
      <w:r w:rsidR="006818AD">
        <w:rPr>
          <w:szCs w:val="22"/>
        </w:rPr>
        <w:t>% of the total contract price for successful delivery up to and including milestone 7;</w:t>
      </w:r>
    </w:p>
    <w:p w14:paraId="7F1CEBC6" w14:textId="74FE23CB" w:rsidR="006818AD" w:rsidRDefault="008F6B72"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15</w:t>
      </w:r>
      <w:r w:rsidR="006818AD">
        <w:rPr>
          <w:szCs w:val="22"/>
        </w:rPr>
        <w:t>% of the total contract price for successful delivery of milestone 8;</w:t>
      </w:r>
    </w:p>
    <w:p w14:paraId="469133C1" w14:textId="0F6BAB07" w:rsidR="006818AD" w:rsidRDefault="008F6B72"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40</w:t>
      </w:r>
      <w:r w:rsidR="006818AD">
        <w:rPr>
          <w:szCs w:val="22"/>
        </w:rPr>
        <w:t>%</w:t>
      </w:r>
      <w:r>
        <w:rPr>
          <w:szCs w:val="22"/>
        </w:rPr>
        <w:t xml:space="preserve"> </w:t>
      </w:r>
      <w:r w:rsidR="006818AD">
        <w:rPr>
          <w:szCs w:val="22"/>
        </w:rPr>
        <w:t>of the total contract price for successful delivery of milestone 9.</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8"/>
      <w:bookmarkStart w:id="31" w:name="_Toc497746105"/>
      <w:r w:rsidRPr="00BE6EE0">
        <w:rPr>
          <w:rFonts w:cs="Arial"/>
          <w:szCs w:val="22"/>
        </w:rPr>
        <w:t>STAFF AND CUSTOMER SERVICE</w:t>
      </w:r>
      <w:bookmarkEnd w:id="30"/>
      <w:bookmarkEnd w:id="31"/>
    </w:p>
    <w:p w14:paraId="473FF9D3" w14:textId="20CB5747" w:rsidR="00671798" w:rsidRPr="00EE0C1D" w:rsidRDefault="00FE18A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1A091C" w:rsidRPr="00EE0C1D">
        <w:rPr>
          <w:szCs w:val="22"/>
        </w:rPr>
        <w:t>Authority</w:t>
      </w:r>
      <w:r w:rsidR="00F613EE" w:rsidRPr="00EE0C1D">
        <w:rPr>
          <w:szCs w:val="22"/>
        </w:rPr>
        <w:t xml:space="preserve"> </w:t>
      </w:r>
      <w:r w:rsidRPr="00EE0C1D">
        <w:rPr>
          <w:szCs w:val="22"/>
        </w:rPr>
        <w:t xml:space="preserve">requires the Potential Provider to provide a sufficient level of resource throughout the duration of the Contract </w:t>
      </w:r>
      <w:r w:rsidR="00566CCB" w:rsidRPr="00EE0C1D">
        <w:rPr>
          <w:szCs w:val="22"/>
        </w:rPr>
        <w:t>to</w:t>
      </w:r>
      <w:r w:rsidRPr="00EE0C1D">
        <w:rPr>
          <w:szCs w:val="22"/>
        </w:rPr>
        <w:t xml:space="preserve"> consistently deliver a quality service to all Parties.</w:t>
      </w:r>
    </w:p>
    <w:p w14:paraId="7C5FF49B" w14:textId="4FE937E1" w:rsidR="00671798" w:rsidRPr="00EE0C1D" w:rsidRDefault="00FE18A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Potential Provider’s staff assigned to the Contract shall have </w:t>
      </w:r>
      <w:r w:rsidR="00E63412" w:rsidRPr="00EE0C1D">
        <w:rPr>
          <w:szCs w:val="22"/>
        </w:rPr>
        <w:t xml:space="preserve">the </w:t>
      </w:r>
      <w:r w:rsidRPr="00EE0C1D">
        <w:rPr>
          <w:szCs w:val="22"/>
        </w:rPr>
        <w:t>relevant qualifications and experience to deliver</w:t>
      </w:r>
      <w:r w:rsidR="00E63412" w:rsidRPr="00EE0C1D">
        <w:rPr>
          <w:szCs w:val="22"/>
        </w:rPr>
        <w:t xml:space="preserve"> the</w:t>
      </w:r>
      <w:r w:rsidR="00685F55" w:rsidRPr="00EE0C1D">
        <w:rPr>
          <w:szCs w:val="22"/>
        </w:rPr>
        <w:t xml:space="preserve"> Contract.</w:t>
      </w:r>
      <w:r w:rsidR="007E647F" w:rsidRPr="00EE0C1D">
        <w:rPr>
          <w:szCs w:val="22"/>
        </w:rPr>
        <w:t xml:space="preserve"> The Authority</w:t>
      </w:r>
      <w:r w:rsidR="005A2CAE" w:rsidRPr="00EE0C1D">
        <w:rPr>
          <w:szCs w:val="22"/>
        </w:rPr>
        <w:t xml:space="preserve"> does not prescribe any single set of minimum requirements in terms of skills or qualifications, but the Potential Provider must demonstrate as part of its bid that its delivery team contains staff with sufficient expertise and skills.</w:t>
      </w:r>
    </w:p>
    <w:p w14:paraId="0837E02A" w14:textId="660F568B" w:rsidR="00671798" w:rsidRPr="00EE0C1D" w:rsidRDefault="00FE18A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Potential Provider shall ensure that staff understand the </w:t>
      </w:r>
      <w:r w:rsidR="007E647F" w:rsidRPr="00EE0C1D">
        <w:rPr>
          <w:szCs w:val="22"/>
        </w:rPr>
        <w:t>Authority’s</w:t>
      </w:r>
      <w:r w:rsidRPr="00EE0C1D">
        <w:rPr>
          <w:szCs w:val="22"/>
        </w:rPr>
        <w:t xml:space="preserve"> vision and objectives and </w:t>
      </w:r>
      <w:r w:rsidR="00E63412" w:rsidRPr="00EE0C1D">
        <w:rPr>
          <w:szCs w:val="22"/>
        </w:rPr>
        <w:t xml:space="preserve">will </w:t>
      </w:r>
      <w:r w:rsidRPr="00EE0C1D">
        <w:rPr>
          <w:szCs w:val="22"/>
        </w:rPr>
        <w:t xml:space="preserve">provide excellent customer service to the </w:t>
      </w:r>
      <w:r w:rsidR="007E647F" w:rsidRPr="00EE0C1D">
        <w:rPr>
          <w:szCs w:val="22"/>
        </w:rPr>
        <w:t>Authority</w:t>
      </w:r>
      <w:r w:rsidRPr="00EE0C1D">
        <w:rPr>
          <w:szCs w:val="22"/>
        </w:rPr>
        <w:t xml:space="preserve"> throughout the duration of the Contract.</w:t>
      </w:r>
    </w:p>
    <w:p w14:paraId="629F567D" w14:textId="77777777" w:rsidR="00FE18AC" w:rsidRPr="00E81B12"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9"/>
      <w:bookmarkStart w:id="33" w:name="_Toc497746106"/>
      <w:r w:rsidRPr="00E81B12">
        <w:rPr>
          <w:rFonts w:cs="Arial"/>
          <w:szCs w:val="22"/>
        </w:rPr>
        <w:t>service levels and performance</w:t>
      </w:r>
      <w:bookmarkStart w:id="34" w:name="_GoBack"/>
      <w:bookmarkEnd w:id="32"/>
      <w:bookmarkEnd w:id="33"/>
      <w:bookmarkEnd w:id="34"/>
    </w:p>
    <w:p w14:paraId="1EBDF6C1" w14:textId="2ADE2257" w:rsidR="003B56DA" w:rsidRPr="00EE0C1D" w:rsidRDefault="003B56DA"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Where there are any milestones in brackets, these are relating back to Section 7 of this document. </w:t>
      </w:r>
    </w:p>
    <w:p w14:paraId="755403DB" w14:textId="3AF8FCBD" w:rsidR="007E647F" w:rsidRPr="00EE0C1D" w:rsidRDefault="00FE18A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w:t>
      </w:r>
      <w:r w:rsidR="001A091C" w:rsidRPr="00EE0C1D">
        <w:rPr>
          <w:szCs w:val="22"/>
        </w:rPr>
        <w:t>Authority</w:t>
      </w:r>
      <w:r w:rsidRPr="00EE0C1D">
        <w:rPr>
          <w:szCs w:val="22"/>
        </w:rPr>
        <w:t xml:space="preserve"> will mea</w:t>
      </w:r>
      <w:r w:rsidR="003B7301" w:rsidRPr="00EE0C1D">
        <w:rPr>
          <w:szCs w:val="22"/>
        </w:rPr>
        <w:t>sure the quality of the Potential Provider</w:t>
      </w:r>
      <w:r w:rsidRPr="00EE0C1D">
        <w:rPr>
          <w:szCs w:val="22"/>
        </w:rPr>
        <w:t>’s delivery by:</w:t>
      </w:r>
    </w:p>
    <w:tbl>
      <w:tblPr>
        <w:tblStyle w:val="TableGrid"/>
        <w:tblW w:w="0" w:type="auto"/>
        <w:tblInd w:w="279" w:type="dxa"/>
        <w:tblLook w:val="04A0" w:firstRow="1" w:lastRow="0" w:firstColumn="1" w:lastColumn="0" w:noHBand="0" w:noVBand="1"/>
      </w:tblPr>
      <w:tblGrid>
        <w:gridCol w:w="1176"/>
        <w:gridCol w:w="1384"/>
        <w:gridCol w:w="2145"/>
        <w:gridCol w:w="1175"/>
        <w:gridCol w:w="1603"/>
        <w:gridCol w:w="1257"/>
      </w:tblGrid>
      <w:tr w:rsidR="006818AD" w14:paraId="1D82B23D" w14:textId="1C22656A" w:rsidTr="006818AD">
        <w:tc>
          <w:tcPr>
            <w:tcW w:w="1381" w:type="dxa"/>
            <w:shd w:val="clear" w:color="auto" w:fill="DBE5F1" w:themeFill="accent1" w:themeFillTint="33"/>
          </w:tcPr>
          <w:p w14:paraId="21FF8B76" w14:textId="77777777" w:rsidR="006818AD" w:rsidRDefault="006818AD" w:rsidP="00B13763">
            <w:pPr>
              <w:pStyle w:val="Heading2"/>
              <w:numPr>
                <w:ilvl w:val="0"/>
                <w:numId w:val="0"/>
              </w:numPr>
              <w:jc w:val="center"/>
              <w:outlineLvl w:val="1"/>
            </w:pPr>
          </w:p>
          <w:p w14:paraId="4E16E6B9" w14:textId="51E6E582" w:rsidR="006818AD" w:rsidRDefault="006818AD" w:rsidP="00B13763">
            <w:pPr>
              <w:pStyle w:val="Heading2"/>
              <w:numPr>
                <w:ilvl w:val="0"/>
                <w:numId w:val="0"/>
              </w:numPr>
              <w:jc w:val="center"/>
              <w:outlineLvl w:val="1"/>
            </w:pPr>
            <w:r>
              <w:t>KPI/SLA</w:t>
            </w:r>
          </w:p>
        </w:tc>
        <w:tc>
          <w:tcPr>
            <w:tcW w:w="1452" w:type="dxa"/>
            <w:shd w:val="clear" w:color="auto" w:fill="DBE5F1" w:themeFill="accent1" w:themeFillTint="33"/>
          </w:tcPr>
          <w:p w14:paraId="5F9E1BA6" w14:textId="07EC3F76" w:rsidR="006818AD" w:rsidRDefault="006818AD" w:rsidP="00B13763">
            <w:pPr>
              <w:pStyle w:val="Heading2"/>
              <w:numPr>
                <w:ilvl w:val="0"/>
                <w:numId w:val="0"/>
              </w:numPr>
              <w:jc w:val="center"/>
              <w:outlineLvl w:val="1"/>
            </w:pPr>
            <w:r>
              <w:t>Service Area</w:t>
            </w:r>
          </w:p>
        </w:tc>
        <w:tc>
          <w:tcPr>
            <w:tcW w:w="2650" w:type="dxa"/>
            <w:shd w:val="clear" w:color="auto" w:fill="DBE5F1" w:themeFill="accent1" w:themeFillTint="33"/>
          </w:tcPr>
          <w:p w14:paraId="4F97A458" w14:textId="14CFE965" w:rsidR="006818AD" w:rsidRDefault="006818AD" w:rsidP="00B13763">
            <w:pPr>
              <w:pStyle w:val="Heading2"/>
              <w:numPr>
                <w:ilvl w:val="0"/>
                <w:numId w:val="0"/>
              </w:numPr>
              <w:jc w:val="center"/>
              <w:outlineLvl w:val="1"/>
            </w:pPr>
            <w:r>
              <w:t>KPI/SLA description</w:t>
            </w:r>
          </w:p>
        </w:tc>
        <w:tc>
          <w:tcPr>
            <w:tcW w:w="1249" w:type="dxa"/>
            <w:shd w:val="clear" w:color="auto" w:fill="DBE5F1" w:themeFill="accent1" w:themeFillTint="33"/>
          </w:tcPr>
          <w:p w14:paraId="0788932C" w14:textId="07398BA8" w:rsidR="006818AD" w:rsidRDefault="006818AD" w:rsidP="00B13763">
            <w:pPr>
              <w:pStyle w:val="Heading2"/>
              <w:numPr>
                <w:ilvl w:val="0"/>
                <w:numId w:val="0"/>
              </w:numPr>
              <w:jc w:val="center"/>
              <w:outlineLvl w:val="1"/>
            </w:pPr>
            <w:r>
              <w:t>Target</w:t>
            </w:r>
          </w:p>
        </w:tc>
        <w:tc>
          <w:tcPr>
            <w:tcW w:w="1254" w:type="dxa"/>
            <w:shd w:val="clear" w:color="auto" w:fill="DBE5F1" w:themeFill="accent1" w:themeFillTint="33"/>
          </w:tcPr>
          <w:p w14:paraId="2A3ABBAC" w14:textId="573BA893" w:rsidR="006818AD" w:rsidRDefault="00EF560A" w:rsidP="00B13763">
            <w:pPr>
              <w:pStyle w:val="Heading2"/>
              <w:numPr>
                <w:ilvl w:val="0"/>
                <w:numId w:val="0"/>
              </w:numPr>
              <w:jc w:val="center"/>
              <w:outlineLvl w:val="1"/>
            </w:pPr>
            <w:r>
              <w:t xml:space="preserve">Critical Service Failure </w:t>
            </w:r>
            <w:r w:rsidR="004271C1">
              <w:t>and Service Credits</w:t>
            </w:r>
          </w:p>
        </w:tc>
        <w:tc>
          <w:tcPr>
            <w:tcW w:w="754" w:type="dxa"/>
            <w:shd w:val="clear" w:color="auto" w:fill="DBE5F1" w:themeFill="accent1" w:themeFillTint="33"/>
          </w:tcPr>
          <w:p w14:paraId="6E9966E7" w14:textId="0E4F9EBA" w:rsidR="006818AD" w:rsidRDefault="006818AD" w:rsidP="00B13763">
            <w:pPr>
              <w:pStyle w:val="Heading2"/>
              <w:numPr>
                <w:ilvl w:val="0"/>
                <w:numId w:val="0"/>
              </w:numPr>
              <w:jc w:val="center"/>
              <w:outlineLvl w:val="1"/>
            </w:pPr>
            <w:r>
              <w:t>Milestone payment %</w:t>
            </w:r>
          </w:p>
        </w:tc>
      </w:tr>
      <w:tr w:rsidR="006818AD" w14:paraId="136B0B88" w14:textId="0E0D8C21" w:rsidTr="006818AD">
        <w:tc>
          <w:tcPr>
            <w:tcW w:w="1381" w:type="dxa"/>
          </w:tcPr>
          <w:p w14:paraId="39FC8AED" w14:textId="68BDA8A4" w:rsidR="006818AD" w:rsidRDefault="006818AD" w:rsidP="00FA7A86">
            <w:pPr>
              <w:pStyle w:val="Heading2"/>
              <w:numPr>
                <w:ilvl w:val="0"/>
                <w:numId w:val="0"/>
              </w:numPr>
              <w:jc w:val="center"/>
              <w:outlineLvl w:val="1"/>
            </w:pPr>
            <w:r>
              <w:t>1</w:t>
            </w:r>
          </w:p>
        </w:tc>
        <w:tc>
          <w:tcPr>
            <w:tcW w:w="1452" w:type="dxa"/>
          </w:tcPr>
          <w:p w14:paraId="286A8BDA" w14:textId="72D08B03" w:rsidR="006818AD" w:rsidRDefault="006818AD" w:rsidP="008D663F">
            <w:pPr>
              <w:pStyle w:val="Heading2"/>
              <w:numPr>
                <w:ilvl w:val="0"/>
                <w:numId w:val="0"/>
              </w:numPr>
              <w:jc w:val="left"/>
              <w:outlineLvl w:val="1"/>
            </w:pPr>
            <w:r>
              <w:t xml:space="preserve">Agreed approach </w:t>
            </w:r>
          </w:p>
        </w:tc>
        <w:tc>
          <w:tcPr>
            <w:tcW w:w="2650" w:type="dxa"/>
          </w:tcPr>
          <w:p w14:paraId="1A83F74D" w14:textId="5102FE2B" w:rsidR="006818AD" w:rsidRDefault="006818AD" w:rsidP="00FA7A86">
            <w:pPr>
              <w:pStyle w:val="Heading2"/>
              <w:numPr>
                <w:ilvl w:val="0"/>
                <w:numId w:val="0"/>
              </w:numPr>
              <w:jc w:val="left"/>
              <w:outlineLvl w:val="1"/>
            </w:pPr>
            <w:r>
              <w:t xml:space="preserve">An inception report to be provided, and agreed by the Authority, clarifying the approach to be taken, along with a plan setting out key milestones and dates for deliverables, risks and how these will be managed.  </w:t>
            </w:r>
          </w:p>
        </w:tc>
        <w:tc>
          <w:tcPr>
            <w:tcW w:w="1249" w:type="dxa"/>
          </w:tcPr>
          <w:p w14:paraId="2BEC689F" w14:textId="355C57D1" w:rsidR="006818AD" w:rsidRDefault="006818AD" w:rsidP="00E81B12">
            <w:pPr>
              <w:pStyle w:val="Heading2"/>
              <w:numPr>
                <w:ilvl w:val="0"/>
                <w:numId w:val="0"/>
              </w:numPr>
              <w:jc w:val="left"/>
              <w:outlineLvl w:val="1"/>
            </w:pPr>
            <w:r>
              <w:t xml:space="preserve">Within week 2 of contract award </w:t>
            </w:r>
          </w:p>
          <w:p w14:paraId="53B2F4ED" w14:textId="79F853F5" w:rsidR="006818AD" w:rsidRDefault="006818AD" w:rsidP="00FA7A86">
            <w:pPr>
              <w:pStyle w:val="Heading2"/>
              <w:numPr>
                <w:ilvl w:val="0"/>
                <w:numId w:val="0"/>
              </w:numPr>
              <w:outlineLvl w:val="1"/>
            </w:pPr>
          </w:p>
        </w:tc>
        <w:tc>
          <w:tcPr>
            <w:tcW w:w="1254" w:type="dxa"/>
          </w:tcPr>
          <w:p w14:paraId="3CD0D78A" w14:textId="156D9508" w:rsidR="006818AD" w:rsidDel="008D663F" w:rsidRDefault="006818AD" w:rsidP="008D663F">
            <w:pPr>
              <w:pStyle w:val="Heading2"/>
              <w:numPr>
                <w:ilvl w:val="0"/>
                <w:numId w:val="0"/>
              </w:numPr>
              <w:jc w:val="left"/>
              <w:outlineLvl w:val="1"/>
            </w:pPr>
            <w:r>
              <w:t>N/A</w:t>
            </w:r>
          </w:p>
        </w:tc>
        <w:tc>
          <w:tcPr>
            <w:tcW w:w="754" w:type="dxa"/>
          </w:tcPr>
          <w:p w14:paraId="38C58A28" w14:textId="5C0905F1" w:rsidR="006818AD" w:rsidRDefault="008F6B72" w:rsidP="008D663F">
            <w:pPr>
              <w:pStyle w:val="Heading2"/>
              <w:numPr>
                <w:ilvl w:val="0"/>
                <w:numId w:val="0"/>
              </w:numPr>
              <w:jc w:val="left"/>
              <w:outlineLvl w:val="1"/>
            </w:pPr>
            <w:r>
              <w:t>N/A</w:t>
            </w:r>
          </w:p>
        </w:tc>
      </w:tr>
      <w:tr w:rsidR="006818AD" w14:paraId="02A07F1E" w14:textId="0D51F4E7" w:rsidTr="006818AD">
        <w:tc>
          <w:tcPr>
            <w:tcW w:w="1381" w:type="dxa"/>
          </w:tcPr>
          <w:p w14:paraId="3D692F6D" w14:textId="0DC4B3CF" w:rsidR="006818AD" w:rsidRDefault="006818AD" w:rsidP="00F51164">
            <w:pPr>
              <w:pStyle w:val="Heading2"/>
              <w:numPr>
                <w:ilvl w:val="0"/>
                <w:numId w:val="0"/>
              </w:numPr>
              <w:contextualSpacing/>
              <w:jc w:val="center"/>
              <w:outlineLvl w:val="1"/>
            </w:pPr>
            <w:r>
              <w:t>2</w:t>
            </w:r>
          </w:p>
          <w:p w14:paraId="6AF94209" w14:textId="3E8562AC" w:rsidR="006818AD" w:rsidRDefault="006818AD" w:rsidP="00F51164">
            <w:pPr>
              <w:pStyle w:val="Heading2"/>
              <w:numPr>
                <w:ilvl w:val="0"/>
                <w:numId w:val="0"/>
              </w:numPr>
              <w:contextualSpacing/>
              <w:jc w:val="center"/>
              <w:outlineLvl w:val="1"/>
            </w:pPr>
            <w:r>
              <w:t>(Milestone 3)</w:t>
            </w:r>
          </w:p>
        </w:tc>
        <w:tc>
          <w:tcPr>
            <w:tcW w:w="1452" w:type="dxa"/>
          </w:tcPr>
          <w:p w14:paraId="7767404A" w14:textId="78289DB9" w:rsidR="006818AD" w:rsidRDefault="006818AD" w:rsidP="008D663F">
            <w:pPr>
              <w:pStyle w:val="Heading2"/>
              <w:numPr>
                <w:ilvl w:val="0"/>
                <w:numId w:val="0"/>
              </w:numPr>
              <w:jc w:val="left"/>
              <w:outlineLvl w:val="1"/>
            </w:pPr>
            <w:r>
              <w:t>Book of assumptions</w:t>
            </w:r>
          </w:p>
        </w:tc>
        <w:tc>
          <w:tcPr>
            <w:tcW w:w="2650" w:type="dxa"/>
          </w:tcPr>
          <w:p w14:paraId="4F1A3BD0" w14:textId="1006F6A4" w:rsidR="006818AD" w:rsidRDefault="006818AD" w:rsidP="00FA7A86">
            <w:pPr>
              <w:pStyle w:val="Heading2"/>
              <w:numPr>
                <w:ilvl w:val="0"/>
                <w:numId w:val="0"/>
              </w:numPr>
              <w:jc w:val="left"/>
              <w:outlineLvl w:val="1"/>
            </w:pPr>
            <w:r>
              <w:t>A note setting out the key assumptions agreed between the Authority and the Potential Provider.</w:t>
            </w:r>
          </w:p>
        </w:tc>
        <w:tc>
          <w:tcPr>
            <w:tcW w:w="1249" w:type="dxa"/>
          </w:tcPr>
          <w:p w14:paraId="3C7567D0" w14:textId="43384F79" w:rsidR="006818AD" w:rsidRDefault="006818AD" w:rsidP="00E81B12">
            <w:pPr>
              <w:pStyle w:val="Heading2"/>
              <w:numPr>
                <w:ilvl w:val="0"/>
                <w:numId w:val="0"/>
              </w:numPr>
              <w:jc w:val="left"/>
              <w:outlineLvl w:val="1"/>
            </w:pPr>
            <w:r>
              <w:t>Within week 3 of contract award</w:t>
            </w:r>
          </w:p>
        </w:tc>
        <w:tc>
          <w:tcPr>
            <w:tcW w:w="1254" w:type="dxa"/>
          </w:tcPr>
          <w:p w14:paraId="7F1C7AD0" w14:textId="455CD087" w:rsidR="006818AD" w:rsidRDefault="006818AD" w:rsidP="008D663F">
            <w:pPr>
              <w:pStyle w:val="Heading2"/>
              <w:numPr>
                <w:ilvl w:val="0"/>
                <w:numId w:val="0"/>
              </w:numPr>
              <w:jc w:val="left"/>
              <w:outlineLvl w:val="1"/>
            </w:pPr>
            <w:r>
              <w:t>NA</w:t>
            </w:r>
          </w:p>
        </w:tc>
        <w:tc>
          <w:tcPr>
            <w:tcW w:w="754" w:type="dxa"/>
          </w:tcPr>
          <w:p w14:paraId="1C2D09A0" w14:textId="6135D952" w:rsidR="006818AD" w:rsidRDefault="008F6B72" w:rsidP="008D663F">
            <w:pPr>
              <w:pStyle w:val="Heading2"/>
              <w:numPr>
                <w:ilvl w:val="0"/>
                <w:numId w:val="0"/>
              </w:numPr>
              <w:jc w:val="left"/>
              <w:outlineLvl w:val="1"/>
            </w:pPr>
            <w:r>
              <w:t>N/A</w:t>
            </w:r>
          </w:p>
        </w:tc>
      </w:tr>
      <w:tr w:rsidR="006818AD" w14:paraId="611A7437" w14:textId="06D71273" w:rsidTr="006818AD">
        <w:tc>
          <w:tcPr>
            <w:tcW w:w="1381" w:type="dxa"/>
          </w:tcPr>
          <w:p w14:paraId="0CA6154F" w14:textId="619F17B4" w:rsidR="006818AD" w:rsidRDefault="006818AD" w:rsidP="00CE2381">
            <w:pPr>
              <w:pStyle w:val="Heading2"/>
              <w:numPr>
                <w:ilvl w:val="0"/>
                <w:numId w:val="0"/>
              </w:numPr>
              <w:jc w:val="center"/>
              <w:outlineLvl w:val="1"/>
            </w:pPr>
            <w:r>
              <w:t xml:space="preserve">3 </w:t>
            </w:r>
            <w:r>
              <w:br/>
              <w:t>(Milestone 5)</w:t>
            </w:r>
          </w:p>
        </w:tc>
        <w:tc>
          <w:tcPr>
            <w:tcW w:w="1452" w:type="dxa"/>
          </w:tcPr>
          <w:p w14:paraId="5A8C3451" w14:textId="40C344D2" w:rsidR="006818AD" w:rsidRDefault="006818AD" w:rsidP="00CE2381">
            <w:pPr>
              <w:pStyle w:val="Heading2"/>
              <w:numPr>
                <w:ilvl w:val="0"/>
                <w:numId w:val="0"/>
              </w:numPr>
              <w:jc w:val="left"/>
              <w:outlineLvl w:val="1"/>
            </w:pPr>
            <w:r>
              <w:t>Key outputs delivered in draft</w:t>
            </w:r>
          </w:p>
        </w:tc>
        <w:tc>
          <w:tcPr>
            <w:tcW w:w="2650" w:type="dxa"/>
          </w:tcPr>
          <w:p w14:paraId="2B13CFC4" w14:textId="1CF13AEF" w:rsidR="006818AD" w:rsidRDefault="006818AD" w:rsidP="00CE2381">
            <w:pPr>
              <w:pStyle w:val="Heading2"/>
              <w:numPr>
                <w:ilvl w:val="0"/>
                <w:numId w:val="0"/>
              </w:numPr>
              <w:tabs>
                <w:tab w:val="left" w:pos="720"/>
              </w:tabs>
              <w:contextualSpacing/>
              <w:jc w:val="left"/>
              <w:outlineLvl w:val="1"/>
            </w:pPr>
            <w:r>
              <w:t>A first draft of the skeleton structure;</w:t>
            </w:r>
          </w:p>
          <w:p w14:paraId="6D6EB6D1" w14:textId="77777777" w:rsidR="006818AD" w:rsidRDefault="006818AD" w:rsidP="00CE2381">
            <w:pPr>
              <w:pStyle w:val="Heading2"/>
              <w:numPr>
                <w:ilvl w:val="0"/>
                <w:numId w:val="0"/>
              </w:numPr>
              <w:tabs>
                <w:tab w:val="left" w:pos="720"/>
              </w:tabs>
              <w:contextualSpacing/>
              <w:jc w:val="left"/>
              <w:outlineLvl w:val="1"/>
            </w:pPr>
          </w:p>
          <w:p w14:paraId="7C34DA87" w14:textId="6BB34DC5" w:rsidR="006818AD" w:rsidRDefault="006818AD" w:rsidP="00CE2381">
            <w:pPr>
              <w:pStyle w:val="Heading2"/>
              <w:numPr>
                <w:ilvl w:val="0"/>
                <w:numId w:val="0"/>
              </w:numPr>
              <w:tabs>
                <w:tab w:val="left" w:pos="720"/>
              </w:tabs>
              <w:contextualSpacing/>
              <w:jc w:val="left"/>
              <w:outlineLvl w:val="1"/>
            </w:pPr>
            <w:r>
              <w:t>Interim outputs for each combination of scenarios and policy packages as the proportion of renewables on the system increases, including:</w:t>
            </w:r>
          </w:p>
          <w:p w14:paraId="58BB6CDC" w14:textId="77777777" w:rsidR="006818AD" w:rsidRDefault="006818AD" w:rsidP="00CE2381">
            <w:pPr>
              <w:pStyle w:val="Heading2"/>
              <w:numPr>
                <w:ilvl w:val="0"/>
                <w:numId w:val="0"/>
              </w:numPr>
              <w:tabs>
                <w:tab w:val="left" w:pos="720"/>
              </w:tabs>
              <w:contextualSpacing/>
              <w:jc w:val="left"/>
              <w:outlineLvl w:val="1"/>
            </w:pPr>
          </w:p>
          <w:p w14:paraId="2DD42C54" w14:textId="1C30DBF5" w:rsidR="006818AD" w:rsidRDefault="006818AD" w:rsidP="00B95757">
            <w:pPr>
              <w:pStyle w:val="Heading2"/>
              <w:numPr>
                <w:ilvl w:val="0"/>
                <w:numId w:val="23"/>
              </w:numPr>
              <w:contextualSpacing/>
              <w:jc w:val="left"/>
              <w:outlineLvl w:val="1"/>
            </w:pPr>
            <w:r>
              <w:rPr>
                <w:szCs w:val="22"/>
              </w:rPr>
              <w:t>W</w:t>
            </w:r>
            <w:r w:rsidRPr="004F4B33">
              <w:rPr>
                <w:szCs w:val="22"/>
              </w:rPr>
              <w:t xml:space="preserve">hole system costs </w:t>
            </w:r>
          </w:p>
          <w:p w14:paraId="15F39526" w14:textId="359AB7EA" w:rsidR="006818AD" w:rsidRDefault="006818AD" w:rsidP="00B95757">
            <w:pPr>
              <w:pStyle w:val="Heading2"/>
              <w:numPr>
                <w:ilvl w:val="0"/>
                <w:numId w:val="23"/>
              </w:numPr>
              <w:contextualSpacing/>
              <w:jc w:val="left"/>
              <w:outlineLvl w:val="1"/>
            </w:pPr>
            <w:r>
              <w:t xml:space="preserve">Marginal whole system costs </w:t>
            </w:r>
          </w:p>
          <w:p w14:paraId="0B8E4BDA" w14:textId="7515A0E2" w:rsidR="006818AD" w:rsidRDefault="006818AD" w:rsidP="00B95757">
            <w:pPr>
              <w:pStyle w:val="Heading2"/>
              <w:numPr>
                <w:ilvl w:val="0"/>
                <w:numId w:val="23"/>
              </w:numPr>
              <w:contextualSpacing/>
              <w:jc w:val="left"/>
              <w:outlineLvl w:val="1"/>
            </w:pPr>
            <w:r>
              <w:t>Marginal costs for different generation technologies (renewables, nuclear and fossil fuels coupled with CCAS)</w:t>
            </w:r>
          </w:p>
          <w:p w14:paraId="5E1BBB25" w14:textId="5C8F5216" w:rsidR="006818AD" w:rsidRDefault="006818AD" w:rsidP="00B95757">
            <w:pPr>
              <w:pStyle w:val="Heading2"/>
              <w:numPr>
                <w:ilvl w:val="0"/>
                <w:numId w:val="23"/>
              </w:numPr>
              <w:contextualSpacing/>
              <w:jc w:val="left"/>
              <w:outlineLvl w:val="1"/>
            </w:pPr>
            <w:r>
              <w:t>Average electricity demand</w:t>
            </w:r>
          </w:p>
          <w:p w14:paraId="014CF109" w14:textId="2935922B" w:rsidR="006818AD" w:rsidRDefault="006818AD" w:rsidP="00B95757">
            <w:pPr>
              <w:pStyle w:val="Heading2"/>
              <w:numPr>
                <w:ilvl w:val="0"/>
                <w:numId w:val="23"/>
              </w:numPr>
              <w:contextualSpacing/>
              <w:jc w:val="left"/>
              <w:outlineLvl w:val="1"/>
            </w:pPr>
            <w:r>
              <w:t>Peak electricity demand</w:t>
            </w:r>
          </w:p>
          <w:p w14:paraId="036D0260" w14:textId="77777777" w:rsidR="006818AD" w:rsidRDefault="006818AD" w:rsidP="00B95757">
            <w:pPr>
              <w:pStyle w:val="Heading2"/>
              <w:numPr>
                <w:ilvl w:val="0"/>
                <w:numId w:val="23"/>
              </w:numPr>
              <w:contextualSpacing/>
              <w:jc w:val="left"/>
              <w:outlineLvl w:val="1"/>
            </w:pPr>
            <w:r>
              <w:t>Electricity generation capacity</w:t>
            </w:r>
          </w:p>
          <w:p w14:paraId="4FBFDF3E" w14:textId="621AE05F" w:rsidR="006818AD" w:rsidRDefault="006818AD" w:rsidP="00B95757">
            <w:pPr>
              <w:pStyle w:val="Heading2"/>
              <w:numPr>
                <w:ilvl w:val="0"/>
                <w:numId w:val="23"/>
              </w:numPr>
              <w:contextualSpacing/>
              <w:jc w:val="left"/>
              <w:outlineLvl w:val="1"/>
            </w:pPr>
            <w:r>
              <w:t>Electricity generation mix</w:t>
            </w:r>
          </w:p>
        </w:tc>
        <w:tc>
          <w:tcPr>
            <w:tcW w:w="1249" w:type="dxa"/>
          </w:tcPr>
          <w:p w14:paraId="0EE422DF" w14:textId="61208F76" w:rsidR="006818AD" w:rsidRDefault="006818AD" w:rsidP="00CE2381">
            <w:pPr>
              <w:pStyle w:val="Heading2"/>
              <w:numPr>
                <w:ilvl w:val="0"/>
                <w:numId w:val="0"/>
              </w:numPr>
              <w:jc w:val="left"/>
              <w:outlineLvl w:val="1"/>
            </w:pPr>
            <w:r>
              <w:t>22</w:t>
            </w:r>
            <w:r w:rsidRPr="008209BD">
              <w:rPr>
                <w:vertAlign w:val="superscript"/>
              </w:rPr>
              <w:t>nd</w:t>
            </w:r>
            <w:r>
              <w:t xml:space="preserve"> December 2017</w:t>
            </w:r>
          </w:p>
        </w:tc>
        <w:tc>
          <w:tcPr>
            <w:tcW w:w="1254" w:type="dxa"/>
          </w:tcPr>
          <w:p w14:paraId="49854BF6" w14:textId="71836F6E" w:rsidR="006818AD" w:rsidRDefault="00120DAA" w:rsidP="00EF560A">
            <w:pPr>
              <w:pStyle w:val="Heading2"/>
              <w:numPr>
                <w:ilvl w:val="0"/>
                <w:numId w:val="0"/>
              </w:numPr>
              <w:jc w:val="left"/>
              <w:outlineLvl w:val="1"/>
            </w:pPr>
            <w:r>
              <w:t>One off 10</w:t>
            </w:r>
            <w:r w:rsidR="006818AD">
              <w:t>%</w:t>
            </w:r>
            <w:r w:rsidR="00EF560A">
              <w:t xml:space="preserve"> reimbursement cost </w:t>
            </w:r>
            <w:r w:rsidR="006818AD">
              <w:t>for missing milestone 5</w:t>
            </w:r>
          </w:p>
        </w:tc>
        <w:tc>
          <w:tcPr>
            <w:tcW w:w="754" w:type="dxa"/>
          </w:tcPr>
          <w:p w14:paraId="03EB78A8" w14:textId="2834D8C5" w:rsidR="006818AD" w:rsidRDefault="008F6B72" w:rsidP="00CE2381">
            <w:pPr>
              <w:pStyle w:val="Heading2"/>
              <w:numPr>
                <w:ilvl w:val="0"/>
                <w:numId w:val="0"/>
              </w:numPr>
              <w:jc w:val="left"/>
              <w:outlineLvl w:val="1"/>
            </w:pPr>
            <w:r>
              <w:t>15</w:t>
            </w:r>
            <w:r w:rsidR="006818AD">
              <w:t>%</w:t>
            </w:r>
          </w:p>
        </w:tc>
      </w:tr>
      <w:tr w:rsidR="006818AD" w14:paraId="0A961FFE" w14:textId="7B808551" w:rsidTr="006818AD">
        <w:tc>
          <w:tcPr>
            <w:tcW w:w="1381" w:type="dxa"/>
          </w:tcPr>
          <w:p w14:paraId="2B252A64" w14:textId="1E3B4F9B" w:rsidR="006818AD" w:rsidRDefault="006818AD" w:rsidP="00CE2381">
            <w:pPr>
              <w:pStyle w:val="Heading2"/>
              <w:numPr>
                <w:ilvl w:val="0"/>
                <w:numId w:val="0"/>
              </w:numPr>
              <w:contextualSpacing/>
              <w:jc w:val="center"/>
              <w:outlineLvl w:val="1"/>
            </w:pPr>
            <w:r>
              <w:t>4</w:t>
            </w:r>
          </w:p>
          <w:p w14:paraId="3D413337" w14:textId="6F085040" w:rsidR="006818AD" w:rsidRDefault="006818AD" w:rsidP="00CE2381">
            <w:pPr>
              <w:pStyle w:val="Heading2"/>
              <w:numPr>
                <w:ilvl w:val="0"/>
                <w:numId w:val="0"/>
              </w:numPr>
              <w:contextualSpacing/>
              <w:jc w:val="center"/>
              <w:outlineLvl w:val="1"/>
            </w:pPr>
            <w:r>
              <w:t xml:space="preserve"> (Milestone 7)</w:t>
            </w:r>
          </w:p>
        </w:tc>
        <w:tc>
          <w:tcPr>
            <w:tcW w:w="1452" w:type="dxa"/>
          </w:tcPr>
          <w:p w14:paraId="095690E3" w14:textId="508A00CA" w:rsidR="006818AD" w:rsidRDefault="006818AD" w:rsidP="00CE2381">
            <w:pPr>
              <w:pStyle w:val="Heading2"/>
              <w:numPr>
                <w:ilvl w:val="0"/>
                <w:numId w:val="0"/>
              </w:numPr>
              <w:jc w:val="left"/>
              <w:outlineLvl w:val="1"/>
            </w:pPr>
            <w:r>
              <w:t>Key outputs delivered in draft</w:t>
            </w:r>
          </w:p>
        </w:tc>
        <w:tc>
          <w:tcPr>
            <w:tcW w:w="2650" w:type="dxa"/>
          </w:tcPr>
          <w:p w14:paraId="6FF15166" w14:textId="7EB82228" w:rsidR="006818AD" w:rsidRDefault="006818AD" w:rsidP="00CE2381">
            <w:pPr>
              <w:pStyle w:val="Heading2"/>
              <w:numPr>
                <w:ilvl w:val="0"/>
                <w:numId w:val="0"/>
              </w:numPr>
              <w:tabs>
                <w:tab w:val="left" w:pos="720"/>
              </w:tabs>
              <w:jc w:val="left"/>
              <w:outlineLvl w:val="1"/>
            </w:pPr>
            <w:r>
              <w:t>A second draft of the skeleton structure covering:</w:t>
            </w:r>
          </w:p>
          <w:p w14:paraId="1B70F4C0" w14:textId="3708FD0C" w:rsidR="006818AD" w:rsidRDefault="006818AD" w:rsidP="00CE2381">
            <w:pPr>
              <w:pStyle w:val="Heading2"/>
              <w:numPr>
                <w:ilvl w:val="0"/>
                <w:numId w:val="23"/>
              </w:numPr>
              <w:ind w:left="714" w:hanging="357"/>
              <w:contextualSpacing/>
              <w:jc w:val="left"/>
              <w:outlineLvl w:val="1"/>
            </w:pPr>
            <w:r>
              <w:t>The Authority’s comments on the first draft;</w:t>
            </w:r>
          </w:p>
          <w:p w14:paraId="59010804" w14:textId="5CC1A5B8" w:rsidR="006818AD" w:rsidRDefault="006818AD" w:rsidP="00CE2381">
            <w:pPr>
              <w:pStyle w:val="Heading2"/>
              <w:numPr>
                <w:ilvl w:val="0"/>
                <w:numId w:val="23"/>
              </w:numPr>
              <w:ind w:left="714" w:hanging="357"/>
              <w:contextualSpacing/>
              <w:jc w:val="left"/>
              <w:outlineLvl w:val="1"/>
            </w:pPr>
            <w:r>
              <w:t>Second draft of interim outputs, as set out above.</w:t>
            </w:r>
          </w:p>
        </w:tc>
        <w:tc>
          <w:tcPr>
            <w:tcW w:w="1249" w:type="dxa"/>
          </w:tcPr>
          <w:p w14:paraId="179D5A19" w14:textId="1693C57D" w:rsidR="006818AD" w:rsidRDefault="006818AD" w:rsidP="00CE2381">
            <w:pPr>
              <w:pStyle w:val="Heading2"/>
              <w:numPr>
                <w:ilvl w:val="0"/>
                <w:numId w:val="0"/>
              </w:numPr>
              <w:jc w:val="left"/>
              <w:outlineLvl w:val="1"/>
            </w:pPr>
            <w:r>
              <w:t>30</w:t>
            </w:r>
            <w:r w:rsidRPr="00F523FE">
              <w:rPr>
                <w:vertAlign w:val="superscript"/>
              </w:rPr>
              <w:t>th</w:t>
            </w:r>
            <w:r>
              <w:t xml:space="preserve"> January 2018</w:t>
            </w:r>
          </w:p>
        </w:tc>
        <w:tc>
          <w:tcPr>
            <w:tcW w:w="1254" w:type="dxa"/>
          </w:tcPr>
          <w:p w14:paraId="778E1BCE" w14:textId="2D922598" w:rsidR="006818AD" w:rsidRDefault="00120DAA" w:rsidP="00CE2381">
            <w:pPr>
              <w:pStyle w:val="Heading2"/>
              <w:numPr>
                <w:ilvl w:val="0"/>
                <w:numId w:val="0"/>
              </w:numPr>
              <w:outlineLvl w:val="1"/>
            </w:pPr>
            <w:r>
              <w:t>One off 10</w:t>
            </w:r>
            <w:r w:rsidR="006818AD">
              <w:t xml:space="preserve">% </w:t>
            </w:r>
            <w:r w:rsidR="00EF560A">
              <w:t xml:space="preserve">reimbursement cost </w:t>
            </w:r>
            <w:r w:rsidR="006818AD">
              <w:t>for missing milestone 6</w:t>
            </w:r>
          </w:p>
        </w:tc>
        <w:tc>
          <w:tcPr>
            <w:tcW w:w="754" w:type="dxa"/>
          </w:tcPr>
          <w:p w14:paraId="0C876ECA" w14:textId="0E6CCB7F" w:rsidR="006818AD" w:rsidRDefault="008F6B72" w:rsidP="00CE2381">
            <w:pPr>
              <w:pStyle w:val="Heading2"/>
              <w:numPr>
                <w:ilvl w:val="0"/>
                <w:numId w:val="0"/>
              </w:numPr>
              <w:outlineLvl w:val="1"/>
            </w:pPr>
            <w:r>
              <w:t xml:space="preserve">15% </w:t>
            </w:r>
          </w:p>
        </w:tc>
      </w:tr>
      <w:tr w:rsidR="006818AD" w14:paraId="368A6710" w14:textId="42B1E053" w:rsidTr="006818AD">
        <w:tc>
          <w:tcPr>
            <w:tcW w:w="1381" w:type="dxa"/>
          </w:tcPr>
          <w:p w14:paraId="7C7869F1" w14:textId="476BE119" w:rsidR="006818AD" w:rsidRDefault="006818AD" w:rsidP="00CE2381">
            <w:pPr>
              <w:pStyle w:val="Heading2"/>
              <w:numPr>
                <w:ilvl w:val="0"/>
                <w:numId w:val="0"/>
              </w:numPr>
              <w:contextualSpacing/>
              <w:jc w:val="center"/>
              <w:outlineLvl w:val="1"/>
            </w:pPr>
            <w:r>
              <w:t>5</w:t>
            </w:r>
          </w:p>
          <w:p w14:paraId="4EE94C74" w14:textId="77170995" w:rsidR="006818AD" w:rsidRDefault="006818AD" w:rsidP="00CE2381">
            <w:pPr>
              <w:pStyle w:val="Heading2"/>
              <w:numPr>
                <w:ilvl w:val="0"/>
                <w:numId w:val="0"/>
              </w:numPr>
              <w:contextualSpacing/>
              <w:jc w:val="center"/>
              <w:outlineLvl w:val="1"/>
            </w:pPr>
            <w:r>
              <w:t>(Milestone 8)</w:t>
            </w:r>
          </w:p>
        </w:tc>
        <w:tc>
          <w:tcPr>
            <w:tcW w:w="1452" w:type="dxa"/>
          </w:tcPr>
          <w:p w14:paraId="6726DC40" w14:textId="7C9055D3" w:rsidR="006818AD" w:rsidRDefault="006818AD" w:rsidP="00CE2381">
            <w:pPr>
              <w:pStyle w:val="Heading2"/>
              <w:numPr>
                <w:ilvl w:val="0"/>
                <w:numId w:val="0"/>
              </w:numPr>
              <w:jc w:val="left"/>
              <w:outlineLvl w:val="1"/>
            </w:pPr>
            <w:r>
              <w:t xml:space="preserve">Key outputs in final, publishable form </w:t>
            </w:r>
          </w:p>
        </w:tc>
        <w:tc>
          <w:tcPr>
            <w:tcW w:w="2650" w:type="dxa"/>
          </w:tcPr>
          <w:p w14:paraId="6AB85084" w14:textId="6E6058F8" w:rsidR="006818AD" w:rsidRDefault="006818AD" w:rsidP="00CE2381">
            <w:pPr>
              <w:pStyle w:val="Heading2"/>
              <w:numPr>
                <w:ilvl w:val="0"/>
                <w:numId w:val="0"/>
              </w:numPr>
              <w:tabs>
                <w:tab w:val="left" w:pos="720"/>
              </w:tabs>
              <w:jc w:val="left"/>
              <w:outlineLvl w:val="1"/>
            </w:pPr>
            <w:r>
              <w:t>A final draft report that presents:</w:t>
            </w:r>
          </w:p>
          <w:p w14:paraId="3BF5D768" w14:textId="7E5C4B39" w:rsidR="006818AD" w:rsidRDefault="006818AD" w:rsidP="00CE2381">
            <w:pPr>
              <w:pStyle w:val="Heading2"/>
              <w:numPr>
                <w:ilvl w:val="0"/>
                <w:numId w:val="23"/>
              </w:numPr>
              <w:contextualSpacing/>
              <w:jc w:val="left"/>
              <w:outlineLvl w:val="1"/>
            </w:pPr>
            <w:r>
              <w:t>The Authority’s comments on the second draft and throughout the process</w:t>
            </w:r>
          </w:p>
          <w:p w14:paraId="3BE7562B" w14:textId="0D3A8545" w:rsidR="006818AD" w:rsidRDefault="006818AD" w:rsidP="00CE2381">
            <w:pPr>
              <w:pStyle w:val="Heading2"/>
              <w:numPr>
                <w:ilvl w:val="0"/>
                <w:numId w:val="23"/>
              </w:numPr>
              <w:contextualSpacing/>
              <w:jc w:val="left"/>
              <w:outlineLvl w:val="1"/>
            </w:pPr>
            <w:r>
              <w:t>The modelling approach, key outputs, as set out above, and interpretation of results</w:t>
            </w:r>
          </w:p>
          <w:p w14:paraId="34E18FD4" w14:textId="05002FDA" w:rsidR="006818AD" w:rsidRDefault="006818AD" w:rsidP="00CE2381">
            <w:pPr>
              <w:pStyle w:val="Heading2"/>
              <w:numPr>
                <w:ilvl w:val="0"/>
                <w:numId w:val="23"/>
              </w:numPr>
              <w:contextualSpacing/>
              <w:jc w:val="left"/>
              <w:outlineLvl w:val="1"/>
            </w:pPr>
            <w:r>
              <w:t>A summary of the model(s) used by the Potential Provider and their high-level structure, including a model schematic</w:t>
            </w:r>
          </w:p>
          <w:p w14:paraId="58DC627C" w14:textId="67AB2B5F" w:rsidR="006818AD" w:rsidRDefault="006818AD" w:rsidP="00CE2381">
            <w:pPr>
              <w:pStyle w:val="Heading2"/>
              <w:numPr>
                <w:ilvl w:val="0"/>
                <w:numId w:val="23"/>
              </w:numPr>
              <w:contextualSpacing/>
              <w:jc w:val="left"/>
              <w:outlineLvl w:val="1"/>
            </w:pPr>
            <w:r>
              <w:t>A summary of key modelling assumptions and their references</w:t>
            </w:r>
          </w:p>
        </w:tc>
        <w:tc>
          <w:tcPr>
            <w:tcW w:w="1249" w:type="dxa"/>
          </w:tcPr>
          <w:p w14:paraId="19BB03B8" w14:textId="4DC8AC45" w:rsidR="006818AD" w:rsidRDefault="006818AD" w:rsidP="00CE2381">
            <w:pPr>
              <w:pStyle w:val="Heading2"/>
              <w:numPr>
                <w:ilvl w:val="0"/>
                <w:numId w:val="0"/>
              </w:numPr>
              <w:jc w:val="left"/>
              <w:outlineLvl w:val="1"/>
            </w:pPr>
            <w:r>
              <w:t>15</w:t>
            </w:r>
            <w:r>
              <w:rPr>
                <w:vertAlign w:val="superscript"/>
              </w:rPr>
              <w:t>th</w:t>
            </w:r>
            <w:r>
              <w:t xml:space="preserve"> February 2018</w:t>
            </w:r>
          </w:p>
        </w:tc>
        <w:tc>
          <w:tcPr>
            <w:tcW w:w="1254" w:type="dxa"/>
          </w:tcPr>
          <w:p w14:paraId="6B835CD4" w14:textId="0938B826" w:rsidR="006818AD" w:rsidRDefault="00120DAA" w:rsidP="00EB0719">
            <w:pPr>
              <w:pStyle w:val="Heading2"/>
              <w:numPr>
                <w:ilvl w:val="0"/>
                <w:numId w:val="0"/>
              </w:numPr>
              <w:outlineLvl w:val="1"/>
            </w:pPr>
            <w:r>
              <w:t>One off 10</w:t>
            </w:r>
            <w:r w:rsidR="006818AD">
              <w:t xml:space="preserve">% </w:t>
            </w:r>
            <w:r w:rsidR="00EF560A">
              <w:t>reimbursement cost</w:t>
            </w:r>
            <w:r w:rsidR="006818AD">
              <w:t xml:space="preserve"> for missing milestone 7</w:t>
            </w:r>
          </w:p>
        </w:tc>
        <w:tc>
          <w:tcPr>
            <w:tcW w:w="754" w:type="dxa"/>
          </w:tcPr>
          <w:p w14:paraId="3CF798AF" w14:textId="7EC77703" w:rsidR="006818AD" w:rsidRDefault="008F6B72" w:rsidP="00EB0719">
            <w:pPr>
              <w:pStyle w:val="Heading2"/>
              <w:numPr>
                <w:ilvl w:val="0"/>
                <w:numId w:val="0"/>
              </w:numPr>
              <w:outlineLvl w:val="1"/>
            </w:pPr>
            <w:r>
              <w:t>15%</w:t>
            </w:r>
          </w:p>
        </w:tc>
      </w:tr>
      <w:tr w:rsidR="006818AD" w14:paraId="453E9E74" w14:textId="01A944D3" w:rsidTr="006818AD">
        <w:trPr>
          <w:trHeight w:val="2860"/>
        </w:trPr>
        <w:tc>
          <w:tcPr>
            <w:tcW w:w="1381" w:type="dxa"/>
          </w:tcPr>
          <w:p w14:paraId="7D66FBE7" w14:textId="4130FEF2" w:rsidR="006818AD" w:rsidRDefault="006818AD" w:rsidP="00CE2381">
            <w:pPr>
              <w:pStyle w:val="Heading2"/>
              <w:numPr>
                <w:ilvl w:val="0"/>
                <w:numId w:val="0"/>
              </w:numPr>
              <w:contextualSpacing/>
              <w:jc w:val="center"/>
              <w:outlineLvl w:val="1"/>
            </w:pPr>
            <w:r>
              <w:t>6</w:t>
            </w:r>
          </w:p>
          <w:p w14:paraId="66A790E6" w14:textId="4A949550" w:rsidR="006818AD" w:rsidRDefault="006818AD" w:rsidP="00893EF7">
            <w:pPr>
              <w:pStyle w:val="Heading2"/>
              <w:numPr>
                <w:ilvl w:val="0"/>
                <w:numId w:val="0"/>
              </w:numPr>
              <w:contextualSpacing/>
              <w:jc w:val="center"/>
              <w:outlineLvl w:val="1"/>
            </w:pPr>
            <w:r>
              <w:t xml:space="preserve"> (Milestone 9)</w:t>
            </w:r>
          </w:p>
        </w:tc>
        <w:tc>
          <w:tcPr>
            <w:tcW w:w="1452" w:type="dxa"/>
          </w:tcPr>
          <w:p w14:paraId="456EC18A" w14:textId="75C5102B" w:rsidR="006818AD" w:rsidRDefault="006818AD" w:rsidP="00CE2381">
            <w:pPr>
              <w:pStyle w:val="Heading2"/>
              <w:numPr>
                <w:ilvl w:val="0"/>
                <w:numId w:val="0"/>
              </w:numPr>
              <w:outlineLvl w:val="1"/>
            </w:pPr>
            <w:r>
              <w:t>Key outputs in final, publishable form</w:t>
            </w:r>
          </w:p>
        </w:tc>
        <w:tc>
          <w:tcPr>
            <w:tcW w:w="2650" w:type="dxa"/>
          </w:tcPr>
          <w:p w14:paraId="5E5855E2" w14:textId="7382BB7B" w:rsidR="006818AD" w:rsidRDefault="006818AD" w:rsidP="00CE2381">
            <w:pPr>
              <w:pStyle w:val="Heading2"/>
              <w:numPr>
                <w:ilvl w:val="0"/>
                <w:numId w:val="0"/>
              </w:numPr>
              <w:tabs>
                <w:tab w:val="left" w:pos="720"/>
              </w:tabs>
              <w:jc w:val="left"/>
              <w:outlineLvl w:val="1"/>
            </w:pPr>
            <w:r>
              <w:t>A final publishable report that presents:</w:t>
            </w:r>
          </w:p>
          <w:p w14:paraId="6BBA8428" w14:textId="77777777" w:rsidR="006818AD" w:rsidRDefault="006818AD" w:rsidP="00CE2381">
            <w:pPr>
              <w:pStyle w:val="Heading2"/>
              <w:numPr>
                <w:ilvl w:val="0"/>
                <w:numId w:val="23"/>
              </w:numPr>
              <w:contextualSpacing/>
              <w:jc w:val="left"/>
              <w:outlineLvl w:val="1"/>
            </w:pPr>
            <w:r>
              <w:t>The Authority’s comments on the final draft report and throughout the process</w:t>
            </w:r>
          </w:p>
          <w:p w14:paraId="5BB34E04" w14:textId="23E38D90" w:rsidR="006818AD" w:rsidRDefault="006818AD" w:rsidP="00CE2381">
            <w:pPr>
              <w:pStyle w:val="Heading2"/>
              <w:numPr>
                <w:ilvl w:val="0"/>
                <w:numId w:val="23"/>
              </w:numPr>
              <w:contextualSpacing/>
              <w:jc w:val="left"/>
              <w:outlineLvl w:val="1"/>
            </w:pPr>
            <w:r>
              <w:t>The modelling approach, key outputs, as set out above, and interpretation of results</w:t>
            </w:r>
          </w:p>
          <w:p w14:paraId="08C4CB8B" w14:textId="77777777" w:rsidR="006818AD" w:rsidRDefault="006818AD" w:rsidP="00CE2381">
            <w:pPr>
              <w:pStyle w:val="Heading2"/>
              <w:numPr>
                <w:ilvl w:val="0"/>
                <w:numId w:val="23"/>
              </w:numPr>
              <w:contextualSpacing/>
              <w:jc w:val="left"/>
              <w:outlineLvl w:val="1"/>
            </w:pPr>
            <w:r>
              <w:t>A summary of the model(s) used by the Potential Provider and their high-level structure, including a model schematic</w:t>
            </w:r>
          </w:p>
          <w:p w14:paraId="00C1500B" w14:textId="77777777" w:rsidR="006818AD" w:rsidRDefault="006818AD" w:rsidP="00B95757">
            <w:pPr>
              <w:pStyle w:val="Heading2"/>
              <w:numPr>
                <w:ilvl w:val="0"/>
                <w:numId w:val="23"/>
              </w:numPr>
              <w:contextualSpacing/>
              <w:jc w:val="left"/>
              <w:outlineLvl w:val="1"/>
            </w:pPr>
            <w:r>
              <w:t>A summary of key modelling assumptions and their references</w:t>
            </w:r>
          </w:p>
          <w:p w14:paraId="450399E2" w14:textId="0C1812C8" w:rsidR="006818AD" w:rsidRDefault="006818AD" w:rsidP="00CE2381">
            <w:pPr>
              <w:pStyle w:val="Heading2"/>
              <w:numPr>
                <w:ilvl w:val="0"/>
                <w:numId w:val="23"/>
              </w:numPr>
              <w:jc w:val="left"/>
              <w:outlineLvl w:val="1"/>
            </w:pPr>
            <w:r>
              <w:t>Excel spreadsheets with the modelling outputs used in the report</w:t>
            </w:r>
          </w:p>
        </w:tc>
        <w:tc>
          <w:tcPr>
            <w:tcW w:w="1249" w:type="dxa"/>
          </w:tcPr>
          <w:p w14:paraId="36334945" w14:textId="657D44DB" w:rsidR="006818AD" w:rsidRDefault="006818AD" w:rsidP="00CE2381">
            <w:pPr>
              <w:pStyle w:val="Heading2"/>
              <w:numPr>
                <w:ilvl w:val="0"/>
                <w:numId w:val="0"/>
              </w:numPr>
              <w:jc w:val="left"/>
              <w:outlineLvl w:val="1"/>
            </w:pPr>
            <w:r>
              <w:t>5</w:t>
            </w:r>
            <w:r w:rsidRPr="00C75F13">
              <w:rPr>
                <w:vertAlign w:val="superscript"/>
              </w:rPr>
              <w:t>th</w:t>
            </w:r>
            <w:r>
              <w:t xml:space="preserve"> March 2018</w:t>
            </w:r>
          </w:p>
        </w:tc>
        <w:tc>
          <w:tcPr>
            <w:tcW w:w="1254" w:type="dxa"/>
          </w:tcPr>
          <w:p w14:paraId="2446E644" w14:textId="1DBEBE6B" w:rsidR="006818AD" w:rsidRDefault="00120DAA" w:rsidP="00CE2381">
            <w:pPr>
              <w:pStyle w:val="Heading2"/>
              <w:numPr>
                <w:ilvl w:val="0"/>
                <w:numId w:val="0"/>
              </w:numPr>
              <w:outlineLvl w:val="1"/>
            </w:pPr>
            <w:r>
              <w:t>One off 10</w:t>
            </w:r>
            <w:r w:rsidR="006818AD">
              <w:t xml:space="preserve">% </w:t>
            </w:r>
            <w:r w:rsidR="00EF560A">
              <w:t xml:space="preserve">reimbursement cost </w:t>
            </w:r>
            <w:r w:rsidR="006818AD">
              <w:t>for missing milestone 8</w:t>
            </w:r>
          </w:p>
          <w:p w14:paraId="688EB18F" w14:textId="5F2A50A7" w:rsidR="006818AD" w:rsidRDefault="006818AD" w:rsidP="00CE2381">
            <w:pPr>
              <w:pStyle w:val="Heading2"/>
              <w:numPr>
                <w:ilvl w:val="0"/>
                <w:numId w:val="0"/>
              </w:numPr>
              <w:outlineLvl w:val="1"/>
            </w:pPr>
          </w:p>
        </w:tc>
        <w:tc>
          <w:tcPr>
            <w:tcW w:w="754" w:type="dxa"/>
          </w:tcPr>
          <w:p w14:paraId="55C1FE8F" w14:textId="452DB0EA" w:rsidR="006818AD" w:rsidRDefault="008F6B72" w:rsidP="00CE2381">
            <w:pPr>
              <w:pStyle w:val="Heading2"/>
              <w:numPr>
                <w:ilvl w:val="0"/>
                <w:numId w:val="0"/>
              </w:numPr>
              <w:outlineLvl w:val="1"/>
            </w:pPr>
            <w:r>
              <w:t xml:space="preserve">40% </w:t>
            </w:r>
          </w:p>
        </w:tc>
      </w:tr>
    </w:tbl>
    <w:p w14:paraId="2E373C90" w14:textId="2679CC52" w:rsidR="003F626A" w:rsidRDefault="003F626A" w:rsidP="003F626A">
      <w:pPr>
        <w:pStyle w:val="Heading2"/>
        <w:numPr>
          <w:ilvl w:val="0"/>
          <w:numId w:val="0"/>
        </w:numPr>
        <w:ind w:left="720"/>
      </w:pPr>
    </w:p>
    <w:p w14:paraId="04001609" w14:textId="3405CB87" w:rsidR="00E17C61" w:rsidRDefault="00E17C61"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above timetable assumes the Contract will be awarded </w:t>
      </w:r>
      <w:r w:rsidR="00F8490C" w:rsidRPr="00EE0C1D">
        <w:rPr>
          <w:szCs w:val="22"/>
        </w:rPr>
        <w:t>on the</w:t>
      </w:r>
      <w:r w:rsidRPr="00EE0C1D">
        <w:rPr>
          <w:szCs w:val="22"/>
        </w:rPr>
        <w:t xml:space="preserve"> w/c </w:t>
      </w:r>
      <w:r w:rsidR="008F7316" w:rsidRPr="00EE0C1D">
        <w:rPr>
          <w:szCs w:val="22"/>
        </w:rPr>
        <w:t>13</w:t>
      </w:r>
      <w:r w:rsidR="00F51164" w:rsidRPr="00EE0C1D">
        <w:rPr>
          <w:szCs w:val="22"/>
        </w:rPr>
        <w:t xml:space="preserve">th </w:t>
      </w:r>
      <w:r w:rsidR="00A422DE" w:rsidRPr="00EE0C1D">
        <w:rPr>
          <w:szCs w:val="22"/>
        </w:rPr>
        <w:t>November</w:t>
      </w:r>
      <w:r w:rsidRPr="00EE0C1D">
        <w:rPr>
          <w:szCs w:val="22"/>
        </w:rPr>
        <w:t>. As such KPI/SLA</w:t>
      </w:r>
      <w:r w:rsidR="00A87967">
        <w:rPr>
          <w:szCs w:val="22"/>
        </w:rPr>
        <w:t xml:space="preserve"> </w:t>
      </w:r>
      <w:r w:rsidRPr="00EE0C1D">
        <w:rPr>
          <w:szCs w:val="22"/>
        </w:rPr>
        <w:t>1 is subject to change and is dependent upon key gateway points being met in terms of receiving information from the customer and obtaining all required approvals.</w:t>
      </w:r>
    </w:p>
    <w:p w14:paraId="0ACA9741" w14:textId="74D89277" w:rsidR="006166FB" w:rsidRPr="00EE0C1D" w:rsidRDefault="006166FB" w:rsidP="00EE0C1D">
      <w:pPr>
        <w:pStyle w:val="Heading2"/>
        <w:tabs>
          <w:tab w:val="clear" w:pos="1996"/>
          <w:tab w:val="num" w:pos="709"/>
        </w:tabs>
        <w:overflowPunct w:val="0"/>
        <w:autoSpaceDE w:val="0"/>
        <w:autoSpaceDN w:val="0"/>
        <w:spacing w:after="120"/>
        <w:ind w:left="709" w:hanging="709"/>
        <w:textAlignment w:val="baseline"/>
        <w:rPr>
          <w:szCs w:val="22"/>
        </w:rPr>
      </w:pPr>
      <w:r>
        <w:t xml:space="preserve">As an example to the above table, if the Potential Provider missed KPI 3, they would incur a </w:t>
      </w:r>
      <w:r w:rsidR="00EF560A">
        <w:t>reimbursement cost</w:t>
      </w:r>
      <w:r w:rsidR="00A13A6D">
        <w:t xml:space="preserve"> of 10</w:t>
      </w:r>
      <w:r>
        <w:t xml:space="preserve">% against the Milestone Payment. As the Potential Provider would have been paid 15% of the total contract value for meeting this KPI, they would now </w:t>
      </w:r>
      <w:r w:rsidR="00120DAA">
        <w:t xml:space="preserve">reimburse the contracting authority </w:t>
      </w:r>
      <w:r w:rsidR="00A13A6D">
        <w:t>by 10</w:t>
      </w:r>
      <w:r>
        <w:t>%. This me</w:t>
      </w:r>
      <w:r w:rsidR="00120DAA">
        <w:t>ans if the payment was for £15,000, the customer would receive £1,500</w:t>
      </w:r>
      <w:r>
        <w:t xml:space="preserve"> if the KPI was missed.</w:t>
      </w:r>
    </w:p>
    <w:p w14:paraId="3F767EF8" w14:textId="77777777" w:rsidR="00671798" w:rsidRDefault="00FE18AC">
      <w:pPr>
        <w:pStyle w:val="Heading1"/>
        <w:spacing w:after="120"/>
      </w:pPr>
      <w:bookmarkStart w:id="35" w:name="_Toc368573040"/>
      <w:bookmarkStart w:id="36" w:name="_Toc497746107"/>
      <w:r>
        <w:t>Security requirements</w:t>
      </w:r>
      <w:bookmarkEnd w:id="35"/>
      <w:bookmarkEnd w:id="36"/>
    </w:p>
    <w:p w14:paraId="3FF1BF98" w14:textId="4FED5319" w:rsidR="00671798" w:rsidRPr="00EE0C1D" w:rsidRDefault="005A2CAE"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Due care must be taken by the Potential Provider to protect the confidentiality of all analysis and outputs (including in development and draft phases) relating to this requirement, t</w:t>
      </w:r>
      <w:r w:rsidR="00F51164" w:rsidRPr="00EE0C1D">
        <w:rPr>
          <w:szCs w:val="22"/>
        </w:rPr>
        <w:t>o avoid pre-empting the Authority</w:t>
      </w:r>
      <w:r w:rsidRPr="00EE0C1D">
        <w:rPr>
          <w:szCs w:val="22"/>
        </w:rPr>
        <w:t>’s placement of the final report in the public domain.</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41"/>
      <w:bookmarkStart w:id="38" w:name="_Toc497746108"/>
      <w:r>
        <w:rPr>
          <w:rFonts w:cs="Arial"/>
          <w:szCs w:val="22"/>
        </w:rPr>
        <w:t>intellectual property rights (ipr)</w:t>
      </w:r>
      <w:bookmarkEnd w:id="37"/>
      <w:bookmarkEnd w:id="38"/>
    </w:p>
    <w:p w14:paraId="2F7EC9A0" w14:textId="77777777" w:rsidR="00A13A6D" w:rsidRDefault="00A13A6D" w:rsidP="00EE0C1D">
      <w:pPr>
        <w:pStyle w:val="Heading2"/>
        <w:tabs>
          <w:tab w:val="clear" w:pos="1996"/>
          <w:tab w:val="num" w:pos="709"/>
        </w:tabs>
        <w:overflowPunct w:val="0"/>
        <w:autoSpaceDE w:val="0"/>
        <w:autoSpaceDN w:val="0"/>
        <w:spacing w:after="120"/>
        <w:ind w:left="709" w:hanging="709"/>
        <w:textAlignment w:val="baseline"/>
        <w:rPr>
          <w:szCs w:val="22"/>
        </w:rPr>
      </w:pPr>
      <w:r>
        <w:rPr>
          <w:szCs w:val="22"/>
        </w:rPr>
        <w:t xml:space="preserve">Please note this is a special term within the Appendix C – Terms and Conditions document: </w:t>
      </w:r>
    </w:p>
    <w:p w14:paraId="0A8D6A29" w14:textId="2E09BBBE" w:rsidR="00D73062" w:rsidRPr="00EE0C1D" w:rsidRDefault="00D73062"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All analysis </w:t>
      </w:r>
      <w:r w:rsidR="00A173DB" w:rsidRPr="00EE0C1D">
        <w:rPr>
          <w:szCs w:val="22"/>
        </w:rPr>
        <w:t xml:space="preserve">(including any calculations, </w:t>
      </w:r>
      <w:r w:rsidR="000A0AA9" w:rsidRPr="00EE0C1D">
        <w:rPr>
          <w:szCs w:val="22"/>
        </w:rPr>
        <w:t xml:space="preserve">main assumptions </w:t>
      </w:r>
      <w:r w:rsidR="00A173DB" w:rsidRPr="00EE0C1D">
        <w:rPr>
          <w:szCs w:val="22"/>
        </w:rPr>
        <w:t xml:space="preserve">and </w:t>
      </w:r>
      <w:r w:rsidR="000A0AA9" w:rsidRPr="00EE0C1D">
        <w:rPr>
          <w:szCs w:val="22"/>
        </w:rPr>
        <w:t>model descriptions</w:t>
      </w:r>
      <w:r w:rsidRPr="00EE0C1D">
        <w:rPr>
          <w:szCs w:val="22"/>
        </w:rPr>
        <w:t xml:space="preserve">) used to generate the outputs should be provided to the </w:t>
      </w:r>
      <w:r w:rsidR="00F51164" w:rsidRPr="00EE0C1D">
        <w:rPr>
          <w:szCs w:val="22"/>
        </w:rPr>
        <w:t>Authority</w:t>
      </w:r>
      <w:r w:rsidRPr="00EE0C1D">
        <w:rPr>
          <w:szCs w:val="22"/>
        </w:rPr>
        <w:t xml:space="preserve"> for future use.</w:t>
      </w:r>
      <w:r w:rsidR="000506E8" w:rsidRPr="00EE0C1D">
        <w:rPr>
          <w:szCs w:val="22"/>
        </w:rPr>
        <w:t xml:space="preserve"> This analysis, and the interim and final reports, will b</w:t>
      </w:r>
      <w:r w:rsidR="00F51164" w:rsidRPr="00EE0C1D">
        <w:rPr>
          <w:szCs w:val="22"/>
        </w:rPr>
        <w:t>e the property of the Authority</w:t>
      </w:r>
      <w:r w:rsidR="000506E8" w:rsidRPr="00EE0C1D">
        <w:rPr>
          <w:szCs w:val="22"/>
        </w:rPr>
        <w:t xml:space="preserve">.  The successful provider must not disclose the report (either in part or in full) to any third parties prior to publication by the </w:t>
      </w:r>
      <w:r w:rsidR="00F51164" w:rsidRPr="00EE0C1D">
        <w:rPr>
          <w:szCs w:val="22"/>
        </w:rPr>
        <w:t>Authority, unless the Authority</w:t>
      </w:r>
      <w:r w:rsidR="0043063C" w:rsidRPr="00EE0C1D">
        <w:rPr>
          <w:szCs w:val="22"/>
        </w:rPr>
        <w:t xml:space="preserve"> </w:t>
      </w:r>
      <w:r w:rsidR="000506E8" w:rsidRPr="00EE0C1D">
        <w:rPr>
          <w:szCs w:val="22"/>
        </w:rPr>
        <w:t>g</w:t>
      </w:r>
      <w:r w:rsidR="00685F55" w:rsidRPr="00EE0C1D">
        <w:rPr>
          <w:szCs w:val="22"/>
        </w:rPr>
        <w:t>ives express consent to do so.</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97746109"/>
      <w:bookmarkStart w:id="40" w:name="_Toc368573042"/>
      <w:r w:rsidRPr="00874062">
        <w:rPr>
          <w:rFonts w:cs="Arial"/>
          <w:szCs w:val="22"/>
        </w:rPr>
        <w:t>payment</w:t>
      </w:r>
      <w:bookmarkEnd w:id="39"/>
    </w:p>
    <w:p w14:paraId="16FCA517" w14:textId="77777777" w:rsidR="0034162F" w:rsidRPr="00EE0C1D" w:rsidRDefault="0036555C"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Payment can only be made following satisfactory</w:t>
      </w:r>
      <w:r w:rsidR="00A173DB" w:rsidRPr="00EE0C1D">
        <w:rPr>
          <w:szCs w:val="22"/>
        </w:rPr>
        <w:t xml:space="preserve"> and timely</w:t>
      </w:r>
      <w:r w:rsidRPr="00EE0C1D">
        <w:rPr>
          <w:szCs w:val="22"/>
        </w:rPr>
        <w:t xml:space="preserve"> delivery of pre-agreed certi</w:t>
      </w:r>
      <w:r w:rsidR="00685F55" w:rsidRPr="00EE0C1D">
        <w:rPr>
          <w:szCs w:val="22"/>
        </w:rPr>
        <w:t>fied products and deliverables.</w:t>
      </w:r>
      <w:r w:rsidR="0034162F" w:rsidRPr="00EE0C1D">
        <w:rPr>
          <w:szCs w:val="22"/>
        </w:rPr>
        <w:t xml:space="preserve"> Payment will be made in arrears, subject to invoice(s) being submitted for work carried out.</w:t>
      </w:r>
    </w:p>
    <w:p w14:paraId="5B9C174D" w14:textId="75561D32" w:rsidR="0034162F" w:rsidRPr="00EE0C1D" w:rsidRDefault="0034162F"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Before payment can be considered, invoice(s) must include a detailed elemental breakdown of work completed and the associated costs.</w:t>
      </w:r>
    </w:p>
    <w:p w14:paraId="08D719EC" w14:textId="77777777" w:rsidR="00FE18AC" w:rsidRPr="00E76DDB"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97746110"/>
      <w:r w:rsidRPr="00E76DDB">
        <w:rPr>
          <w:rFonts w:cs="Arial"/>
          <w:szCs w:val="22"/>
        </w:rPr>
        <w:t>additional information</w:t>
      </w:r>
      <w:bookmarkEnd w:id="40"/>
      <w:bookmarkEnd w:id="41"/>
      <w:r w:rsidRPr="00E76DDB">
        <w:rPr>
          <w:rFonts w:cs="Arial"/>
          <w:szCs w:val="22"/>
        </w:rPr>
        <w:t xml:space="preserve"> </w:t>
      </w:r>
    </w:p>
    <w:p w14:paraId="3F0A2F0D" w14:textId="23DFFE4C" w:rsidR="00671798" w:rsidRPr="00EE0C1D" w:rsidRDefault="0034162F"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Potential Provider should demonstrate that they are open to working collaboratively with other suppliers, contracted by the </w:t>
      </w:r>
      <w:r w:rsidR="00F51164" w:rsidRPr="00EE0C1D">
        <w:rPr>
          <w:szCs w:val="22"/>
        </w:rPr>
        <w:t>Authority</w:t>
      </w:r>
      <w:r w:rsidRPr="00EE0C1D">
        <w:rPr>
          <w:szCs w:val="22"/>
        </w:rPr>
        <w:t xml:space="preserve"> in order to deliver related pieces of analysis.</w:t>
      </w:r>
    </w:p>
    <w:p w14:paraId="04BBE808" w14:textId="77777777" w:rsidR="00671798" w:rsidRDefault="00FE18AC">
      <w:pPr>
        <w:pStyle w:val="Heading1"/>
        <w:spacing w:after="120"/>
      </w:pPr>
      <w:bookmarkStart w:id="42" w:name="_Toc368573043"/>
      <w:bookmarkStart w:id="43" w:name="_Toc497746111"/>
      <w:bookmarkEnd w:id="17"/>
      <w:r>
        <w:t>Location</w:t>
      </w:r>
      <w:bookmarkEnd w:id="42"/>
      <w:bookmarkEnd w:id="43"/>
      <w:r>
        <w:t xml:space="preserve"> </w:t>
      </w:r>
    </w:p>
    <w:p w14:paraId="31424888" w14:textId="355F2D5E" w:rsidR="002F7AA1" w:rsidRPr="00EE0C1D" w:rsidRDefault="00E76DDB" w:rsidP="00EE0C1D">
      <w:pPr>
        <w:pStyle w:val="Heading2"/>
        <w:tabs>
          <w:tab w:val="clear" w:pos="1996"/>
          <w:tab w:val="num" w:pos="709"/>
        </w:tabs>
        <w:overflowPunct w:val="0"/>
        <w:autoSpaceDE w:val="0"/>
        <w:autoSpaceDN w:val="0"/>
        <w:spacing w:after="120"/>
        <w:ind w:left="709" w:hanging="709"/>
        <w:textAlignment w:val="baseline"/>
        <w:rPr>
          <w:szCs w:val="22"/>
        </w:rPr>
      </w:pPr>
      <w:r w:rsidRPr="00EE0C1D">
        <w:rPr>
          <w:szCs w:val="22"/>
        </w:rPr>
        <w:t xml:space="preserve">The location of the Services will be carried out at </w:t>
      </w:r>
      <w:r w:rsidR="003B7301" w:rsidRPr="00EE0C1D">
        <w:rPr>
          <w:szCs w:val="22"/>
        </w:rPr>
        <w:t>the offices of the Potential Provider</w:t>
      </w:r>
      <w:r w:rsidRPr="00EE0C1D">
        <w:rPr>
          <w:szCs w:val="22"/>
        </w:rPr>
        <w:t xml:space="preserve">. However, frequent meetings will need to take place with the </w:t>
      </w:r>
      <w:r w:rsidR="00F51164" w:rsidRPr="00EE0C1D">
        <w:rPr>
          <w:szCs w:val="22"/>
        </w:rPr>
        <w:t>Authority</w:t>
      </w:r>
      <w:r w:rsidRPr="00EE0C1D">
        <w:rPr>
          <w:szCs w:val="22"/>
        </w:rPr>
        <w:t xml:space="preserve"> </w:t>
      </w:r>
      <w:r w:rsidR="0034162F" w:rsidRPr="00EE0C1D">
        <w:rPr>
          <w:szCs w:val="22"/>
        </w:rPr>
        <w:t>at the Potential Provider</w:t>
      </w:r>
      <w:r w:rsidR="00F51164" w:rsidRPr="00EE0C1D">
        <w:rPr>
          <w:szCs w:val="22"/>
        </w:rPr>
        <w:t>’s offices, or at the Authority’s</w:t>
      </w:r>
      <w:r w:rsidR="0034162F" w:rsidRPr="00EE0C1D">
        <w:rPr>
          <w:szCs w:val="22"/>
        </w:rPr>
        <w:t xml:space="preserve"> offices in the Eastcheap Court 11 Philpot Lane, London EC3M 8UD and meeting spaces at 1 Horse Guard Road, London SW1A 2HQ.</w:t>
      </w: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22"/>
      <w:footerReference w:type="default" r:id="rId2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4871" w14:textId="77777777" w:rsidR="00BF632C" w:rsidRDefault="00BF632C">
      <w:pPr>
        <w:spacing w:line="20" w:lineRule="exact"/>
      </w:pPr>
    </w:p>
  </w:endnote>
  <w:endnote w:type="continuationSeparator" w:id="0">
    <w:p w14:paraId="78442B68" w14:textId="77777777" w:rsidR="00BF632C" w:rsidRDefault="00BF632C">
      <w:pPr>
        <w:spacing w:line="20" w:lineRule="exact"/>
      </w:pPr>
      <w:r>
        <w:t xml:space="preserve"> </w:t>
      </w:r>
    </w:p>
  </w:endnote>
  <w:endnote w:type="continuationNotice" w:id="1">
    <w:p w14:paraId="07062FBF" w14:textId="77777777" w:rsidR="00BF632C" w:rsidRDefault="00BF632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6818AD" w:rsidRDefault="006818AD"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2B4D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6818AD" w:rsidRPr="00985B4D" w:rsidRDefault="006818AD" w:rsidP="00985B4D">
        <w:pPr>
          <w:pStyle w:val="Footer"/>
          <w:jc w:val="center"/>
          <w:rPr>
            <w:sz w:val="20"/>
            <w:szCs w:val="20"/>
          </w:rPr>
        </w:pPr>
        <w:r w:rsidRPr="00985B4D">
          <w:rPr>
            <w:sz w:val="20"/>
            <w:szCs w:val="20"/>
          </w:rPr>
          <w:t>OFFICIAL</w:t>
        </w:r>
      </w:p>
      <w:p w14:paraId="7F67DA18" w14:textId="11B3DC9A" w:rsidR="006818AD" w:rsidRPr="00985B4D" w:rsidRDefault="006818AD">
        <w:pPr>
          <w:pStyle w:val="Footer"/>
          <w:rPr>
            <w:sz w:val="20"/>
            <w:szCs w:val="20"/>
          </w:rPr>
        </w:pPr>
        <w:r w:rsidRPr="00985B4D">
          <w:rPr>
            <w:sz w:val="20"/>
            <w:szCs w:val="20"/>
          </w:rPr>
          <w:t>Appendix B – Statement of Requirements</w:t>
        </w:r>
      </w:p>
      <w:p w14:paraId="5D89FCCB" w14:textId="34AE2842" w:rsidR="006818AD" w:rsidRDefault="006818AD">
        <w:pPr>
          <w:pStyle w:val="Footer"/>
          <w:rPr>
            <w:sz w:val="20"/>
            <w:szCs w:val="20"/>
          </w:rPr>
        </w:pPr>
        <w:r>
          <w:rPr>
            <w:sz w:val="20"/>
            <w:szCs w:val="20"/>
          </w:rPr>
          <w:t>Chris Dier</w:t>
        </w:r>
      </w:p>
      <w:p w14:paraId="4C8F6B02" w14:textId="04B9718D" w:rsidR="000C7FAD" w:rsidRPr="00985B4D" w:rsidRDefault="000C7FAD">
        <w:pPr>
          <w:pStyle w:val="Footer"/>
          <w:rPr>
            <w:sz w:val="20"/>
            <w:szCs w:val="20"/>
          </w:rPr>
        </w:pPr>
        <w:r>
          <w:rPr>
            <w:rFonts w:cs="Arial"/>
            <w:color w:val="222222"/>
            <w:sz w:val="19"/>
            <w:szCs w:val="19"/>
            <w:shd w:val="clear" w:color="auto" w:fill="FFFFFF"/>
          </w:rPr>
          <w:t>© Crown copyright 2016</w:t>
        </w:r>
      </w:p>
      <w:p w14:paraId="42D6E6E6" w14:textId="25BAE23E" w:rsidR="006818AD" w:rsidRPr="00985B4D" w:rsidRDefault="000C7FAD" w:rsidP="00985B4D">
        <w:pPr>
          <w:pStyle w:val="Footer"/>
          <w:jc w:val="right"/>
          <w:rPr>
            <w:sz w:val="20"/>
            <w:szCs w:val="20"/>
          </w:rPr>
        </w:pPr>
        <w:r>
          <w:rPr>
            <w:sz w:val="20"/>
            <w:szCs w:val="20"/>
          </w:rPr>
          <w:t>V1.0 06/11</w:t>
        </w:r>
        <w:r w:rsidR="006818AD">
          <w:rPr>
            <w:sz w:val="20"/>
            <w:szCs w:val="20"/>
          </w:rPr>
          <w:t>/17</w:t>
        </w:r>
      </w:p>
      <w:p w14:paraId="5214230D" w14:textId="1BAE5C21" w:rsidR="006818AD" w:rsidRDefault="006818A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F632C">
          <w:rPr>
            <w:noProof/>
            <w:sz w:val="20"/>
            <w:szCs w:val="20"/>
          </w:rPr>
          <w:t>1</w:t>
        </w:r>
        <w:r w:rsidRPr="00985B4D">
          <w:rPr>
            <w:noProof/>
            <w:sz w:val="20"/>
            <w:szCs w:val="20"/>
          </w:rPr>
          <w:fldChar w:fldCharType="end"/>
        </w:r>
      </w:p>
    </w:sdtContent>
  </w:sdt>
  <w:p w14:paraId="6CEF1DBF" w14:textId="77777777" w:rsidR="006818AD" w:rsidRPr="002933F8" w:rsidRDefault="006818A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A204" w14:textId="77777777" w:rsidR="00BF632C" w:rsidRDefault="00BF632C">
      <w:r>
        <w:separator/>
      </w:r>
    </w:p>
  </w:footnote>
  <w:footnote w:type="continuationSeparator" w:id="0">
    <w:p w14:paraId="4A4091CE" w14:textId="77777777" w:rsidR="00BF632C" w:rsidRDefault="00BF632C">
      <w:r>
        <w:continuationSeparator/>
      </w:r>
    </w:p>
  </w:footnote>
  <w:footnote w:type="continuationNotice" w:id="1">
    <w:p w14:paraId="1BE6E8BE" w14:textId="77777777" w:rsidR="00BF632C" w:rsidRDefault="00BF6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6818AD" w:rsidRPr="006F0630" w:rsidRDefault="006818AD" w:rsidP="00985B4D">
    <w:pPr>
      <w:tabs>
        <w:tab w:val="center" w:pos="4153"/>
        <w:tab w:val="right" w:pos="8306"/>
      </w:tabs>
      <w:ind w:left="720"/>
      <w:jc w:val="center"/>
      <w:rPr>
        <w:sz w:val="20"/>
        <w:szCs w:val="20"/>
      </w:rPr>
    </w:pPr>
    <w:r w:rsidRPr="006F0630">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6F0630">
      <w:rPr>
        <w:sz w:val="20"/>
        <w:szCs w:val="20"/>
      </w:rPr>
      <w:t>OFFICIAL</w:t>
    </w:r>
  </w:p>
  <w:p w14:paraId="0BC6A7D6" w14:textId="122A3CBC" w:rsidR="006818AD" w:rsidRPr="006F0630" w:rsidRDefault="006818AD" w:rsidP="00985B4D">
    <w:pPr>
      <w:tabs>
        <w:tab w:val="center" w:pos="4153"/>
        <w:tab w:val="right" w:pos="8306"/>
      </w:tabs>
      <w:ind w:left="720"/>
      <w:jc w:val="center"/>
      <w:rPr>
        <w:sz w:val="20"/>
        <w:szCs w:val="20"/>
      </w:rPr>
    </w:pPr>
    <w:r w:rsidRPr="006F0630">
      <w:rPr>
        <w:sz w:val="20"/>
        <w:szCs w:val="20"/>
      </w:rPr>
      <w:t>Appendix B – Statement of Requirements</w:t>
    </w:r>
  </w:p>
  <w:p w14:paraId="1B51DB7C" w14:textId="54A3E82B" w:rsidR="006818AD" w:rsidRDefault="006818AD" w:rsidP="005334EA">
    <w:pPr>
      <w:tabs>
        <w:tab w:val="center" w:pos="4153"/>
        <w:tab w:val="right" w:pos="8306"/>
      </w:tabs>
      <w:ind w:left="720"/>
      <w:jc w:val="center"/>
      <w:rPr>
        <w:rFonts w:cs="Arial"/>
        <w:sz w:val="20"/>
        <w:szCs w:val="20"/>
      </w:rPr>
    </w:pPr>
    <w:r>
      <w:t>The Provision of Consultancy for Future Electricity Capacity and Costs</w:t>
    </w:r>
    <w:r w:rsidR="000C7FAD">
      <w:t xml:space="preserve"> for The National Infrastructure Commission</w:t>
    </w:r>
    <w:r w:rsidRPr="006F0630" w:rsidDel="00D914DA">
      <w:rPr>
        <w:rFonts w:cs="Arial"/>
        <w:sz w:val="20"/>
        <w:szCs w:val="20"/>
      </w:rPr>
      <w:t xml:space="preserve"> </w:t>
    </w:r>
  </w:p>
  <w:p w14:paraId="605B3446" w14:textId="362FA847" w:rsidR="006818AD" w:rsidRPr="009D0EAE" w:rsidRDefault="000C7FAD" w:rsidP="00AB60EE">
    <w:pPr>
      <w:tabs>
        <w:tab w:val="center" w:pos="4153"/>
        <w:tab w:val="right" w:pos="8306"/>
      </w:tabs>
      <w:ind w:left="720"/>
      <w:jc w:val="center"/>
      <w:rPr>
        <w:highlight w:val="yellow"/>
      </w:rPr>
    </w:pPr>
    <w:r>
      <w:t xml:space="preserve">    </w:t>
    </w:r>
    <w:r w:rsidR="006818AD" w:rsidRPr="00893EF7">
      <w:t>Contract Reference: CCCC17B26</w:t>
    </w:r>
    <w:r w:rsidR="006818AD" w:rsidRPr="00893EF7">
      <w:rPr>
        <w:rFonts w:cs="Arial"/>
        <w:szCs w:val="20"/>
        <w:shd w:val="clear" w:color="auto" w:fill="FFFFFF"/>
      </w:rPr>
      <w:t xml:space="preserve"> </w:t>
    </w:r>
  </w:p>
  <w:p w14:paraId="6F1572B1" w14:textId="72A5FA10" w:rsidR="006818AD" w:rsidRPr="00074357" w:rsidRDefault="006818AD"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34D2A45E">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A14C1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3C31C1"/>
    <w:multiLevelType w:val="hybridMultilevel"/>
    <w:tmpl w:val="EF26352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0C10675A"/>
    <w:multiLevelType w:val="hybridMultilevel"/>
    <w:tmpl w:val="7A988392"/>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0CAE19DD"/>
    <w:multiLevelType w:val="hybridMultilevel"/>
    <w:tmpl w:val="3318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440AEB"/>
    <w:multiLevelType w:val="hybridMultilevel"/>
    <w:tmpl w:val="1F22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C3B4A"/>
    <w:multiLevelType w:val="hybridMultilevel"/>
    <w:tmpl w:val="94F6358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70238B8"/>
    <w:multiLevelType w:val="hybridMultilevel"/>
    <w:tmpl w:val="E932C5C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C2A091E"/>
    <w:multiLevelType w:val="hybridMultilevel"/>
    <w:tmpl w:val="D032A8F8"/>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572847"/>
    <w:multiLevelType w:val="hybridMultilevel"/>
    <w:tmpl w:val="FC6A175A"/>
    <w:lvl w:ilvl="0" w:tplc="0809000F">
      <w:start w:val="1"/>
      <w:numFmt w:val="decimal"/>
      <w:lvlText w:val="%1."/>
      <w:lvlJc w:val="left"/>
      <w:pPr>
        <w:ind w:left="2007" w:hanging="360"/>
      </w:pPr>
      <w:rPr>
        <w:rFont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94F26"/>
    <w:multiLevelType w:val="hybridMultilevel"/>
    <w:tmpl w:val="76308A8C"/>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6C2C5C"/>
    <w:multiLevelType w:val="multilevel"/>
    <w:tmpl w:val="1332CCD4"/>
    <w:name w:val="Plato Schedule Numbering List"/>
    <w:numStyleLink w:val="111111"/>
  </w:abstractNum>
  <w:abstractNum w:abstractNumId="29" w15:restartNumberingAfterBreak="0">
    <w:nsid w:val="50965CCA"/>
    <w:multiLevelType w:val="multilevel"/>
    <w:tmpl w:val="1332CCD4"/>
    <w:name w:val="Appendicies Heading List"/>
    <w:numStyleLink w:val="111111"/>
  </w:abstractNum>
  <w:abstractNum w:abstractNumId="30" w15:restartNumberingAfterBreak="0">
    <w:nsid w:val="51200365"/>
    <w:multiLevelType w:val="multilevel"/>
    <w:tmpl w:val="D2DAB11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996"/>
        </w:tabs>
        <w:ind w:left="1996" w:hanging="720"/>
      </w:pPr>
      <w:rPr>
        <w:rFonts w:hint="default"/>
        <w:b w:val="0"/>
        <w:caps w:val="0"/>
        <w:color w:val="auto"/>
        <w:effect w:val="none"/>
      </w:rPr>
    </w:lvl>
    <w:lvl w:ilvl="2">
      <w:start w:val="1"/>
      <w:numFmt w:val="bullet"/>
      <w:pStyle w:val="Heading3"/>
      <w:lvlText w:val=""/>
      <w:lvlJc w:val="left"/>
      <w:pPr>
        <w:tabs>
          <w:tab w:val="num" w:pos="2072"/>
        </w:tabs>
        <w:ind w:left="2072" w:hanging="1080"/>
      </w:pPr>
      <w:rPr>
        <w:rFonts w:ascii="Symbol" w:hAnsi="Symbo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C4E69EA"/>
    <w:multiLevelType w:val="hybridMultilevel"/>
    <w:tmpl w:val="2696C4B8"/>
    <w:lvl w:ilvl="0" w:tplc="08090001">
      <w:start w:val="1"/>
      <w:numFmt w:val="bullet"/>
      <w:lvlText w:val=""/>
      <w:lvlJc w:val="left"/>
      <w:pPr>
        <w:ind w:left="1636" w:hanging="360"/>
      </w:pPr>
      <w:rPr>
        <w:rFonts w:ascii="Symbol" w:hAnsi="Symbol"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2774AB0"/>
    <w:multiLevelType w:val="hybridMultilevel"/>
    <w:tmpl w:val="7A988392"/>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0"/>
  </w:num>
  <w:num w:numId="3">
    <w:abstractNumId w:val="19"/>
  </w:num>
  <w:num w:numId="4">
    <w:abstractNumId w:val="21"/>
  </w:num>
  <w:num w:numId="5">
    <w:abstractNumId w:val="5"/>
  </w:num>
  <w:num w:numId="6">
    <w:abstractNumId w:val="27"/>
  </w:num>
  <w:num w:numId="7">
    <w:abstractNumId w:val="24"/>
  </w:num>
  <w:num w:numId="8">
    <w:abstractNumId w:val="17"/>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2"/>
  </w:num>
  <w:num w:numId="16">
    <w:abstractNumId w:val="35"/>
  </w:num>
  <w:num w:numId="17">
    <w:abstractNumId w:val="11"/>
  </w:num>
  <w:num w:numId="18">
    <w:abstractNumId w:val="25"/>
  </w:num>
  <w:num w:numId="19">
    <w:abstractNumId w:val="22"/>
  </w:num>
  <w:num w:numId="20">
    <w:abstractNumId w:val="32"/>
  </w:num>
  <w:num w:numId="21">
    <w:abstractNumId w:val="1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9"/>
  </w:num>
  <w:num w:numId="26">
    <w:abstractNumId w:val="31"/>
  </w:num>
  <w:num w:numId="27">
    <w:abstractNumId w:val="23"/>
  </w:num>
  <w:num w:numId="28">
    <w:abstractNumId w:val="18"/>
  </w:num>
  <w:num w:numId="29">
    <w:abstractNumId w:val="14"/>
  </w:num>
  <w:num w:numId="30">
    <w:abstractNumId w:val="34"/>
  </w:num>
  <w:num w:numId="31">
    <w:abstractNumId w:val="26"/>
  </w:num>
  <w:num w:numId="32">
    <w:abstractNumId w:val="20"/>
  </w:num>
  <w:num w:numId="33">
    <w:abstractNumId w:val="8"/>
  </w:num>
  <w:num w:numId="34">
    <w:abstractNumId w:val="7"/>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 w:numId="81">
    <w:abstractNumId w:val="30"/>
  </w:num>
  <w:num w:numId="82">
    <w:abstractNumId w:val="30"/>
  </w:num>
  <w:num w:numId="83">
    <w:abstractNumId w:val="30"/>
  </w:num>
  <w:num w:numId="84">
    <w:abstractNumId w:val="30"/>
  </w:num>
  <w:num w:numId="85">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372"/>
    <w:rsid w:val="00000F92"/>
    <w:rsid w:val="00001043"/>
    <w:rsid w:val="000014F8"/>
    <w:rsid w:val="00002A5E"/>
    <w:rsid w:val="000033CA"/>
    <w:rsid w:val="00004DDC"/>
    <w:rsid w:val="0000639C"/>
    <w:rsid w:val="000067FA"/>
    <w:rsid w:val="00007A30"/>
    <w:rsid w:val="000110CC"/>
    <w:rsid w:val="00011988"/>
    <w:rsid w:val="000120D1"/>
    <w:rsid w:val="00012987"/>
    <w:rsid w:val="0001386E"/>
    <w:rsid w:val="0001408F"/>
    <w:rsid w:val="00014A44"/>
    <w:rsid w:val="00020611"/>
    <w:rsid w:val="000209FA"/>
    <w:rsid w:val="0002117B"/>
    <w:rsid w:val="000213ED"/>
    <w:rsid w:val="00022304"/>
    <w:rsid w:val="0002302C"/>
    <w:rsid w:val="00023298"/>
    <w:rsid w:val="0002409B"/>
    <w:rsid w:val="00024AE7"/>
    <w:rsid w:val="00024B2F"/>
    <w:rsid w:val="00026CBD"/>
    <w:rsid w:val="00026E28"/>
    <w:rsid w:val="00027C05"/>
    <w:rsid w:val="000318CA"/>
    <w:rsid w:val="0003289F"/>
    <w:rsid w:val="000352D6"/>
    <w:rsid w:val="00035A45"/>
    <w:rsid w:val="000371A7"/>
    <w:rsid w:val="00037CB6"/>
    <w:rsid w:val="00037E8F"/>
    <w:rsid w:val="00040329"/>
    <w:rsid w:val="00040A60"/>
    <w:rsid w:val="00042243"/>
    <w:rsid w:val="000459DD"/>
    <w:rsid w:val="000500B0"/>
    <w:rsid w:val="000506E8"/>
    <w:rsid w:val="00051303"/>
    <w:rsid w:val="00052A65"/>
    <w:rsid w:val="00053DF7"/>
    <w:rsid w:val="0005414E"/>
    <w:rsid w:val="00056F7F"/>
    <w:rsid w:val="00060D0E"/>
    <w:rsid w:val="000645CC"/>
    <w:rsid w:val="00066D70"/>
    <w:rsid w:val="0007040F"/>
    <w:rsid w:val="000717BE"/>
    <w:rsid w:val="0007280F"/>
    <w:rsid w:val="00072BE9"/>
    <w:rsid w:val="00072D38"/>
    <w:rsid w:val="00074357"/>
    <w:rsid w:val="00074D97"/>
    <w:rsid w:val="00074DC0"/>
    <w:rsid w:val="000763EA"/>
    <w:rsid w:val="00076448"/>
    <w:rsid w:val="0007733A"/>
    <w:rsid w:val="000812AE"/>
    <w:rsid w:val="0008330B"/>
    <w:rsid w:val="00086DCF"/>
    <w:rsid w:val="00090D6B"/>
    <w:rsid w:val="000910A7"/>
    <w:rsid w:val="00092145"/>
    <w:rsid w:val="00092C56"/>
    <w:rsid w:val="00094E2D"/>
    <w:rsid w:val="00096F76"/>
    <w:rsid w:val="00097EBA"/>
    <w:rsid w:val="000A0AA9"/>
    <w:rsid w:val="000A0BB0"/>
    <w:rsid w:val="000A0C5F"/>
    <w:rsid w:val="000A0D22"/>
    <w:rsid w:val="000A1031"/>
    <w:rsid w:val="000A448D"/>
    <w:rsid w:val="000A462F"/>
    <w:rsid w:val="000A5E95"/>
    <w:rsid w:val="000A65E5"/>
    <w:rsid w:val="000A72F8"/>
    <w:rsid w:val="000B12A9"/>
    <w:rsid w:val="000B1C66"/>
    <w:rsid w:val="000B29B2"/>
    <w:rsid w:val="000B4297"/>
    <w:rsid w:val="000B4955"/>
    <w:rsid w:val="000B5C9F"/>
    <w:rsid w:val="000B7E75"/>
    <w:rsid w:val="000C0CEA"/>
    <w:rsid w:val="000C1D0A"/>
    <w:rsid w:val="000C2484"/>
    <w:rsid w:val="000C2589"/>
    <w:rsid w:val="000C2E05"/>
    <w:rsid w:val="000C4175"/>
    <w:rsid w:val="000C62B0"/>
    <w:rsid w:val="000C68BF"/>
    <w:rsid w:val="000C6BD6"/>
    <w:rsid w:val="000C7C2B"/>
    <w:rsid w:val="000C7FAD"/>
    <w:rsid w:val="000D3719"/>
    <w:rsid w:val="000D4605"/>
    <w:rsid w:val="000E031B"/>
    <w:rsid w:val="000E4C53"/>
    <w:rsid w:val="000E50AB"/>
    <w:rsid w:val="000E6052"/>
    <w:rsid w:val="000E7055"/>
    <w:rsid w:val="000F232D"/>
    <w:rsid w:val="000F3348"/>
    <w:rsid w:val="000F3500"/>
    <w:rsid w:val="000F3E1D"/>
    <w:rsid w:val="000F52E6"/>
    <w:rsid w:val="00100B77"/>
    <w:rsid w:val="00100BDE"/>
    <w:rsid w:val="00101A65"/>
    <w:rsid w:val="001029F6"/>
    <w:rsid w:val="0010318E"/>
    <w:rsid w:val="001032C9"/>
    <w:rsid w:val="00103921"/>
    <w:rsid w:val="001040CE"/>
    <w:rsid w:val="0010453E"/>
    <w:rsid w:val="0010577C"/>
    <w:rsid w:val="00105FBC"/>
    <w:rsid w:val="00106227"/>
    <w:rsid w:val="00106F24"/>
    <w:rsid w:val="00110F67"/>
    <w:rsid w:val="00113459"/>
    <w:rsid w:val="00113CF2"/>
    <w:rsid w:val="001173D2"/>
    <w:rsid w:val="00120DAA"/>
    <w:rsid w:val="001223EC"/>
    <w:rsid w:val="00122891"/>
    <w:rsid w:val="00123FAD"/>
    <w:rsid w:val="001245F5"/>
    <w:rsid w:val="00124B69"/>
    <w:rsid w:val="001256D9"/>
    <w:rsid w:val="0012683D"/>
    <w:rsid w:val="001313AB"/>
    <w:rsid w:val="001318B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0555"/>
    <w:rsid w:val="00152E8B"/>
    <w:rsid w:val="001548AC"/>
    <w:rsid w:val="00156231"/>
    <w:rsid w:val="0015696A"/>
    <w:rsid w:val="00156E2F"/>
    <w:rsid w:val="00157D99"/>
    <w:rsid w:val="00161A2F"/>
    <w:rsid w:val="00162A29"/>
    <w:rsid w:val="0016322B"/>
    <w:rsid w:val="0016383C"/>
    <w:rsid w:val="00165916"/>
    <w:rsid w:val="00166299"/>
    <w:rsid w:val="0017017C"/>
    <w:rsid w:val="0017225B"/>
    <w:rsid w:val="00173352"/>
    <w:rsid w:val="0017368C"/>
    <w:rsid w:val="00176CBE"/>
    <w:rsid w:val="00176DF8"/>
    <w:rsid w:val="0018020B"/>
    <w:rsid w:val="001802DD"/>
    <w:rsid w:val="00181D58"/>
    <w:rsid w:val="00181E75"/>
    <w:rsid w:val="001836CB"/>
    <w:rsid w:val="00183DAF"/>
    <w:rsid w:val="00183EB0"/>
    <w:rsid w:val="001842F4"/>
    <w:rsid w:val="00184673"/>
    <w:rsid w:val="001863E6"/>
    <w:rsid w:val="001866C8"/>
    <w:rsid w:val="0018756A"/>
    <w:rsid w:val="00190A80"/>
    <w:rsid w:val="00193E7B"/>
    <w:rsid w:val="00193FB5"/>
    <w:rsid w:val="00195B9A"/>
    <w:rsid w:val="001962E6"/>
    <w:rsid w:val="00196534"/>
    <w:rsid w:val="001A091C"/>
    <w:rsid w:val="001A1780"/>
    <w:rsid w:val="001A3C4D"/>
    <w:rsid w:val="001A7AB1"/>
    <w:rsid w:val="001B0587"/>
    <w:rsid w:val="001B08AD"/>
    <w:rsid w:val="001B2EA8"/>
    <w:rsid w:val="001B3C1C"/>
    <w:rsid w:val="001B485F"/>
    <w:rsid w:val="001B4B79"/>
    <w:rsid w:val="001B52D8"/>
    <w:rsid w:val="001B62DA"/>
    <w:rsid w:val="001B7109"/>
    <w:rsid w:val="001B7657"/>
    <w:rsid w:val="001B781F"/>
    <w:rsid w:val="001C1D4B"/>
    <w:rsid w:val="001C210F"/>
    <w:rsid w:val="001C2D04"/>
    <w:rsid w:val="001C4CDC"/>
    <w:rsid w:val="001C609B"/>
    <w:rsid w:val="001C63F8"/>
    <w:rsid w:val="001C7495"/>
    <w:rsid w:val="001D0473"/>
    <w:rsid w:val="001D0D12"/>
    <w:rsid w:val="001D1ADF"/>
    <w:rsid w:val="001D1C5A"/>
    <w:rsid w:val="001D3018"/>
    <w:rsid w:val="001D54F2"/>
    <w:rsid w:val="001D5C65"/>
    <w:rsid w:val="001D6212"/>
    <w:rsid w:val="001E13B3"/>
    <w:rsid w:val="001E378F"/>
    <w:rsid w:val="001E3AB0"/>
    <w:rsid w:val="001E3BC9"/>
    <w:rsid w:val="001E3DD0"/>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1AD4"/>
    <w:rsid w:val="002552DA"/>
    <w:rsid w:val="00255F6A"/>
    <w:rsid w:val="00257039"/>
    <w:rsid w:val="00257F38"/>
    <w:rsid w:val="002600C6"/>
    <w:rsid w:val="002608F4"/>
    <w:rsid w:val="00260EF5"/>
    <w:rsid w:val="0026119D"/>
    <w:rsid w:val="002630FA"/>
    <w:rsid w:val="002634FE"/>
    <w:rsid w:val="002649FC"/>
    <w:rsid w:val="00264B89"/>
    <w:rsid w:val="0027062E"/>
    <w:rsid w:val="00271916"/>
    <w:rsid w:val="002723EE"/>
    <w:rsid w:val="00273E03"/>
    <w:rsid w:val="00274391"/>
    <w:rsid w:val="00274416"/>
    <w:rsid w:val="002745B0"/>
    <w:rsid w:val="00277524"/>
    <w:rsid w:val="00280B5B"/>
    <w:rsid w:val="002826D7"/>
    <w:rsid w:val="0028333E"/>
    <w:rsid w:val="002848C1"/>
    <w:rsid w:val="0028697F"/>
    <w:rsid w:val="00286F62"/>
    <w:rsid w:val="002876FE"/>
    <w:rsid w:val="00287C83"/>
    <w:rsid w:val="00290CAD"/>
    <w:rsid w:val="00291584"/>
    <w:rsid w:val="002933F8"/>
    <w:rsid w:val="00297858"/>
    <w:rsid w:val="00297D77"/>
    <w:rsid w:val="002A08BF"/>
    <w:rsid w:val="002A237E"/>
    <w:rsid w:val="002A5258"/>
    <w:rsid w:val="002A7D10"/>
    <w:rsid w:val="002A7DA6"/>
    <w:rsid w:val="002B123A"/>
    <w:rsid w:val="002B1E1B"/>
    <w:rsid w:val="002B294B"/>
    <w:rsid w:val="002B407C"/>
    <w:rsid w:val="002B43BE"/>
    <w:rsid w:val="002B4FD0"/>
    <w:rsid w:val="002B55ED"/>
    <w:rsid w:val="002B5AEB"/>
    <w:rsid w:val="002B5C29"/>
    <w:rsid w:val="002B5D67"/>
    <w:rsid w:val="002B6278"/>
    <w:rsid w:val="002B6FD7"/>
    <w:rsid w:val="002B744B"/>
    <w:rsid w:val="002C1AF6"/>
    <w:rsid w:val="002C1DE8"/>
    <w:rsid w:val="002C2D54"/>
    <w:rsid w:val="002C3316"/>
    <w:rsid w:val="002C3F81"/>
    <w:rsid w:val="002C4729"/>
    <w:rsid w:val="002C519F"/>
    <w:rsid w:val="002C538F"/>
    <w:rsid w:val="002C53DB"/>
    <w:rsid w:val="002C671C"/>
    <w:rsid w:val="002D268A"/>
    <w:rsid w:val="002D2841"/>
    <w:rsid w:val="002D315F"/>
    <w:rsid w:val="002D3A27"/>
    <w:rsid w:val="002D7AC9"/>
    <w:rsid w:val="002E05A6"/>
    <w:rsid w:val="002E5436"/>
    <w:rsid w:val="002E6400"/>
    <w:rsid w:val="002F13FD"/>
    <w:rsid w:val="002F1F7F"/>
    <w:rsid w:val="002F3129"/>
    <w:rsid w:val="002F42F4"/>
    <w:rsid w:val="002F5294"/>
    <w:rsid w:val="002F7AA1"/>
    <w:rsid w:val="0030038A"/>
    <w:rsid w:val="0030185A"/>
    <w:rsid w:val="003018A0"/>
    <w:rsid w:val="0030285B"/>
    <w:rsid w:val="00302B04"/>
    <w:rsid w:val="0030439A"/>
    <w:rsid w:val="003047E0"/>
    <w:rsid w:val="0030606A"/>
    <w:rsid w:val="003066E9"/>
    <w:rsid w:val="003078C4"/>
    <w:rsid w:val="0031496A"/>
    <w:rsid w:val="00315091"/>
    <w:rsid w:val="00315C76"/>
    <w:rsid w:val="0032065B"/>
    <w:rsid w:val="00323541"/>
    <w:rsid w:val="003239EE"/>
    <w:rsid w:val="00323EAA"/>
    <w:rsid w:val="00330C5C"/>
    <w:rsid w:val="00331523"/>
    <w:rsid w:val="003316AA"/>
    <w:rsid w:val="00333D28"/>
    <w:rsid w:val="003341DC"/>
    <w:rsid w:val="00334B35"/>
    <w:rsid w:val="00336059"/>
    <w:rsid w:val="0034162F"/>
    <w:rsid w:val="0034369B"/>
    <w:rsid w:val="003438D3"/>
    <w:rsid w:val="00343C78"/>
    <w:rsid w:val="003453D5"/>
    <w:rsid w:val="00345F24"/>
    <w:rsid w:val="00346A23"/>
    <w:rsid w:val="00346E9F"/>
    <w:rsid w:val="00347685"/>
    <w:rsid w:val="00347DB3"/>
    <w:rsid w:val="00351B41"/>
    <w:rsid w:val="00352261"/>
    <w:rsid w:val="00353191"/>
    <w:rsid w:val="00353EC0"/>
    <w:rsid w:val="003549B1"/>
    <w:rsid w:val="00354A9C"/>
    <w:rsid w:val="003550DB"/>
    <w:rsid w:val="00357A92"/>
    <w:rsid w:val="00357E6F"/>
    <w:rsid w:val="003627B1"/>
    <w:rsid w:val="00362E9E"/>
    <w:rsid w:val="003631FE"/>
    <w:rsid w:val="00363D74"/>
    <w:rsid w:val="00364FCA"/>
    <w:rsid w:val="0036555C"/>
    <w:rsid w:val="0036574F"/>
    <w:rsid w:val="00366086"/>
    <w:rsid w:val="003660F6"/>
    <w:rsid w:val="00366F85"/>
    <w:rsid w:val="003706DF"/>
    <w:rsid w:val="003729F0"/>
    <w:rsid w:val="00373767"/>
    <w:rsid w:val="0037496E"/>
    <w:rsid w:val="0037526E"/>
    <w:rsid w:val="00375AE9"/>
    <w:rsid w:val="00376532"/>
    <w:rsid w:val="00376922"/>
    <w:rsid w:val="00376FF7"/>
    <w:rsid w:val="003770F8"/>
    <w:rsid w:val="0038049D"/>
    <w:rsid w:val="0038526E"/>
    <w:rsid w:val="00386338"/>
    <w:rsid w:val="00386706"/>
    <w:rsid w:val="003874EB"/>
    <w:rsid w:val="003908EB"/>
    <w:rsid w:val="00390BC3"/>
    <w:rsid w:val="0039193D"/>
    <w:rsid w:val="00394597"/>
    <w:rsid w:val="00396B62"/>
    <w:rsid w:val="003A0CDA"/>
    <w:rsid w:val="003A199A"/>
    <w:rsid w:val="003A21C8"/>
    <w:rsid w:val="003A2C48"/>
    <w:rsid w:val="003A4DD7"/>
    <w:rsid w:val="003B0599"/>
    <w:rsid w:val="003B190B"/>
    <w:rsid w:val="003B4727"/>
    <w:rsid w:val="003B4B25"/>
    <w:rsid w:val="003B56DA"/>
    <w:rsid w:val="003B5857"/>
    <w:rsid w:val="003B7301"/>
    <w:rsid w:val="003B74BC"/>
    <w:rsid w:val="003C1CB5"/>
    <w:rsid w:val="003C3B00"/>
    <w:rsid w:val="003C4135"/>
    <w:rsid w:val="003C54C9"/>
    <w:rsid w:val="003C7811"/>
    <w:rsid w:val="003C7BE8"/>
    <w:rsid w:val="003D0625"/>
    <w:rsid w:val="003D0A36"/>
    <w:rsid w:val="003D17A2"/>
    <w:rsid w:val="003D1E1C"/>
    <w:rsid w:val="003D2039"/>
    <w:rsid w:val="003D2824"/>
    <w:rsid w:val="003D2902"/>
    <w:rsid w:val="003D2F60"/>
    <w:rsid w:val="003D4366"/>
    <w:rsid w:val="003D4ED9"/>
    <w:rsid w:val="003D4F07"/>
    <w:rsid w:val="003D52B7"/>
    <w:rsid w:val="003D6D0B"/>
    <w:rsid w:val="003D7647"/>
    <w:rsid w:val="003E2D91"/>
    <w:rsid w:val="003E3E8C"/>
    <w:rsid w:val="003E4FA3"/>
    <w:rsid w:val="003E7509"/>
    <w:rsid w:val="003F04F2"/>
    <w:rsid w:val="003F06FF"/>
    <w:rsid w:val="003F1C5D"/>
    <w:rsid w:val="003F626A"/>
    <w:rsid w:val="00400F7C"/>
    <w:rsid w:val="00401C86"/>
    <w:rsid w:val="00402F0D"/>
    <w:rsid w:val="00404F9C"/>
    <w:rsid w:val="0040508D"/>
    <w:rsid w:val="00405A77"/>
    <w:rsid w:val="004061DD"/>
    <w:rsid w:val="00406AB9"/>
    <w:rsid w:val="004126C0"/>
    <w:rsid w:val="004128DA"/>
    <w:rsid w:val="00413A43"/>
    <w:rsid w:val="00413E64"/>
    <w:rsid w:val="00414284"/>
    <w:rsid w:val="004147A7"/>
    <w:rsid w:val="00415016"/>
    <w:rsid w:val="0041576D"/>
    <w:rsid w:val="00416045"/>
    <w:rsid w:val="00422823"/>
    <w:rsid w:val="00425FB4"/>
    <w:rsid w:val="0042602C"/>
    <w:rsid w:val="00426AB4"/>
    <w:rsid w:val="004271C1"/>
    <w:rsid w:val="00427A64"/>
    <w:rsid w:val="00427D79"/>
    <w:rsid w:val="00430054"/>
    <w:rsid w:val="004300D8"/>
    <w:rsid w:val="0043063C"/>
    <w:rsid w:val="0043067F"/>
    <w:rsid w:val="00430B5B"/>
    <w:rsid w:val="004324B4"/>
    <w:rsid w:val="00432A3E"/>
    <w:rsid w:val="00433761"/>
    <w:rsid w:val="00437A1E"/>
    <w:rsid w:val="004401D5"/>
    <w:rsid w:val="0044083F"/>
    <w:rsid w:val="00442EDE"/>
    <w:rsid w:val="00443831"/>
    <w:rsid w:val="00444039"/>
    <w:rsid w:val="00445E5E"/>
    <w:rsid w:val="00446374"/>
    <w:rsid w:val="00447F11"/>
    <w:rsid w:val="004516D6"/>
    <w:rsid w:val="0045279B"/>
    <w:rsid w:val="00453EE6"/>
    <w:rsid w:val="0045425C"/>
    <w:rsid w:val="00456D72"/>
    <w:rsid w:val="00461688"/>
    <w:rsid w:val="00462365"/>
    <w:rsid w:val="00462E6A"/>
    <w:rsid w:val="00470A2A"/>
    <w:rsid w:val="004722DA"/>
    <w:rsid w:val="004757BC"/>
    <w:rsid w:val="00476F39"/>
    <w:rsid w:val="004771C4"/>
    <w:rsid w:val="00477C7D"/>
    <w:rsid w:val="00480506"/>
    <w:rsid w:val="00480E50"/>
    <w:rsid w:val="004814EF"/>
    <w:rsid w:val="004900A1"/>
    <w:rsid w:val="004909B0"/>
    <w:rsid w:val="00493AF6"/>
    <w:rsid w:val="00493D9A"/>
    <w:rsid w:val="0049437F"/>
    <w:rsid w:val="0049625F"/>
    <w:rsid w:val="004977C4"/>
    <w:rsid w:val="00497D0E"/>
    <w:rsid w:val="004A1C6C"/>
    <w:rsid w:val="004A225E"/>
    <w:rsid w:val="004A2D0B"/>
    <w:rsid w:val="004A2E7B"/>
    <w:rsid w:val="004A31F5"/>
    <w:rsid w:val="004A36D4"/>
    <w:rsid w:val="004A4371"/>
    <w:rsid w:val="004A48ED"/>
    <w:rsid w:val="004B256D"/>
    <w:rsid w:val="004B4E34"/>
    <w:rsid w:val="004B6951"/>
    <w:rsid w:val="004B7B71"/>
    <w:rsid w:val="004C0636"/>
    <w:rsid w:val="004C1460"/>
    <w:rsid w:val="004C36D1"/>
    <w:rsid w:val="004C50CD"/>
    <w:rsid w:val="004C5A51"/>
    <w:rsid w:val="004C5C6B"/>
    <w:rsid w:val="004C62BB"/>
    <w:rsid w:val="004C745B"/>
    <w:rsid w:val="004D02CA"/>
    <w:rsid w:val="004D0392"/>
    <w:rsid w:val="004D0A59"/>
    <w:rsid w:val="004D1EED"/>
    <w:rsid w:val="004D2245"/>
    <w:rsid w:val="004D22DF"/>
    <w:rsid w:val="004D267E"/>
    <w:rsid w:val="004D2D01"/>
    <w:rsid w:val="004D34B9"/>
    <w:rsid w:val="004D4D43"/>
    <w:rsid w:val="004D4E92"/>
    <w:rsid w:val="004D5500"/>
    <w:rsid w:val="004D7F13"/>
    <w:rsid w:val="004E1F9F"/>
    <w:rsid w:val="004E22A8"/>
    <w:rsid w:val="004E445C"/>
    <w:rsid w:val="004E52CE"/>
    <w:rsid w:val="004E6FB0"/>
    <w:rsid w:val="004E70A8"/>
    <w:rsid w:val="004E78BC"/>
    <w:rsid w:val="004F2229"/>
    <w:rsid w:val="004F2D68"/>
    <w:rsid w:val="004F4B33"/>
    <w:rsid w:val="004F4E7F"/>
    <w:rsid w:val="004F6B43"/>
    <w:rsid w:val="004F6EE0"/>
    <w:rsid w:val="0050062B"/>
    <w:rsid w:val="005009A0"/>
    <w:rsid w:val="0050116C"/>
    <w:rsid w:val="00502279"/>
    <w:rsid w:val="00502DB6"/>
    <w:rsid w:val="0050537E"/>
    <w:rsid w:val="00505473"/>
    <w:rsid w:val="005054EC"/>
    <w:rsid w:val="005147C4"/>
    <w:rsid w:val="005147FE"/>
    <w:rsid w:val="00515236"/>
    <w:rsid w:val="0051587D"/>
    <w:rsid w:val="00515D51"/>
    <w:rsid w:val="00517904"/>
    <w:rsid w:val="0052086C"/>
    <w:rsid w:val="00522AAC"/>
    <w:rsid w:val="0052365A"/>
    <w:rsid w:val="0052487A"/>
    <w:rsid w:val="00525738"/>
    <w:rsid w:val="00527040"/>
    <w:rsid w:val="00531417"/>
    <w:rsid w:val="0053220D"/>
    <w:rsid w:val="00532F10"/>
    <w:rsid w:val="005334EA"/>
    <w:rsid w:val="00533F76"/>
    <w:rsid w:val="005364E3"/>
    <w:rsid w:val="00545356"/>
    <w:rsid w:val="0055006C"/>
    <w:rsid w:val="00550935"/>
    <w:rsid w:val="00551203"/>
    <w:rsid w:val="00551397"/>
    <w:rsid w:val="005513A9"/>
    <w:rsid w:val="005571B2"/>
    <w:rsid w:val="00560C92"/>
    <w:rsid w:val="00561AE0"/>
    <w:rsid w:val="00561BB6"/>
    <w:rsid w:val="00563F76"/>
    <w:rsid w:val="00564CCA"/>
    <w:rsid w:val="0056660C"/>
    <w:rsid w:val="00566CCB"/>
    <w:rsid w:val="005750D7"/>
    <w:rsid w:val="005750F5"/>
    <w:rsid w:val="005759DD"/>
    <w:rsid w:val="00575D32"/>
    <w:rsid w:val="00576C34"/>
    <w:rsid w:val="00581887"/>
    <w:rsid w:val="005821EF"/>
    <w:rsid w:val="0058297A"/>
    <w:rsid w:val="0058409F"/>
    <w:rsid w:val="00586640"/>
    <w:rsid w:val="00586CC2"/>
    <w:rsid w:val="00590FFC"/>
    <w:rsid w:val="005918FA"/>
    <w:rsid w:val="005924FF"/>
    <w:rsid w:val="00593CFF"/>
    <w:rsid w:val="0059535D"/>
    <w:rsid w:val="00597B02"/>
    <w:rsid w:val="005A137B"/>
    <w:rsid w:val="005A16E2"/>
    <w:rsid w:val="005A1F60"/>
    <w:rsid w:val="005A2CAE"/>
    <w:rsid w:val="005A49EA"/>
    <w:rsid w:val="005B228D"/>
    <w:rsid w:val="005B28B1"/>
    <w:rsid w:val="005B2BA5"/>
    <w:rsid w:val="005B466A"/>
    <w:rsid w:val="005B4A89"/>
    <w:rsid w:val="005B4CB4"/>
    <w:rsid w:val="005C0826"/>
    <w:rsid w:val="005C23A9"/>
    <w:rsid w:val="005C2951"/>
    <w:rsid w:val="005C3B95"/>
    <w:rsid w:val="005C6291"/>
    <w:rsid w:val="005C6503"/>
    <w:rsid w:val="005C6809"/>
    <w:rsid w:val="005D1196"/>
    <w:rsid w:val="005D2362"/>
    <w:rsid w:val="005E00DA"/>
    <w:rsid w:val="005E0ABF"/>
    <w:rsid w:val="005E2029"/>
    <w:rsid w:val="005E29A1"/>
    <w:rsid w:val="005E2F04"/>
    <w:rsid w:val="005E4205"/>
    <w:rsid w:val="005E4793"/>
    <w:rsid w:val="005E4B73"/>
    <w:rsid w:val="005E4F6C"/>
    <w:rsid w:val="005E5DD9"/>
    <w:rsid w:val="005E77ED"/>
    <w:rsid w:val="005E7C19"/>
    <w:rsid w:val="005F03AB"/>
    <w:rsid w:val="005F116A"/>
    <w:rsid w:val="005F11AF"/>
    <w:rsid w:val="005F162D"/>
    <w:rsid w:val="005F2A14"/>
    <w:rsid w:val="005F2F66"/>
    <w:rsid w:val="005F3867"/>
    <w:rsid w:val="005F3E1B"/>
    <w:rsid w:val="005F52F5"/>
    <w:rsid w:val="005F6E6D"/>
    <w:rsid w:val="005F79C0"/>
    <w:rsid w:val="00600D97"/>
    <w:rsid w:val="00600DA4"/>
    <w:rsid w:val="00600EA9"/>
    <w:rsid w:val="0060374B"/>
    <w:rsid w:val="00604AB1"/>
    <w:rsid w:val="00605194"/>
    <w:rsid w:val="006054F0"/>
    <w:rsid w:val="006061D3"/>
    <w:rsid w:val="006072D7"/>
    <w:rsid w:val="00610600"/>
    <w:rsid w:val="0061104D"/>
    <w:rsid w:val="006121F2"/>
    <w:rsid w:val="00613C61"/>
    <w:rsid w:val="006140B1"/>
    <w:rsid w:val="006150AF"/>
    <w:rsid w:val="006166FB"/>
    <w:rsid w:val="00616BD2"/>
    <w:rsid w:val="00617027"/>
    <w:rsid w:val="006231D2"/>
    <w:rsid w:val="00627B4B"/>
    <w:rsid w:val="00627D1B"/>
    <w:rsid w:val="0063134B"/>
    <w:rsid w:val="00631AE2"/>
    <w:rsid w:val="00632838"/>
    <w:rsid w:val="006341F1"/>
    <w:rsid w:val="0063471C"/>
    <w:rsid w:val="00635B31"/>
    <w:rsid w:val="00636209"/>
    <w:rsid w:val="006365F1"/>
    <w:rsid w:val="00636E2D"/>
    <w:rsid w:val="006373BE"/>
    <w:rsid w:val="006373DB"/>
    <w:rsid w:val="00641ACD"/>
    <w:rsid w:val="0064354C"/>
    <w:rsid w:val="00644149"/>
    <w:rsid w:val="006455A0"/>
    <w:rsid w:val="0064629E"/>
    <w:rsid w:val="00646588"/>
    <w:rsid w:val="00646B4C"/>
    <w:rsid w:val="00646C90"/>
    <w:rsid w:val="006502CE"/>
    <w:rsid w:val="00650B3E"/>
    <w:rsid w:val="00653D40"/>
    <w:rsid w:val="00654173"/>
    <w:rsid w:val="006549BE"/>
    <w:rsid w:val="0065521B"/>
    <w:rsid w:val="00657DE2"/>
    <w:rsid w:val="006600A8"/>
    <w:rsid w:val="00660E0B"/>
    <w:rsid w:val="006641E1"/>
    <w:rsid w:val="00664516"/>
    <w:rsid w:val="006645BF"/>
    <w:rsid w:val="00667A14"/>
    <w:rsid w:val="00671798"/>
    <w:rsid w:val="00671C2E"/>
    <w:rsid w:val="006754B9"/>
    <w:rsid w:val="006772C0"/>
    <w:rsid w:val="00680C72"/>
    <w:rsid w:val="00680EAF"/>
    <w:rsid w:val="006818AD"/>
    <w:rsid w:val="00681949"/>
    <w:rsid w:val="00682677"/>
    <w:rsid w:val="00683380"/>
    <w:rsid w:val="006849F7"/>
    <w:rsid w:val="00684CF6"/>
    <w:rsid w:val="00684FF6"/>
    <w:rsid w:val="0068585D"/>
    <w:rsid w:val="00685E8D"/>
    <w:rsid w:val="00685F55"/>
    <w:rsid w:val="0068678A"/>
    <w:rsid w:val="0069053C"/>
    <w:rsid w:val="0069239F"/>
    <w:rsid w:val="00693308"/>
    <w:rsid w:val="006940AD"/>
    <w:rsid w:val="0069520A"/>
    <w:rsid w:val="0069525F"/>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9D1"/>
    <w:rsid w:val="006C3AB4"/>
    <w:rsid w:val="006C3BF0"/>
    <w:rsid w:val="006C3FE6"/>
    <w:rsid w:val="006C466F"/>
    <w:rsid w:val="006C7377"/>
    <w:rsid w:val="006D0B91"/>
    <w:rsid w:val="006D2324"/>
    <w:rsid w:val="006D3910"/>
    <w:rsid w:val="006D50D6"/>
    <w:rsid w:val="006D5BAD"/>
    <w:rsid w:val="006D6196"/>
    <w:rsid w:val="006D64A7"/>
    <w:rsid w:val="006D7362"/>
    <w:rsid w:val="006E0BC9"/>
    <w:rsid w:val="006E13AE"/>
    <w:rsid w:val="006E28A2"/>
    <w:rsid w:val="006E5B51"/>
    <w:rsid w:val="006E5FFB"/>
    <w:rsid w:val="006E79EB"/>
    <w:rsid w:val="006F0630"/>
    <w:rsid w:val="006F098A"/>
    <w:rsid w:val="006F0C06"/>
    <w:rsid w:val="006F299C"/>
    <w:rsid w:val="006F392A"/>
    <w:rsid w:val="006F46DC"/>
    <w:rsid w:val="006F490F"/>
    <w:rsid w:val="006F5CE9"/>
    <w:rsid w:val="006F6878"/>
    <w:rsid w:val="006F6F85"/>
    <w:rsid w:val="007003CC"/>
    <w:rsid w:val="00700A77"/>
    <w:rsid w:val="00702C1F"/>
    <w:rsid w:val="00704A4D"/>
    <w:rsid w:val="0070563E"/>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57726"/>
    <w:rsid w:val="007603EE"/>
    <w:rsid w:val="00760E17"/>
    <w:rsid w:val="0076417D"/>
    <w:rsid w:val="007667BD"/>
    <w:rsid w:val="0077082E"/>
    <w:rsid w:val="00770C07"/>
    <w:rsid w:val="00770F75"/>
    <w:rsid w:val="0077138F"/>
    <w:rsid w:val="00772062"/>
    <w:rsid w:val="007723BF"/>
    <w:rsid w:val="007734F9"/>
    <w:rsid w:val="00773C5A"/>
    <w:rsid w:val="00774278"/>
    <w:rsid w:val="007742BD"/>
    <w:rsid w:val="007749BD"/>
    <w:rsid w:val="00776D8E"/>
    <w:rsid w:val="0078132F"/>
    <w:rsid w:val="00781B53"/>
    <w:rsid w:val="00781F72"/>
    <w:rsid w:val="007838E0"/>
    <w:rsid w:val="00784548"/>
    <w:rsid w:val="007909E4"/>
    <w:rsid w:val="00790E40"/>
    <w:rsid w:val="00791568"/>
    <w:rsid w:val="00791F7F"/>
    <w:rsid w:val="00792660"/>
    <w:rsid w:val="00792A76"/>
    <w:rsid w:val="00792F41"/>
    <w:rsid w:val="00793CFE"/>
    <w:rsid w:val="007957E7"/>
    <w:rsid w:val="0079719C"/>
    <w:rsid w:val="00797375"/>
    <w:rsid w:val="007A1EDB"/>
    <w:rsid w:val="007A23C8"/>
    <w:rsid w:val="007A388C"/>
    <w:rsid w:val="007A4212"/>
    <w:rsid w:val="007A5C92"/>
    <w:rsid w:val="007A6776"/>
    <w:rsid w:val="007A7E53"/>
    <w:rsid w:val="007B0B7C"/>
    <w:rsid w:val="007B22E8"/>
    <w:rsid w:val="007B3FCD"/>
    <w:rsid w:val="007B5019"/>
    <w:rsid w:val="007B52CD"/>
    <w:rsid w:val="007B7B17"/>
    <w:rsid w:val="007C33F9"/>
    <w:rsid w:val="007C389F"/>
    <w:rsid w:val="007C4229"/>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47F"/>
    <w:rsid w:val="007E69D2"/>
    <w:rsid w:val="007F062B"/>
    <w:rsid w:val="007F255C"/>
    <w:rsid w:val="007F48F8"/>
    <w:rsid w:val="007F521C"/>
    <w:rsid w:val="007F68C1"/>
    <w:rsid w:val="007F78F3"/>
    <w:rsid w:val="007F7976"/>
    <w:rsid w:val="00800097"/>
    <w:rsid w:val="0080204D"/>
    <w:rsid w:val="00802735"/>
    <w:rsid w:val="00803909"/>
    <w:rsid w:val="00804229"/>
    <w:rsid w:val="008042A5"/>
    <w:rsid w:val="0080626B"/>
    <w:rsid w:val="00806CB2"/>
    <w:rsid w:val="00806DC0"/>
    <w:rsid w:val="008073BC"/>
    <w:rsid w:val="0081061A"/>
    <w:rsid w:val="00810B12"/>
    <w:rsid w:val="00811C30"/>
    <w:rsid w:val="0081457C"/>
    <w:rsid w:val="008174FC"/>
    <w:rsid w:val="008209BD"/>
    <w:rsid w:val="00821734"/>
    <w:rsid w:val="00822196"/>
    <w:rsid w:val="008227FE"/>
    <w:rsid w:val="0082305E"/>
    <w:rsid w:val="008232F7"/>
    <w:rsid w:val="0082466E"/>
    <w:rsid w:val="0082468F"/>
    <w:rsid w:val="00825DD7"/>
    <w:rsid w:val="008261AF"/>
    <w:rsid w:val="0082702F"/>
    <w:rsid w:val="00827E8F"/>
    <w:rsid w:val="00830EA9"/>
    <w:rsid w:val="008311F8"/>
    <w:rsid w:val="00831523"/>
    <w:rsid w:val="0083566B"/>
    <w:rsid w:val="008367F3"/>
    <w:rsid w:val="00842735"/>
    <w:rsid w:val="00843256"/>
    <w:rsid w:val="008433A5"/>
    <w:rsid w:val="00843CA8"/>
    <w:rsid w:val="00843FCC"/>
    <w:rsid w:val="00845DE9"/>
    <w:rsid w:val="00846256"/>
    <w:rsid w:val="008465F9"/>
    <w:rsid w:val="008519A1"/>
    <w:rsid w:val="00852EA0"/>
    <w:rsid w:val="0085331D"/>
    <w:rsid w:val="00854513"/>
    <w:rsid w:val="008556F2"/>
    <w:rsid w:val="008572E9"/>
    <w:rsid w:val="00861D08"/>
    <w:rsid w:val="0086263C"/>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82FE9"/>
    <w:rsid w:val="0088773B"/>
    <w:rsid w:val="00890213"/>
    <w:rsid w:val="00890886"/>
    <w:rsid w:val="008916A4"/>
    <w:rsid w:val="00893EF7"/>
    <w:rsid w:val="008955AB"/>
    <w:rsid w:val="00897DB5"/>
    <w:rsid w:val="008A004A"/>
    <w:rsid w:val="008A17B5"/>
    <w:rsid w:val="008A20B1"/>
    <w:rsid w:val="008A3F1A"/>
    <w:rsid w:val="008A3FCF"/>
    <w:rsid w:val="008A41ED"/>
    <w:rsid w:val="008A5EAC"/>
    <w:rsid w:val="008A74AE"/>
    <w:rsid w:val="008A7C5C"/>
    <w:rsid w:val="008B0099"/>
    <w:rsid w:val="008B2760"/>
    <w:rsid w:val="008B3DC8"/>
    <w:rsid w:val="008B4EC5"/>
    <w:rsid w:val="008B5210"/>
    <w:rsid w:val="008B7859"/>
    <w:rsid w:val="008C05F1"/>
    <w:rsid w:val="008C0E25"/>
    <w:rsid w:val="008C218B"/>
    <w:rsid w:val="008C50C2"/>
    <w:rsid w:val="008C59EE"/>
    <w:rsid w:val="008C6917"/>
    <w:rsid w:val="008C6DD8"/>
    <w:rsid w:val="008C764B"/>
    <w:rsid w:val="008D01FD"/>
    <w:rsid w:val="008D17C0"/>
    <w:rsid w:val="008D1AFC"/>
    <w:rsid w:val="008D1F53"/>
    <w:rsid w:val="008D28A6"/>
    <w:rsid w:val="008D3928"/>
    <w:rsid w:val="008D5561"/>
    <w:rsid w:val="008D663F"/>
    <w:rsid w:val="008D66D4"/>
    <w:rsid w:val="008D752C"/>
    <w:rsid w:val="008D7794"/>
    <w:rsid w:val="008E0B8A"/>
    <w:rsid w:val="008E1A96"/>
    <w:rsid w:val="008E5B1C"/>
    <w:rsid w:val="008E5D54"/>
    <w:rsid w:val="008E6D8C"/>
    <w:rsid w:val="008E75CA"/>
    <w:rsid w:val="008E7734"/>
    <w:rsid w:val="008E7D6B"/>
    <w:rsid w:val="008F0B3A"/>
    <w:rsid w:val="008F0B5B"/>
    <w:rsid w:val="008F0F5B"/>
    <w:rsid w:val="008F31C8"/>
    <w:rsid w:val="008F3470"/>
    <w:rsid w:val="008F48B8"/>
    <w:rsid w:val="008F4F1E"/>
    <w:rsid w:val="008F6B72"/>
    <w:rsid w:val="008F7316"/>
    <w:rsid w:val="008F7730"/>
    <w:rsid w:val="00900BFA"/>
    <w:rsid w:val="00900E71"/>
    <w:rsid w:val="009021F5"/>
    <w:rsid w:val="0090447A"/>
    <w:rsid w:val="00905BFB"/>
    <w:rsid w:val="009064EA"/>
    <w:rsid w:val="009066E0"/>
    <w:rsid w:val="00910C56"/>
    <w:rsid w:val="00911C93"/>
    <w:rsid w:val="00912B1E"/>
    <w:rsid w:val="00912C42"/>
    <w:rsid w:val="009130B9"/>
    <w:rsid w:val="009141BA"/>
    <w:rsid w:val="0091531E"/>
    <w:rsid w:val="00915583"/>
    <w:rsid w:val="009175F3"/>
    <w:rsid w:val="00922A4C"/>
    <w:rsid w:val="00923A8C"/>
    <w:rsid w:val="00923ACC"/>
    <w:rsid w:val="00924CE9"/>
    <w:rsid w:val="00926958"/>
    <w:rsid w:val="009269F4"/>
    <w:rsid w:val="00926AFD"/>
    <w:rsid w:val="00927848"/>
    <w:rsid w:val="009317B0"/>
    <w:rsid w:val="00932346"/>
    <w:rsid w:val="0093247C"/>
    <w:rsid w:val="00932D6C"/>
    <w:rsid w:val="00934359"/>
    <w:rsid w:val="009372EF"/>
    <w:rsid w:val="009413D2"/>
    <w:rsid w:val="009415C5"/>
    <w:rsid w:val="00943303"/>
    <w:rsid w:val="00943815"/>
    <w:rsid w:val="009448C5"/>
    <w:rsid w:val="0094512F"/>
    <w:rsid w:val="00945723"/>
    <w:rsid w:val="00951437"/>
    <w:rsid w:val="00951FEC"/>
    <w:rsid w:val="00953FE8"/>
    <w:rsid w:val="009572E2"/>
    <w:rsid w:val="00964906"/>
    <w:rsid w:val="00965F55"/>
    <w:rsid w:val="00970943"/>
    <w:rsid w:val="00970C86"/>
    <w:rsid w:val="00971A11"/>
    <w:rsid w:val="009738CD"/>
    <w:rsid w:val="0097525F"/>
    <w:rsid w:val="0097705B"/>
    <w:rsid w:val="00977A01"/>
    <w:rsid w:val="0098237E"/>
    <w:rsid w:val="00983AEF"/>
    <w:rsid w:val="00985750"/>
    <w:rsid w:val="00985AD6"/>
    <w:rsid w:val="00985B4D"/>
    <w:rsid w:val="00986DDB"/>
    <w:rsid w:val="00990E3F"/>
    <w:rsid w:val="00993620"/>
    <w:rsid w:val="009936BD"/>
    <w:rsid w:val="00993750"/>
    <w:rsid w:val="00995562"/>
    <w:rsid w:val="00995864"/>
    <w:rsid w:val="00996944"/>
    <w:rsid w:val="009979AD"/>
    <w:rsid w:val="00997A9A"/>
    <w:rsid w:val="009A041A"/>
    <w:rsid w:val="009A0DA6"/>
    <w:rsid w:val="009A28B5"/>
    <w:rsid w:val="009A37CD"/>
    <w:rsid w:val="009A55EB"/>
    <w:rsid w:val="009A750D"/>
    <w:rsid w:val="009B059A"/>
    <w:rsid w:val="009B0A14"/>
    <w:rsid w:val="009B0A8A"/>
    <w:rsid w:val="009B0E63"/>
    <w:rsid w:val="009B657A"/>
    <w:rsid w:val="009C1684"/>
    <w:rsid w:val="009C2B62"/>
    <w:rsid w:val="009C3578"/>
    <w:rsid w:val="009C3DAF"/>
    <w:rsid w:val="009C3E01"/>
    <w:rsid w:val="009C426E"/>
    <w:rsid w:val="009C6246"/>
    <w:rsid w:val="009D08E6"/>
    <w:rsid w:val="009D12CD"/>
    <w:rsid w:val="009D4394"/>
    <w:rsid w:val="009D4B7C"/>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713E"/>
    <w:rsid w:val="00A0141E"/>
    <w:rsid w:val="00A01ED0"/>
    <w:rsid w:val="00A04242"/>
    <w:rsid w:val="00A055F2"/>
    <w:rsid w:val="00A061A4"/>
    <w:rsid w:val="00A06EEA"/>
    <w:rsid w:val="00A07797"/>
    <w:rsid w:val="00A07BA2"/>
    <w:rsid w:val="00A11943"/>
    <w:rsid w:val="00A120C0"/>
    <w:rsid w:val="00A126CF"/>
    <w:rsid w:val="00A13177"/>
    <w:rsid w:val="00A13A6D"/>
    <w:rsid w:val="00A150ED"/>
    <w:rsid w:val="00A163C2"/>
    <w:rsid w:val="00A173DB"/>
    <w:rsid w:val="00A203DA"/>
    <w:rsid w:val="00A2522F"/>
    <w:rsid w:val="00A26DB5"/>
    <w:rsid w:val="00A27A35"/>
    <w:rsid w:val="00A3180D"/>
    <w:rsid w:val="00A321E3"/>
    <w:rsid w:val="00A326AA"/>
    <w:rsid w:val="00A32EAE"/>
    <w:rsid w:val="00A33F0B"/>
    <w:rsid w:val="00A3567B"/>
    <w:rsid w:val="00A3630D"/>
    <w:rsid w:val="00A363DA"/>
    <w:rsid w:val="00A37384"/>
    <w:rsid w:val="00A4055F"/>
    <w:rsid w:val="00A422DE"/>
    <w:rsid w:val="00A425FC"/>
    <w:rsid w:val="00A43BF0"/>
    <w:rsid w:val="00A46AE8"/>
    <w:rsid w:val="00A50552"/>
    <w:rsid w:val="00A520BB"/>
    <w:rsid w:val="00A53C90"/>
    <w:rsid w:val="00A544DF"/>
    <w:rsid w:val="00A54C8F"/>
    <w:rsid w:val="00A5594A"/>
    <w:rsid w:val="00A55CDB"/>
    <w:rsid w:val="00A55D22"/>
    <w:rsid w:val="00A5713C"/>
    <w:rsid w:val="00A57890"/>
    <w:rsid w:val="00A57B4E"/>
    <w:rsid w:val="00A61283"/>
    <w:rsid w:val="00A6219D"/>
    <w:rsid w:val="00A63F3F"/>
    <w:rsid w:val="00A646DE"/>
    <w:rsid w:val="00A64B94"/>
    <w:rsid w:val="00A706AD"/>
    <w:rsid w:val="00A71D6F"/>
    <w:rsid w:val="00A72352"/>
    <w:rsid w:val="00A72772"/>
    <w:rsid w:val="00A73E58"/>
    <w:rsid w:val="00A74FE3"/>
    <w:rsid w:val="00A768CC"/>
    <w:rsid w:val="00A81243"/>
    <w:rsid w:val="00A845EC"/>
    <w:rsid w:val="00A852B4"/>
    <w:rsid w:val="00A87967"/>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0EE"/>
    <w:rsid w:val="00AB656C"/>
    <w:rsid w:val="00AB65D2"/>
    <w:rsid w:val="00AB66B3"/>
    <w:rsid w:val="00AB6CFB"/>
    <w:rsid w:val="00AC0CBA"/>
    <w:rsid w:val="00AC28DE"/>
    <w:rsid w:val="00AC4A36"/>
    <w:rsid w:val="00AC5219"/>
    <w:rsid w:val="00AC604A"/>
    <w:rsid w:val="00AC6A1B"/>
    <w:rsid w:val="00AC6CBD"/>
    <w:rsid w:val="00AD0425"/>
    <w:rsid w:val="00AD047E"/>
    <w:rsid w:val="00AD3355"/>
    <w:rsid w:val="00AD376A"/>
    <w:rsid w:val="00AD42BF"/>
    <w:rsid w:val="00AD54FB"/>
    <w:rsid w:val="00AD5F2B"/>
    <w:rsid w:val="00AD6003"/>
    <w:rsid w:val="00AD6C7F"/>
    <w:rsid w:val="00AE0361"/>
    <w:rsid w:val="00AE13DA"/>
    <w:rsid w:val="00AE169A"/>
    <w:rsid w:val="00AE1C64"/>
    <w:rsid w:val="00AE2742"/>
    <w:rsid w:val="00AE2E10"/>
    <w:rsid w:val="00AE3547"/>
    <w:rsid w:val="00AE36E5"/>
    <w:rsid w:val="00AE3C65"/>
    <w:rsid w:val="00AE5E31"/>
    <w:rsid w:val="00AE5EFC"/>
    <w:rsid w:val="00AF0BC0"/>
    <w:rsid w:val="00AF21E6"/>
    <w:rsid w:val="00AF2BB0"/>
    <w:rsid w:val="00AF5288"/>
    <w:rsid w:val="00AF5D31"/>
    <w:rsid w:val="00AF655B"/>
    <w:rsid w:val="00AF6AF4"/>
    <w:rsid w:val="00AF6EAC"/>
    <w:rsid w:val="00AF75E2"/>
    <w:rsid w:val="00AF7B04"/>
    <w:rsid w:val="00B008C0"/>
    <w:rsid w:val="00B01B87"/>
    <w:rsid w:val="00B01BDE"/>
    <w:rsid w:val="00B0302C"/>
    <w:rsid w:val="00B058E4"/>
    <w:rsid w:val="00B06365"/>
    <w:rsid w:val="00B0766B"/>
    <w:rsid w:val="00B1155E"/>
    <w:rsid w:val="00B1289A"/>
    <w:rsid w:val="00B12987"/>
    <w:rsid w:val="00B1301D"/>
    <w:rsid w:val="00B13340"/>
    <w:rsid w:val="00B13763"/>
    <w:rsid w:val="00B1466A"/>
    <w:rsid w:val="00B15EB6"/>
    <w:rsid w:val="00B16FE6"/>
    <w:rsid w:val="00B238B0"/>
    <w:rsid w:val="00B240CE"/>
    <w:rsid w:val="00B25132"/>
    <w:rsid w:val="00B2520D"/>
    <w:rsid w:val="00B25BB6"/>
    <w:rsid w:val="00B262F8"/>
    <w:rsid w:val="00B27A67"/>
    <w:rsid w:val="00B30D9F"/>
    <w:rsid w:val="00B316A1"/>
    <w:rsid w:val="00B319BF"/>
    <w:rsid w:val="00B31F00"/>
    <w:rsid w:val="00B35BFC"/>
    <w:rsid w:val="00B36182"/>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599"/>
    <w:rsid w:val="00B67970"/>
    <w:rsid w:val="00B67996"/>
    <w:rsid w:val="00B700BE"/>
    <w:rsid w:val="00B720D3"/>
    <w:rsid w:val="00B7286F"/>
    <w:rsid w:val="00B72C7B"/>
    <w:rsid w:val="00B7431E"/>
    <w:rsid w:val="00B74E47"/>
    <w:rsid w:val="00B768E2"/>
    <w:rsid w:val="00B769AD"/>
    <w:rsid w:val="00B81025"/>
    <w:rsid w:val="00B81D11"/>
    <w:rsid w:val="00B824AC"/>
    <w:rsid w:val="00B82F46"/>
    <w:rsid w:val="00B870B3"/>
    <w:rsid w:val="00B905EC"/>
    <w:rsid w:val="00B90C10"/>
    <w:rsid w:val="00B919C4"/>
    <w:rsid w:val="00B9252C"/>
    <w:rsid w:val="00B92A35"/>
    <w:rsid w:val="00B9498B"/>
    <w:rsid w:val="00B951B1"/>
    <w:rsid w:val="00B95757"/>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014"/>
    <w:rsid w:val="00BC2E68"/>
    <w:rsid w:val="00BC3D62"/>
    <w:rsid w:val="00BC44B6"/>
    <w:rsid w:val="00BC79C0"/>
    <w:rsid w:val="00BD1D37"/>
    <w:rsid w:val="00BD212B"/>
    <w:rsid w:val="00BD25F6"/>
    <w:rsid w:val="00BD361F"/>
    <w:rsid w:val="00BD42DB"/>
    <w:rsid w:val="00BD6245"/>
    <w:rsid w:val="00BD704B"/>
    <w:rsid w:val="00BE1049"/>
    <w:rsid w:val="00BE17A9"/>
    <w:rsid w:val="00BE231E"/>
    <w:rsid w:val="00BE407A"/>
    <w:rsid w:val="00BF1413"/>
    <w:rsid w:val="00BF19C4"/>
    <w:rsid w:val="00BF2ED6"/>
    <w:rsid w:val="00BF3BAD"/>
    <w:rsid w:val="00BF3CBD"/>
    <w:rsid w:val="00BF411A"/>
    <w:rsid w:val="00BF423A"/>
    <w:rsid w:val="00BF4C2E"/>
    <w:rsid w:val="00BF632C"/>
    <w:rsid w:val="00C00B5F"/>
    <w:rsid w:val="00C00D58"/>
    <w:rsid w:val="00C02A15"/>
    <w:rsid w:val="00C02C4F"/>
    <w:rsid w:val="00C0327F"/>
    <w:rsid w:val="00C0387E"/>
    <w:rsid w:val="00C11DE5"/>
    <w:rsid w:val="00C13C26"/>
    <w:rsid w:val="00C1747F"/>
    <w:rsid w:val="00C20E79"/>
    <w:rsid w:val="00C226E8"/>
    <w:rsid w:val="00C233B8"/>
    <w:rsid w:val="00C25BEE"/>
    <w:rsid w:val="00C26F1C"/>
    <w:rsid w:val="00C3280C"/>
    <w:rsid w:val="00C356C1"/>
    <w:rsid w:val="00C35E26"/>
    <w:rsid w:val="00C36C28"/>
    <w:rsid w:val="00C3701E"/>
    <w:rsid w:val="00C4056D"/>
    <w:rsid w:val="00C4098F"/>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C39"/>
    <w:rsid w:val="00C71D94"/>
    <w:rsid w:val="00C73155"/>
    <w:rsid w:val="00C7447E"/>
    <w:rsid w:val="00C74C5F"/>
    <w:rsid w:val="00C75B3B"/>
    <w:rsid w:val="00C75F13"/>
    <w:rsid w:val="00C76852"/>
    <w:rsid w:val="00C7767B"/>
    <w:rsid w:val="00C77D9C"/>
    <w:rsid w:val="00C81EC7"/>
    <w:rsid w:val="00C82636"/>
    <w:rsid w:val="00C847AF"/>
    <w:rsid w:val="00C860DD"/>
    <w:rsid w:val="00C8752E"/>
    <w:rsid w:val="00C901B4"/>
    <w:rsid w:val="00C92F49"/>
    <w:rsid w:val="00C944BE"/>
    <w:rsid w:val="00C94CA6"/>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C6351"/>
    <w:rsid w:val="00CD10B1"/>
    <w:rsid w:val="00CD13CF"/>
    <w:rsid w:val="00CD2EBE"/>
    <w:rsid w:val="00CD38F0"/>
    <w:rsid w:val="00CD3EE5"/>
    <w:rsid w:val="00CD4D5D"/>
    <w:rsid w:val="00CD5018"/>
    <w:rsid w:val="00CD55AD"/>
    <w:rsid w:val="00CD7168"/>
    <w:rsid w:val="00CD73BE"/>
    <w:rsid w:val="00CE0116"/>
    <w:rsid w:val="00CE054E"/>
    <w:rsid w:val="00CE0AE1"/>
    <w:rsid w:val="00CE0E02"/>
    <w:rsid w:val="00CE2381"/>
    <w:rsid w:val="00CE285C"/>
    <w:rsid w:val="00CE2942"/>
    <w:rsid w:val="00CE3B9A"/>
    <w:rsid w:val="00CE43E0"/>
    <w:rsid w:val="00CE44DA"/>
    <w:rsid w:val="00CE57CE"/>
    <w:rsid w:val="00CE5D7B"/>
    <w:rsid w:val="00CE6DB3"/>
    <w:rsid w:val="00CF02A3"/>
    <w:rsid w:val="00CF0623"/>
    <w:rsid w:val="00CF09E4"/>
    <w:rsid w:val="00CF0F7A"/>
    <w:rsid w:val="00CF199D"/>
    <w:rsid w:val="00CF53F5"/>
    <w:rsid w:val="00CF5885"/>
    <w:rsid w:val="00CF7157"/>
    <w:rsid w:val="00CF7A5C"/>
    <w:rsid w:val="00CF7B6A"/>
    <w:rsid w:val="00CF7DAD"/>
    <w:rsid w:val="00D01126"/>
    <w:rsid w:val="00D012D3"/>
    <w:rsid w:val="00D02587"/>
    <w:rsid w:val="00D03382"/>
    <w:rsid w:val="00D03720"/>
    <w:rsid w:val="00D038AC"/>
    <w:rsid w:val="00D056A2"/>
    <w:rsid w:val="00D061B2"/>
    <w:rsid w:val="00D10BD3"/>
    <w:rsid w:val="00D12A9F"/>
    <w:rsid w:val="00D1590A"/>
    <w:rsid w:val="00D16593"/>
    <w:rsid w:val="00D178E0"/>
    <w:rsid w:val="00D20C5C"/>
    <w:rsid w:val="00D21E06"/>
    <w:rsid w:val="00D23214"/>
    <w:rsid w:val="00D25E4D"/>
    <w:rsid w:val="00D26A0C"/>
    <w:rsid w:val="00D26FAF"/>
    <w:rsid w:val="00D2700C"/>
    <w:rsid w:val="00D32B32"/>
    <w:rsid w:val="00D336B8"/>
    <w:rsid w:val="00D353B7"/>
    <w:rsid w:val="00D37365"/>
    <w:rsid w:val="00D3778B"/>
    <w:rsid w:val="00D40E41"/>
    <w:rsid w:val="00D4133C"/>
    <w:rsid w:val="00D42A06"/>
    <w:rsid w:val="00D440C9"/>
    <w:rsid w:val="00D44A45"/>
    <w:rsid w:val="00D47B67"/>
    <w:rsid w:val="00D5114F"/>
    <w:rsid w:val="00D53F84"/>
    <w:rsid w:val="00D56944"/>
    <w:rsid w:val="00D56954"/>
    <w:rsid w:val="00D60EA0"/>
    <w:rsid w:val="00D62E47"/>
    <w:rsid w:val="00D70A58"/>
    <w:rsid w:val="00D7211C"/>
    <w:rsid w:val="00D73062"/>
    <w:rsid w:val="00D74BF3"/>
    <w:rsid w:val="00D74C4C"/>
    <w:rsid w:val="00D75C1C"/>
    <w:rsid w:val="00D80252"/>
    <w:rsid w:val="00D80A94"/>
    <w:rsid w:val="00D823F2"/>
    <w:rsid w:val="00D8251C"/>
    <w:rsid w:val="00D82A24"/>
    <w:rsid w:val="00D82BED"/>
    <w:rsid w:val="00D82DB4"/>
    <w:rsid w:val="00D83B95"/>
    <w:rsid w:val="00D846CA"/>
    <w:rsid w:val="00D84A3C"/>
    <w:rsid w:val="00D914DA"/>
    <w:rsid w:val="00D92179"/>
    <w:rsid w:val="00D94567"/>
    <w:rsid w:val="00D9647E"/>
    <w:rsid w:val="00DA5C32"/>
    <w:rsid w:val="00DA6D7B"/>
    <w:rsid w:val="00DA770E"/>
    <w:rsid w:val="00DB0BF5"/>
    <w:rsid w:val="00DB0BFC"/>
    <w:rsid w:val="00DB0CEC"/>
    <w:rsid w:val="00DB1185"/>
    <w:rsid w:val="00DB3C6E"/>
    <w:rsid w:val="00DB3D51"/>
    <w:rsid w:val="00DB4281"/>
    <w:rsid w:val="00DB4285"/>
    <w:rsid w:val="00DB7133"/>
    <w:rsid w:val="00DC0208"/>
    <w:rsid w:val="00DC169A"/>
    <w:rsid w:val="00DC465C"/>
    <w:rsid w:val="00DC4F6F"/>
    <w:rsid w:val="00DC696E"/>
    <w:rsid w:val="00DC6E1E"/>
    <w:rsid w:val="00DC72AB"/>
    <w:rsid w:val="00DD150A"/>
    <w:rsid w:val="00DD16A7"/>
    <w:rsid w:val="00DD4374"/>
    <w:rsid w:val="00DD4896"/>
    <w:rsid w:val="00DD6502"/>
    <w:rsid w:val="00DD6E07"/>
    <w:rsid w:val="00DD714C"/>
    <w:rsid w:val="00DE0CDD"/>
    <w:rsid w:val="00DE1254"/>
    <w:rsid w:val="00DE29D7"/>
    <w:rsid w:val="00DE3681"/>
    <w:rsid w:val="00DE4B4B"/>
    <w:rsid w:val="00DE4B85"/>
    <w:rsid w:val="00DE6930"/>
    <w:rsid w:val="00DF55DF"/>
    <w:rsid w:val="00DF5A32"/>
    <w:rsid w:val="00DF61D8"/>
    <w:rsid w:val="00DF6477"/>
    <w:rsid w:val="00E0083E"/>
    <w:rsid w:val="00E024D2"/>
    <w:rsid w:val="00E030C9"/>
    <w:rsid w:val="00E05439"/>
    <w:rsid w:val="00E05F1D"/>
    <w:rsid w:val="00E10534"/>
    <w:rsid w:val="00E10E97"/>
    <w:rsid w:val="00E13CFC"/>
    <w:rsid w:val="00E14231"/>
    <w:rsid w:val="00E14310"/>
    <w:rsid w:val="00E17C61"/>
    <w:rsid w:val="00E20D35"/>
    <w:rsid w:val="00E22084"/>
    <w:rsid w:val="00E22767"/>
    <w:rsid w:val="00E23B1D"/>
    <w:rsid w:val="00E245A6"/>
    <w:rsid w:val="00E25C2D"/>
    <w:rsid w:val="00E2791D"/>
    <w:rsid w:val="00E303AF"/>
    <w:rsid w:val="00E32A1D"/>
    <w:rsid w:val="00E33339"/>
    <w:rsid w:val="00E33788"/>
    <w:rsid w:val="00E3410E"/>
    <w:rsid w:val="00E4045B"/>
    <w:rsid w:val="00E41D60"/>
    <w:rsid w:val="00E420B0"/>
    <w:rsid w:val="00E42A3E"/>
    <w:rsid w:val="00E450B0"/>
    <w:rsid w:val="00E50B0C"/>
    <w:rsid w:val="00E52BC2"/>
    <w:rsid w:val="00E53E5F"/>
    <w:rsid w:val="00E57A45"/>
    <w:rsid w:val="00E613F6"/>
    <w:rsid w:val="00E6243F"/>
    <w:rsid w:val="00E63261"/>
    <w:rsid w:val="00E63383"/>
    <w:rsid w:val="00E63412"/>
    <w:rsid w:val="00E6347A"/>
    <w:rsid w:val="00E63E21"/>
    <w:rsid w:val="00E654ED"/>
    <w:rsid w:val="00E66849"/>
    <w:rsid w:val="00E7010B"/>
    <w:rsid w:val="00E70BA3"/>
    <w:rsid w:val="00E7139A"/>
    <w:rsid w:val="00E7148B"/>
    <w:rsid w:val="00E71513"/>
    <w:rsid w:val="00E76DDB"/>
    <w:rsid w:val="00E8003D"/>
    <w:rsid w:val="00E81B12"/>
    <w:rsid w:val="00E82812"/>
    <w:rsid w:val="00E83567"/>
    <w:rsid w:val="00E843CB"/>
    <w:rsid w:val="00E84FBC"/>
    <w:rsid w:val="00E8578F"/>
    <w:rsid w:val="00E865E4"/>
    <w:rsid w:val="00E876BF"/>
    <w:rsid w:val="00E90397"/>
    <w:rsid w:val="00E905E5"/>
    <w:rsid w:val="00E90BDB"/>
    <w:rsid w:val="00E9160D"/>
    <w:rsid w:val="00E91B23"/>
    <w:rsid w:val="00E92407"/>
    <w:rsid w:val="00E9262A"/>
    <w:rsid w:val="00E927E9"/>
    <w:rsid w:val="00E94869"/>
    <w:rsid w:val="00E951CC"/>
    <w:rsid w:val="00E968C2"/>
    <w:rsid w:val="00EA0A6E"/>
    <w:rsid w:val="00EA3CBF"/>
    <w:rsid w:val="00EA6A93"/>
    <w:rsid w:val="00EB0719"/>
    <w:rsid w:val="00EB0A68"/>
    <w:rsid w:val="00EB1275"/>
    <w:rsid w:val="00EB3DA4"/>
    <w:rsid w:val="00EB512C"/>
    <w:rsid w:val="00EB5CE0"/>
    <w:rsid w:val="00EB6DB1"/>
    <w:rsid w:val="00EC1B98"/>
    <w:rsid w:val="00EC212C"/>
    <w:rsid w:val="00EC3A14"/>
    <w:rsid w:val="00EC5FF1"/>
    <w:rsid w:val="00EC6507"/>
    <w:rsid w:val="00ED08E0"/>
    <w:rsid w:val="00ED0E52"/>
    <w:rsid w:val="00ED208B"/>
    <w:rsid w:val="00ED3242"/>
    <w:rsid w:val="00ED3B88"/>
    <w:rsid w:val="00ED3ECF"/>
    <w:rsid w:val="00ED6D4F"/>
    <w:rsid w:val="00EE0C1D"/>
    <w:rsid w:val="00EE192A"/>
    <w:rsid w:val="00EE2602"/>
    <w:rsid w:val="00EE2DA4"/>
    <w:rsid w:val="00EE3490"/>
    <w:rsid w:val="00EE3CAE"/>
    <w:rsid w:val="00EE4132"/>
    <w:rsid w:val="00EE55BB"/>
    <w:rsid w:val="00EE6DC8"/>
    <w:rsid w:val="00EE7827"/>
    <w:rsid w:val="00EF0368"/>
    <w:rsid w:val="00EF1231"/>
    <w:rsid w:val="00EF14C7"/>
    <w:rsid w:val="00EF560A"/>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25E0"/>
    <w:rsid w:val="00F32886"/>
    <w:rsid w:val="00F34D03"/>
    <w:rsid w:val="00F3576A"/>
    <w:rsid w:val="00F35B2B"/>
    <w:rsid w:val="00F3690F"/>
    <w:rsid w:val="00F37B26"/>
    <w:rsid w:val="00F40B47"/>
    <w:rsid w:val="00F439AD"/>
    <w:rsid w:val="00F44D62"/>
    <w:rsid w:val="00F45A2A"/>
    <w:rsid w:val="00F4664B"/>
    <w:rsid w:val="00F468FE"/>
    <w:rsid w:val="00F476A1"/>
    <w:rsid w:val="00F51164"/>
    <w:rsid w:val="00F523FE"/>
    <w:rsid w:val="00F533A3"/>
    <w:rsid w:val="00F548D3"/>
    <w:rsid w:val="00F576F1"/>
    <w:rsid w:val="00F613EE"/>
    <w:rsid w:val="00F62DC9"/>
    <w:rsid w:val="00F6463B"/>
    <w:rsid w:val="00F656D5"/>
    <w:rsid w:val="00F65C1B"/>
    <w:rsid w:val="00F718BA"/>
    <w:rsid w:val="00F71D56"/>
    <w:rsid w:val="00F722CD"/>
    <w:rsid w:val="00F7526B"/>
    <w:rsid w:val="00F779E3"/>
    <w:rsid w:val="00F80355"/>
    <w:rsid w:val="00F8366A"/>
    <w:rsid w:val="00F8387B"/>
    <w:rsid w:val="00F83B3F"/>
    <w:rsid w:val="00F8490C"/>
    <w:rsid w:val="00F85C06"/>
    <w:rsid w:val="00F87597"/>
    <w:rsid w:val="00F946AC"/>
    <w:rsid w:val="00F950A3"/>
    <w:rsid w:val="00FA0C0A"/>
    <w:rsid w:val="00FA0E10"/>
    <w:rsid w:val="00FA11A4"/>
    <w:rsid w:val="00FA2704"/>
    <w:rsid w:val="00FA27DB"/>
    <w:rsid w:val="00FA27DF"/>
    <w:rsid w:val="00FA43B4"/>
    <w:rsid w:val="00FA576B"/>
    <w:rsid w:val="00FA5C55"/>
    <w:rsid w:val="00FA661D"/>
    <w:rsid w:val="00FA79DC"/>
    <w:rsid w:val="00FA7A86"/>
    <w:rsid w:val="00FB137F"/>
    <w:rsid w:val="00FB1A3D"/>
    <w:rsid w:val="00FB1E81"/>
    <w:rsid w:val="00FB2115"/>
    <w:rsid w:val="00FB2431"/>
    <w:rsid w:val="00FB5CF8"/>
    <w:rsid w:val="00FC0100"/>
    <w:rsid w:val="00FC0D7C"/>
    <w:rsid w:val="00FC1A5A"/>
    <w:rsid w:val="00FC38BB"/>
    <w:rsid w:val="00FC3A1F"/>
    <w:rsid w:val="00FC5AEA"/>
    <w:rsid w:val="00FC7CF2"/>
    <w:rsid w:val="00FD0FBD"/>
    <w:rsid w:val="00FD330F"/>
    <w:rsid w:val="00FD4289"/>
    <w:rsid w:val="00FD4669"/>
    <w:rsid w:val="00FD5489"/>
    <w:rsid w:val="00FD67FF"/>
    <w:rsid w:val="00FD6F08"/>
    <w:rsid w:val="00FE008E"/>
    <w:rsid w:val="00FE038C"/>
    <w:rsid w:val="00FE0D7E"/>
    <w:rsid w:val="00FE18AC"/>
    <w:rsid w:val="00FE2F95"/>
    <w:rsid w:val="00FE384B"/>
    <w:rsid w:val="00FE591B"/>
    <w:rsid w:val="00FE7B9A"/>
    <w:rsid w:val="00FE7D76"/>
    <w:rsid w:val="00FF4A6E"/>
    <w:rsid w:val="00FF4D9A"/>
    <w:rsid w:val="00FF62D9"/>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2569CD5D-DFD9-44D1-A7FF-A50C388B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Mention1">
    <w:name w:val="Mention1"/>
    <w:basedOn w:val="DefaultParagraphFont"/>
    <w:uiPriority w:val="99"/>
    <w:semiHidden/>
    <w:unhideWhenUsed/>
    <w:rsid w:val="003B5857"/>
    <w:rPr>
      <w:color w:val="2B579A"/>
      <w:shd w:val="clear" w:color="auto" w:fill="E6E6E6"/>
    </w:rPr>
  </w:style>
  <w:style w:type="paragraph" w:customStyle="1" w:styleId="Default">
    <w:name w:val="Default"/>
    <w:rsid w:val="0065521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298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563529/NIA_consultation_response_October_2017.pdf" TargetMode="External"/><Relationship Id="rId3" Type="http://schemas.openxmlformats.org/officeDocument/2006/relationships/customXml" Target="../customXml/item3.xml"/><Relationship Id="rId21" Type="http://schemas.openxmlformats.org/officeDocument/2006/relationships/hyperlink" Target="https://www.nic.org.uk/wp-content/uploads/Congestion-Capacity-Carbon-Modelling-Annex.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ic.org.uk/publications/national-infrastructure-assessment-consult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25950/National_Infrastructure_Assessment_Consultation.pdf" TargetMode="External"/><Relationship Id="rId20" Type="http://schemas.openxmlformats.org/officeDocument/2006/relationships/hyperlink" Target="https://www.nic.org.uk/wp-content/uploads/Congestion-Capacity-Carbon_-Priorities-for-national-infrastructur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85374/NIC_framework_document_web.pdf"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ic.org.uk/publications/smart-powe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uploads/system/uploads/attachment_data/file/559269/NIC_charter_6_final.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8f365c4-5990-4c53-9f89-27d00b8341fb" ContentTypeId="0x010100672A3FCA98991645BE083C320B7539B700947E5E88D22262459557D3C76C03AB4910" PreviousValue="false"/>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Original_x0020_Source xmlns="2e4aaef1-a7e7-4eac-bed7-f31ab1fb0f36" xsi:nil="true"/>
    <Legacy_x0020_Created_x0020_By xmlns="2e4aaef1-a7e7-4eac-bed7-f31ab1fb0f36" xsi:nil="true"/>
    <Legacy_x0020_Modified_x0020_By xmlns="2e4aaef1-a7e7-4eac-bed7-f31ab1fb0f36" xsi:nil="true"/>
    <Declared_x0020_as_x0020_Record_x0020_in_x0020_Legacy_x0020_System xmlns="2e4aaef1-a7e7-4eac-bed7-f31ab1fb0f36">false</Declared_x0020_as_x0020_Record_x0020_in_x0020_Legacy_x0020_System>
    <Folder4 xmlns="2e4aaef1-a7e7-4eac-bed7-f31ab1fb0f36" xsi:nil="true"/>
    <Folder5 xmlns="2e4aaef1-a7e7-4eac-bed7-f31ab1fb0f36" xsi:nil="true"/>
    <Notes1 xmlns="2e4aaef1-a7e7-4eac-bed7-f31ab1fb0f36" xsi:nil="true"/>
    <Team xmlns="2e4aaef1-a7e7-4eac-bed7-f31ab1fb0f36" xsi:nil="true"/>
    <dlc_EmailReceivedUTC xmlns="http://schemas.microsoft.com/sharepoint/v3" xsi:nil="true"/>
    <dlc_EmailSentUTC xmlns="http://schemas.microsoft.com/sharepoint/v3" xsi:nil="true"/>
    <Legacy_x0020_Item_x0020_ID xmlns="2e4aaef1-a7e7-4eac-bed7-f31ab1fb0f36" xsi:nil="true"/>
    <Library xmlns="2e4aaef1-a7e7-4eac-bed7-f31ab1fb0f36" xsi:nil="true"/>
    <Sensitive_x0020_Item xmlns="2e4aaef1-a7e7-4eac-bed7-f31ab1fb0f36">false</Sensitive_x0020_Item>
    <Group1 xmlns="2e4aaef1-a7e7-4eac-bed7-f31ab1fb0f36" xsi:nil="true"/>
    <External_x0020_Reference xmlns="2e4aaef1-a7e7-4eac-bed7-f31ab1fb0f36" xsi:nil="true"/>
    <dlc_EmailSubject xmlns="http://schemas.microsoft.com/sharepoint/v3" xsi:nil="true"/>
    <dlc_EmailTo xmlns="http://schemas.microsoft.com/sharepoint/v3" xsi:nil="true"/>
    <dlc_EmailFrom xmlns="http://schemas.microsoft.com/sharepoint/v3" xsi:nil="true"/>
    <dlc_EmailCC xmlns="http://schemas.microsoft.com/sharepoint/v3" xsi:nil="true"/>
    <Folder2 xmlns="2e4aaef1-a7e7-4eac-bed7-f31ab1fb0f36" xsi:nil="true"/>
    <dlc_EmailMailbox xmlns="http://schemas.microsoft.com/sharepoint/v3">
      <UserInfo>
        <DisplayName/>
        <AccountId xsi:nil="true"/>
        <AccountType/>
      </UserInfo>
    </dlc_EmailMailbox>
    <Folder3 xmlns="2e4aaef1-a7e7-4eac-bed7-f31ab1fb0f36" xsi:nil="true"/>
    <Folder1 xmlns="2e4aaef1-a7e7-4eac-bed7-f31ab1fb0f36" xsi:nil="true"/>
    <_dlc_DocId xmlns="2e4aaef1-a7e7-4eac-bed7-f31ab1fb0f36">MTRJ3WRDUD3R-11-722</_dlc_DocId>
    <_dlc_DocIdUrl xmlns="2e4aaef1-a7e7-4eac-bed7-f31ab1fb0f36">
      <Url>http://sphmt/sites/nic/_layouts/DocIdRedir.aspx?ID=MTRJ3WRDUD3R-11-722</Url>
      <Description>MTRJ3WRDUD3R-11-722</Description>
    </_dlc_DocIdUrl>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local="true" id="2428627a-f6f1-415b-835a-401f8c41086c">
  <p:Name>Review 10 years after last modification</p:Name>
  <p:Description/>
  <p:Statement>Dcoument is reviewed 10 years after it is last modified.</p:Statement>
  <p:PolicyItems>
    <p:PolicyItem featureId="Microsoft.Office.RecordsManagement.PolicyFeatures.Expiration" UniqueId="8e1fd799-f1e4-4d5e-b527-50142e8545bd">
      <p:Name>Retention</p:Name>
      <p:Description>Automatic scheduling of content for processing, and performing a retention action on content that has reached its due date.</p:Description>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Policy" ma:contentTypeID="0x010100672A3FCA98991645BE083C320B7539B700947E5E88D22262459557D3C76C03AB491000103869825F8FCA4E8ED07A24CC54DCF6" ma:contentTypeVersion="4" ma:contentTypeDescription="Policy document or email" ma:contentTypeScope="" ma:versionID="e6644bdc93d8c94a63d90eea790a5764">
  <xsd:schema xmlns:xsd="http://www.w3.org/2001/XMLSchema" xmlns:xs="http://www.w3.org/2001/XMLSchema" xmlns:p="http://schemas.microsoft.com/office/2006/metadata/properties" xmlns:ns1="http://schemas.microsoft.com/sharepoint/v3" xmlns:ns2="2e4aaef1-a7e7-4eac-bed7-f31ab1fb0f36" targetNamespace="http://schemas.microsoft.com/office/2006/metadata/properties" ma:root="true" ma:fieldsID="724fe8dae0bb2d5047ab972a42a5e43f" ns1:_="" ns2:_="">
    <xsd:import namespace="http://schemas.microsoft.com/sharepoint/v3"/>
    <xsd:import namespace="2e4aaef1-a7e7-4eac-bed7-f31ab1fb0f36"/>
    <xsd:element name="properties">
      <xsd:complexType>
        <xsd:sequence>
          <xsd:element name="documentManagement">
            <xsd:complexType>
              <xsd:all>
                <xsd:element ref="ns2:Original_x0020_Source" minOccurs="0"/>
                <xsd:element ref="ns2:External_x0020_Reference" minOccurs="0"/>
                <xsd:element ref="ns2:Notes1" minOccurs="0"/>
                <xsd:element ref="ns2:Sensitive_x0020_Item" minOccurs="0"/>
                <xsd:element ref="ns2:Legacy_x0020_Item_x0020_ID" minOccurs="0"/>
                <xsd:element ref="ns2:Legacy_x0020_Created_x0020_By" minOccurs="0"/>
                <xsd:element ref="ns2:Legacy_x0020_Modified_x0020_By" minOccurs="0"/>
                <xsd:element ref="ns2:Declared_x0020_as_x0020_Record_x0020_in_x0020_Legacy_x0020_System"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Group1" minOccurs="0"/>
                <xsd:element ref="ns2:Team" minOccurs="0"/>
                <xsd:element ref="ns2:Library" minOccurs="0"/>
                <xsd:element ref="ns2:Folder1" minOccurs="0"/>
                <xsd:element ref="ns2:Folder2" minOccurs="0"/>
                <xsd:element ref="ns2:Folder3" minOccurs="0"/>
                <xsd:element ref="ns2:Folder4" minOccurs="0"/>
                <xsd:element ref="ns2:Folder5" minOccurs="0"/>
                <xsd:element ref="ns1:_dlc_Exempt" minOccurs="0"/>
                <xsd:element ref="ns1:_dlc_ExpireDateSaved" minOccurs="0"/>
                <xsd:element ref="ns1:_dlc_Expire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xsd:simpleType>
        <xsd:restriction base="dms:Note">
          <xsd:maxLength value="1024"/>
        </xsd:restriction>
      </xsd:simpleType>
    </xsd:element>
    <xsd:element name="dlc_EmailBCC" ma:index="15" nillable="true" ma:displayName="BCC" ma:internalName="dlc_EmailBCC">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dlc_ExpireDateSaved" ma:index="33" nillable="true" ma:displayName="Original Expiration Date" ma:hidden="true" ma:internalName="_dlc_ExpireDateSaved" ma:readOnly="true">
      <xsd:simpleType>
        <xsd:restriction base="dms:DateTime"/>
      </xsd:simpleType>
    </xsd:element>
    <xsd:element name="_dlc_ExpireDate" ma:index="3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Original_x0020_Source" ma:index="2" nillable="true" ma:displayName="Original Source" ma:description="Source of information if imported from other department/agency." ma:internalName="Original_x0020_Source">
      <xsd:simpleType>
        <xsd:restriction base="dms:Text">
          <xsd:maxLength value="255"/>
        </xsd:restriction>
      </xsd:simpleType>
    </xsd:element>
    <xsd:element name="External_x0020_Reference" ma:index="3" nillable="true" ma:displayName="External Reference" ma:description="If imported from other department/agency, details of previous ID." ma:internalName="External_x0020_Reference">
      <xsd:simpleType>
        <xsd:restriction base="dms:Text">
          <xsd:maxLength value="255"/>
        </xsd:restriction>
      </xsd:simpleType>
    </xsd:element>
    <xsd:element name="Notes1" ma:index="4" nillable="true" ma:displayName="Notes" ma:description="Additional notes for general reference." ma:internalName="Notes1">
      <xsd:simpleType>
        <xsd:restriction base="dms:Note">
          <xsd:maxLength value="255"/>
        </xsd:restriction>
      </xsd:simpleType>
    </xsd:element>
    <xsd:element name="Sensitive_x0020_Item" ma:index="5" nillable="true" ma:displayName="Sensitive Item" ma:default="0" ma:description="Used to mark an item that is stored in a controlled area within Info Store, or where access to it should be controlled." ma:internalName="Sensitive_x0020_Item">
      <xsd:simpleType>
        <xsd:restriction base="dms:Boolean"/>
      </xsd:simpleType>
    </xsd:element>
    <xsd:element name="Legacy_x0020_Item_x0020_ID" ma:index="6" nillable="true" ma:displayName="Legacy Item ID" ma:description="Reference to the document ID from the legacy system the document was imported (Jigsaw)" ma:internalName="Legacy_x0020_Item_x0020_ID">
      <xsd:simpleType>
        <xsd:restriction base="dms:Text">
          <xsd:maxLength value="255"/>
        </xsd:restriction>
      </xsd:simpleType>
    </xsd:element>
    <xsd:element name="Legacy_x0020_Created_x0020_By" ma:index="7" nillable="true" ma:displayName="Legacy Created By" ma:description="The original creator of the document in the legacy system from where the document was imported." ma:internalName="Legacy_x0020_Created_x0020_By">
      <xsd:simpleType>
        <xsd:restriction base="dms:Text">
          <xsd:maxLength value="255"/>
        </xsd:restriction>
      </xsd:simpleType>
    </xsd:element>
    <xsd:element name="Legacy_x0020_Modified_x0020_By" ma:index="8" nillable="true" ma:displayName="Legacy Modified By" ma:description="The last modifier of the document in the legacy system from where the document was imported." ma:internalName="Legacy_x0020_Modified_x0020_By">
      <xsd:simpleType>
        <xsd:restriction base="dms:Text">
          <xsd:maxLength value="255"/>
        </xsd:restriction>
      </xsd:simpleType>
    </xsd:element>
    <xsd:element name="Declared_x0020_as_x0020_Record_x0020_in_x0020_Legacy_x0020_System" ma:index="9" nillable="true" ma:displayName="Declared as Record in Legacy System" ma:default="0" ma:description="Was the item declared as a record in the previous legacy EDRMS?" ma:internalName="Declared_x0020_as_x0020_Record_x0020_in_x0020_Legacy_x0020_System">
      <xsd:simpleType>
        <xsd:restriction base="dms:Boolean"/>
      </xsd:simpleType>
    </xsd:element>
    <xsd:element name="Group1" ma:index="18" nillable="true" ma:displayName="Group" ma:description="HM Treasury group" ma:internalName="Group1">
      <xsd:simpleType>
        <xsd:restriction base="dms:Text">
          <xsd:maxLength value="255"/>
        </xsd:restriction>
      </xsd:simpleType>
    </xsd:element>
    <xsd:element name="Team" ma:index="19" nillable="true" ma:displayName="Team" ma:description="HM Treasury team" ma:internalName="Team">
      <xsd:simpleType>
        <xsd:restriction base="dms:Text">
          <xsd:maxLength value="255"/>
        </xsd:restriction>
      </xsd:simpleType>
    </xsd:element>
    <xsd:element name="Library" ma:index="20" nillable="true" ma:displayName="Library" ma:description="Name of the library" ma:internalName="Library">
      <xsd:simpleType>
        <xsd:restriction base="dms:Text">
          <xsd:maxLength value="255"/>
        </xsd:restriction>
      </xsd:simpleType>
    </xsd:element>
    <xsd:element name="Folder1" ma:index="21" nillable="true" ma:displayName="Folder1" ma:description="First level folder within a library" ma:internalName="Folder1">
      <xsd:simpleType>
        <xsd:restriction base="dms:Text">
          <xsd:maxLength value="255"/>
        </xsd:restriction>
      </xsd:simpleType>
    </xsd:element>
    <xsd:element name="Folder2" ma:index="22" nillable="true" ma:displayName="Folder2" ma:description="Second level folder within a library" ma:internalName="Folder2">
      <xsd:simpleType>
        <xsd:restriction base="dms:Text">
          <xsd:maxLength value="255"/>
        </xsd:restriction>
      </xsd:simpleType>
    </xsd:element>
    <xsd:element name="Folder3" ma:index="23" nillable="true" ma:displayName="Folder3" ma:description="Third level folder within a library" ma:internalName="Folder3">
      <xsd:simpleType>
        <xsd:restriction base="dms:Text">
          <xsd:maxLength value="255"/>
        </xsd:restriction>
      </xsd:simpleType>
    </xsd:element>
    <xsd:element name="Folder4" ma:index="24" nillable="true" ma:displayName="Folder4" ma:description="Fourth level folder within a library" ma:internalName="Folder4">
      <xsd:simpleType>
        <xsd:restriction base="dms:Text">
          <xsd:maxLength value="255"/>
        </xsd:restriction>
      </xsd:simpleType>
    </xsd:element>
    <xsd:element name="Folder5" ma:index="25" nillable="true" ma:displayName="Folder5" ma:description="Fifth level folder within a library" ma:internalName="Folder5">
      <xsd:simpleType>
        <xsd:restriction base="dms:Text">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9A3C-5BDC-4363-8B17-A728807D70BB}">
  <ds:schemaRefs>
    <ds:schemaRef ds:uri="http://schemas.microsoft.com/sharepoint/v3/contenttype/forms"/>
  </ds:schemaRefs>
</ds:datastoreItem>
</file>

<file path=customXml/itemProps2.xml><?xml version="1.0" encoding="utf-8"?>
<ds:datastoreItem xmlns:ds="http://schemas.openxmlformats.org/officeDocument/2006/customXml" ds:itemID="{4A01EF19-D6C0-4C51-BC0F-FB83FBD80879}">
  <ds:schemaRefs>
    <ds:schemaRef ds:uri="Microsoft.SharePoint.Taxonomy.ContentTypeSync"/>
  </ds:schemaRefs>
</ds:datastoreItem>
</file>

<file path=customXml/itemProps3.xml><?xml version="1.0" encoding="utf-8"?>
<ds:datastoreItem xmlns:ds="http://schemas.openxmlformats.org/officeDocument/2006/customXml" ds:itemID="{8E5E0F01-1AE9-4694-97E5-F611B3DD20CB}">
  <ds:schemaRefs>
    <ds:schemaRef ds:uri="http://schemas.microsoft.com/office/2006/metadata/properties"/>
    <ds:schemaRef ds:uri="http://schemas.microsoft.com/office/infopath/2007/PartnerControls"/>
    <ds:schemaRef ds:uri="http://schemas.microsoft.com/sharepoint/v3"/>
    <ds:schemaRef ds:uri="2e4aaef1-a7e7-4eac-bed7-f31ab1fb0f36"/>
  </ds:schemaRefs>
</ds:datastoreItem>
</file>

<file path=customXml/itemProps4.xml><?xml version="1.0" encoding="utf-8"?>
<ds:datastoreItem xmlns:ds="http://schemas.openxmlformats.org/officeDocument/2006/customXml" ds:itemID="{ADE3CFF0-A023-4D7D-9672-D45EA07B0F73}">
  <ds:schemaRefs>
    <ds:schemaRef ds:uri="http://schemas.microsoft.com/sharepoint/events"/>
  </ds:schemaRefs>
</ds:datastoreItem>
</file>

<file path=customXml/itemProps5.xml><?xml version="1.0" encoding="utf-8"?>
<ds:datastoreItem xmlns:ds="http://schemas.openxmlformats.org/officeDocument/2006/customXml" ds:itemID="{21B69C8B-355F-4432-8A06-7673405F6EB1}">
  <ds:schemaRefs>
    <ds:schemaRef ds:uri="office.server.policy"/>
  </ds:schemaRefs>
</ds:datastoreItem>
</file>

<file path=customXml/itemProps6.xml><?xml version="1.0" encoding="utf-8"?>
<ds:datastoreItem xmlns:ds="http://schemas.openxmlformats.org/officeDocument/2006/customXml" ds:itemID="{8D9C4553-F714-4F0A-BD94-CE738EA6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910194-CFF6-4681-B34A-20BBC916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4329</Words>
  <Characters>24677</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Appendix B - Statement of Requirements - Metrics</vt:lpstr>
      <vt:lpstr/>
      <vt:lpstr>PURPOSE</vt:lpstr>
      <vt:lpstr>    The purpose of this Procurement is to source a Potential Provider that will prov</vt:lpstr>
      <vt:lpstr>BACKGROUND TO THE CONTRACTING AUTHORITY</vt:lpstr>
      <vt:lpstr>    The Authority provides the government with impartial, expert advice on major lon</vt:lpstr>
      <vt:lpstr>    The Authority’s relationship with the government is set out in a published Chart</vt:lpstr>
      <vt:lpstr>    The government has outlined the high-level objectives of the Authority as follow</vt:lpstr>
      <vt:lpstr>    Each Parliament, the Authority will deliver a study on the UK’s long-term strate</vt:lpstr>
      <vt:lpstr>    This study is the National Infrastructure Assessment (NIA). The delivery of the </vt:lpstr>
      <vt:lpstr>    The NIA will consist of two stages: an interim report “Congestion, Capacity, Car</vt:lpstr>
      <vt:lpstr>    The Authority has undertaken a NIA consultation in order to develop the best pro</vt:lpstr>
      <vt:lpstr>    To understand the broader context for this requirement and to inform their respo</vt:lpstr>
      <vt:lpstr>Background to requirement/OVERVIEW of requirement</vt:lpstr>
      <vt:lpstr>    The Authority must have accurate and independent information on future electrici</vt:lpstr>
      <vt:lpstr>    The Authority would like to understand the cost trade-off between renewables and</vt:lpstr>
      <vt:lpstr>    The Authority has already undertaken whole-systems energy modelling with the sup</vt:lpstr>
      <vt:lpstr>    The Authority is seeking to identify the total power system costs (including sys</vt:lpstr>
      <vt:lpstr>    As part of this work, the Authority is interested in finding:</vt:lpstr>
      <vt:lpstr>definitions </vt:lpstr>
      <vt:lpstr>scope of requirement </vt:lpstr>
      <vt:lpstr>    The Authority is seeking to identify, through modelling, the whole power system </vt:lpstr>
      <vt:lpstr>    Electricity demand</vt:lpstr>
      <vt:lpstr>    The Authority’s existing electricity demand modelling outputs are the starting p</vt:lpstr>
      <vt:lpstr>    The Authority would like to consider the impact of demand-side policies on the e</vt:lpstr>
      <vt:lpstr>    The Authority has already procured analysis on decarbonisation pathways for the </vt:lpstr>
      <vt:lpstr>    The second demand-side policy relates to the take-up of EVs. The Authority will </vt:lpstr>
      <vt:lpstr>    The demand-side policies above are combined to generate three demand-side “polic</vt:lpstr>
      <vt:lpstr>    Assumptions on EV take-up are consistent throughout all three policy packages, w</vt:lpstr>
      <vt:lpstr>    Electricity supply</vt:lpstr>
      <vt:lpstr>    The Authority would like the Potential Provider to model the capacity requiremen</vt:lpstr>
      <vt:lpstr>    In addition, the Authority would like the Potential Provider to:</vt:lpstr>
      <vt:lpstr>    For each of the six demand scenarios and three technology availability scenarios</vt:lpstr>
      <vt:lpstr>    Sensitivity tests</vt:lpstr>
      <vt:lpstr>    The Authority would like the Potential Provider to produce two sensitivity tests</vt:lpstr>
      <vt:lpstr>    All assumptions made must be clearly stated and agreed upon by the Authority.</vt:lpstr>
      <vt:lpstr>The requirement</vt:lpstr>
      <vt:lpstr>    The key outputs from this project are whole system costs as the proportion of re</vt:lpstr>
      <vt:lpstr>    The Potential Provider should also provide outputs for:</vt:lpstr>
      <vt:lpstr>    These products must be delivered by no later than 5th March 2018 to ensure that </vt:lpstr>
      <vt:lpstr>    At the start of the project the Authority expects to hold an inception/scoping m</vt:lpstr>
      <vt:lpstr>    The Potential Provider will present the report to technical and non-technical me</vt:lpstr>
      <vt:lpstr>    The Potential Provider must submit a final report detailing analysis, findings a</vt:lpstr>
      <vt:lpstr>    The Authority intends to publish the final report and associated documents, as w</vt:lpstr>
      <vt:lpstr>key milestones</vt:lpstr>
      <vt:lpstr>    The Potential Provider should note the following project milestones that the Aut</vt:lpstr>
      <vt:lpstr/>
      <vt:lpstr>    The above timetable assumes the Contract will be awarded during the w/c 13th Nov</vt:lpstr>
      <vt:lpstr>Authority’s responsibilities</vt:lpstr>
      <vt:lpstr>    The Authority will share pertinent information received through relevant stakeho</vt:lpstr>
      <vt:lpstr>reporting</vt:lpstr>
      <vt:lpstr>    As set out in Section 7 (Key Milestones).  Additionally, the Potential Provider </vt:lpstr>
      <vt:lpstr>volumes</vt:lpstr>
      <vt:lpstr>    This is a substantial piece of work – the expectation is that the key outputs an</vt:lpstr>
      <vt:lpstr>continuous improvement</vt:lpstr>
      <vt:lpstr>    The Potential Provider will be expected to give due consideration to the way in </vt:lpstr>
      <vt:lpstr>    Changes to the way in which the Services are to be delivered must be brought to </vt:lpstr>
      <vt:lpstr>    The Potential Provider must present new ways of working to the Authority during </vt:lpstr>
      <vt:lpstr>    Changes to the way in which the Services are to be delivered must be brought to </vt:lpstr>
      <vt:lpstr>Sustainability</vt:lpstr>
      <vt:lpstr>    There are no sustainability considerations applicable to this requirement. </vt:lpstr>
      <vt:lpstr>quality</vt:lpstr>
      <vt:lpstr>    There are no specific quality requirements however all reports and presentations</vt:lpstr>
      <vt:lpstr>PRICE</vt:lpstr>
      <vt:lpstr>    Prices are to be submitted via the e-Sourcing Suite Appendix E excluding VAT. Th</vt:lpstr>
      <vt:lpstr>    Any bids over the £100,000 (excluding VAT) budget will not be considered by the </vt:lpstr>
      <vt:lpstr>    It is the Authority’s intention to adopt the following payment schedule:  </vt:lpstr>
      <vt:lpstr>    15% of the total contract price for successful delivery up to and including mile</vt:lpstr>
      <vt:lpstr>    15% of the total contract price for successful delivery up to and including mile</vt:lpstr>
      <vt:lpstr>    15% of the total contract price for successful delivery up to and including mile</vt:lpstr>
      <vt:lpstr>    15% of the total contract price for successful delivery of milestone 8;</vt:lpstr>
      <vt:lpstr>    40% of the total contract price for successful delivery of milestone 9.</vt:lpstr>
      <vt:lpstr>STAFF AND CUSTOMER SERVICE</vt:lpstr>
      <vt:lpstr>    The Authority requires the Potential Provider to provide a sufficient level of r</vt:lpstr>
      <vt:lpstr>    Potential Provider’s staff assigned to the Contract shall have the relevant qual</vt:lpstr>
      <vt:lpstr>    The Potential Provider shall ensure that staff understand the Authority’s vision</vt:lpstr>
      <vt:lpstr>service levels and performance</vt:lpstr>
      <vt:lpstr>    Where there are any milestones in brackets, these are relating back to Section 7</vt:lpstr>
      <vt:lpstr>    The Authority will measure the quality of the Potential Provider’s delivery by:</vt:lpstr>
      <vt:lpstr>    </vt:lpstr>
      <vt:lpstr>    The above timetable assumes the Contract will be awarded on the w/c 13th Novembe</vt:lpstr>
      <vt:lpstr>    As an example to the above table, if the Potential Provider missed KPI 3, they w</vt:lpstr>
      <vt:lpstr>Security requirements</vt:lpstr>
      <vt:lpstr>    Due care must be taken by the Potential Provider to protect the confidentiality </vt:lpstr>
      <vt:lpstr>intellectual property rights (ipr)</vt:lpstr>
      <vt:lpstr>    Please note this is a special term within the Appendix C – Terms and Conditions </vt:lpstr>
      <vt:lpstr>    All analysis (including any calculations, main assumptions and model description</vt:lpstr>
      <vt:lpstr>payment</vt:lpstr>
      <vt:lpstr>    Payment can only be made following satisfactory and timely delivery of pre-agree</vt:lpstr>
      <vt:lpstr>    Before payment can be considered, invoice(s) must include a detailed elemental b</vt:lpstr>
      <vt:lpstr>additional information </vt:lpstr>
      <vt:lpstr>    The Potential Provider should demonstrate that they are open to working collabor</vt:lpstr>
      <vt:lpstr>Location </vt:lpstr>
      <vt:lpstr>    The location of the Services will be carried out at the offices of the Potential</vt:lpstr>
    </vt:vector>
  </TitlesOfParts>
  <Company/>
  <LinksUpToDate>false</LinksUpToDate>
  <CharactersWithSpaces>28949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Statement of Requirements - Metrics</dc:title>
  <dc:subject/>
  <dc:creator>James Bergin</dc:creator>
  <cp:keywords/>
  <dc:description/>
  <cp:lastModifiedBy>Christopher Dier</cp:lastModifiedBy>
  <cp:revision>2</cp:revision>
  <cp:lastPrinted>2017-10-31T14:15:00Z</cp:lastPrinted>
  <dcterms:created xsi:type="dcterms:W3CDTF">2017-11-06T16:30:00Z</dcterms:created>
  <dcterms:modified xsi:type="dcterms:W3CDTF">2017-11-06T16:30:00Z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0x010100672A3FCA98991645BE083C320B7539B700947E5E88D22262459557D3C76C03AB491000103869825F8FCA4E8ED07A24CC54DCF6</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19080d98-69d7-4a21-9764-ef957d40f703</vt:lpwstr>
  </property>
</Properties>
</file>