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F13F9FF" w:rsidR="00B327EC" w:rsidRPr="002C519F" w:rsidRDefault="008021FE" w:rsidP="00B327EC">
      <w:pPr>
        <w:widowControl w:val="0"/>
        <w:tabs>
          <w:tab w:val="center" w:pos="4513"/>
        </w:tabs>
        <w:spacing w:before="120" w:after="120"/>
        <w:jc w:val="center"/>
        <w:rPr>
          <w:b/>
          <w:bCs/>
          <w:sz w:val="36"/>
          <w:szCs w:val="36"/>
        </w:rPr>
      </w:pPr>
      <w:r>
        <w:rPr>
          <w:b/>
          <w:bCs/>
          <w:sz w:val="36"/>
          <w:szCs w:val="36"/>
        </w:rPr>
        <w:t>THE INFECTED BLOOD INQUIRY</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77777777" w:rsidR="00B327EC" w:rsidRPr="002C519F" w:rsidRDefault="00B327EC" w:rsidP="00B327EC">
      <w:pPr>
        <w:widowControl w:val="0"/>
        <w:tabs>
          <w:tab w:val="center" w:pos="4513"/>
        </w:tabs>
        <w:spacing w:before="120" w:after="120"/>
        <w:jc w:val="center"/>
        <w:rPr>
          <w:b/>
          <w:bCs/>
          <w:sz w:val="36"/>
          <w:szCs w:val="36"/>
        </w:rPr>
      </w:pPr>
      <w:r w:rsidRPr="002C519F">
        <w:rPr>
          <w:b/>
          <w:bCs/>
          <w:sz w:val="36"/>
          <w:szCs w:val="36"/>
        </w:rPr>
        <w:t>- and -</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0AC1DA6B" w14:textId="556F7B09" w:rsidR="00B327EC" w:rsidRDefault="008021FE" w:rsidP="00B327EC">
      <w:pPr>
        <w:widowControl w:val="0"/>
        <w:tabs>
          <w:tab w:val="center" w:pos="4513"/>
        </w:tabs>
        <w:spacing w:before="120" w:after="120"/>
        <w:jc w:val="center"/>
        <w:rPr>
          <w:b/>
          <w:bCs/>
          <w:sz w:val="36"/>
          <w:szCs w:val="36"/>
        </w:rPr>
      </w:pPr>
      <w:r>
        <w:rPr>
          <w:b/>
          <w:bCs/>
          <w:sz w:val="36"/>
          <w:szCs w:val="36"/>
        </w:rPr>
        <w:t>BRITISH RED CROSS</w:t>
      </w:r>
    </w:p>
    <w:p w14:paraId="30CFE6E8" w14:textId="77777777" w:rsidR="008021FE" w:rsidRPr="002C519F" w:rsidRDefault="008021FE" w:rsidP="00B327EC">
      <w:pPr>
        <w:widowControl w:val="0"/>
        <w:tabs>
          <w:tab w:val="center" w:pos="4513"/>
        </w:tabs>
        <w:spacing w:before="120" w:after="120"/>
        <w:jc w:val="center"/>
        <w:rPr>
          <w:b/>
          <w:bCs/>
          <w:sz w:val="36"/>
          <w:szCs w:val="36"/>
        </w:rPr>
      </w:pPr>
    </w:p>
    <w:p w14:paraId="49E4EEDF" w14:textId="3A964A5B" w:rsidR="00B327EC" w:rsidRPr="002C519F" w:rsidRDefault="004B1AF8" w:rsidP="00B327EC">
      <w:pPr>
        <w:widowControl w:val="0"/>
        <w:tabs>
          <w:tab w:val="center" w:pos="4513"/>
        </w:tabs>
        <w:spacing w:before="120" w:after="120"/>
        <w:jc w:val="center"/>
        <w:rPr>
          <w:b/>
          <w:bCs/>
          <w:sz w:val="36"/>
          <w:szCs w:val="36"/>
        </w:rPr>
      </w:pPr>
      <w:r w:rsidRPr="002C519F">
        <w:rPr>
          <w:b/>
          <w:bCs/>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2C519F">
        <w:rPr>
          <w:b/>
          <w:bCs/>
          <w:sz w:val="36"/>
          <w:szCs w:val="36"/>
        </w:rPr>
        <w:t>relating to</w:t>
      </w:r>
    </w:p>
    <w:p w14:paraId="0DA96CDA" w14:textId="77777777" w:rsidR="002C519F" w:rsidRPr="002C519F" w:rsidRDefault="002C519F" w:rsidP="00B327EC">
      <w:pPr>
        <w:widowControl w:val="0"/>
        <w:tabs>
          <w:tab w:val="left" w:pos="-720"/>
        </w:tabs>
        <w:spacing w:before="120" w:after="120"/>
        <w:jc w:val="center"/>
        <w:rPr>
          <w:b/>
          <w:bCs/>
          <w:sz w:val="36"/>
          <w:szCs w:val="36"/>
        </w:rPr>
      </w:pPr>
    </w:p>
    <w:p w14:paraId="56315733" w14:textId="1E3A420F" w:rsidR="008021FE" w:rsidRPr="008021FE" w:rsidRDefault="008021FE" w:rsidP="008021FE">
      <w:pPr>
        <w:widowControl w:val="0"/>
        <w:tabs>
          <w:tab w:val="center" w:pos="4513"/>
        </w:tabs>
        <w:spacing w:before="120" w:after="120"/>
        <w:jc w:val="center"/>
        <w:rPr>
          <w:b/>
          <w:bCs/>
          <w:sz w:val="36"/>
          <w:szCs w:val="36"/>
        </w:rPr>
      </w:pPr>
      <w:r w:rsidRPr="008021FE">
        <w:rPr>
          <w:b/>
          <w:bCs/>
          <w:sz w:val="36"/>
          <w:szCs w:val="36"/>
        </w:rPr>
        <w:t xml:space="preserve">THE PROVISION OF CONFIDENTIAL PSYCHOLOGICAL SUPPORT </w:t>
      </w:r>
    </w:p>
    <w:p w14:paraId="584C9CC2" w14:textId="1763F1F2" w:rsidR="00F42D71" w:rsidRPr="002C519F" w:rsidRDefault="008021FE" w:rsidP="00B327EC">
      <w:pPr>
        <w:widowControl w:val="0"/>
        <w:tabs>
          <w:tab w:val="center" w:pos="4513"/>
        </w:tabs>
        <w:spacing w:before="120" w:after="120"/>
        <w:jc w:val="center"/>
        <w:rPr>
          <w:b/>
          <w:bCs/>
          <w:sz w:val="36"/>
          <w:szCs w:val="36"/>
        </w:rPr>
      </w:pPr>
      <w:r>
        <w:rPr>
          <w:b/>
          <w:bCs/>
          <w:sz w:val="36"/>
          <w:szCs w:val="36"/>
        </w:rPr>
        <w:t>CCHR19A19</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5577B593"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DE182C">
          <w:rPr>
            <w:noProof/>
            <w:webHidden/>
          </w:rPr>
          <w:t>3</w:t>
        </w:r>
        <w:r w:rsidR="003537BB">
          <w:rPr>
            <w:noProof/>
            <w:webHidden/>
          </w:rPr>
          <w:fldChar w:fldCharType="end"/>
        </w:r>
      </w:hyperlink>
    </w:p>
    <w:p w14:paraId="0AA737F4" w14:textId="0170B21F" w:rsidR="003537BB" w:rsidRDefault="00BF74A4">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DE182C">
          <w:rPr>
            <w:noProof/>
            <w:webHidden/>
          </w:rPr>
          <w:t>3</w:t>
        </w:r>
        <w:r w:rsidR="003537BB">
          <w:rPr>
            <w:noProof/>
            <w:webHidden/>
          </w:rPr>
          <w:fldChar w:fldCharType="end"/>
        </w:r>
      </w:hyperlink>
    </w:p>
    <w:p w14:paraId="4C1A2F88" w14:textId="3301C8EE" w:rsidR="003537BB" w:rsidRDefault="00BF74A4">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DE182C">
          <w:rPr>
            <w:noProof/>
            <w:webHidden/>
          </w:rPr>
          <w:t>4</w:t>
        </w:r>
        <w:r w:rsidR="003537BB">
          <w:rPr>
            <w:noProof/>
            <w:webHidden/>
          </w:rPr>
          <w:fldChar w:fldCharType="end"/>
        </w:r>
      </w:hyperlink>
    </w:p>
    <w:p w14:paraId="239E4E79" w14:textId="4EC2E501" w:rsidR="003537BB" w:rsidRDefault="00BF74A4">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DE182C">
          <w:rPr>
            <w:noProof/>
            <w:webHidden/>
          </w:rPr>
          <w:t>5</w:t>
        </w:r>
        <w:r w:rsidR="003537BB">
          <w:rPr>
            <w:noProof/>
            <w:webHidden/>
          </w:rPr>
          <w:fldChar w:fldCharType="end"/>
        </w:r>
      </w:hyperlink>
    </w:p>
    <w:p w14:paraId="0B35382D" w14:textId="6C350705" w:rsidR="003537BB" w:rsidRDefault="00BF74A4">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DE182C">
          <w:rPr>
            <w:noProof/>
            <w:webHidden/>
          </w:rPr>
          <w:t>5</w:t>
        </w:r>
        <w:r w:rsidR="003537BB">
          <w:rPr>
            <w:noProof/>
            <w:webHidden/>
          </w:rPr>
          <w:fldChar w:fldCharType="end"/>
        </w:r>
      </w:hyperlink>
    </w:p>
    <w:p w14:paraId="13B8BD04" w14:textId="262C0711" w:rsidR="003537BB" w:rsidRDefault="00BF74A4">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DE182C">
          <w:rPr>
            <w:noProof/>
            <w:webHidden/>
          </w:rPr>
          <w:t>5</w:t>
        </w:r>
        <w:r w:rsidR="003537BB">
          <w:rPr>
            <w:noProof/>
            <w:webHidden/>
          </w:rPr>
          <w:fldChar w:fldCharType="end"/>
        </w:r>
      </w:hyperlink>
    </w:p>
    <w:p w14:paraId="3137EB71" w14:textId="7BF24403" w:rsidR="003537BB" w:rsidRDefault="00BF74A4">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DE182C">
          <w:rPr>
            <w:noProof/>
            <w:webHidden/>
          </w:rPr>
          <w:t>6</w:t>
        </w:r>
        <w:r w:rsidR="003537BB">
          <w:rPr>
            <w:noProof/>
            <w:webHidden/>
          </w:rPr>
          <w:fldChar w:fldCharType="end"/>
        </w:r>
      </w:hyperlink>
    </w:p>
    <w:p w14:paraId="49500F3D" w14:textId="5C202800" w:rsidR="003537BB" w:rsidRDefault="00BF74A4">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DE182C">
          <w:rPr>
            <w:noProof/>
            <w:webHidden/>
          </w:rPr>
          <w:t>7</w:t>
        </w:r>
        <w:r w:rsidR="003537BB">
          <w:rPr>
            <w:noProof/>
            <w:webHidden/>
          </w:rPr>
          <w:fldChar w:fldCharType="end"/>
        </w:r>
      </w:hyperlink>
    </w:p>
    <w:p w14:paraId="1F65720D" w14:textId="7AE25886" w:rsidR="003537BB" w:rsidRDefault="00BF74A4">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DE182C">
          <w:rPr>
            <w:noProof/>
            <w:webHidden/>
          </w:rPr>
          <w:t>8</w:t>
        </w:r>
        <w:r w:rsidR="003537BB">
          <w:rPr>
            <w:noProof/>
            <w:webHidden/>
          </w:rPr>
          <w:fldChar w:fldCharType="end"/>
        </w:r>
      </w:hyperlink>
    </w:p>
    <w:p w14:paraId="11D51CDD" w14:textId="0CA4613A" w:rsidR="003537BB" w:rsidRDefault="00BF74A4">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DE182C">
          <w:rPr>
            <w:noProof/>
            <w:webHidden/>
          </w:rPr>
          <w:t>8</w:t>
        </w:r>
        <w:r w:rsidR="003537BB">
          <w:rPr>
            <w:noProof/>
            <w:webHidden/>
          </w:rPr>
          <w:fldChar w:fldCharType="end"/>
        </w:r>
      </w:hyperlink>
    </w:p>
    <w:p w14:paraId="37C11058" w14:textId="6CF20CA2" w:rsidR="003537BB" w:rsidRDefault="00BF74A4">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DE182C">
          <w:rPr>
            <w:noProof/>
            <w:webHidden/>
          </w:rPr>
          <w:t>9</w:t>
        </w:r>
        <w:r w:rsidR="003537BB">
          <w:rPr>
            <w:noProof/>
            <w:webHidden/>
          </w:rPr>
          <w:fldChar w:fldCharType="end"/>
        </w:r>
      </w:hyperlink>
    </w:p>
    <w:p w14:paraId="049CD371" w14:textId="2B87D3C4" w:rsidR="003537BB" w:rsidRDefault="00BF74A4">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DE182C">
          <w:rPr>
            <w:noProof/>
            <w:webHidden/>
          </w:rPr>
          <w:t>9</w:t>
        </w:r>
        <w:r w:rsidR="003537BB">
          <w:rPr>
            <w:noProof/>
            <w:webHidden/>
          </w:rPr>
          <w:fldChar w:fldCharType="end"/>
        </w:r>
      </w:hyperlink>
    </w:p>
    <w:p w14:paraId="0F6856DE" w14:textId="023BEF59" w:rsidR="003537BB" w:rsidRDefault="00BF74A4">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DE182C">
          <w:rPr>
            <w:noProof/>
            <w:webHidden/>
          </w:rPr>
          <w:t>10</w:t>
        </w:r>
        <w:r w:rsidR="003537BB">
          <w:rPr>
            <w:noProof/>
            <w:webHidden/>
          </w:rPr>
          <w:fldChar w:fldCharType="end"/>
        </w:r>
      </w:hyperlink>
    </w:p>
    <w:p w14:paraId="30D93AB2" w14:textId="0FDED694" w:rsidR="003537BB" w:rsidRDefault="00BF74A4">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DE182C">
          <w:rPr>
            <w:noProof/>
            <w:webHidden/>
          </w:rPr>
          <w:t>11</w:t>
        </w:r>
        <w:r w:rsidR="003537BB">
          <w:rPr>
            <w:noProof/>
            <w:webHidden/>
          </w:rPr>
          <w:fldChar w:fldCharType="end"/>
        </w:r>
      </w:hyperlink>
    </w:p>
    <w:p w14:paraId="18AD9369" w14:textId="2355FEAE" w:rsidR="003537BB" w:rsidRDefault="00BF74A4">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DE182C">
          <w:rPr>
            <w:noProof/>
            <w:webHidden/>
          </w:rPr>
          <w:t>11</w:t>
        </w:r>
        <w:r w:rsidR="003537BB">
          <w:rPr>
            <w:noProof/>
            <w:webHidden/>
          </w:rPr>
          <w:fldChar w:fldCharType="end"/>
        </w:r>
      </w:hyperlink>
    </w:p>
    <w:p w14:paraId="55FCE754" w14:textId="787D0217" w:rsidR="003537BB" w:rsidRDefault="00BF74A4">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DE182C">
          <w:rPr>
            <w:noProof/>
            <w:webHidden/>
          </w:rPr>
          <w:t>12</w:t>
        </w:r>
        <w:r w:rsidR="003537BB">
          <w:rPr>
            <w:noProof/>
            <w:webHidden/>
          </w:rPr>
          <w:fldChar w:fldCharType="end"/>
        </w:r>
      </w:hyperlink>
    </w:p>
    <w:p w14:paraId="62436698" w14:textId="7F1D5DE6" w:rsidR="003537BB" w:rsidRDefault="00BF74A4">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DE182C">
          <w:rPr>
            <w:noProof/>
            <w:webHidden/>
          </w:rPr>
          <w:t>12</w:t>
        </w:r>
        <w:r w:rsidR="003537BB">
          <w:rPr>
            <w:noProof/>
            <w:webHidden/>
          </w:rPr>
          <w:fldChar w:fldCharType="end"/>
        </w:r>
      </w:hyperlink>
    </w:p>
    <w:p w14:paraId="4EC3B055" w14:textId="576B72C9" w:rsidR="003537BB" w:rsidRDefault="00BF74A4">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DE182C">
          <w:rPr>
            <w:noProof/>
            <w:webHidden/>
          </w:rPr>
          <w:t>13</w:t>
        </w:r>
        <w:r w:rsidR="003537BB">
          <w:rPr>
            <w:noProof/>
            <w:webHidden/>
          </w:rPr>
          <w:fldChar w:fldCharType="end"/>
        </w:r>
      </w:hyperlink>
    </w:p>
    <w:p w14:paraId="445081EC" w14:textId="7ABEB5E2" w:rsidR="003537BB" w:rsidRDefault="00BF74A4">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DE182C">
          <w:rPr>
            <w:noProof/>
            <w:webHidden/>
          </w:rPr>
          <w:t>13</w:t>
        </w:r>
        <w:r w:rsidR="003537BB">
          <w:rPr>
            <w:noProof/>
            <w:webHidden/>
          </w:rPr>
          <w:fldChar w:fldCharType="end"/>
        </w:r>
      </w:hyperlink>
    </w:p>
    <w:p w14:paraId="5F951ACA" w14:textId="0F053938" w:rsidR="003537BB" w:rsidRDefault="00BF74A4">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DE182C">
          <w:rPr>
            <w:noProof/>
            <w:webHidden/>
          </w:rPr>
          <w:t>14</w:t>
        </w:r>
        <w:r w:rsidR="003537BB">
          <w:rPr>
            <w:noProof/>
            <w:webHidden/>
          </w:rPr>
          <w:fldChar w:fldCharType="end"/>
        </w:r>
      </w:hyperlink>
    </w:p>
    <w:p w14:paraId="7631B256" w14:textId="0A0B5CB5" w:rsidR="003537BB" w:rsidRDefault="00BF74A4">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DE182C">
          <w:rPr>
            <w:noProof/>
            <w:webHidden/>
          </w:rPr>
          <w:t>14</w:t>
        </w:r>
        <w:r w:rsidR="003537BB">
          <w:rPr>
            <w:noProof/>
            <w:webHidden/>
          </w:rPr>
          <w:fldChar w:fldCharType="end"/>
        </w:r>
      </w:hyperlink>
    </w:p>
    <w:p w14:paraId="6B939037" w14:textId="7B93A55B" w:rsidR="003537BB" w:rsidRDefault="00BF74A4">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DE182C">
          <w:rPr>
            <w:noProof/>
            <w:webHidden/>
          </w:rPr>
          <w:t>15</w:t>
        </w:r>
        <w:r w:rsidR="003537BB">
          <w:rPr>
            <w:noProof/>
            <w:webHidden/>
          </w:rPr>
          <w:fldChar w:fldCharType="end"/>
        </w:r>
      </w:hyperlink>
    </w:p>
    <w:p w14:paraId="17107B4E" w14:textId="3C311AD2" w:rsidR="003537BB" w:rsidRDefault="00BF74A4">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DE182C">
          <w:rPr>
            <w:noProof/>
            <w:webHidden/>
          </w:rPr>
          <w:t>15</w:t>
        </w:r>
        <w:r w:rsidR="003537BB">
          <w:rPr>
            <w:noProof/>
            <w:webHidden/>
          </w:rPr>
          <w:fldChar w:fldCharType="end"/>
        </w:r>
      </w:hyperlink>
    </w:p>
    <w:p w14:paraId="6E571369" w14:textId="2B504BD3" w:rsidR="003537BB" w:rsidRDefault="00BF74A4">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DE182C">
          <w:rPr>
            <w:noProof/>
            <w:webHidden/>
          </w:rPr>
          <w:t>16</w:t>
        </w:r>
        <w:r w:rsidR="003537BB">
          <w:rPr>
            <w:noProof/>
            <w:webHidden/>
          </w:rPr>
          <w:fldChar w:fldCharType="end"/>
        </w:r>
      </w:hyperlink>
    </w:p>
    <w:p w14:paraId="1D908634" w14:textId="45A655C9" w:rsidR="003537BB" w:rsidRDefault="00BF74A4">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DE182C">
          <w:rPr>
            <w:noProof/>
            <w:webHidden/>
          </w:rPr>
          <w:t>17</w:t>
        </w:r>
        <w:r w:rsidR="003537BB">
          <w:rPr>
            <w:noProof/>
            <w:webHidden/>
          </w:rPr>
          <w:fldChar w:fldCharType="end"/>
        </w:r>
      </w:hyperlink>
    </w:p>
    <w:p w14:paraId="4C793176" w14:textId="4D7A4691" w:rsidR="003537BB" w:rsidRDefault="00BF74A4">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DE182C">
          <w:rPr>
            <w:noProof/>
            <w:webHidden/>
          </w:rPr>
          <w:t>18</w:t>
        </w:r>
        <w:r w:rsidR="003537BB">
          <w:rPr>
            <w:noProof/>
            <w:webHidden/>
          </w:rPr>
          <w:fldChar w:fldCharType="end"/>
        </w:r>
      </w:hyperlink>
    </w:p>
    <w:p w14:paraId="606B5B06" w14:textId="59A5553D" w:rsidR="003537BB" w:rsidRDefault="00BF74A4">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DE182C">
          <w:rPr>
            <w:noProof/>
            <w:webHidden/>
          </w:rPr>
          <w:t>19</w:t>
        </w:r>
        <w:r w:rsidR="003537BB">
          <w:rPr>
            <w:noProof/>
            <w:webHidden/>
          </w:rPr>
          <w:fldChar w:fldCharType="end"/>
        </w:r>
      </w:hyperlink>
    </w:p>
    <w:p w14:paraId="118FE93F" w14:textId="3C5CEE51" w:rsidR="003537BB" w:rsidRDefault="00BF74A4">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DE182C">
          <w:rPr>
            <w:noProof/>
            <w:webHidden/>
          </w:rPr>
          <w:t>20</w:t>
        </w:r>
        <w:r w:rsidR="003537BB">
          <w:rPr>
            <w:noProof/>
            <w:webHidden/>
          </w:rPr>
          <w:fldChar w:fldCharType="end"/>
        </w:r>
      </w:hyperlink>
    </w:p>
    <w:p w14:paraId="58F3D739" w14:textId="0BFDD068" w:rsidR="003537BB" w:rsidRDefault="00BF74A4">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DE182C">
          <w:rPr>
            <w:noProof/>
            <w:webHidden/>
          </w:rPr>
          <w:t>30</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0657D078" w:rsidR="006E4A65" w:rsidRPr="006E4A65" w:rsidRDefault="00EE23D7" w:rsidP="00556818">
            <w:pPr>
              <w:widowControl w:val="0"/>
              <w:spacing w:after="120" w:line="240" w:lineRule="atLeast"/>
              <w:jc w:val="both"/>
              <w:rPr>
                <w:rFonts w:cs="Arial"/>
                <w:szCs w:val="22"/>
              </w:rPr>
            </w:pPr>
            <w:r>
              <w:rPr>
                <w:rFonts w:cs="Arial"/>
                <w:color w:val="222222"/>
                <w:szCs w:val="22"/>
                <w:shd w:val="clear" w:color="auto" w:fill="FFFFFF"/>
              </w:rPr>
              <w:t>means the period from the Start Date of the Agreement set out in the Award Letter to the Expiry Date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5B5BB2">
        <w:rPr>
          <w:b w:val="0"/>
          <w:u w:val="none"/>
        </w:rPr>
        <w:t xml:space="preserve">within </w:t>
      </w:r>
      <w:r w:rsidR="00E33C8F" w:rsidRPr="005B5BB2">
        <w:rPr>
          <w:b w:val="0"/>
          <w:u w:val="none"/>
        </w:rPr>
        <w:t>7</w:t>
      </w:r>
      <w:r w:rsidRPr="005B5BB2">
        <w:rPr>
          <w:b w:val="0"/>
          <w:u w:val="none"/>
        </w:rPr>
        <w:t xml:space="preserve">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4240226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lastRenderedPageBreak/>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w:t>
      </w:r>
      <w:r w:rsidRPr="006E4A65">
        <w:rPr>
          <w:rFonts w:cs="Arial"/>
          <w:b w:val="0"/>
          <w:u w:val="none"/>
        </w:rPr>
        <w:lastRenderedPageBreak/>
        <w:t xml:space="preserve">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5F73D4BE" w:rsidR="006E4A65" w:rsidRPr="006E4A65" w:rsidRDefault="006E4A65" w:rsidP="00DE182C">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w:t>
      </w:r>
      <w:r w:rsidR="00DE182C">
        <w:rPr>
          <w:rFonts w:cs="Arial"/>
          <w:b w:val="0"/>
          <w:u w:val="none"/>
        </w:rPr>
        <w:t xml:space="preserve"> P</w:t>
      </w:r>
      <w:r w:rsidRPr="006E4A65">
        <w:rPr>
          <w:rFonts w:cs="Arial"/>
          <w:b w:val="0"/>
          <w:u w:val="none"/>
        </w:rPr>
        <w:t>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w:t>
      </w:r>
      <w:r w:rsidRPr="006E4A65">
        <w:rPr>
          <w:rFonts w:cs="Arial"/>
          <w:b w:val="0"/>
          <w:u w:val="none"/>
        </w:rPr>
        <w:lastRenderedPageBreak/>
        <w:t xml:space="preserve">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w:t>
      </w:r>
      <w:r w:rsidRPr="006E4A65">
        <w:rPr>
          <w:rFonts w:cs="Arial"/>
          <w:b w:val="0"/>
          <w:u w:val="none"/>
        </w:rPr>
        <w:lastRenderedPageBreak/>
        <w:t>in relation to the Agreement or any other contract with the Crown (including the 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w:t>
      </w:r>
      <w:r w:rsidRPr="006E4A65">
        <w:rPr>
          <w:rFonts w:cs="Arial"/>
          <w:b w:val="0"/>
          <w:u w:val="none"/>
        </w:rPr>
        <w:lastRenderedPageBreak/>
        <w:t xml:space="preserve">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07AFED0D" w14:textId="05FA1EE1" w:rsidR="00A649DF" w:rsidRPr="00913679" w:rsidRDefault="00070E4A" w:rsidP="005B5BB2">
      <w:pPr>
        <w:jc w:val="center"/>
        <w:rPr>
          <w:rFonts w:eastAsia="Times New Roman" w:cs="Arial"/>
          <w:b/>
          <w:szCs w:val="22"/>
          <w:lang w:eastAsia="en-US"/>
        </w:rPr>
      </w:pPr>
      <w:r>
        <w:rPr>
          <w:rFonts w:cs="Arial"/>
          <w:b/>
          <w:szCs w:val="22"/>
        </w:rPr>
        <w:t>[REDACTED]</w:t>
      </w:r>
      <w:r w:rsidR="00A649DF"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3"/>
      <w:r w:rsidRPr="001167A3">
        <w:rPr>
          <w:rFonts w:eastAsia="Times New Roman"/>
          <w:b/>
          <w:szCs w:val="22"/>
          <w:lang w:eastAsia="en-US"/>
        </w:rPr>
        <w:lastRenderedPageBreak/>
        <w:t>ANNEX 3 – STATEMENT OF REQUIREMENT</w:t>
      </w:r>
      <w:bookmarkEnd w:id="106"/>
      <w:r w:rsidR="00E33C8F">
        <w:rPr>
          <w:rFonts w:eastAsia="Times New Roman"/>
          <w:b/>
          <w:szCs w:val="22"/>
          <w:lang w:eastAsia="en-US"/>
        </w:rPr>
        <w:t>S</w:t>
      </w:r>
    </w:p>
    <w:bookmarkStart w:id="107" w:name="_MON_1618119732"/>
    <w:bookmarkEnd w:id="107"/>
    <w:p w14:paraId="6CA993D7" w14:textId="38AEA79F" w:rsidR="005B5BB2" w:rsidRDefault="005954E4" w:rsidP="005954E4">
      <w:pPr>
        <w:jc w:val="center"/>
        <w:rPr>
          <w:rFonts w:cs="Arial"/>
          <w:b/>
          <w:szCs w:val="22"/>
        </w:rPr>
      </w:pPr>
      <w:r>
        <w:rPr>
          <w:rFonts w:cs="Arial"/>
          <w:b/>
          <w:szCs w:val="22"/>
        </w:rPr>
        <w:object w:dxaOrig="1508" w:dyaOrig="982" w14:anchorId="6B084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o:ole="">
            <v:imagedata r:id="rId17" o:title=""/>
          </v:shape>
          <o:OLEObject Type="Embed" ProgID="Word.Document.12" ShapeID="_x0000_i1027" DrawAspect="Icon" ObjectID="_1618119745" r:id="rId18">
            <o:FieldCodes>\s</o:FieldCodes>
          </o:OLEObject>
        </w:object>
      </w:r>
    </w:p>
    <w:p w14:paraId="1F5F5F77" w14:textId="479C30BA" w:rsidR="005B5BB2" w:rsidRDefault="005B5BB2" w:rsidP="005B5BB2">
      <w:pPr>
        <w:rPr>
          <w:rFonts w:cs="Arial"/>
          <w:b/>
          <w:szCs w:val="22"/>
        </w:rPr>
      </w:pPr>
    </w:p>
    <w:p w14:paraId="4E061DDF" w14:textId="6223EF0A" w:rsidR="005B5BB2" w:rsidRDefault="005B5BB2" w:rsidP="005B5BB2">
      <w:pPr>
        <w:rPr>
          <w:rFonts w:cs="Arial"/>
          <w:b/>
          <w:szCs w:val="22"/>
        </w:rPr>
      </w:pPr>
    </w:p>
    <w:p w14:paraId="1796329E" w14:textId="7448270E" w:rsidR="005B5BB2" w:rsidRDefault="005B5BB2" w:rsidP="005B5BB2">
      <w:pPr>
        <w:rPr>
          <w:rFonts w:cs="Arial"/>
          <w:b/>
          <w:szCs w:val="22"/>
        </w:rPr>
      </w:pPr>
    </w:p>
    <w:p w14:paraId="0F0F4112" w14:textId="21685214" w:rsidR="005B5BB2" w:rsidRDefault="005B5BB2" w:rsidP="005B5BB2">
      <w:pPr>
        <w:rPr>
          <w:rFonts w:cs="Arial"/>
          <w:b/>
          <w:szCs w:val="22"/>
        </w:rPr>
      </w:pPr>
    </w:p>
    <w:p w14:paraId="3A218D73" w14:textId="772DC82E" w:rsidR="005B5BB2" w:rsidRDefault="005B5BB2" w:rsidP="005B5BB2">
      <w:pPr>
        <w:rPr>
          <w:rFonts w:cs="Arial"/>
          <w:b/>
          <w:szCs w:val="22"/>
        </w:rPr>
      </w:pPr>
    </w:p>
    <w:p w14:paraId="32659010" w14:textId="1BF59F14" w:rsidR="005B5BB2" w:rsidRDefault="005B5BB2" w:rsidP="005B5BB2">
      <w:pPr>
        <w:rPr>
          <w:rFonts w:cs="Arial"/>
          <w:b/>
          <w:szCs w:val="22"/>
        </w:rPr>
      </w:pPr>
    </w:p>
    <w:p w14:paraId="38E4931D" w14:textId="33517404" w:rsidR="005B5BB2" w:rsidRDefault="005B5BB2" w:rsidP="005B5BB2">
      <w:pPr>
        <w:rPr>
          <w:rFonts w:cs="Arial"/>
          <w:b/>
          <w:szCs w:val="22"/>
        </w:rPr>
      </w:pPr>
    </w:p>
    <w:p w14:paraId="56DC94E5" w14:textId="1FA0CCB3" w:rsidR="005B5BB2" w:rsidRDefault="005B5BB2" w:rsidP="005B5BB2">
      <w:pPr>
        <w:rPr>
          <w:rFonts w:cs="Arial"/>
          <w:b/>
          <w:szCs w:val="22"/>
        </w:rPr>
      </w:pPr>
      <w:bookmarkStart w:id="108" w:name="_GoBack"/>
      <w:bookmarkEnd w:id="108"/>
    </w:p>
    <w:p w14:paraId="76D9A2A6" w14:textId="43DB20C2" w:rsidR="005B5BB2" w:rsidRDefault="005B5BB2" w:rsidP="005B5BB2">
      <w:pPr>
        <w:rPr>
          <w:rFonts w:cs="Arial"/>
          <w:b/>
          <w:szCs w:val="22"/>
        </w:rPr>
      </w:pPr>
    </w:p>
    <w:p w14:paraId="48848605" w14:textId="5BD619F5" w:rsidR="005B5BB2" w:rsidRDefault="005B5BB2" w:rsidP="005B5BB2">
      <w:pPr>
        <w:rPr>
          <w:rFonts w:cs="Arial"/>
          <w:b/>
          <w:szCs w:val="22"/>
        </w:rPr>
      </w:pPr>
    </w:p>
    <w:p w14:paraId="3FAEA252" w14:textId="20B1F4F7" w:rsidR="005B5BB2" w:rsidRDefault="005B5BB2" w:rsidP="005B5BB2">
      <w:pPr>
        <w:rPr>
          <w:rFonts w:cs="Arial"/>
          <w:b/>
          <w:szCs w:val="22"/>
        </w:rPr>
      </w:pPr>
    </w:p>
    <w:p w14:paraId="3B48A5B7" w14:textId="28B044F2" w:rsidR="005B5BB2" w:rsidRDefault="005B5BB2" w:rsidP="005B5BB2">
      <w:pPr>
        <w:rPr>
          <w:rFonts w:cs="Arial"/>
          <w:b/>
          <w:szCs w:val="22"/>
        </w:rPr>
      </w:pPr>
    </w:p>
    <w:p w14:paraId="0D51C997" w14:textId="3843B27C" w:rsidR="005B5BB2" w:rsidRDefault="005B5BB2" w:rsidP="005B5BB2">
      <w:pPr>
        <w:rPr>
          <w:rFonts w:cs="Arial"/>
          <w:b/>
          <w:szCs w:val="22"/>
        </w:rPr>
      </w:pPr>
    </w:p>
    <w:p w14:paraId="18231332" w14:textId="574AF6A9" w:rsidR="005B5BB2" w:rsidRDefault="005B5BB2" w:rsidP="005B5BB2">
      <w:pPr>
        <w:rPr>
          <w:rFonts w:cs="Arial"/>
          <w:b/>
          <w:szCs w:val="22"/>
        </w:rPr>
      </w:pPr>
    </w:p>
    <w:p w14:paraId="71E590ED" w14:textId="4F23BC98" w:rsidR="005B5BB2" w:rsidRDefault="005B5BB2" w:rsidP="005B5BB2">
      <w:pPr>
        <w:rPr>
          <w:rFonts w:cs="Arial"/>
          <w:b/>
          <w:szCs w:val="22"/>
        </w:rPr>
      </w:pPr>
    </w:p>
    <w:p w14:paraId="29070590" w14:textId="16E0186F" w:rsidR="005B5BB2" w:rsidRDefault="005B5BB2" w:rsidP="005B5BB2">
      <w:pPr>
        <w:rPr>
          <w:rFonts w:cs="Arial"/>
          <w:b/>
          <w:szCs w:val="22"/>
        </w:rPr>
      </w:pPr>
    </w:p>
    <w:p w14:paraId="2E160722" w14:textId="5EAE1C8C" w:rsidR="005B5BB2" w:rsidRDefault="005B5BB2" w:rsidP="005B5BB2">
      <w:pPr>
        <w:rPr>
          <w:rFonts w:cs="Arial"/>
          <w:b/>
          <w:szCs w:val="22"/>
        </w:rPr>
      </w:pPr>
    </w:p>
    <w:p w14:paraId="588A02DF" w14:textId="37B02EA7" w:rsidR="005B5BB2" w:rsidRDefault="005B5BB2" w:rsidP="005B5BB2">
      <w:pPr>
        <w:rPr>
          <w:rFonts w:cs="Arial"/>
          <w:b/>
          <w:szCs w:val="22"/>
        </w:rPr>
      </w:pPr>
    </w:p>
    <w:p w14:paraId="7CFA8891" w14:textId="190ED572" w:rsidR="005B5BB2" w:rsidRDefault="005B5BB2" w:rsidP="005B5BB2">
      <w:pPr>
        <w:rPr>
          <w:rFonts w:cs="Arial"/>
          <w:b/>
          <w:szCs w:val="22"/>
        </w:rPr>
      </w:pPr>
    </w:p>
    <w:p w14:paraId="691F2BC3" w14:textId="6516E25D" w:rsidR="005B5BB2" w:rsidRDefault="005B5BB2" w:rsidP="005B5BB2">
      <w:pPr>
        <w:rPr>
          <w:rFonts w:cs="Arial"/>
          <w:b/>
          <w:szCs w:val="22"/>
        </w:rPr>
      </w:pPr>
    </w:p>
    <w:p w14:paraId="39F6FAA1" w14:textId="0A67C43E" w:rsidR="005B5BB2" w:rsidRDefault="005B5BB2" w:rsidP="005B5BB2">
      <w:pPr>
        <w:rPr>
          <w:rFonts w:cs="Arial"/>
          <w:b/>
          <w:szCs w:val="22"/>
        </w:rPr>
      </w:pPr>
    </w:p>
    <w:p w14:paraId="49E028B5" w14:textId="2681597C" w:rsidR="005B5BB2" w:rsidRDefault="005B5BB2" w:rsidP="005B5BB2">
      <w:pPr>
        <w:rPr>
          <w:rFonts w:cs="Arial"/>
          <w:b/>
          <w:szCs w:val="22"/>
        </w:rPr>
      </w:pPr>
    </w:p>
    <w:p w14:paraId="4B52B546" w14:textId="2EAE2D64" w:rsidR="005B5BB2" w:rsidRDefault="005B5BB2" w:rsidP="005B5BB2">
      <w:pPr>
        <w:rPr>
          <w:rFonts w:cs="Arial"/>
          <w:b/>
          <w:szCs w:val="22"/>
        </w:rPr>
      </w:pPr>
    </w:p>
    <w:p w14:paraId="6B102C64" w14:textId="7B532C17" w:rsidR="005B5BB2" w:rsidRDefault="005B5BB2" w:rsidP="005B5BB2">
      <w:pPr>
        <w:rPr>
          <w:rFonts w:cs="Arial"/>
          <w:b/>
          <w:szCs w:val="22"/>
        </w:rPr>
      </w:pPr>
    </w:p>
    <w:p w14:paraId="40CF64F8" w14:textId="153E0C6B" w:rsidR="005B5BB2" w:rsidRDefault="005B5BB2" w:rsidP="005B5BB2">
      <w:pPr>
        <w:rPr>
          <w:rFonts w:cs="Arial"/>
          <w:b/>
          <w:szCs w:val="22"/>
        </w:rPr>
      </w:pPr>
    </w:p>
    <w:p w14:paraId="086F0ED6" w14:textId="0F8FBEA8" w:rsidR="005B5BB2" w:rsidRDefault="005B5BB2" w:rsidP="005B5BB2">
      <w:pPr>
        <w:rPr>
          <w:rFonts w:cs="Arial"/>
          <w:b/>
          <w:szCs w:val="22"/>
        </w:rPr>
      </w:pPr>
    </w:p>
    <w:p w14:paraId="1891E28A" w14:textId="1AC44B57" w:rsidR="005B5BB2" w:rsidRDefault="005B5BB2" w:rsidP="005B5BB2">
      <w:pPr>
        <w:rPr>
          <w:rFonts w:cs="Arial"/>
          <w:b/>
          <w:szCs w:val="22"/>
        </w:rPr>
      </w:pPr>
    </w:p>
    <w:p w14:paraId="778AF7BB" w14:textId="30E18B81" w:rsidR="005B5BB2" w:rsidRDefault="005B5BB2" w:rsidP="005B5BB2">
      <w:pPr>
        <w:rPr>
          <w:rFonts w:cs="Arial"/>
          <w:b/>
          <w:szCs w:val="22"/>
        </w:rPr>
      </w:pPr>
    </w:p>
    <w:p w14:paraId="57B19593" w14:textId="2B23503A" w:rsidR="005B5BB2" w:rsidRDefault="005B5BB2" w:rsidP="005B5BB2">
      <w:pPr>
        <w:rPr>
          <w:rFonts w:cs="Arial"/>
          <w:b/>
          <w:szCs w:val="22"/>
        </w:rPr>
      </w:pPr>
    </w:p>
    <w:p w14:paraId="04C98961" w14:textId="2E26CBDE" w:rsidR="005B5BB2" w:rsidRDefault="005B5BB2" w:rsidP="005B5BB2">
      <w:pPr>
        <w:rPr>
          <w:rFonts w:cs="Arial"/>
          <w:b/>
          <w:szCs w:val="22"/>
        </w:rPr>
      </w:pPr>
    </w:p>
    <w:p w14:paraId="2167D65F" w14:textId="76B6A591" w:rsidR="005B5BB2" w:rsidRDefault="005B5BB2" w:rsidP="005B5BB2">
      <w:pPr>
        <w:rPr>
          <w:rFonts w:cs="Arial"/>
          <w:b/>
          <w:szCs w:val="22"/>
        </w:rPr>
      </w:pPr>
    </w:p>
    <w:p w14:paraId="57FA9015" w14:textId="7C36FCD7" w:rsidR="005B5BB2" w:rsidRDefault="005B5BB2" w:rsidP="005B5BB2">
      <w:pPr>
        <w:rPr>
          <w:rFonts w:cs="Arial"/>
          <w:b/>
          <w:szCs w:val="22"/>
        </w:rPr>
      </w:pPr>
    </w:p>
    <w:p w14:paraId="648EB399" w14:textId="0B5202D8" w:rsidR="005B5BB2" w:rsidRDefault="005B5BB2" w:rsidP="005B5BB2">
      <w:pPr>
        <w:rPr>
          <w:rFonts w:cs="Arial"/>
          <w:b/>
          <w:szCs w:val="22"/>
        </w:rPr>
      </w:pPr>
    </w:p>
    <w:p w14:paraId="6443DF20" w14:textId="5615070C" w:rsidR="005B5BB2" w:rsidRDefault="005B5BB2" w:rsidP="005B5BB2">
      <w:pPr>
        <w:rPr>
          <w:rFonts w:cs="Arial"/>
          <w:b/>
          <w:szCs w:val="22"/>
        </w:rPr>
      </w:pPr>
    </w:p>
    <w:p w14:paraId="7FBC4580" w14:textId="010B72E1" w:rsidR="005B5BB2" w:rsidRDefault="005B5BB2" w:rsidP="005B5BB2">
      <w:pPr>
        <w:rPr>
          <w:rFonts w:cs="Arial"/>
          <w:b/>
          <w:szCs w:val="22"/>
        </w:rPr>
      </w:pPr>
    </w:p>
    <w:p w14:paraId="2F42E12F" w14:textId="7854E5BD" w:rsidR="005B5BB2" w:rsidRDefault="005B5BB2" w:rsidP="005B5BB2">
      <w:pPr>
        <w:rPr>
          <w:rFonts w:cs="Arial"/>
          <w:b/>
          <w:szCs w:val="22"/>
        </w:rPr>
      </w:pPr>
    </w:p>
    <w:p w14:paraId="6BFE87FB" w14:textId="24E93C05" w:rsidR="005B5BB2" w:rsidRDefault="005B5BB2" w:rsidP="005B5BB2">
      <w:pPr>
        <w:rPr>
          <w:rFonts w:cs="Arial"/>
          <w:b/>
          <w:szCs w:val="22"/>
        </w:rPr>
      </w:pPr>
    </w:p>
    <w:p w14:paraId="22B05E8A" w14:textId="4444A8CE" w:rsidR="005B5BB2" w:rsidRDefault="005B5BB2" w:rsidP="005B5BB2">
      <w:pPr>
        <w:rPr>
          <w:rFonts w:cs="Arial"/>
          <w:b/>
          <w:szCs w:val="22"/>
        </w:rPr>
      </w:pPr>
    </w:p>
    <w:p w14:paraId="190CBF2E" w14:textId="169E8748" w:rsidR="005B5BB2" w:rsidRDefault="005B5BB2" w:rsidP="005B5BB2">
      <w:pPr>
        <w:rPr>
          <w:rFonts w:cs="Arial"/>
          <w:b/>
          <w:szCs w:val="22"/>
        </w:rPr>
      </w:pPr>
    </w:p>
    <w:p w14:paraId="5AB882DC" w14:textId="503BF405" w:rsidR="005B5BB2" w:rsidRDefault="005B5BB2" w:rsidP="005B5BB2">
      <w:pPr>
        <w:rPr>
          <w:rFonts w:cs="Arial"/>
          <w:b/>
          <w:szCs w:val="22"/>
        </w:rPr>
      </w:pPr>
    </w:p>
    <w:p w14:paraId="270D35B7" w14:textId="650B940F" w:rsidR="005954E4" w:rsidRDefault="005954E4" w:rsidP="005B5BB2">
      <w:pPr>
        <w:rPr>
          <w:rFonts w:cs="Arial"/>
          <w:b/>
          <w:szCs w:val="22"/>
        </w:rPr>
      </w:pPr>
    </w:p>
    <w:p w14:paraId="083BF38C" w14:textId="77777777" w:rsidR="005954E4" w:rsidRDefault="005954E4" w:rsidP="005B5BB2">
      <w:pPr>
        <w:rPr>
          <w:rFonts w:cs="Arial"/>
          <w:b/>
          <w:szCs w:val="22"/>
        </w:rPr>
      </w:pPr>
    </w:p>
    <w:p w14:paraId="31E0D6C3" w14:textId="71502AE4" w:rsidR="005B5BB2" w:rsidRDefault="005B5BB2" w:rsidP="005B5BB2">
      <w:pPr>
        <w:rPr>
          <w:rFonts w:cs="Arial"/>
          <w:b/>
          <w:szCs w:val="22"/>
        </w:rPr>
      </w:pPr>
    </w:p>
    <w:p w14:paraId="2B8A544E" w14:textId="10D3A1A2" w:rsidR="005B5BB2" w:rsidRDefault="005B5BB2" w:rsidP="005B5BB2">
      <w:pPr>
        <w:rPr>
          <w:rFonts w:cs="Arial"/>
          <w:b/>
          <w:szCs w:val="22"/>
        </w:rPr>
      </w:pPr>
    </w:p>
    <w:p w14:paraId="21EC8E1C" w14:textId="5BB0DF56" w:rsidR="005B5BB2" w:rsidRDefault="005B5BB2" w:rsidP="005B5BB2">
      <w:pPr>
        <w:rPr>
          <w:rFonts w:cs="Arial"/>
          <w:b/>
          <w:szCs w:val="22"/>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444688624"/>
      <w:r w:rsidRPr="001167A3">
        <w:rPr>
          <w:rFonts w:eastAsia="Times New Roman"/>
          <w:b/>
          <w:szCs w:val="22"/>
          <w:lang w:eastAsia="en-US"/>
        </w:rPr>
        <w:t>ANNEX 4 – SUPPLIERS RESPONSE</w:t>
      </w:r>
      <w:bookmarkEnd w:id="109"/>
    </w:p>
    <w:p w14:paraId="4D5AF130" w14:textId="49624F10" w:rsidR="005F10EE" w:rsidRDefault="005B5BB2"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szCs w:val="22"/>
          <w:lang w:eastAsia="en-US"/>
        </w:rPr>
        <w:t>(From the Supplier’s Bid of 11</w:t>
      </w:r>
      <w:r w:rsidR="00D25599" w:rsidRPr="00DE182C">
        <w:rPr>
          <w:rFonts w:eastAsia="Times New Roman"/>
          <w:szCs w:val="22"/>
          <w:lang w:eastAsia="en-US"/>
        </w:rPr>
        <w:t>/</w:t>
      </w:r>
      <w:r>
        <w:rPr>
          <w:rFonts w:eastAsia="Times New Roman"/>
          <w:szCs w:val="22"/>
          <w:lang w:eastAsia="en-US"/>
        </w:rPr>
        <w:t>04</w:t>
      </w:r>
      <w:r w:rsidR="00D25599" w:rsidRPr="00DE182C">
        <w:rPr>
          <w:rFonts w:eastAsia="Times New Roman"/>
          <w:szCs w:val="22"/>
          <w:lang w:eastAsia="en-US"/>
        </w:rPr>
        <w:t>/</w:t>
      </w:r>
      <w:r>
        <w:rPr>
          <w:rFonts w:eastAsia="Times New Roman"/>
          <w:szCs w:val="22"/>
          <w:lang w:eastAsia="en-US"/>
        </w:rPr>
        <w:t>2019</w:t>
      </w:r>
      <w:r w:rsidR="005F10EE" w:rsidRPr="00DE182C">
        <w:rPr>
          <w:rFonts w:eastAsia="Times New Roman"/>
          <w:szCs w:val="22"/>
          <w:lang w:eastAsia="en-US"/>
        </w:rPr>
        <w:t>)</w:t>
      </w:r>
    </w:p>
    <w:p w14:paraId="3901D31C" w14:textId="7BAEA4DE" w:rsidR="00174DC0" w:rsidRDefault="00070E4A" w:rsidP="005B5BB2">
      <w:pPr>
        <w:jc w:val="center"/>
        <w:rPr>
          <w:rFonts w:eastAsia="Times New Roman"/>
          <w:b/>
          <w:szCs w:val="22"/>
          <w:lang w:eastAsia="en-US"/>
        </w:rPr>
      </w:pPr>
      <w:bookmarkStart w:id="110" w:name="_Toc437243999"/>
      <w:r>
        <w:rPr>
          <w:rFonts w:eastAsia="Times New Roman"/>
          <w:b/>
          <w:szCs w:val="22"/>
          <w:lang w:eastAsia="en-US"/>
        </w:rPr>
        <w:t>[REDACTED]</w:t>
      </w:r>
    </w:p>
    <w:p w14:paraId="160CA3BA" w14:textId="0094A659"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61BE4766" w14:textId="52428961"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5D9D247B" w14:textId="4569C9AA"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066A4EB6" w14:textId="2AFF5CF8"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219E6944" w14:textId="24B30424"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02B29BD8" w14:textId="4DE15504"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5887665A" w14:textId="152EABA6"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3A7BCBF5" w14:textId="4ABE4DE1"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01BE82B7" w14:textId="42CB1281"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0391BD6D" w14:textId="2F084EA3"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6CBD94A9" w14:textId="1D6DC1C9"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16AFF378" w14:textId="008AB6F6"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6499AA0C" w14:textId="114029E3"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6593AEB2" w14:textId="63BC4477"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489B7773" w14:textId="41C02005"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02994426" w14:textId="73976D5B"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134B2B68" w14:textId="73B8B6DC"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104C1BF9" w14:textId="59824B7A"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76966E6B" w14:textId="6BEEBE2F"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41031433" w14:textId="1769CDC7" w:rsidR="005954E4" w:rsidRDefault="005954E4" w:rsidP="00174DC0">
      <w:pPr>
        <w:widowControl w:val="0"/>
        <w:tabs>
          <w:tab w:val="num" w:pos="540"/>
        </w:tabs>
        <w:spacing w:after="100" w:afterAutospacing="1"/>
        <w:ind w:left="851" w:hanging="851"/>
        <w:jc w:val="center"/>
        <w:outlineLvl w:val="0"/>
        <w:rPr>
          <w:rFonts w:eastAsia="Times New Roman"/>
          <w:b/>
          <w:szCs w:val="22"/>
          <w:lang w:eastAsia="en-US"/>
        </w:rPr>
      </w:pPr>
    </w:p>
    <w:p w14:paraId="51080C7B" w14:textId="747F9A4A" w:rsidR="005954E4" w:rsidRDefault="005954E4" w:rsidP="00174DC0">
      <w:pPr>
        <w:widowControl w:val="0"/>
        <w:tabs>
          <w:tab w:val="num" w:pos="540"/>
        </w:tabs>
        <w:spacing w:after="100" w:afterAutospacing="1"/>
        <w:ind w:left="851" w:hanging="851"/>
        <w:jc w:val="center"/>
        <w:outlineLvl w:val="0"/>
        <w:rPr>
          <w:rFonts w:eastAsia="Times New Roman"/>
          <w:b/>
          <w:szCs w:val="22"/>
          <w:lang w:eastAsia="en-US"/>
        </w:rPr>
      </w:pPr>
    </w:p>
    <w:p w14:paraId="74700F68" w14:textId="27604C54" w:rsidR="005B5BB2" w:rsidRDefault="005B5BB2"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3CE8A10"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1" w:name="_Toc444688625"/>
      <w:r w:rsidRPr="00506046">
        <w:rPr>
          <w:rFonts w:eastAsia="Times New Roman"/>
          <w:b/>
          <w:szCs w:val="22"/>
          <w:lang w:eastAsia="en-US"/>
        </w:rPr>
        <w:t>ANNEX 5 – CLARIFICATIONS</w:t>
      </w:r>
      <w:bookmarkEnd w:id="110"/>
      <w:bookmarkEnd w:id="111"/>
    </w:p>
    <w:p w14:paraId="4416EF89" w14:textId="317E3AFB" w:rsidR="00174DC0" w:rsidRPr="00913679" w:rsidRDefault="005B5BB2" w:rsidP="00174DC0">
      <w:pPr>
        <w:pStyle w:val="ScheduleLevel1"/>
        <w:numPr>
          <w:ilvl w:val="0"/>
          <w:numId w:val="0"/>
        </w:numPr>
        <w:spacing w:after="120"/>
        <w:jc w:val="center"/>
        <w:rPr>
          <w:rFonts w:cs="Arial"/>
          <w:b/>
          <w:szCs w:val="22"/>
        </w:rPr>
      </w:pPr>
      <w:r>
        <w:rPr>
          <w:rFonts w:cs="Arial"/>
          <w:b/>
          <w:szCs w:val="22"/>
        </w:rPr>
        <w:t>NOT APPLICABLE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4DEBABFC" w:rsidR="00865B8F" w:rsidRPr="00DE182C" w:rsidRDefault="004B1AF8" w:rsidP="00DE182C">
      <w:pPr>
        <w:widowControl w:val="0"/>
        <w:tabs>
          <w:tab w:val="num" w:pos="540"/>
        </w:tabs>
        <w:spacing w:after="100" w:afterAutospacing="1"/>
        <w:ind w:left="851" w:hanging="851"/>
        <w:jc w:val="center"/>
        <w:outlineLvl w:val="0"/>
        <w:rPr>
          <w:rFonts w:eastAsia="Times New Roman"/>
          <w:b/>
          <w:szCs w:val="22"/>
          <w:lang w:eastAsia="en-US"/>
        </w:rPr>
      </w:pPr>
      <w:bookmarkStart w:id="112" w:name="_Toc439318929"/>
      <w:bookmarkStart w:id="113" w:name="_Toc444688626"/>
      <w:r w:rsidRPr="000F5FE2">
        <w:rPr>
          <w:rFonts w:eastAsia="Times New Roman"/>
          <w:b/>
          <w:szCs w:val="22"/>
          <w:lang w:eastAsia="en-US"/>
        </w:rPr>
        <w:lastRenderedPageBreak/>
        <w:t>ANNEX 6 – ADDITIONAL TERMS &amp; CONDITIONS</w:t>
      </w:r>
      <w:bookmarkEnd w:id="112"/>
      <w:bookmarkEnd w:id="113"/>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4" w:name="2et92p0" w:colFirst="0" w:colLast="0"/>
      <w:bookmarkEnd w:id="114"/>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tyjcwt" w:colFirst="0" w:colLast="0"/>
      <w:bookmarkEnd w:id="115"/>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3dy6vkm" w:colFirst="0" w:colLast="0"/>
      <w:bookmarkEnd w:id="116"/>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7" w:name="1t3h5sf" w:colFirst="0" w:colLast="0"/>
      <w:bookmarkEnd w:id="117"/>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4d34og8" w:colFirst="0" w:colLast="0"/>
      <w:bookmarkEnd w:id="118"/>
      <w:r w:rsidRPr="005631E9">
        <w:rPr>
          <w:rFonts w:cs="Arial"/>
        </w:rPr>
        <w:t>ensure that :</w:t>
      </w:r>
    </w:p>
    <w:p w14:paraId="19C20665" w14:textId="357EE1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w:t>
      </w:r>
      <w:r w:rsidR="00E669AB">
        <w:rPr>
          <w:rFonts w:cs="Arial"/>
        </w:rPr>
        <w:t>n accordance with this</w:t>
      </w:r>
      <w:r w:rsidRPr="005631E9">
        <w:rPr>
          <w:rFonts w:cs="Arial"/>
        </w:rPr>
        <w:t xml:space="preserve">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9" w:name="2s8eyo1" w:colFirst="0" w:colLast="0"/>
      <w:bookmarkEnd w:id="119"/>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17dp8vu" w:colFirst="0" w:colLast="0"/>
      <w:bookmarkEnd w:id="120"/>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3rdcrjn" w:colFirst="0" w:colLast="0"/>
      <w:bookmarkEnd w:id="121"/>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26in1rg" w:colFirst="0" w:colLast="0"/>
      <w:bookmarkEnd w:id="122"/>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3" w:name="lnxbz9" w:colFirst="0" w:colLast="0"/>
      <w:bookmarkEnd w:id="123"/>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4" w:name="35nkun2" w:colFirst="0" w:colLast="0"/>
      <w:bookmarkEnd w:id="124"/>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5" w:name="1ksv4uv" w:colFirst="0" w:colLast="0"/>
      <w:bookmarkEnd w:id="125"/>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6" w:name="44sinio" w:colFirst="0" w:colLast="0"/>
      <w:bookmarkEnd w:id="126"/>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7" w:name="2jxsxqh" w:colFirst="0" w:colLast="0"/>
      <w:bookmarkEnd w:id="127"/>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4B75E76D" w14:textId="1ED2CB0D" w:rsidR="001C2A62" w:rsidRDefault="00070E4A" w:rsidP="001C2A62">
      <w:pPr>
        <w:pStyle w:val="NormalWeb"/>
        <w:shd w:val="clear" w:color="auto" w:fill="FFFFFF"/>
        <w:ind w:left="720"/>
        <w:rPr>
          <w:rFonts w:ascii="Helvetica" w:hAnsi="Helvetica"/>
          <w:color w:val="222222"/>
        </w:rPr>
      </w:pPr>
      <w:r>
        <w:rPr>
          <w:rFonts w:eastAsia="Times New Roman" w:cs="Arial"/>
          <w:lang w:eastAsia="en-GB"/>
        </w:rPr>
        <w:t>[REDACTED]</w:t>
      </w:r>
    </w:p>
    <w:p w14:paraId="27970817" w14:textId="194C8722" w:rsidR="005B5BB2" w:rsidRDefault="00865B8F" w:rsidP="001C2A62">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390EB677" w14:textId="1C80BE98" w:rsidR="005B5BB2" w:rsidRPr="005B5BB2" w:rsidRDefault="00070E4A" w:rsidP="005B5BB2">
      <w:pPr>
        <w:keepNext/>
        <w:pBdr>
          <w:top w:val="nil"/>
          <w:left w:val="nil"/>
          <w:bottom w:val="nil"/>
          <w:right w:val="nil"/>
          <w:between w:val="nil"/>
        </w:pBdr>
        <w:spacing w:before="240" w:after="240" w:line="240" w:lineRule="exact"/>
        <w:ind w:left="720"/>
        <w:rPr>
          <w:rFonts w:eastAsia="Calibri" w:cs="Arial"/>
          <w:b/>
          <w:szCs w:val="22"/>
          <w:lang w:val="en-US" w:eastAsia="en-US"/>
        </w:rPr>
      </w:pPr>
      <w:r>
        <w:rPr>
          <w:rFonts w:eastAsia="Times New Roman" w:cs="Arial"/>
          <w:lang w:eastAsia="en-GB"/>
        </w:rPr>
        <w:t>[REDACTED]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5939"/>
      </w:tblGrid>
      <w:tr w:rsidR="00865B8F" w:rsidRPr="007A4AB1" w14:paraId="077AA5BA" w14:textId="77777777" w:rsidTr="004B056F">
        <w:trPr>
          <w:trHeight w:val="716"/>
        </w:trPr>
        <w:tc>
          <w:tcPr>
            <w:tcW w:w="3051"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5968" w:type="dxa"/>
            <w:shd w:val="clear" w:color="auto" w:fill="BFBFBF"/>
            <w:vAlign w:val="center"/>
          </w:tcPr>
          <w:p w14:paraId="4E7C0939" w14:textId="215BF656" w:rsidR="00865B8F" w:rsidRPr="007A4AB1" w:rsidRDefault="006E6D4E" w:rsidP="00031F13">
            <w:pPr>
              <w:spacing w:line="240" w:lineRule="exact"/>
              <w:jc w:val="center"/>
              <w:rPr>
                <w:rFonts w:eastAsia="Calibri" w:cs="Arial"/>
                <w:lang w:val="en-US" w:eastAsia="en-US"/>
              </w:rPr>
            </w:pPr>
            <w:r>
              <w:rPr>
                <w:rFonts w:eastAsia="Calibri" w:cs="Arial"/>
                <w:b/>
                <w:lang w:val="en-US" w:eastAsia="en-US"/>
              </w:rPr>
              <w:t>CCHR19A19</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35CC7560" w:rsidR="00865B8F" w:rsidRPr="007A4AB1" w:rsidRDefault="006E6D4E" w:rsidP="00865B8F">
            <w:pPr>
              <w:spacing w:line="240" w:lineRule="exact"/>
              <w:jc w:val="center"/>
              <w:rPr>
                <w:rFonts w:eastAsia="Calibri" w:cs="Arial"/>
                <w:b/>
                <w:highlight w:val="yellow"/>
                <w:lang w:val="en-US" w:eastAsia="en-US"/>
              </w:rPr>
            </w:pPr>
            <w:r w:rsidRPr="006E6D4E">
              <w:rPr>
                <w:rFonts w:eastAsia="Calibri" w:cs="Arial"/>
                <w:b/>
                <w:lang w:val="en-US" w:eastAsia="en-US"/>
              </w:rPr>
              <w:t>24/04/2019</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F660568" w14:textId="7DBDB657" w:rsidR="00865B8F" w:rsidRPr="007A4AB1" w:rsidRDefault="00865B8F" w:rsidP="009B0EB7">
            <w:pPr>
              <w:spacing w:before="280" w:after="120" w:line="240" w:lineRule="exact"/>
              <w:rPr>
                <w:rFonts w:eastAsia="Calibri" w:cs="Arial"/>
                <w:lang w:val="en-US" w:eastAsia="en-US"/>
              </w:rPr>
            </w:pPr>
            <w:r w:rsidRPr="007A4AB1">
              <w:rPr>
                <w:rFonts w:eastAsia="Calibri" w:cs="Arial"/>
                <w:i/>
                <w:lang w:val="en-US" w:eastAsia="en-US"/>
              </w:rPr>
              <w:t>Supplier as Controller</w:t>
            </w:r>
          </w:p>
          <w:p w14:paraId="7F586B54" w14:textId="4F273FCD" w:rsidR="00865B8F" w:rsidRPr="009B0EB7" w:rsidRDefault="00865B8F" w:rsidP="009B0EB7">
            <w:pPr>
              <w:spacing w:before="280" w:after="120" w:line="240" w:lineRule="exact"/>
              <w:rPr>
                <w:rFonts w:eastAsia="Calibri" w:cs="Arial"/>
                <w:lang w:val="en-US" w:eastAsia="en-US"/>
              </w:rPr>
            </w:pPr>
            <w:r w:rsidRPr="007A4AB1">
              <w:rPr>
                <w:rFonts w:eastAsia="Calibri" w:cs="Arial"/>
                <w:lang w:val="en-US" w:eastAsia="en-US"/>
              </w:rPr>
              <w:t xml:space="preserve">Notwithstanding Clause 1.1 the Parties acknowledge that for the purposes of the Data Protection Legislation, the </w:t>
            </w:r>
            <w:r w:rsidR="00031F13">
              <w:rPr>
                <w:rFonts w:eastAsia="Calibri" w:cs="Arial"/>
                <w:lang w:val="en-US" w:eastAsia="en-US"/>
              </w:rPr>
              <w:t xml:space="preserve">Supplier </w:t>
            </w:r>
            <w:r w:rsidRPr="007A4AB1">
              <w:rPr>
                <w:rFonts w:eastAsia="Calibri" w:cs="Arial"/>
                <w:lang w:val="en-US" w:eastAsia="en-US"/>
              </w:rPr>
              <w:t xml:space="preserve">is the Controller and </w:t>
            </w:r>
            <w:r w:rsidR="00C86C03">
              <w:rPr>
                <w:rFonts w:eastAsia="Calibri" w:cs="Arial"/>
                <w:lang w:val="en-US" w:eastAsia="en-US"/>
              </w:rPr>
              <w:t>the Customer is the Processor.</w:t>
            </w: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3E1D42CE" w:rsidR="004B056F" w:rsidRPr="007A4AB1" w:rsidRDefault="008F6D11" w:rsidP="00865B8F">
            <w:pPr>
              <w:spacing w:line="240" w:lineRule="exact"/>
              <w:rPr>
                <w:rFonts w:eastAsia="Calibri" w:cs="Arial"/>
                <w:lang w:val="en-US" w:eastAsia="en-US"/>
              </w:rPr>
            </w:pPr>
            <w:r>
              <w:rPr>
                <w:rFonts w:eastAsia="Calibri"/>
                <w:lang w:val="en-US" w:eastAsia="en-US"/>
              </w:rPr>
              <w:t>People affected by treatment with infected blood who would like to receive a call back will provide the supplier with phone numbers</w:t>
            </w:r>
            <w:r w:rsidR="004B056F">
              <w:rPr>
                <w:rFonts w:eastAsia="Calibri"/>
                <w:lang w:val="en-US" w:eastAsia="en-US"/>
              </w:rPr>
              <w:t>.</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5D6A098C" w:rsidR="004B056F" w:rsidRPr="007A4AB1" w:rsidRDefault="004B056F" w:rsidP="00865B8F">
            <w:pPr>
              <w:spacing w:line="240" w:lineRule="exact"/>
              <w:rPr>
                <w:rFonts w:eastAsia="Calibri" w:cs="Arial"/>
                <w:lang w:val="en-US" w:eastAsia="en-US"/>
              </w:rPr>
            </w:pPr>
            <w:r>
              <w:rPr>
                <w:rFonts w:eastAsia="Calibri"/>
                <w:lang w:val="en-US" w:eastAsia="en-US"/>
              </w:rPr>
              <w:t>These phone numbers will be destroyed once the call back has been successfully made.</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B56CA9" w14:textId="4D48BC76" w:rsidR="004B056F" w:rsidRPr="007A4AB1" w:rsidRDefault="004B056F" w:rsidP="00865B8F">
            <w:pPr>
              <w:spacing w:line="240" w:lineRule="exact"/>
              <w:rPr>
                <w:rFonts w:eastAsia="Calibri" w:cs="Arial"/>
                <w:lang w:val="en-US" w:eastAsia="en-US"/>
              </w:rPr>
            </w:pPr>
            <w:r>
              <w:rPr>
                <w:rFonts w:eastAsia="Calibri"/>
                <w:lang w:val="en-US" w:eastAsia="en-US"/>
              </w:rPr>
              <w:t>Purpose of processing is to provide confidential psychological support to an individual who was affected by treatment with infected blood.</w:t>
            </w:r>
          </w:p>
        </w:tc>
      </w:tr>
      <w:tr w:rsidR="004B056F" w:rsidRPr="007A4AB1" w14:paraId="43DE10A6" w14:textId="77777777" w:rsidTr="00865B8F">
        <w:trPr>
          <w:trHeight w:val="1412"/>
        </w:trPr>
        <w:tc>
          <w:tcPr>
            <w:tcW w:w="3143" w:type="dxa"/>
            <w:shd w:val="clear" w:color="auto" w:fill="auto"/>
          </w:tcPr>
          <w:p w14:paraId="514E9A4A" w14:textId="77777777" w:rsidR="004B056F" w:rsidRPr="007A4AB1" w:rsidRDefault="004B056F" w:rsidP="004B056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47D1615A" w:rsidR="004B056F" w:rsidRPr="007A4AB1" w:rsidRDefault="004B056F" w:rsidP="004B056F">
            <w:pPr>
              <w:spacing w:line="240" w:lineRule="exact"/>
              <w:rPr>
                <w:rFonts w:eastAsia="Calibri" w:cs="Arial"/>
                <w:lang w:val="en-US" w:eastAsia="en-US"/>
              </w:rPr>
            </w:pPr>
            <w:r>
              <w:rPr>
                <w:rFonts w:eastAsia="Calibri"/>
                <w:lang w:val="en-US" w:eastAsia="en-US"/>
              </w:rPr>
              <w:t>Name and phone number</w:t>
            </w:r>
          </w:p>
        </w:tc>
      </w:tr>
      <w:tr w:rsidR="004B056F" w:rsidRPr="007A4AB1" w14:paraId="7C0A4827" w14:textId="77777777" w:rsidTr="004B056F">
        <w:trPr>
          <w:trHeight w:val="1560"/>
        </w:trPr>
        <w:tc>
          <w:tcPr>
            <w:tcW w:w="3051" w:type="dxa"/>
            <w:shd w:val="clear" w:color="auto" w:fill="auto"/>
          </w:tcPr>
          <w:p w14:paraId="39318114" w14:textId="77777777" w:rsidR="004B056F" w:rsidRPr="007A4AB1" w:rsidRDefault="004B056F" w:rsidP="004B056F">
            <w:pPr>
              <w:spacing w:line="240" w:lineRule="exact"/>
              <w:rPr>
                <w:rFonts w:eastAsia="Calibri" w:cs="Arial"/>
                <w:lang w:val="en-US" w:eastAsia="en-US"/>
              </w:rPr>
            </w:pPr>
            <w:r w:rsidRPr="007A4AB1">
              <w:rPr>
                <w:rFonts w:eastAsia="Calibri" w:cs="Arial"/>
                <w:lang w:val="en-US" w:eastAsia="en-US"/>
              </w:rPr>
              <w:t>Categories of Data Subject</w:t>
            </w:r>
          </w:p>
        </w:tc>
        <w:tc>
          <w:tcPr>
            <w:tcW w:w="5968" w:type="dxa"/>
            <w:shd w:val="clear" w:color="auto" w:fill="auto"/>
          </w:tcPr>
          <w:p w14:paraId="3B31AEC3" w14:textId="16C5328F" w:rsidR="004B056F" w:rsidRPr="007A4AB1" w:rsidRDefault="004B056F" w:rsidP="004B056F">
            <w:pPr>
              <w:spacing w:line="240" w:lineRule="exact"/>
              <w:rPr>
                <w:rFonts w:eastAsia="Calibri" w:cs="Arial"/>
                <w:lang w:val="en-US" w:eastAsia="en-US"/>
              </w:rPr>
            </w:pPr>
            <w:r>
              <w:rPr>
                <w:rFonts w:eastAsia="Calibri"/>
                <w:lang w:val="en-US" w:eastAsia="en-US"/>
              </w:rPr>
              <w:t>Individuals affected by treatment with infected blood</w:t>
            </w:r>
          </w:p>
        </w:tc>
      </w:tr>
      <w:tr w:rsidR="004B056F" w:rsidRPr="007A4AB1" w14:paraId="437F4573" w14:textId="77777777" w:rsidTr="004B056F">
        <w:trPr>
          <w:trHeight w:val="1560"/>
        </w:trPr>
        <w:tc>
          <w:tcPr>
            <w:tcW w:w="3051" w:type="dxa"/>
            <w:shd w:val="clear" w:color="auto" w:fill="auto"/>
          </w:tcPr>
          <w:p w14:paraId="317EEDCA" w14:textId="77777777" w:rsidR="004B056F" w:rsidRPr="007A4AB1" w:rsidRDefault="004B056F" w:rsidP="004B056F">
            <w:pPr>
              <w:spacing w:line="240" w:lineRule="exact"/>
              <w:rPr>
                <w:rFonts w:eastAsia="Calibri" w:cs="Arial"/>
                <w:lang w:val="en-US" w:eastAsia="en-US"/>
              </w:rPr>
            </w:pPr>
          </w:p>
        </w:tc>
        <w:tc>
          <w:tcPr>
            <w:tcW w:w="5968" w:type="dxa"/>
            <w:shd w:val="clear" w:color="auto" w:fill="auto"/>
          </w:tcPr>
          <w:p w14:paraId="6D752E54" w14:textId="107C62E0" w:rsidR="004B056F" w:rsidRPr="007A4AB1" w:rsidRDefault="004B056F" w:rsidP="004B056F">
            <w:pPr>
              <w:spacing w:line="240" w:lineRule="exact"/>
              <w:rPr>
                <w:rFonts w:eastAsia="Calibri"/>
                <w:lang w:val="en-US" w:eastAsia="en-US"/>
              </w:rPr>
            </w:pPr>
            <w:r>
              <w:rPr>
                <w:rFonts w:eastAsia="Calibri"/>
                <w:lang w:val="en-US" w:eastAsia="en-US"/>
              </w:rPr>
              <w:t>Destroyed once it has been used for the purpose intended, i.e. to make a phone call in response to a message received.</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8" w:name="_Toc440457130"/>
      <w:bookmarkStart w:id="129" w:name="_Toc444688627"/>
      <w:r w:rsidRPr="00D66848">
        <w:rPr>
          <w:rFonts w:eastAsia="Times New Roman"/>
          <w:b/>
          <w:szCs w:val="22"/>
          <w:lang w:eastAsia="en-US"/>
        </w:rPr>
        <w:lastRenderedPageBreak/>
        <w:t>ANNEX 7 – CHANGE CONTROL FORMS</w:t>
      </w:r>
      <w:bookmarkEnd w:id="128"/>
      <w:bookmarkEnd w:id="129"/>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701DC5" w:rsidRDefault="00701DC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701DC5" w:rsidRDefault="00701DC5"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701DC5" w:rsidRDefault="00701DC5"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701DC5" w:rsidRDefault="00701DC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701DC5" w:rsidRDefault="00701DC5"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701DC5" w:rsidRDefault="00701DC5"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701DC5" w:rsidRDefault="00701DC5"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701DC5" w:rsidRDefault="00701DC5"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701DC5" w:rsidRDefault="00701DC5"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701DC5" w:rsidRDefault="00701DC5"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701DC5" w:rsidRDefault="00701DC5">
      <w:pPr>
        <w:spacing w:line="20" w:lineRule="exact"/>
      </w:pPr>
    </w:p>
  </w:endnote>
  <w:endnote w:type="continuationSeparator" w:id="0">
    <w:p w14:paraId="0DA0E19E" w14:textId="77777777" w:rsidR="00701DC5" w:rsidRDefault="00701DC5">
      <w:pPr>
        <w:spacing w:line="20" w:lineRule="exact"/>
      </w:pPr>
      <w:r>
        <w:t xml:space="preserve"> </w:t>
      </w:r>
    </w:p>
  </w:endnote>
  <w:endnote w:type="continuationNotice" w:id="1">
    <w:p w14:paraId="397CC4BC" w14:textId="77777777" w:rsidR="00701DC5" w:rsidRDefault="00701DC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4E"/>
    <w:family w:val="auto"/>
    <w:pitch w:val="variable"/>
    <w:sig w:usb0="E00002FF" w:usb1="6AC7FDFB" w:usb2="00000012" w:usb3="00000000" w:csb0="0002009F"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701DC5" w:rsidRDefault="00701DC5"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701DC5" w:rsidRDefault="00701DC5"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701DC5" w:rsidRDefault="00701DC5"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701DC5" w:rsidRPr="00C34E12" w:rsidRDefault="00701DC5"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701DC5" w:rsidRDefault="00701DC5"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701DC5" w:rsidRPr="00A65391" w:rsidRDefault="00701DC5"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701DC5" w:rsidRPr="00CE50FE" w:rsidRDefault="00701DC5" w:rsidP="00F70073">
        <w:pPr>
          <w:pStyle w:val="Footer"/>
          <w:pBdr>
            <w:top w:val="single" w:sz="4" w:space="1" w:color="auto"/>
          </w:pBdr>
          <w:jc w:val="center"/>
          <w:rPr>
            <w:sz w:val="20"/>
            <w:szCs w:val="20"/>
          </w:rPr>
        </w:pPr>
        <w:r w:rsidRPr="00CE50FE">
          <w:rPr>
            <w:sz w:val="20"/>
            <w:szCs w:val="20"/>
          </w:rPr>
          <w:t>OFFICIAL</w:t>
        </w:r>
      </w:p>
      <w:p w14:paraId="6369C02F" w14:textId="77777777" w:rsidR="00701DC5" w:rsidRPr="00CE50FE" w:rsidRDefault="00701DC5"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701DC5" w:rsidRDefault="00701DC5" w:rsidP="00F70073">
        <w:pPr>
          <w:pStyle w:val="Footer"/>
          <w:pBdr>
            <w:top w:val="single" w:sz="4" w:space="1" w:color="auto"/>
          </w:pBdr>
          <w:rPr>
            <w:sz w:val="20"/>
            <w:szCs w:val="20"/>
          </w:rPr>
        </w:pPr>
      </w:p>
      <w:p w14:paraId="59D982FD" w14:textId="66B56BBB" w:rsidR="00701DC5" w:rsidRPr="00CE50FE" w:rsidRDefault="00701DC5"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54FFD01E" w:rsidR="00701DC5" w:rsidRPr="00CE50FE" w:rsidRDefault="00701DC5" w:rsidP="00F70073">
        <w:pPr>
          <w:pStyle w:val="Footer"/>
          <w:pBdr>
            <w:top w:val="single" w:sz="4" w:space="1" w:color="auto"/>
          </w:pBdr>
          <w:jc w:val="right"/>
          <w:rPr>
            <w:sz w:val="20"/>
            <w:szCs w:val="20"/>
          </w:rPr>
        </w:pPr>
        <w:r>
          <w:rPr>
            <w:sz w:val="20"/>
            <w:szCs w:val="20"/>
          </w:rPr>
          <w:t>V1.0 2</w:t>
        </w:r>
        <w:r w:rsidR="00731234">
          <w:rPr>
            <w:sz w:val="20"/>
            <w:szCs w:val="20"/>
          </w:rPr>
          <w:t>4</w:t>
        </w:r>
        <w:r w:rsidRPr="00DE182C">
          <w:rPr>
            <w:sz w:val="20"/>
            <w:szCs w:val="20"/>
            <w:vertAlign w:val="superscript"/>
          </w:rPr>
          <w:t>th</w:t>
        </w:r>
        <w:r>
          <w:rPr>
            <w:sz w:val="20"/>
            <w:szCs w:val="20"/>
          </w:rPr>
          <w:t xml:space="preserve"> </w:t>
        </w:r>
        <w:r w:rsidR="00731234">
          <w:rPr>
            <w:sz w:val="20"/>
            <w:szCs w:val="20"/>
          </w:rPr>
          <w:t>April</w:t>
        </w:r>
        <w:r>
          <w:rPr>
            <w:sz w:val="20"/>
            <w:szCs w:val="20"/>
          </w:rPr>
          <w:t xml:space="preserve"> 20</w:t>
        </w:r>
        <w:r w:rsidRPr="008021FE">
          <w:rPr>
            <w:sz w:val="20"/>
            <w:szCs w:val="20"/>
          </w:rPr>
          <w:t>19</w:t>
        </w:r>
      </w:p>
      <w:p w14:paraId="3085C604" w14:textId="62945D86" w:rsidR="00701DC5" w:rsidRDefault="00701DC5"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F74A4">
          <w:rPr>
            <w:noProof/>
            <w:sz w:val="20"/>
            <w:szCs w:val="20"/>
          </w:rPr>
          <w:t>4</w:t>
        </w:r>
        <w:r w:rsidRPr="00CE50FE">
          <w:rPr>
            <w:noProof/>
            <w:sz w:val="20"/>
            <w:szCs w:val="20"/>
          </w:rPr>
          <w:fldChar w:fldCharType="end"/>
        </w:r>
      </w:p>
    </w:sdtContent>
  </w:sdt>
  <w:p w14:paraId="170A480B" w14:textId="77777777" w:rsidR="00701DC5" w:rsidRPr="00360755" w:rsidRDefault="00701DC5"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701DC5" w:rsidRDefault="00701DC5">
      <w:r>
        <w:separator/>
      </w:r>
    </w:p>
  </w:footnote>
  <w:footnote w:type="continuationSeparator" w:id="0">
    <w:p w14:paraId="29CDF82A" w14:textId="77777777" w:rsidR="00701DC5" w:rsidRDefault="00701DC5">
      <w:r>
        <w:continuationSeparator/>
      </w:r>
    </w:p>
  </w:footnote>
  <w:footnote w:type="continuationNotice" w:id="1">
    <w:p w14:paraId="3158D084" w14:textId="77777777" w:rsidR="00701DC5" w:rsidRDefault="00701D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701DC5" w:rsidRDefault="00701DC5"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701DC5" w:rsidRDefault="00701DC5" w:rsidP="00F3190B">
    <w:pPr>
      <w:pStyle w:val="Header"/>
      <w:jc w:val="center"/>
      <w:rPr>
        <w:b/>
      </w:rPr>
    </w:pPr>
  </w:p>
  <w:p w14:paraId="64559850" w14:textId="77777777" w:rsidR="00701DC5" w:rsidRDefault="00701DC5"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701DC5" w:rsidRDefault="00701DC5"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6080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701DC5" w:rsidRDefault="00701DC5"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22C7E11" w14:textId="6C7644FD" w:rsidR="00701DC5" w:rsidRPr="008021FE" w:rsidRDefault="00701DC5" w:rsidP="00F70073">
    <w:pPr>
      <w:pStyle w:val="Header"/>
      <w:pBdr>
        <w:bottom w:val="single" w:sz="4" w:space="1" w:color="auto"/>
      </w:pBdr>
      <w:jc w:val="center"/>
      <w:rPr>
        <w:rFonts w:cs="Arial"/>
        <w:sz w:val="20"/>
        <w:szCs w:val="20"/>
      </w:rPr>
    </w:pPr>
    <w:r w:rsidRPr="008021FE">
      <w:rPr>
        <w:rFonts w:cs="Arial"/>
        <w:sz w:val="20"/>
        <w:szCs w:val="20"/>
      </w:rPr>
      <w:t>The Provision of Confidential Psychological Support for the Infected Blood Inquiry</w:t>
    </w:r>
  </w:p>
  <w:p w14:paraId="7FECFEFB" w14:textId="2E0006F1" w:rsidR="00701DC5" w:rsidRDefault="00701DC5" w:rsidP="00F70073">
    <w:pPr>
      <w:pStyle w:val="Header"/>
      <w:pBdr>
        <w:bottom w:val="single" w:sz="4" w:space="1" w:color="auto"/>
      </w:pBdr>
      <w:jc w:val="center"/>
      <w:rPr>
        <w:rFonts w:cs="Arial"/>
        <w:sz w:val="20"/>
        <w:szCs w:val="20"/>
      </w:rPr>
    </w:pPr>
    <w:r w:rsidRPr="008021FE">
      <w:rPr>
        <w:rFonts w:cs="Arial"/>
        <w:sz w:val="20"/>
        <w:szCs w:val="20"/>
      </w:rPr>
      <w:t>CCHR19A19</w:t>
    </w:r>
  </w:p>
  <w:p w14:paraId="41FED4DA" w14:textId="77777777" w:rsidR="00701DC5" w:rsidRDefault="00701DC5" w:rsidP="00F70073">
    <w:pPr>
      <w:pStyle w:val="Header"/>
      <w:pBdr>
        <w:bottom w:val="single" w:sz="4" w:space="1" w:color="auto"/>
      </w:pBdr>
      <w:jc w:val="center"/>
    </w:pPr>
  </w:p>
  <w:p w14:paraId="68388EBA" w14:textId="77777777" w:rsidR="00701DC5" w:rsidRDefault="00701DC5"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0E4A"/>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86"/>
    <w:rsid w:val="000B47A6"/>
    <w:rsid w:val="000B57B1"/>
    <w:rsid w:val="000B5C9F"/>
    <w:rsid w:val="000B7AFA"/>
    <w:rsid w:val="000C1CC0"/>
    <w:rsid w:val="000C212E"/>
    <w:rsid w:val="000C2484"/>
    <w:rsid w:val="000C2E05"/>
    <w:rsid w:val="000C5EC7"/>
    <w:rsid w:val="000C68BF"/>
    <w:rsid w:val="000C7C2B"/>
    <w:rsid w:val="000D569C"/>
    <w:rsid w:val="000E3471"/>
    <w:rsid w:val="000E3CFD"/>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3560"/>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474D3"/>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0D8"/>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2A62"/>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349"/>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056F"/>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4E4"/>
    <w:rsid w:val="00595C15"/>
    <w:rsid w:val="005972BC"/>
    <w:rsid w:val="00597B02"/>
    <w:rsid w:val="005A6764"/>
    <w:rsid w:val="005B28B1"/>
    <w:rsid w:val="005B2BA5"/>
    <w:rsid w:val="005B466A"/>
    <w:rsid w:val="005B5BB2"/>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0D94"/>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E6D4E"/>
    <w:rsid w:val="006F098A"/>
    <w:rsid w:val="006F0C06"/>
    <w:rsid w:val="006F2220"/>
    <w:rsid w:val="006F490F"/>
    <w:rsid w:val="006F6878"/>
    <w:rsid w:val="006F6F85"/>
    <w:rsid w:val="007003CC"/>
    <w:rsid w:val="00701DC5"/>
    <w:rsid w:val="00702C1F"/>
    <w:rsid w:val="00704A4D"/>
    <w:rsid w:val="0070521E"/>
    <w:rsid w:val="00706FCC"/>
    <w:rsid w:val="007110A9"/>
    <w:rsid w:val="007145F1"/>
    <w:rsid w:val="007160DB"/>
    <w:rsid w:val="0072081F"/>
    <w:rsid w:val="00722203"/>
    <w:rsid w:val="00724885"/>
    <w:rsid w:val="007253FF"/>
    <w:rsid w:val="00726A85"/>
    <w:rsid w:val="0072712F"/>
    <w:rsid w:val="00731234"/>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1FE"/>
    <w:rsid w:val="00802735"/>
    <w:rsid w:val="00804229"/>
    <w:rsid w:val="008042A5"/>
    <w:rsid w:val="0080626B"/>
    <w:rsid w:val="00811C30"/>
    <w:rsid w:val="0081457C"/>
    <w:rsid w:val="00817441"/>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6D11"/>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B0EB7"/>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B3F"/>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1A3"/>
    <w:rsid w:val="00BE6C9B"/>
    <w:rsid w:val="00BE7C8B"/>
    <w:rsid w:val="00BF0F34"/>
    <w:rsid w:val="00BF163E"/>
    <w:rsid w:val="00BF19C4"/>
    <w:rsid w:val="00BF3BAD"/>
    <w:rsid w:val="00BF3CBD"/>
    <w:rsid w:val="00BF423A"/>
    <w:rsid w:val="00BF661F"/>
    <w:rsid w:val="00BF74A4"/>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37FD"/>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182C"/>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669AB"/>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3D7"/>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692BA191"/>
  <w15:docId w15:val="{9B092F7E-5913-4D67-ACA4-5C6EF16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648111">
      <w:bodyDiv w:val="1"/>
      <w:marLeft w:val="0"/>
      <w:marRight w:val="0"/>
      <w:marTop w:val="0"/>
      <w:marBottom w:val="0"/>
      <w:divBdr>
        <w:top w:val="none" w:sz="0" w:space="0" w:color="auto"/>
        <w:left w:val="none" w:sz="0" w:space="0" w:color="auto"/>
        <w:bottom w:val="none" w:sz="0" w:space="0" w:color="auto"/>
        <w:right w:val="none" w:sz="0" w:space="0" w:color="auto"/>
      </w:divBdr>
    </w:div>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226843842">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doc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9D9E51E7-A6F3-4BC5-B46D-526D4820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188</TotalTime>
  <Pages>30</Pages>
  <Words>8851</Words>
  <Characters>50455</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59188</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Bergin James</dc:creator>
  <cp:lastModifiedBy>Jonathan Wotman</cp:lastModifiedBy>
  <cp:revision>15</cp:revision>
  <cp:lastPrinted>2012-12-10T12:26:00Z</cp:lastPrinted>
  <dcterms:created xsi:type="dcterms:W3CDTF">2019-04-17T14:30:00Z</dcterms:created>
  <dcterms:modified xsi:type="dcterms:W3CDTF">2019-04-30T07:56:00Z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