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807"/>
        <w:gridCol w:w="1276"/>
        <w:gridCol w:w="1603"/>
        <w:gridCol w:w="1515"/>
      </w:tblGrid>
      <w:tr w:rsidR="00AE75EE" w14:paraId="7A2F8AB8" w14:textId="77777777" w:rsidTr="004B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5200035" w14:textId="77777777" w:rsidR="00AE75EE" w:rsidRDefault="00AE75EE" w:rsidP="005441E3">
            <w:pPr>
              <w:pStyle w:val="BodyText"/>
            </w:pPr>
          </w:p>
        </w:tc>
        <w:tc>
          <w:tcPr>
            <w:tcW w:w="1276" w:type="dxa"/>
          </w:tcPr>
          <w:p w14:paraId="47B4CDDD" w14:textId="574AF18A" w:rsidR="00AE75EE" w:rsidRPr="004B5695" w:rsidRDefault="00CB748E" w:rsidP="005441E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B5695">
              <w:rPr>
                <w:b w:val="0"/>
                <w:bCs/>
              </w:rPr>
              <w:t>Good</w:t>
            </w:r>
          </w:p>
        </w:tc>
        <w:tc>
          <w:tcPr>
            <w:tcW w:w="1603" w:type="dxa"/>
          </w:tcPr>
          <w:p w14:paraId="7E4A849A" w14:textId="4B04A981" w:rsidR="00AE75EE" w:rsidRPr="004B5695" w:rsidRDefault="00A30D80" w:rsidP="005441E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B5695">
              <w:rPr>
                <w:b w:val="0"/>
                <w:bCs/>
              </w:rPr>
              <w:t>Approaching Target</w:t>
            </w:r>
          </w:p>
        </w:tc>
        <w:tc>
          <w:tcPr>
            <w:tcW w:w="1515" w:type="dxa"/>
          </w:tcPr>
          <w:p w14:paraId="0BCE08AD" w14:textId="507DDDFA" w:rsidR="00AE75EE" w:rsidRPr="004B5695" w:rsidRDefault="00CB748E" w:rsidP="005441E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B5695">
              <w:rPr>
                <w:b w:val="0"/>
                <w:bCs/>
              </w:rPr>
              <w:t>Requires Improvement</w:t>
            </w:r>
          </w:p>
        </w:tc>
      </w:tr>
      <w:tr w:rsidR="00AE75EE" w14:paraId="324ADB00" w14:textId="77777777" w:rsidTr="004B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C8B0892" w14:textId="77777777" w:rsidR="00AE75EE" w:rsidRDefault="00BA7A24" w:rsidP="005441E3">
            <w:pPr>
              <w:pStyle w:val="BodyText"/>
              <w:rPr>
                <w:b w:val="0"/>
              </w:rPr>
            </w:pPr>
            <w:r>
              <w:t>KPI 1:</w:t>
            </w:r>
          </w:p>
          <w:p w14:paraId="0CE9A5B0" w14:textId="25E8E15A" w:rsidR="00BA7A24" w:rsidRPr="00EE1A24" w:rsidRDefault="00EE1A24" w:rsidP="005441E3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Tool will deliver target uptime availability between </w:t>
            </w:r>
            <w:r w:rsidR="005224D2">
              <w:rPr>
                <w:b w:val="0"/>
                <w:bCs/>
              </w:rPr>
              <w:t xml:space="preserve">8am-5pm Monday </w:t>
            </w:r>
            <w:r w:rsidR="00A71F6A">
              <w:rPr>
                <w:b w:val="0"/>
                <w:bCs/>
              </w:rPr>
              <w:t xml:space="preserve">– Friday </w:t>
            </w:r>
          </w:p>
        </w:tc>
        <w:tc>
          <w:tcPr>
            <w:tcW w:w="1276" w:type="dxa"/>
          </w:tcPr>
          <w:p w14:paraId="7A8619B1" w14:textId="3941245D" w:rsidR="00AE75EE" w:rsidRDefault="004E13F1" w:rsidP="005441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99.9%</w:t>
            </w:r>
          </w:p>
        </w:tc>
        <w:tc>
          <w:tcPr>
            <w:tcW w:w="1603" w:type="dxa"/>
          </w:tcPr>
          <w:p w14:paraId="05948374" w14:textId="1BDA01CC" w:rsidR="00AE75EE" w:rsidRDefault="004E13F1" w:rsidP="005441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15" w:type="dxa"/>
          </w:tcPr>
          <w:p w14:paraId="2D83BF33" w14:textId="4BC75575" w:rsidR="00AE75EE" w:rsidRDefault="004E13F1" w:rsidP="005441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98%</w:t>
            </w:r>
          </w:p>
        </w:tc>
      </w:tr>
      <w:tr w:rsidR="00C100D3" w14:paraId="6C2249D9" w14:textId="77777777" w:rsidTr="004B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9321FC3" w14:textId="77777777" w:rsidR="00C100D3" w:rsidRDefault="00C100D3" w:rsidP="00C100D3">
            <w:pPr>
              <w:pStyle w:val="BodyText"/>
              <w:rPr>
                <w:b w:val="0"/>
              </w:rPr>
            </w:pPr>
            <w:r>
              <w:t>KPI 2:</w:t>
            </w:r>
          </w:p>
          <w:p w14:paraId="7CC04FCF" w14:textId="2E589005" w:rsidR="00C100D3" w:rsidRPr="006E3AB9" w:rsidRDefault="00C100D3" w:rsidP="00C100D3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Supplier delivers uptime availability on contingency service during the core day 8am-5pm Monday – Friday </w:t>
            </w:r>
          </w:p>
        </w:tc>
        <w:tc>
          <w:tcPr>
            <w:tcW w:w="1276" w:type="dxa"/>
          </w:tcPr>
          <w:p w14:paraId="78C2BCF8" w14:textId="31708FE1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99.9%</w:t>
            </w:r>
          </w:p>
        </w:tc>
        <w:tc>
          <w:tcPr>
            <w:tcW w:w="1603" w:type="dxa"/>
          </w:tcPr>
          <w:p w14:paraId="61D87133" w14:textId="464C882C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15" w:type="dxa"/>
          </w:tcPr>
          <w:p w14:paraId="477B9C26" w14:textId="0110ED3C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98%</w:t>
            </w:r>
          </w:p>
        </w:tc>
      </w:tr>
      <w:tr w:rsidR="00C100D3" w14:paraId="4E386C21" w14:textId="77777777" w:rsidTr="004B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EE65B69" w14:textId="5D80CCEE" w:rsidR="00C100D3" w:rsidRPr="006E3AB9" w:rsidRDefault="00C100D3" w:rsidP="00C100D3">
            <w:pPr>
              <w:pStyle w:val="BodyText"/>
              <w:rPr>
                <w:bCs/>
              </w:rPr>
            </w:pPr>
            <w:r w:rsidRPr="006E3AB9">
              <w:rPr>
                <w:bCs/>
              </w:rPr>
              <w:t xml:space="preserve">KPI </w:t>
            </w:r>
            <w:r>
              <w:rPr>
                <w:bCs/>
              </w:rPr>
              <w:t>3:</w:t>
            </w:r>
          </w:p>
          <w:p w14:paraId="2AD6A486" w14:textId="45E7BCEC" w:rsidR="00C100D3" w:rsidRDefault="00C100D3" w:rsidP="00C100D3">
            <w:pPr>
              <w:pStyle w:val="BodyText"/>
              <w:rPr>
                <w:b w:val="0"/>
              </w:rPr>
            </w:pPr>
            <w:r>
              <w:t>Priority calls:</w:t>
            </w:r>
          </w:p>
          <w:p w14:paraId="4BB91477" w14:textId="02ABDEC3" w:rsidR="00C100D3" w:rsidRPr="00835A37" w:rsidRDefault="00C100D3" w:rsidP="00C100D3">
            <w:pPr>
              <w:pStyle w:val="BodyText"/>
              <w:rPr>
                <w:bCs/>
              </w:rPr>
            </w:pPr>
            <w:r>
              <w:rPr>
                <w:b w:val="0"/>
                <w:bCs/>
              </w:rPr>
              <w:t xml:space="preserve">Priority calls are responded to within their set timeframe. </w:t>
            </w:r>
          </w:p>
        </w:tc>
        <w:tc>
          <w:tcPr>
            <w:tcW w:w="1276" w:type="dxa"/>
          </w:tcPr>
          <w:p w14:paraId="1652E7AF" w14:textId="2CD9D744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99.9%</w:t>
            </w:r>
          </w:p>
        </w:tc>
        <w:tc>
          <w:tcPr>
            <w:tcW w:w="1603" w:type="dxa"/>
          </w:tcPr>
          <w:p w14:paraId="058EDEDF" w14:textId="3C24179C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15" w:type="dxa"/>
          </w:tcPr>
          <w:p w14:paraId="5508D0A0" w14:textId="4FAA7D9C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98%</w:t>
            </w:r>
          </w:p>
        </w:tc>
      </w:tr>
      <w:tr w:rsidR="00C100D3" w14:paraId="2D66617A" w14:textId="77777777" w:rsidTr="004B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0E1EC6F" w14:textId="67E38F6A" w:rsidR="00C100D3" w:rsidRDefault="00C100D3" w:rsidP="00C100D3">
            <w:pPr>
              <w:pStyle w:val="BodyText"/>
              <w:rPr>
                <w:b w:val="0"/>
              </w:rPr>
            </w:pPr>
            <w:r>
              <w:t>KPI 4:</w:t>
            </w:r>
          </w:p>
          <w:p w14:paraId="66D3A4FA" w14:textId="1DE59B13" w:rsidR="00C100D3" w:rsidRDefault="00C100D3" w:rsidP="00C100D3">
            <w:pPr>
              <w:pStyle w:val="BodyText"/>
              <w:rPr>
                <w:b w:val="0"/>
              </w:rPr>
            </w:pPr>
            <w:r>
              <w:t>Priority calls:</w:t>
            </w:r>
          </w:p>
          <w:p w14:paraId="65991E4E" w14:textId="1F3BAEA5" w:rsidR="00C100D3" w:rsidRPr="006E3AB9" w:rsidRDefault="00C100D3" w:rsidP="00C100D3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Issues raised in Priority Calls are resolved within their set timeframe. </w:t>
            </w:r>
          </w:p>
        </w:tc>
        <w:tc>
          <w:tcPr>
            <w:tcW w:w="1276" w:type="dxa"/>
          </w:tcPr>
          <w:p w14:paraId="3E2C7AE4" w14:textId="442108D3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99.9%</w:t>
            </w:r>
          </w:p>
        </w:tc>
        <w:tc>
          <w:tcPr>
            <w:tcW w:w="1603" w:type="dxa"/>
          </w:tcPr>
          <w:p w14:paraId="4B734D87" w14:textId="425C5C12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15" w:type="dxa"/>
          </w:tcPr>
          <w:p w14:paraId="2171FF93" w14:textId="6C44FB13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98%</w:t>
            </w:r>
          </w:p>
        </w:tc>
      </w:tr>
      <w:tr w:rsidR="00C100D3" w14:paraId="14F50F6B" w14:textId="77777777" w:rsidTr="004B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ED74C6D" w14:textId="77777777" w:rsidR="00C100D3" w:rsidRDefault="00C100D3" w:rsidP="00C100D3">
            <w:pPr>
              <w:pStyle w:val="BodyText"/>
              <w:rPr>
                <w:b w:val="0"/>
              </w:rPr>
            </w:pPr>
            <w:r>
              <w:t xml:space="preserve">KPI 5: </w:t>
            </w:r>
          </w:p>
          <w:p w14:paraId="6CE20AA1" w14:textId="7AB535BD" w:rsidR="00C100D3" w:rsidRPr="001767EA" w:rsidRDefault="00C100D3" w:rsidP="00C100D3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Respond to escalations </w:t>
            </w:r>
            <w:r w:rsidR="008C396D">
              <w:rPr>
                <w:b w:val="0"/>
              </w:rPr>
              <w:t xml:space="preserve">from the Core Ed supplier </w:t>
            </w:r>
            <w:r w:rsidR="00D106D9">
              <w:rPr>
                <w:b w:val="0"/>
              </w:rPr>
              <w:t xml:space="preserve">relating to the </w:t>
            </w:r>
            <w:r w:rsidR="00DC515C">
              <w:rPr>
                <w:b w:val="0"/>
              </w:rPr>
              <w:t xml:space="preserve">Tool content </w:t>
            </w:r>
            <w:r>
              <w:rPr>
                <w:b w:val="0"/>
              </w:rPr>
              <w:t>within 2 working days</w:t>
            </w:r>
          </w:p>
        </w:tc>
        <w:tc>
          <w:tcPr>
            <w:tcW w:w="1276" w:type="dxa"/>
          </w:tcPr>
          <w:p w14:paraId="36BEBC2C" w14:textId="69127219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99.9%</w:t>
            </w:r>
          </w:p>
        </w:tc>
        <w:tc>
          <w:tcPr>
            <w:tcW w:w="1603" w:type="dxa"/>
          </w:tcPr>
          <w:p w14:paraId="4E45BD39" w14:textId="03B014E8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15" w:type="dxa"/>
          </w:tcPr>
          <w:p w14:paraId="64791A5B" w14:textId="151ECA5F" w:rsidR="00C100D3" w:rsidRDefault="00C100D3" w:rsidP="00C100D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98%</w:t>
            </w:r>
          </w:p>
        </w:tc>
      </w:tr>
    </w:tbl>
    <w:p w14:paraId="26E014D5" w14:textId="77777777" w:rsidR="00C038B9" w:rsidRDefault="00C038B9" w:rsidP="005441E3">
      <w:pPr>
        <w:pStyle w:val="BodyText"/>
      </w:pPr>
    </w:p>
    <w:p w14:paraId="1A206D9A" w14:textId="01F6608B" w:rsidR="008E21D1" w:rsidRDefault="008E21D1">
      <w:pPr>
        <w:spacing w:after="160" w:line="259" w:lineRule="auto"/>
      </w:pPr>
      <w:r>
        <w:br w:type="page"/>
      </w:r>
    </w:p>
    <w:p w14:paraId="63E26D37" w14:textId="133CE36B" w:rsidR="00DB267B" w:rsidRPr="008E21D1" w:rsidRDefault="008E21D1" w:rsidP="005441E3">
      <w:pPr>
        <w:pStyle w:val="BodyText"/>
        <w:rPr>
          <w:b/>
          <w:bCs/>
        </w:rPr>
      </w:pPr>
      <w:r w:rsidRPr="008E21D1">
        <w:rPr>
          <w:b/>
          <w:bCs/>
        </w:rPr>
        <w:lastRenderedPageBreak/>
        <w:t>Definitions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5811"/>
        <w:gridCol w:w="2552"/>
      </w:tblGrid>
      <w:tr w:rsidR="00BE7605" w:rsidRPr="00BE7605" w14:paraId="3EBF8B3D" w14:textId="125DAD7C" w:rsidTr="00BE7605">
        <w:tc>
          <w:tcPr>
            <w:tcW w:w="1129" w:type="dxa"/>
          </w:tcPr>
          <w:p w14:paraId="6A59A50D" w14:textId="77777777" w:rsidR="00BE7605" w:rsidRPr="00BE7605" w:rsidRDefault="00BE7605" w:rsidP="00BE7605">
            <w:pPr>
              <w:tabs>
                <w:tab w:val="left" w:pos="32"/>
              </w:tabs>
              <w:spacing w:line="240" w:lineRule="auto"/>
              <w:ind w:left="32"/>
              <w:jc w:val="both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Priority Level</w:t>
            </w:r>
          </w:p>
        </w:tc>
        <w:tc>
          <w:tcPr>
            <w:tcW w:w="993" w:type="dxa"/>
          </w:tcPr>
          <w:p w14:paraId="0C1DE67A" w14:textId="77777777" w:rsidR="00BE7605" w:rsidRPr="00BE7605" w:rsidRDefault="00BE7605" w:rsidP="00BE7605">
            <w:pPr>
              <w:tabs>
                <w:tab w:val="left" w:pos="720"/>
              </w:tabs>
              <w:spacing w:line="240" w:lineRule="auto"/>
              <w:ind w:left="720" w:hanging="720"/>
              <w:jc w:val="both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 xml:space="preserve">Rating </w:t>
            </w:r>
          </w:p>
        </w:tc>
        <w:tc>
          <w:tcPr>
            <w:tcW w:w="5811" w:type="dxa"/>
          </w:tcPr>
          <w:p w14:paraId="721F885F" w14:textId="77777777" w:rsidR="00BE7605" w:rsidRPr="00BE7605" w:rsidRDefault="00BE7605" w:rsidP="00BE7605">
            <w:pPr>
              <w:tabs>
                <w:tab w:val="left" w:pos="720"/>
              </w:tabs>
              <w:spacing w:line="240" w:lineRule="auto"/>
              <w:ind w:left="720" w:hanging="720"/>
              <w:jc w:val="both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 xml:space="preserve">Incident Definition </w:t>
            </w:r>
          </w:p>
        </w:tc>
        <w:tc>
          <w:tcPr>
            <w:tcW w:w="2552" w:type="dxa"/>
          </w:tcPr>
          <w:p w14:paraId="2ED52592" w14:textId="486EACCE" w:rsidR="00BE7605" w:rsidRPr="00BE7605" w:rsidRDefault="00BE7605" w:rsidP="00BE7605">
            <w:pPr>
              <w:tabs>
                <w:tab w:val="left" w:pos="720"/>
              </w:tabs>
              <w:spacing w:line="240" w:lineRule="auto"/>
              <w:ind w:left="720" w:hanging="720"/>
              <w:jc w:val="both"/>
              <w:rPr>
                <w:rFonts w:ascii="Arial" w:eastAsia="Calibri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b/>
                <w:sz w:val="22"/>
              </w:rPr>
              <w:t>Timeframe</w:t>
            </w:r>
          </w:p>
        </w:tc>
      </w:tr>
      <w:tr w:rsidR="00BE7605" w:rsidRPr="00BE7605" w14:paraId="1F8CAE8C" w14:textId="5E127E2A" w:rsidTr="00BE7605">
        <w:tc>
          <w:tcPr>
            <w:tcW w:w="1129" w:type="dxa"/>
          </w:tcPr>
          <w:p w14:paraId="554D7E32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1 (“P1”)</w:t>
            </w:r>
          </w:p>
        </w:tc>
        <w:tc>
          <w:tcPr>
            <w:tcW w:w="993" w:type="dxa"/>
            <w:shd w:val="clear" w:color="auto" w:fill="FF0000"/>
          </w:tcPr>
          <w:p w14:paraId="18EF389B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Critical</w:t>
            </w:r>
          </w:p>
        </w:tc>
        <w:tc>
          <w:tcPr>
            <w:tcW w:w="5811" w:type="dxa"/>
          </w:tcPr>
          <w:p w14:paraId="2C5B5020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A fault exists that results in a total loss of service or functionality affecting the entire estate, whole site or a whole system/service. </w:t>
            </w:r>
          </w:p>
          <w:p w14:paraId="461DAFD8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May include an Incident which, in the reasonable opinion of the Authority:</w:t>
            </w:r>
          </w:p>
          <w:p w14:paraId="7BEFD199" w14:textId="77777777" w:rsidR="00BE7605" w:rsidRPr="00BE7605" w:rsidRDefault="00BE7605" w:rsidP="00BE7605">
            <w:pPr>
              <w:numPr>
                <w:ilvl w:val="1"/>
                <w:numId w:val="11"/>
              </w:numPr>
              <w:spacing w:after="120" w:line="240" w:lineRule="auto"/>
              <w:ind w:left="1417" w:hanging="697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An incident prevents End Users from working or accessing the Contractor System; or</w:t>
            </w:r>
          </w:p>
          <w:p w14:paraId="3A48DC82" w14:textId="77777777" w:rsidR="00BE7605" w:rsidRPr="00BE7605" w:rsidRDefault="00BE7605" w:rsidP="00BE7605">
            <w:pPr>
              <w:numPr>
                <w:ilvl w:val="1"/>
                <w:numId w:val="11"/>
              </w:numPr>
              <w:spacing w:after="120" w:line="240" w:lineRule="auto"/>
              <w:ind w:left="1417" w:hanging="697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has a critical impact on the activities of the Authority; or</w:t>
            </w:r>
          </w:p>
          <w:p w14:paraId="18403FDF" w14:textId="77777777" w:rsidR="00BE7605" w:rsidRPr="00BE7605" w:rsidRDefault="00BE7605" w:rsidP="00BE7605">
            <w:pPr>
              <w:numPr>
                <w:ilvl w:val="1"/>
                <w:numId w:val="11"/>
              </w:numPr>
              <w:spacing w:after="120" w:line="240" w:lineRule="auto"/>
              <w:ind w:left="1417" w:hanging="697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causes significant financial loss and/or disruption to the Authority; or</w:t>
            </w:r>
          </w:p>
          <w:p w14:paraId="73DEFCEA" w14:textId="77777777" w:rsidR="00BE7605" w:rsidRPr="00BE7605" w:rsidRDefault="00BE7605" w:rsidP="00BE7605">
            <w:pPr>
              <w:numPr>
                <w:ilvl w:val="1"/>
                <w:numId w:val="11"/>
              </w:numPr>
              <w:spacing w:after="120" w:line="240" w:lineRule="auto"/>
              <w:ind w:left="1417" w:hanging="697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results in any material loss or corruption of Authority Data; or</w:t>
            </w:r>
          </w:p>
          <w:p w14:paraId="4C9991F8" w14:textId="77777777" w:rsidR="00BE7605" w:rsidRPr="00BE7605" w:rsidRDefault="00BE7605" w:rsidP="00BE7605">
            <w:pPr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there is no workaround possible other than manual processes.</w:t>
            </w:r>
          </w:p>
          <w:p w14:paraId="3A81C5C3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2" w:type="dxa"/>
          </w:tcPr>
          <w:p w14:paraId="403A01E6" w14:textId="7B20AB25" w:rsidR="00BE7605" w:rsidRDefault="00B741AF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Responded </w:t>
            </w:r>
            <w:proofErr w:type="gramStart"/>
            <w:r>
              <w:rPr>
                <w:rFonts w:ascii="Arial" w:eastAsia="Calibri" w:hAnsi="Arial" w:cs="Arial"/>
                <w:sz w:val="22"/>
              </w:rPr>
              <w:t>to:</w:t>
            </w:r>
            <w:proofErr w:type="gramEnd"/>
            <w:r w:rsidR="00835A37">
              <w:rPr>
                <w:rFonts w:ascii="Arial" w:eastAsia="Calibri" w:hAnsi="Arial" w:cs="Arial"/>
                <w:sz w:val="22"/>
              </w:rPr>
              <w:t xml:space="preserve"> 2 hours</w:t>
            </w:r>
          </w:p>
          <w:p w14:paraId="008EAAE2" w14:textId="77777777" w:rsidR="00B741AF" w:rsidRDefault="00B741AF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  <w:p w14:paraId="067F0507" w14:textId="7DDB1815" w:rsidR="00B741AF" w:rsidRPr="00BE7605" w:rsidRDefault="00B741AF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Resolved:</w:t>
            </w:r>
            <w:r w:rsidR="00835A37">
              <w:rPr>
                <w:rFonts w:ascii="Arial" w:eastAsia="Calibri" w:hAnsi="Arial" w:cs="Arial"/>
                <w:sz w:val="22"/>
              </w:rPr>
              <w:t xml:space="preserve"> 4 hours</w:t>
            </w:r>
          </w:p>
        </w:tc>
      </w:tr>
      <w:tr w:rsidR="00BE7605" w:rsidRPr="00BE7605" w14:paraId="6CFE4D05" w14:textId="0512C140" w:rsidTr="00BE7605">
        <w:tc>
          <w:tcPr>
            <w:tcW w:w="1129" w:type="dxa"/>
          </w:tcPr>
          <w:p w14:paraId="7310E921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2 (“P2)</w:t>
            </w:r>
          </w:p>
        </w:tc>
        <w:tc>
          <w:tcPr>
            <w:tcW w:w="993" w:type="dxa"/>
            <w:shd w:val="clear" w:color="auto" w:fill="FFC000"/>
          </w:tcPr>
          <w:p w14:paraId="6ACC80A3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Major</w:t>
            </w:r>
          </w:p>
        </w:tc>
        <w:tc>
          <w:tcPr>
            <w:tcW w:w="5811" w:type="dxa"/>
          </w:tcPr>
          <w:p w14:paraId="426FCB8D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A fault exists that results in a partial loss of service or functionality across the estate or within a significant user population.</w:t>
            </w:r>
          </w:p>
          <w:p w14:paraId="55E0AE12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May include an Incident which, in the reasonable opinion of the Authority:</w:t>
            </w:r>
          </w:p>
          <w:p w14:paraId="2782DE2E" w14:textId="77777777" w:rsidR="00BE7605" w:rsidRPr="00BE7605" w:rsidRDefault="00BE7605" w:rsidP="00BE7605">
            <w:pPr>
              <w:numPr>
                <w:ilvl w:val="1"/>
                <w:numId w:val="0"/>
              </w:numPr>
              <w:tabs>
                <w:tab w:val="num" w:pos="981"/>
              </w:tabs>
              <w:spacing w:after="0" w:line="240" w:lineRule="auto"/>
              <w:ind w:left="981" w:hanging="261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Cause partial loss or intermittent disruption to one significant business system/service/process with low </w:t>
            </w:r>
            <w:proofErr w:type="gramStart"/>
            <w:r w:rsidRPr="00BE7605">
              <w:rPr>
                <w:rFonts w:ascii="Arial" w:eastAsia="Calibri" w:hAnsi="Arial" w:cs="Arial"/>
                <w:sz w:val="22"/>
              </w:rPr>
              <w:t>volumes;</w:t>
            </w:r>
            <w:proofErr w:type="gramEnd"/>
            <w:r w:rsidRPr="00BE7605">
              <w:rPr>
                <w:rFonts w:ascii="Arial" w:eastAsia="Calibri" w:hAnsi="Arial" w:cs="Arial"/>
                <w:sz w:val="22"/>
              </w:rPr>
              <w:t xml:space="preserve"> or</w:t>
            </w:r>
          </w:p>
          <w:p w14:paraId="629244EE" w14:textId="77777777" w:rsidR="00BE7605" w:rsidRPr="00BE7605" w:rsidRDefault="00BE7605" w:rsidP="00BE7605">
            <w:pPr>
              <w:numPr>
                <w:ilvl w:val="1"/>
                <w:numId w:val="0"/>
              </w:numPr>
              <w:tabs>
                <w:tab w:val="num" w:pos="981"/>
              </w:tabs>
              <w:spacing w:after="120" w:line="240" w:lineRule="auto"/>
              <w:ind w:left="981" w:hanging="261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Cause partial loss or intermittent disruption to one significant business system/service/process where Customers and/or End Users are </w:t>
            </w:r>
            <w:proofErr w:type="gramStart"/>
            <w:r w:rsidRPr="00BE7605">
              <w:rPr>
                <w:rFonts w:ascii="Arial" w:eastAsia="Calibri" w:hAnsi="Arial" w:cs="Arial"/>
                <w:sz w:val="22"/>
              </w:rPr>
              <w:t>affected;</w:t>
            </w:r>
            <w:proofErr w:type="gramEnd"/>
            <w:r w:rsidRPr="00BE7605">
              <w:rPr>
                <w:rFonts w:ascii="Arial" w:eastAsia="Calibri" w:hAnsi="Arial" w:cs="Arial"/>
                <w:sz w:val="22"/>
              </w:rPr>
              <w:t xml:space="preserve"> or</w:t>
            </w:r>
          </w:p>
          <w:p w14:paraId="206B3D79" w14:textId="77777777" w:rsidR="00BE7605" w:rsidRPr="00BE7605" w:rsidRDefault="00BE7605" w:rsidP="00BE7605">
            <w:pPr>
              <w:numPr>
                <w:ilvl w:val="1"/>
                <w:numId w:val="0"/>
              </w:numPr>
              <w:tabs>
                <w:tab w:val="num" w:pos="981"/>
              </w:tabs>
              <w:spacing w:after="120" w:line="240" w:lineRule="auto"/>
              <w:ind w:left="981" w:hanging="261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Cause partial loss or intermittent disruption to one or more non-critical business system/service/process; or</w:t>
            </w:r>
          </w:p>
          <w:p w14:paraId="4D220AB8" w14:textId="77777777" w:rsidR="00BE7605" w:rsidRPr="00BE7605" w:rsidRDefault="00BE7605" w:rsidP="00BE7605">
            <w:pPr>
              <w:numPr>
                <w:ilvl w:val="1"/>
                <w:numId w:val="0"/>
              </w:numPr>
              <w:tabs>
                <w:tab w:val="num" w:pos="981"/>
              </w:tabs>
              <w:spacing w:after="120" w:line="240" w:lineRule="auto"/>
              <w:ind w:left="981" w:hanging="261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Have a major (but not critical) adverse impact on the activities of the Authority and no workaround acceptable to the Authority is available; or</w:t>
            </w:r>
          </w:p>
          <w:p w14:paraId="2E0224CA" w14:textId="77777777" w:rsidR="00BE7605" w:rsidRPr="00BE7605" w:rsidRDefault="00BE7605" w:rsidP="00BE7605">
            <w:pPr>
              <w:numPr>
                <w:ilvl w:val="1"/>
                <w:numId w:val="0"/>
              </w:numPr>
              <w:tabs>
                <w:tab w:val="num" w:pos="981"/>
              </w:tabs>
              <w:spacing w:line="240" w:lineRule="auto"/>
              <w:ind w:left="981" w:hanging="261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Cause a financial loss and/or disruption to the Director or a Relevant Third Party which is more than trivial but less severe than the significant </w:t>
            </w:r>
            <w:r w:rsidRPr="00BE7605">
              <w:rPr>
                <w:rFonts w:ascii="Arial" w:eastAsia="Calibri" w:hAnsi="Arial" w:cs="Arial"/>
                <w:sz w:val="22"/>
              </w:rPr>
              <w:lastRenderedPageBreak/>
              <w:t>financial loss described in the definition of a P1 Incident.</w:t>
            </w:r>
          </w:p>
          <w:p w14:paraId="234A1B19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2" w:type="dxa"/>
          </w:tcPr>
          <w:p w14:paraId="193A8D43" w14:textId="685E7EF1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 xml:space="preserve">Responded </w:t>
            </w:r>
            <w:proofErr w:type="gramStart"/>
            <w:r>
              <w:rPr>
                <w:rFonts w:ascii="Arial" w:eastAsia="Calibri" w:hAnsi="Arial" w:cs="Arial"/>
                <w:sz w:val="22"/>
              </w:rPr>
              <w:t>to:</w:t>
            </w:r>
            <w:proofErr w:type="gramEnd"/>
            <w:r w:rsidR="00835A37">
              <w:rPr>
                <w:rFonts w:ascii="Arial" w:eastAsia="Calibri" w:hAnsi="Arial" w:cs="Arial"/>
                <w:sz w:val="22"/>
              </w:rPr>
              <w:t xml:space="preserve"> 4 hours</w:t>
            </w:r>
          </w:p>
          <w:p w14:paraId="7649FC48" w14:textId="77777777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  <w:p w14:paraId="3B8C62C8" w14:textId="33417456" w:rsidR="00BE7605" w:rsidRPr="00BE7605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Resolved:</w:t>
            </w:r>
            <w:r w:rsidR="00835A37">
              <w:rPr>
                <w:rFonts w:ascii="Arial" w:eastAsia="Calibri" w:hAnsi="Arial" w:cs="Arial"/>
                <w:sz w:val="22"/>
              </w:rPr>
              <w:t xml:space="preserve"> 8 hours</w:t>
            </w:r>
          </w:p>
        </w:tc>
      </w:tr>
      <w:tr w:rsidR="00BE7605" w:rsidRPr="00BE7605" w14:paraId="639E2872" w14:textId="0D95E4DB" w:rsidTr="00BE7605">
        <w:tc>
          <w:tcPr>
            <w:tcW w:w="1129" w:type="dxa"/>
          </w:tcPr>
          <w:p w14:paraId="72DDA8D5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3 (“P3”)</w:t>
            </w:r>
          </w:p>
        </w:tc>
        <w:tc>
          <w:tcPr>
            <w:tcW w:w="993" w:type="dxa"/>
            <w:shd w:val="clear" w:color="auto" w:fill="FFFF00"/>
          </w:tcPr>
          <w:p w14:paraId="3CA2E280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Normal</w:t>
            </w:r>
          </w:p>
        </w:tc>
        <w:tc>
          <w:tcPr>
            <w:tcW w:w="5811" w:type="dxa"/>
          </w:tcPr>
          <w:p w14:paraId="4FD80A5D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A fault exists that results in a partial loss of service or functionality with no immediate business impact or services can continue to be offered via a different channel.</w:t>
            </w:r>
          </w:p>
          <w:p w14:paraId="2E125EAA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May include an Incident which, in the reasonable opinion of the Authority:</w:t>
            </w:r>
          </w:p>
          <w:p w14:paraId="11C6612C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  <w:p w14:paraId="028A9E6B" w14:textId="77777777" w:rsidR="00BE7605" w:rsidRPr="00BE7605" w:rsidRDefault="00BE7605" w:rsidP="00BE7605">
            <w:pPr>
              <w:numPr>
                <w:ilvl w:val="1"/>
                <w:numId w:val="1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Cause partial loss or intermittent disruption to one or more non-critical business system/service/process </w:t>
            </w:r>
            <w:proofErr w:type="gramStart"/>
            <w:r w:rsidRPr="00BE7605">
              <w:rPr>
                <w:rFonts w:ascii="Arial" w:eastAsia="Calibri" w:hAnsi="Arial" w:cs="Arial"/>
                <w:sz w:val="22"/>
              </w:rPr>
              <w:t>which;</w:t>
            </w:r>
            <w:proofErr w:type="gramEnd"/>
          </w:p>
          <w:p w14:paraId="1AEC22A6" w14:textId="77777777" w:rsidR="00BE7605" w:rsidRPr="00BE7605" w:rsidRDefault="00BE7605" w:rsidP="00BE7605">
            <w:pPr>
              <w:numPr>
                <w:ilvl w:val="1"/>
                <w:numId w:val="1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have a major adverse impact on the activities of the Authority which can be reduced to a moderate adverse impact due to the availability of a workaround acceptable to the Authority; or</w:t>
            </w:r>
          </w:p>
          <w:p w14:paraId="6FFA017C" w14:textId="77777777" w:rsidR="00BE7605" w:rsidRPr="00BE7605" w:rsidRDefault="00BE7605" w:rsidP="00BE7605">
            <w:pPr>
              <w:numPr>
                <w:ilvl w:val="1"/>
                <w:numId w:val="10"/>
              </w:numPr>
              <w:spacing w:after="160" w:line="24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have a moderate adverse impact on the activities of the Authority.</w:t>
            </w:r>
          </w:p>
          <w:p w14:paraId="6517F851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2" w:type="dxa"/>
          </w:tcPr>
          <w:p w14:paraId="21C8BA4E" w14:textId="11F2A597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Responded </w:t>
            </w:r>
            <w:proofErr w:type="gramStart"/>
            <w:r>
              <w:rPr>
                <w:rFonts w:ascii="Arial" w:eastAsia="Calibri" w:hAnsi="Arial" w:cs="Arial"/>
                <w:sz w:val="22"/>
              </w:rPr>
              <w:t>to:</w:t>
            </w:r>
            <w:proofErr w:type="gramEnd"/>
            <w:r w:rsidR="00835A37">
              <w:rPr>
                <w:rFonts w:ascii="Arial" w:eastAsia="Calibri" w:hAnsi="Arial" w:cs="Arial"/>
                <w:sz w:val="22"/>
              </w:rPr>
              <w:t xml:space="preserve"> 1 day</w:t>
            </w:r>
          </w:p>
          <w:p w14:paraId="2CA0149C" w14:textId="77777777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  <w:p w14:paraId="4A794D32" w14:textId="560683B9" w:rsidR="00BE7605" w:rsidRPr="00BE7605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Resolved:</w:t>
            </w:r>
            <w:r w:rsidR="00835A37">
              <w:rPr>
                <w:rFonts w:ascii="Arial" w:eastAsia="Calibri" w:hAnsi="Arial" w:cs="Arial"/>
                <w:sz w:val="22"/>
              </w:rPr>
              <w:t xml:space="preserve"> 2 days</w:t>
            </w:r>
          </w:p>
        </w:tc>
      </w:tr>
      <w:tr w:rsidR="00BE7605" w:rsidRPr="00BE7605" w14:paraId="73F1506E" w14:textId="5D6C80BD" w:rsidTr="00BE7605">
        <w:tc>
          <w:tcPr>
            <w:tcW w:w="1129" w:type="dxa"/>
          </w:tcPr>
          <w:p w14:paraId="45828244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4 (“P4”)</w:t>
            </w:r>
          </w:p>
        </w:tc>
        <w:tc>
          <w:tcPr>
            <w:tcW w:w="993" w:type="dxa"/>
            <w:shd w:val="clear" w:color="auto" w:fill="92D050"/>
          </w:tcPr>
          <w:p w14:paraId="3ACC5746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Low</w:t>
            </w:r>
          </w:p>
        </w:tc>
        <w:tc>
          <w:tcPr>
            <w:tcW w:w="5811" w:type="dxa"/>
          </w:tcPr>
          <w:p w14:paraId="4C3CF9D6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An incident which, in the reasonable opinion of the Authority has the potential to:</w:t>
            </w:r>
          </w:p>
          <w:p w14:paraId="5A4965AD" w14:textId="77777777" w:rsidR="00BE7605" w:rsidRPr="00BE7605" w:rsidRDefault="00BE7605" w:rsidP="00BE7605">
            <w:pPr>
              <w:numPr>
                <w:ilvl w:val="0"/>
                <w:numId w:val="12"/>
              </w:numPr>
              <w:spacing w:after="120" w:line="240" w:lineRule="auto"/>
              <w:ind w:left="1440"/>
              <w:contextualSpacing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cause partial loss or intermittent disruption to a single, non-critical systems/service/process that does not impact Customers and/or Users; or</w:t>
            </w:r>
          </w:p>
          <w:p w14:paraId="4CCE7D02" w14:textId="77777777" w:rsidR="00BE7605" w:rsidRPr="00BE7605" w:rsidRDefault="00BE7605" w:rsidP="00BE7605">
            <w:pPr>
              <w:numPr>
                <w:ilvl w:val="0"/>
                <w:numId w:val="12"/>
              </w:numPr>
              <w:spacing w:after="120" w:line="240" w:lineRule="auto"/>
              <w:ind w:left="1440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 xml:space="preserve">have a minor adverse impact on the provision of the Services on third parties including a Relevant </w:t>
            </w:r>
            <w:proofErr w:type="gramStart"/>
            <w:r w:rsidRPr="00BE7605">
              <w:rPr>
                <w:rFonts w:ascii="Arial" w:eastAsia="Calibri" w:hAnsi="Arial" w:cs="Arial"/>
                <w:sz w:val="22"/>
              </w:rPr>
              <w:t>Third Party</w:t>
            </w:r>
            <w:proofErr w:type="gramEnd"/>
            <w:r w:rsidRPr="00BE7605">
              <w:rPr>
                <w:rFonts w:ascii="Arial" w:eastAsia="Calibri" w:hAnsi="Arial" w:cs="Arial"/>
                <w:sz w:val="22"/>
              </w:rPr>
              <w:t xml:space="preserve"> Supplier; or</w:t>
            </w:r>
          </w:p>
          <w:p w14:paraId="289E836E" w14:textId="77777777" w:rsidR="00BE7605" w:rsidRPr="00BE7605" w:rsidRDefault="00BE7605" w:rsidP="00BE7605">
            <w:pPr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an incident comprising a flaw which is cosmetic and as such does not undermine any Customer and/or User’s confidence in the information being displayed.</w:t>
            </w:r>
          </w:p>
          <w:p w14:paraId="6424D44C" w14:textId="77777777" w:rsidR="00BE7605" w:rsidRPr="00BE7605" w:rsidRDefault="00BE7605" w:rsidP="00BE7605">
            <w:pPr>
              <w:spacing w:after="0" w:line="259" w:lineRule="auto"/>
              <w:ind w:left="720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2" w:type="dxa"/>
          </w:tcPr>
          <w:p w14:paraId="310C723E" w14:textId="3B86392B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Responded </w:t>
            </w:r>
            <w:proofErr w:type="gramStart"/>
            <w:r>
              <w:rPr>
                <w:rFonts w:ascii="Arial" w:eastAsia="Calibri" w:hAnsi="Arial" w:cs="Arial"/>
                <w:sz w:val="22"/>
              </w:rPr>
              <w:t>to:</w:t>
            </w:r>
            <w:proofErr w:type="gramEnd"/>
            <w:r w:rsidR="00B12C91">
              <w:rPr>
                <w:rFonts w:ascii="Arial" w:eastAsia="Calibri" w:hAnsi="Arial" w:cs="Arial"/>
                <w:sz w:val="22"/>
              </w:rPr>
              <w:t xml:space="preserve"> 2 days</w:t>
            </w:r>
          </w:p>
          <w:p w14:paraId="458790FC" w14:textId="77777777" w:rsidR="00B741AF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  <w:p w14:paraId="2693B1E5" w14:textId="6FDE489E" w:rsidR="00BE7605" w:rsidRPr="00BE7605" w:rsidRDefault="00B741AF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Resolved:</w:t>
            </w:r>
            <w:r w:rsidR="00B12C91">
              <w:rPr>
                <w:rFonts w:ascii="Arial" w:eastAsia="Calibri" w:hAnsi="Arial" w:cs="Arial"/>
                <w:sz w:val="22"/>
              </w:rPr>
              <w:t xml:space="preserve"> 4 days</w:t>
            </w:r>
          </w:p>
        </w:tc>
      </w:tr>
      <w:tr w:rsidR="00BE7605" w:rsidRPr="00BE7605" w14:paraId="13B5182B" w14:textId="10CA28B4" w:rsidTr="00BE7605">
        <w:tc>
          <w:tcPr>
            <w:tcW w:w="1129" w:type="dxa"/>
          </w:tcPr>
          <w:p w14:paraId="0BA79096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</w:rPr>
            </w:pPr>
            <w:r w:rsidRPr="00BE7605">
              <w:rPr>
                <w:rFonts w:ascii="Arial" w:eastAsia="Calibri" w:hAnsi="Arial" w:cs="Arial"/>
                <w:b/>
                <w:sz w:val="22"/>
              </w:rPr>
              <w:t>5 (“P5”)</w:t>
            </w:r>
          </w:p>
        </w:tc>
        <w:tc>
          <w:tcPr>
            <w:tcW w:w="993" w:type="dxa"/>
            <w:shd w:val="clear" w:color="auto" w:fill="92D050"/>
          </w:tcPr>
          <w:p w14:paraId="36629173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Low</w:t>
            </w:r>
          </w:p>
        </w:tc>
        <w:tc>
          <w:tcPr>
            <w:tcW w:w="5811" w:type="dxa"/>
          </w:tcPr>
          <w:p w14:paraId="7E72C323" w14:textId="77777777" w:rsidR="00BE7605" w:rsidRPr="00BE7605" w:rsidRDefault="00BE7605" w:rsidP="00BE7605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  <w:r w:rsidRPr="00BE7605">
              <w:rPr>
                <w:rFonts w:ascii="Arial" w:eastAsia="Calibri" w:hAnsi="Arial" w:cs="Arial"/>
                <w:sz w:val="22"/>
              </w:rPr>
              <w:t>General enquiry</w:t>
            </w:r>
          </w:p>
        </w:tc>
        <w:tc>
          <w:tcPr>
            <w:tcW w:w="2552" w:type="dxa"/>
          </w:tcPr>
          <w:p w14:paraId="368835C4" w14:textId="54E0167C" w:rsidR="00BE7605" w:rsidRPr="00BE7605" w:rsidRDefault="00BE7605" w:rsidP="00B741AF">
            <w:pPr>
              <w:spacing w:after="160" w:line="259" w:lineRule="auto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0C950C6B" w14:textId="77777777" w:rsidR="00DB267B" w:rsidRPr="005441E3" w:rsidRDefault="00DB267B" w:rsidP="005441E3">
      <w:pPr>
        <w:pStyle w:val="BodyText"/>
      </w:pPr>
    </w:p>
    <w:sectPr w:rsidR="00DB267B" w:rsidRPr="005441E3" w:rsidSect="00A16D2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62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5B1B" w14:textId="77777777" w:rsidR="00F23CB7" w:rsidRDefault="00F23CB7" w:rsidP="00B91315">
      <w:pPr>
        <w:spacing w:after="0" w:line="240" w:lineRule="auto"/>
      </w:pPr>
      <w:r>
        <w:separator/>
      </w:r>
    </w:p>
  </w:endnote>
  <w:endnote w:type="continuationSeparator" w:id="0">
    <w:p w14:paraId="7604C2AA" w14:textId="77777777" w:rsidR="00F23CB7" w:rsidRDefault="00F23CB7" w:rsidP="00B91315">
      <w:pPr>
        <w:spacing w:after="0" w:line="240" w:lineRule="auto"/>
      </w:pPr>
      <w:r>
        <w:continuationSeparator/>
      </w:r>
    </w:p>
  </w:endnote>
  <w:endnote w:type="continuationNotice" w:id="1">
    <w:p w14:paraId="174EEA9B" w14:textId="77777777" w:rsidR="00F23CB7" w:rsidRDefault="00F23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3162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9CFF9C" w14:textId="77777777" w:rsidR="001A5673" w:rsidRDefault="001A5673" w:rsidP="001A5673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Cs w:val="24"/>
              </w:rPr>
              <w:fldChar w:fldCharType="end"/>
            </w:r>
          </w:p>
        </w:sdtContent>
      </w:sdt>
    </w:sdtContent>
  </w:sdt>
  <w:p w14:paraId="3106EE72" w14:textId="77777777" w:rsidR="009A1CE1" w:rsidRDefault="009A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DCE8" w14:textId="77777777" w:rsidR="002659E4" w:rsidRDefault="002659E4" w:rsidP="002659E4">
    <w:pPr>
      <w:pStyle w:val="Footer"/>
      <w:spacing w:befor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1257" w14:textId="77777777" w:rsidR="00F23CB7" w:rsidRDefault="00F23CB7" w:rsidP="00B91315">
      <w:pPr>
        <w:spacing w:after="0" w:line="240" w:lineRule="auto"/>
      </w:pPr>
      <w:r>
        <w:separator/>
      </w:r>
    </w:p>
  </w:footnote>
  <w:footnote w:type="continuationSeparator" w:id="0">
    <w:p w14:paraId="4FB4A335" w14:textId="77777777" w:rsidR="00F23CB7" w:rsidRDefault="00F23CB7" w:rsidP="00B91315">
      <w:pPr>
        <w:spacing w:after="0" w:line="240" w:lineRule="auto"/>
      </w:pPr>
      <w:r>
        <w:continuationSeparator/>
      </w:r>
    </w:p>
  </w:footnote>
  <w:footnote w:type="continuationNotice" w:id="1">
    <w:p w14:paraId="146CD598" w14:textId="77777777" w:rsidR="00F23CB7" w:rsidRDefault="00F23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13D4" w14:textId="1038B286" w:rsidR="009A1CE1" w:rsidRPr="009A1CE1" w:rsidRDefault="001A5673" w:rsidP="009A1C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62618" wp14:editId="268006CA">
          <wp:simplePos x="0" y="0"/>
          <wp:positionH relativeFrom="page">
            <wp:posOffset>-17032</wp:posOffset>
          </wp:positionH>
          <wp:positionV relativeFrom="page">
            <wp:posOffset>-8890</wp:posOffset>
          </wp:positionV>
          <wp:extent cx="7560360" cy="10692360"/>
          <wp:effectExtent l="0" t="0" r="254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60" cy="1069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258B">
      <w:rPr>
        <w:noProof/>
      </w:rPr>
      <w:drawing>
        <wp:anchor distT="0" distB="0" distL="114300" distR="114300" simplePos="0" relativeHeight="251658243" behindDoc="1" locked="0" layoutInCell="0" allowOverlap="1" wp14:anchorId="18914356" wp14:editId="17D0E674">
          <wp:simplePos x="0" y="0"/>
          <wp:positionH relativeFrom="page">
            <wp:posOffset>245755</wp:posOffset>
          </wp:positionH>
          <wp:positionV relativeFrom="page">
            <wp:posOffset>168978</wp:posOffset>
          </wp:positionV>
          <wp:extent cx="1331640" cy="1033920"/>
          <wp:effectExtent l="0" t="0" r="190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640" cy="103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1D1">
      <w:t>Screening and Assessment – Draft KPIs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AB06" w14:textId="77777777" w:rsidR="00F507D8" w:rsidRDefault="0028397F">
    <w:pPr>
      <w:pStyle w:val="Header"/>
    </w:pPr>
    <w:r w:rsidRPr="006D258B">
      <w:rPr>
        <w:noProof/>
      </w:rPr>
      <w:drawing>
        <wp:anchor distT="0" distB="0" distL="114300" distR="114300" simplePos="0" relativeHeight="251658242" behindDoc="1" locked="0" layoutInCell="0" allowOverlap="1" wp14:anchorId="4425AA0F" wp14:editId="73F9EAF2">
          <wp:simplePos x="0" y="0"/>
          <wp:positionH relativeFrom="page">
            <wp:posOffset>402590</wp:posOffset>
          </wp:positionH>
          <wp:positionV relativeFrom="page">
            <wp:posOffset>281940</wp:posOffset>
          </wp:positionV>
          <wp:extent cx="1331640" cy="1033920"/>
          <wp:effectExtent l="0" t="0" r="1905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640" cy="103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5B73C86" wp14:editId="7199CF32">
          <wp:simplePos x="723900" y="361950"/>
          <wp:positionH relativeFrom="page">
            <wp:align>left</wp:align>
          </wp:positionH>
          <wp:positionV relativeFrom="page">
            <wp:align>top</wp:align>
          </wp:positionV>
          <wp:extent cx="7560360" cy="1069236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60" cy="1069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30F6F8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00B1EB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5CCC8D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609D"/>
      </w:rPr>
    </w:lvl>
  </w:abstractNum>
  <w:abstractNum w:abstractNumId="3" w15:restartNumberingAfterBreak="0">
    <w:nsid w:val="3590146A"/>
    <w:multiLevelType w:val="multilevel"/>
    <w:tmpl w:val="2BEC590C"/>
    <w:lvl w:ilvl="0">
      <w:start w:val="1"/>
      <w:numFmt w:val="none"/>
      <w:pStyle w:val="BB-DefinitionLegal"/>
      <w:lvlText w:val="%1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pStyle w:val="BB-DefNumber1Legal"/>
      <w:lvlText w:val="(%2)"/>
      <w:lvlJc w:val="left"/>
      <w:pPr>
        <w:tabs>
          <w:tab w:val="num" w:pos="720"/>
        </w:tabs>
        <w:ind w:left="1418" w:hanging="69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BB-DefNumber2Legal"/>
      <w:lvlText w:val="(%3)"/>
      <w:lvlJc w:val="left"/>
      <w:pPr>
        <w:tabs>
          <w:tab w:val="num" w:pos="2058"/>
        </w:tabs>
        <w:ind w:left="2058" w:hanging="64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63E756E0"/>
    <w:multiLevelType w:val="multilevel"/>
    <w:tmpl w:val="E362C060"/>
    <w:lvl w:ilvl="0">
      <w:start w:val="1"/>
      <w:numFmt w:val="lowerLetter"/>
      <w:lvlText w:val="(%1)"/>
      <w:lvlJc w:val="left"/>
      <w:pPr>
        <w:ind w:left="720" w:hanging="720"/>
      </w:pPr>
      <w:rPr>
        <w:rFonts w:ascii="Arial" w:eastAsia="Arial" w:hAnsi="Arial" w:cs="Arial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418" w:hanging="698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58"/>
        </w:tabs>
        <w:ind w:left="2058" w:hanging="64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</w:lvl>
    <w:lvl w:ilvl="4">
      <w:start w:val="1"/>
      <w:numFmt w:val="none"/>
      <w:suff w:val="nothing"/>
      <w:lvlText w:val=""/>
      <w:lvlJc w:val="left"/>
      <w:pPr>
        <w:ind w:left="-32767" w:firstLine="0"/>
      </w:pPr>
    </w:lvl>
    <w:lvl w:ilvl="5">
      <w:start w:val="1"/>
      <w:numFmt w:val="none"/>
      <w:suff w:val="nothing"/>
      <w:lvlText w:val=""/>
      <w:lvlJc w:val="left"/>
      <w:pPr>
        <w:ind w:left="-32767" w:firstLine="0"/>
      </w:pPr>
    </w:lvl>
    <w:lvl w:ilvl="6">
      <w:start w:val="1"/>
      <w:numFmt w:val="none"/>
      <w:suff w:val="nothing"/>
      <w:lvlText w:val=""/>
      <w:lvlJc w:val="left"/>
      <w:pPr>
        <w:ind w:left="-32767" w:firstLine="0"/>
      </w:pPr>
    </w:lvl>
    <w:lvl w:ilvl="7">
      <w:start w:val="1"/>
      <w:numFmt w:val="none"/>
      <w:suff w:val="nothing"/>
      <w:lvlText w:val=""/>
      <w:lvlJc w:val="left"/>
      <w:pPr>
        <w:ind w:left="-32767" w:firstLine="0"/>
      </w:pPr>
    </w:lvl>
    <w:lvl w:ilvl="8">
      <w:start w:val="1"/>
      <w:numFmt w:val="none"/>
      <w:suff w:val="nothing"/>
      <w:lvlText w:val=""/>
      <w:lvlJc w:val="left"/>
      <w:pPr>
        <w:ind w:left="-32767" w:firstLine="0"/>
      </w:pPr>
    </w:lvl>
  </w:abstractNum>
  <w:num w:numId="1" w16cid:durableId="892080409">
    <w:abstractNumId w:val="2"/>
  </w:num>
  <w:num w:numId="2" w16cid:durableId="1035233331">
    <w:abstractNumId w:val="0"/>
  </w:num>
  <w:num w:numId="3" w16cid:durableId="936132465">
    <w:abstractNumId w:val="1"/>
  </w:num>
  <w:num w:numId="4" w16cid:durableId="1988170407">
    <w:abstractNumId w:val="2"/>
    <w:lvlOverride w:ilvl="0">
      <w:startOverride w:val="1"/>
    </w:lvlOverride>
  </w:num>
  <w:num w:numId="5" w16cid:durableId="208230757">
    <w:abstractNumId w:val="0"/>
    <w:lvlOverride w:ilvl="0">
      <w:startOverride w:val="1"/>
    </w:lvlOverride>
  </w:num>
  <w:num w:numId="6" w16cid:durableId="369309626">
    <w:abstractNumId w:val="2"/>
  </w:num>
  <w:num w:numId="7" w16cid:durableId="1161000914">
    <w:abstractNumId w:val="1"/>
    <w:lvlOverride w:ilvl="0">
      <w:startOverride w:val="1"/>
    </w:lvlOverride>
  </w:num>
  <w:num w:numId="8" w16cid:durableId="1857040979">
    <w:abstractNumId w:val="0"/>
  </w:num>
  <w:num w:numId="9" w16cid:durableId="2100564744">
    <w:abstractNumId w:val="3"/>
  </w:num>
  <w:num w:numId="10" w16cid:durableId="194079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437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56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5E"/>
    <w:rsid w:val="00010A72"/>
    <w:rsid w:val="00022442"/>
    <w:rsid w:val="00023062"/>
    <w:rsid w:val="00034A17"/>
    <w:rsid w:val="00034CD5"/>
    <w:rsid w:val="00043C18"/>
    <w:rsid w:val="00090E40"/>
    <w:rsid w:val="000B26E1"/>
    <w:rsid w:val="000E49BB"/>
    <w:rsid w:val="00173455"/>
    <w:rsid w:val="00175D09"/>
    <w:rsid w:val="001767EA"/>
    <w:rsid w:val="001A5673"/>
    <w:rsid w:val="001A71CD"/>
    <w:rsid w:val="001E6986"/>
    <w:rsid w:val="0022576D"/>
    <w:rsid w:val="00240F37"/>
    <w:rsid w:val="002659E4"/>
    <w:rsid w:val="00276E75"/>
    <w:rsid w:val="0028397F"/>
    <w:rsid w:val="00293CEB"/>
    <w:rsid w:val="0029662F"/>
    <w:rsid w:val="002B591F"/>
    <w:rsid w:val="002F075A"/>
    <w:rsid w:val="003355F1"/>
    <w:rsid w:val="003433F1"/>
    <w:rsid w:val="003538C8"/>
    <w:rsid w:val="003727CF"/>
    <w:rsid w:val="003A2462"/>
    <w:rsid w:val="003B40B8"/>
    <w:rsid w:val="003D27AC"/>
    <w:rsid w:val="00413FBF"/>
    <w:rsid w:val="00445D30"/>
    <w:rsid w:val="00446DDB"/>
    <w:rsid w:val="00470FBB"/>
    <w:rsid w:val="00480622"/>
    <w:rsid w:val="004A7CE3"/>
    <w:rsid w:val="004B5695"/>
    <w:rsid w:val="004E13F1"/>
    <w:rsid w:val="004E5B92"/>
    <w:rsid w:val="005224D2"/>
    <w:rsid w:val="0052276D"/>
    <w:rsid w:val="00526855"/>
    <w:rsid w:val="005441E3"/>
    <w:rsid w:val="00545B6C"/>
    <w:rsid w:val="00557076"/>
    <w:rsid w:val="00586E1A"/>
    <w:rsid w:val="0059386A"/>
    <w:rsid w:val="005A7A19"/>
    <w:rsid w:val="005C78A0"/>
    <w:rsid w:val="005D71AE"/>
    <w:rsid w:val="005E51D0"/>
    <w:rsid w:val="005F746C"/>
    <w:rsid w:val="0062433C"/>
    <w:rsid w:val="00655E61"/>
    <w:rsid w:val="006B52DB"/>
    <w:rsid w:val="006E27D9"/>
    <w:rsid w:val="006E3AB9"/>
    <w:rsid w:val="00733955"/>
    <w:rsid w:val="007A4C77"/>
    <w:rsid w:val="007C7266"/>
    <w:rsid w:val="007E4317"/>
    <w:rsid w:val="007E5CB1"/>
    <w:rsid w:val="007E6856"/>
    <w:rsid w:val="007F168D"/>
    <w:rsid w:val="008114F6"/>
    <w:rsid w:val="00835A37"/>
    <w:rsid w:val="00842E0F"/>
    <w:rsid w:val="008623EE"/>
    <w:rsid w:val="008B2C35"/>
    <w:rsid w:val="008C1FF3"/>
    <w:rsid w:val="008C396D"/>
    <w:rsid w:val="008E21D1"/>
    <w:rsid w:val="008F58EE"/>
    <w:rsid w:val="00916276"/>
    <w:rsid w:val="009179CD"/>
    <w:rsid w:val="00927DA5"/>
    <w:rsid w:val="00932F7F"/>
    <w:rsid w:val="00951693"/>
    <w:rsid w:val="009554C1"/>
    <w:rsid w:val="009567A7"/>
    <w:rsid w:val="00990242"/>
    <w:rsid w:val="009A1CE1"/>
    <w:rsid w:val="009A3E55"/>
    <w:rsid w:val="009D4784"/>
    <w:rsid w:val="00A055B9"/>
    <w:rsid w:val="00A16D2C"/>
    <w:rsid w:val="00A20D44"/>
    <w:rsid w:val="00A30D80"/>
    <w:rsid w:val="00A57C80"/>
    <w:rsid w:val="00A66390"/>
    <w:rsid w:val="00A71F6A"/>
    <w:rsid w:val="00AC6247"/>
    <w:rsid w:val="00AD05F3"/>
    <w:rsid w:val="00AD52C7"/>
    <w:rsid w:val="00AE4DF7"/>
    <w:rsid w:val="00AE75EE"/>
    <w:rsid w:val="00AF1927"/>
    <w:rsid w:val="00AF3858"/>
    <w:rsid w:val="00B12C91"/>
    <w:rsid w:val="00B265EF"/>
    <w:rsid w:val="00B330E1"/>
    <w:rsid w:val="00B4736D"/>
    <w:rsid w:val="00B741AF"/>
    <w:rsid w:val="00B91315"/>
    <w:rsid w:val="00BA679C"/>
    <w:rsid w:val="00BA7A24"/>
    <w:rsid w:val="00BC0505"/>
    <w:rsid w:val="00BC4DBC"/>
    <w:rsid w:val="00BE7605"/>
    <w:rsid w:val="00BF23EA"/>
    <w:rsid w:val="00C038B9"/>
    <w:rsid w:val="00C100D3"/>
    <w:rsid w:val="00C83EDA"/>
    <w:rsid w:val="00CA2EE7"/>
    <w:rsid w:val="00CB748E"/>
    <w:rsid w:val="00CC615E"/>
    <w:rsid w:val="00CD61D6"/>
    <w:rsid w:val="00CE3BA3"/>
    <w:rsid w:val="00D106D9"/>
    <w:rsid w:val="00D10750"/>
    <w:rsid w:val="00D50660"/>
    <w:rsid w:val="00D55A79"/>
    <w:rsid w:val="00DA3588"/>
    <w:rsid w:val="00DB267B"/>
    <w:rsid w:val="00DC08E8"/>
    <w:rsid w:val="00DC515C"/>
    <w:rsid w:val="00DF0FF3"/>
    <w:rsid w:val="00DF476A"/>
    <w:rsid w:val="00DF658D"/>
    <w:rsid w:val="00E25BAF"/>
    <w:rsid w:val="00E4123E"/>
    <w:rsid w:val="00E850B0"/>
    <w:rsid w:val="00EB0886"/>
    <w:rsid w:val="00EE1A24"/>
    <w:rsid w:val="00EF6915"/>
    <w:rsid w:val="00F23CB7"/>
    <w:rsid w:val="00F42286"/>
    <w:rsid w:val="00F507D8"/>
    <w:rsid w:val="00F6533F"/>
    <w:rsid w:val="00F65677"/>
    <w:rsid w:val="00F800A0"/>
    <w:rsid w:val="00F96EE9"/>
    <w:rsid w:val="00FE63C4"/>
    <w:rsid w:val="00FF4EC9"/>
    <w:rsid w:val="60921BFD"/>
    <w:rsid w:val="7CE4C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5A46"/>
  <w15:chartTrackingRefBased/>
  <w15:docId w15:val="{D0737A8A-86FA-453D-984D-26BFD5A4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3" w:qFormat="1"/>
    <w:lsdException w:name="annotation text" w:semiHidden="1"/>
    <w:lsdException w:name="head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3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5F746C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autoRedefine/>
    <w:qFormat/>
    <w:rsid w:val="00B330E1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1D609D" w:themeColor="accent1"/>
      <w:sz w:val="32"/>
      <w:szCs w:val="32"/>
    </w:rPr>
  </w:style>
  <w:style w:type="paragraph" w:styleId="Heading2">
    <w:name w:val="heading 2"/>
    <w:next w:val="BodyText"/>
    <w:link w:val="Heading2Char"/>
    <w:autoRedefine/>
    <w:qFormat/>
    <w:rsid w:val="00A57C80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color w:val="1D609D" w:themeColor="accent1"/>
      <w:sz w:val="28"/>
      <w:szCs w:val="26"/>
    </w:rPr>
  </w:style>
  <w:style w:type="paragraph" w:styleId="Heading3">
    <w:name w:val="heading 3"/>
    <w:next w:val="BodyText"/>
    <w:link w:val="Heading3Char"/>
    <w:qFormat/>
    <w:rsid w:val="009A3E55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color w:val="1D609D" w:themeColor="accent1"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qFormat/>
    <w:rsid w:val="005F746C"/>
    <w:pPr>
      <w:spacing w:before="294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5F746C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qFormat/>
    <w:rsid w:val="009A3E55"/>
    <w:pPr>
      <w:numPr>
        <w:ilvl w:val="1"/>
      </w:numPr>
      <w:spacing w:after="0" w:line="240" w:lineRule="auto"/>
      <w:contextualSpacing/>
      <w:outlineLvl w:val="1"/>
    </w:pPr>
    <w:rPr>
      <w:rFonts w:eastAsiaTheme="minorEastAsia"/>
      <w:b/>
      <w:color w:val="1D609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8"/>
    <w:rsid w:val="009A3E55"/>
    <w:rPr>
      <w:rFonts w:eastAsiaTheme="minorEastAsia"/>
      <w:b/>
      <w:color w:val="1D609D" w:themeColor="accent1"/>
      <w:sz w:val="24"/>
    </w:rPr>
  </w:style>
  <w:style w:type="character" w:styleId="FollowedHyperlink">
    <w:name w:val="FollowedHyperlink"/>
    <w:uiPriority w:val="8"/>
    <w:unhideWhenUsed/>
    <w:rsid w:val="00D50660"/>
    <w:rPr>
      <w:color w:val="00B1E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330E1"/>
    <w:rPr>
      <w:rFonts w:asciiTheme="majorHAnsi" w:eastAsiaTheme="majorEastAsia" w:hAnsiTheme="majorHAnsi" w:cstheme="majorBidi"/>
      <w:b/>
      <w:color w:val="1D609D" w:themeColor="accent1"/>
      <w:sz w:val="32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A57C80"/>
    <w:rPr>
      <w:rFonts w:asciiTheme="majorHAnsi" w:eastAsiaTheme="majorEastAsia" w:hAnsiTheme="majorHAnsi" w:cstheme="majorBidi"/>
      <w:b/>
      <w:color w:val="1D609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A3E55"/>
    <w:rPr>
      <w:rFonts w:asciiTheme="majorHAnsi" w:eastAsiaTheme="majorEastAsia" w:hAnsiTheme="majorHAnsi" w:cstheme="majorBidi"/>
      <w:b/>
      <w:color w:val="1D609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446DDB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446DDB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99"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990242"/>
    <w:rPr>
      <w:color w:val="00B1EB" w:themeColor="hyperlink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BA679C"/>
    <w:pPr>
      <w:keepNext/>
      <w:keepLines/>
      <w:pBdr>
        <w:top w:val="single" w:sz="48" w:space="6" w:color="F0FAFE"/>
        <w:left w:val="single" w:sz="48" w:space="4" w:color="F0FAFE"/>
        <w:bottom w:val="single" w:sz="48" w:space="6" w:color="F0FAFE"/>
        <w:right w:val="single" w:sz="48" w:space="4" w:color="F0FAFE"/>
      </w:pBdr>
      <w:shd w:val="clear" w:color="auto" w:fill="F0FAFE"/>
      <w:spacing w:before="240"/>
      <w:ind w:left="199"/>
    </w:pPr>
    <w:rPr>
      <w:b/>
      <w:color w:val="003057"/>
    </w:rPr>
  </w:style>
  <w:style w:type="paragraph" w:customStyle="1" w:styleId="EmphasisText">
    <w:name w:val="Emphasis Text"/>
    <w:basedOn w:val="BodyText"/>
    <w:uiPriority w:val="3"/>
    <w:qFormat/>
    <w:rsid w:val="00BA679C"/>
    <w:pPr>
      <w:keepLines/>
      <w:pBdr>
        <w:top w:val="single" w:sz="48" w:space="6" w:color="F0FAFE"/>
        <w:left w:val="single" w:sz="48" w:space="4" w:color="F0FAFE"/>
        <w:bottom w:val="single" w:sz="48" w:space="6" w:color="F0FAFE"/>
        <w:right w:val="single" w:sz="48" w:space="4" w:color="F0FAFE"/>
      </w:pBdr>
      <w:shd w:val="clear" w:color="auto" w:fill="F0FAFE"/>
      <w:ind w:left="199"/>
    </w:pPr>
    <w:rPr>
      <w:color w:val="003057"/>
    </w:rPr>
  </w:style>
  <w:style w:type="table" w:styleId="TableGrid">
    <w:name w:val="Table Grid"/>
    <w:basedOn w:val="TableNormal"/>
    <w:uiPriority w:val="39"/>
    <w:rsid w:val="00BA679C"/>
    <w:pPr>
      <w:spacing w:after="0" w:line="240" w:lineRule="auto"/>
    </w:pPr>
    <w:tblPr>
      <w:tblBorders>
        <w:top w:val="single" w:sz="4" w:space="0" w:color="1D609D" w:themeColor="accent1"/>
        <w:left w:val="single" w:sz="4" w:space="0" w:color="1D609D" w:themeColor="accent1"/>
        <w:bottom w:val="single" w:sz="4" w:space="0" w:color="1D609D" w:themeColor="accent1"/>
        <w:right w:val="single" w:sz="4" w:space="0" w:color="1D609D" w:themeColor="accent1"/>
        <w:insideH w:val="single" w:sz="4" w:space="0" w:color="1D609D" w:themeColor="accent1"/>
        <w:insideV w:val="single" w:sz="4" w:space="0" w:color="1D609D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auto"/>
      </w:rPr>
      <w:tblPr/>
      <w:tcPr>
        <w:tcBorders>
          <w:top w:val="single" w:sz="4" w:space="0" w:color="1D609D" w:themeColor="accent1"/>
          <w:left w:val="single" w:sz="4" w:space="0" w:color="1D609D" w:themeColor="accent1"/>
          <w:bottom w:val="single" w:sz="4" w:space="0" w:color="1D609D" w:themeColor="accent1"/>
          <w:right w:val="single" w:sz="4" w:space="0" w:color="1D609D" w:themeColor="accent1"/>
          <w:insideH w:val="single" w:sz="4" w:space="0" w:color="1D609D" w:themeColor="accent1"/>
          <w:insideV w:val="single" w:sz="4" w:space="0" w:color="1D609D" w:themeColor="accent1"/>
          <w:tl2br w:val="nil"/>
          <w:tr2bl w:val="nil"/>
        </w:tcBorders>
        <w:shd w:val="clear" w:color="auto" w:fill="F0FAFE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rsid w:val="005A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7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7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4D2"/>
    <w:pPr>
      <w:spacing w:after="0" w:line="240" w:lineRule="auto"/>
    </w:pPr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BE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DefinitionLegal">
    <w:name w:val="BB-Definition(Legal)"/>
    <w:uiPriority w:val="99"/>
    <w:rsid w:val="00BE7605"/>
    <w:pPr>
      <w:numPr>
        <w:numId w:val="9"/>
      </w:numPr>
      <w:tabs>
        <w:tab w:val="left" w:pos="720"/>
      </w:tabs>
      <w:spacing w:after="24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BB-DefNumber1Legal">
    <w:name w:val="BB-DefNumber1(Legal)"/>
    <w:uiPriority w:val="99"/>
    <w:rsid w:val="00BE7605"/>
    <w:pPr>
      <w:numPr>
        <w:ilvl w:val="1"/>
        <w:numId w:val="9"/>
      </w:numPr>
      <w:spacing w:after="24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BB-DefNumber2Legal">
    <w:name w:val="BB-DefNumber2(Legal)"/>
    <w:uiPriority w:val="99"/>
    <w:rsid w:val="00BE7605"/>
    <w:pPr>
      <w:numPr>
        <w:ilvl w:val="2"/>
        <w:numId w:val="9"/>
      </w:num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Mention">
    <w:name w:val="Mention"/>
    <w:basedOn w:val="DefaultParagraphFont"/>
    <w:uiPriority w:val="99"/>
    <w:semiHidden/>
    <w:rsid w:val="002B59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u85o\Documents\Custom%20Office%20Templates\My%20Template.dotx" TargetMode="External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792e9-f58d-4d01-8203-4ccaf8538dcb" xsi:nil="true"/>
    <lcf76f155ced4ddcb4097134ff3c332f xmlns="5b580ef4-6ac5-4788-bd3e-9ef9226dfb1d">
      <Terms xmlns="http://schemas.microsoft.com/office/infopath/2007/PartnerControls"/>
    </lcf76f155ced4ddcb4097134ff3c332f>
    <SharedWithUsers xmlns="3d4792e9-f58d-4d01-8203-4ccaf8538dcb">
      <UserInfo>
        <DisplayName>Hawes, Rebecca</DisplayName>
        <AccountId>667</AccountId>
        <AccountType/>
      </UserInfo>
      <UserInfo>
        <DisplayName>Courtney, Elaine</DisplayName>
        <AccountId>476</AccountId>
        <AccountType/>
      </UserInfo>
      <UserInfo>
        <DisplayName>Martin, Lisa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21C5DABC701449FF953334FFD787B" ma:contentTypeVersion="16" ma:contentTypeDescription="Create a new document." ma:contentTypeScope="" ma:versionID="584f797c364a1ad758fe3d19c54a393c">
  <xsd:schema xmlns:xsd="http://www.w3.org/2001/XMLSchema" xmlns:xs="http://www.w3.org/2001/XMLSchema" xmlns:p="http://schemas.microsoft.com/office/2006/metadata/properties" xmlns:ns2="5b580ef4-6ac5-4788-bd3e-9ef9226dfb1d" xmlns:ns3="3d4792e9-f58d-4d01-8203-4ccaf8538dcb" targetNamespace="http://schemas.microsoft.com/office/2006/metadata/properties" ma:root="true" ma:fieldsID="7d5ce5861e36b463ba8bda74ed68fd47" ns2:_="" ns3:_="">
    <xsd:import namespace="5b580ef4-6ac5-4788-bd3e-9ef9226dfb1d"/>
    <xsd:import namespace="3d4792e9-f58d-4d01-8203-4ccaf853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0ef4-6ac5-4788-bd3e-9ef9226df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92e9-f58d-4d01-8203-4ccaf8538d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d79ebc-46c1-48b6-9c1a-2afe884cf4c2}" ma:internalName="TaxCatchAll" ma:showField="CatchAllData" ma:web="3d4792e9-f58d-4d01-8203-4ccaf853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EB441-8E69-47A5-9335-F364EE124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19534-9325-43BC-B74F-B9339B008E27}">
  <ds:schemaRefs>
    <ds:schemaRef ds:uri="http://schemas.microsoft.com/office/2006/metadata/properties"/>
    <ds:schemaRef ds:uri="http://schemas.microsoft.com/office/infopath/2007/PartnerControls"/>
    <ds:schemaRef ds:uri="3d4792e9-f58d-4d01-8203-4ccaf8538dcb"/>
    <ds:schemaRef ds:uri="5b580ef4-6ac5-4788-bd3e-9ef9226dfb1d"/>
  </ds:schemaRefs>
</ds:datastoreItem>
</file>

<file path=customXml/itemProps3.xml><?xml version="1.0" encoding="utf-8"?>
<ds:datastoreItem xmlns:ds="http://schemas.openxmlformats.org/officeDocument/2006/customXml" ds:itemID="{84A91EF7-E8C1-406A-AEF3-4A39FA8E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80ef4-6ac5-4788-bd3e-9ef9226dfb1d"/>
    <ds:schemaRef ds:uri="3d4792e9-f58d-4d01-8203-4ccaf853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38105-4A3D-42B8-A20D-F521EC339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Template.dotx</Template>
  <TotalTime>1066</TotalTime>
  <Pages>3</Pages>
  <Words>531</Words>
  <Characters>3028</Characters>
  <Application>Microsoft Office Word</Application>
  <DocSecurity>0</DocSecurity>
  <Lines>25</Lines>
  <Paragraphs>7</Paragraphs>
  <ScaleCrop>false</ScaleCrop>
  <Manager>Ministry of Justice</Manager>
  <Company>Ministry of Justice</Company>
  <LinksUpToDate>false</LinksUpToDate>
  <CharactersWithSpaces>3552</CharactersWithSpaces>
  <SharedDoc>false</SharedDoc>
  <HLinks>
    <vt:vector size="6" baseType="variant">
      <vt:variant>
        <vt:i4>65569</vt:i4>
      </vt:variant>
      <vt:variant>
        <vt:i4>0</vt:i4>
      </vt:variant>
      <vt:variant>
        <vt:i4>0</vt:i4>
      </vt:variant>
      <vt:variant>
        <vt:i4>5</vt:i4>
      </vt:variant>
      <vt:variant>
        <vt:lpwstr>mailto:Andy.Woodley@justice.gov.uk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Henderson, Kittie</dc:creator>
  <cp:keywords>[Key words for search engines, separated by commas]</cp:keywords>
  <dc:description/>
  <cp:lastModifiedBy>Henderson, Kit</cp:lastModifiedBy>
  <cp:revision>49</cp:revision>
  <dcterms:created xsi:type="dcterms:W3CDTF">2024-05-09T13:49:00Z</dcterms:created>
  <dcterms:modified xsi:type="dcterms:W3CDTF">2024-05-22T10:11:00Z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0x010100EC521C5DABC701449FF953334FFD787B</vt:lpwstr>
  </property>
  <property fmtid="{D5CDD505-2E9C-101B-9397-08002B2CF9AE}" pid="3" name="MediaServiceImageTags">
    <vt:lpwstr/>
  </property>
</Properties>
</file>