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69" w:rsidRDefault="002D243C">
      <w:pPr>
        <w:pStyle w:val="Heading1"/>
      </w:pPr>
      <w:bookmarkStart w:id="0" w:name="_v5vn1sjsv9j"/>
      <w:bookmarkEnd w:id="0"/>
      <w:r>
        <w:t>Call-Off Schedule 14 (Service Levels)</w:t>
      </w:r>
    </w:p>
    <w:p w:rsidR="00091869" w:rsidRDefault="002D243C">
      <w:pPr>
        <w:pStyle w:val="Standard"/>
        <w:numPr>
          <w:ilvl w:val="0"/>
          <w:numId w:val="4"/>
        </w:numPr>
        <w:tabs>
          <w:tab w:val="left" w:pos="-2738"/>
        </w:tabs>
        <w:spacing w:before="240" w:after="120" w:line="240" w:lineRule="auto"/>
      </w:pPr>
      <w:r>
        <w:rPr>
          <w:rFonts w:ascii="Arial Bold" w:eastAsia="Arial Bold" w:hAnsi="Arial Bold" w:cs="Arial Bold"/>
          <w:b/>
          <w:color w:val="000000"/>
          <w:sz w:val="24"/>
          <w:szCs w:val="24"/>
        </w:rPr>
        <w:t>Definitions</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091869">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091869">
            <w:pPr>
              <w:pStyle w:val="Standard"/>
              <w:spacing w:after="120" w:line="240" w:lineRule="auto"/>
              <w:ind w:left="-108"/>
              <w:rPr>
                <w:rFonts w:ascii="Arial" w:eastAsia="Arial" w:hAnsi="Arial" w:cs="Arial"/>
                <w:b/>
                <w:color w:val="000000"/>
                <w:sz w:val="24"/>
                <w:szCs w:val="24"/>
              </w:rPr>
            </w:pPr>
          </w:p>
          <w:p w:rsidR="00091869" w:rsidRDefault="002D243C">
            <w:pPr>
              <w:pStyle w:val="Standard"/>
              <w:spacing w:after="120" w:line="240" w:lineRule="auto"/>
              <w:ind w:left="-108"/>
            </w:pPr>
            <w:r>
              <w:rPr>
                <w:rFonts w:ascii="Arial" w:eastAsia="Arial" w:hAnsi="Arial" w:cs="Arial"/>
                <w:b/>
                <w:color w:val="000000"/>
                <w:sz w:val="24"/>
                <w:szCs w:val="24"/>
              </w:rPr>
              <w:t>“Critical Service Level Failure”</w:t>
            </w:r>
          </w:p>
          <w:p w:rsidR="00091869" w:rsidRDefault="00091869">
            <w:pPr>
              <w:pStyle w:val="Standard"/>
              <w:spacing w:after="120" w:line="240" w:lineRule="auto"/>
              <w:ind w:left="-108"/>
              <w:rPr>
                <w:rFonts w:ascii="Arial" w:eastAsia="Arial" w:hAnsi="Arial" w:cs="Arial"/>
                <w:b/>
                <w:color w:val="000000"/>
                <w:sz w:val="24"/>
                <w:szCs w:val="24"/>
              </w:rPr>
            </w:pPr>
            <w:bookmarkStart w:id="1" w:name="_gjdgxs"/>
            <w:bookmarkEnd w:id="1"/>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091869">
            <w:pPr>
              <w:pStyle w:val="Standard"/>
              <w:tabs>
                <w:tab w:val="left" w:pos="-9"/>
                <w:tab w:val="left" w:pos="161"/>
              </w:tabs>
              <w:spacing w:after="120" w:line="240" w:lineRule="auto"/>
              <w:ind w:left="170" w:hanging="170"/>
              <w:rPr>
                <w:rFonts w:ascii="Arial" w:eastAsia="Arial" w:hAnsi="Arial" w:cs="Arial"/>
                <w:color w:val="000000"/>
                <w:sz w:val="24"/>
                <w:szCs w:val="24"/>
              </w:rPr>
            </w:pPr>
          </w:p>
          <w:p w:rsidR="00091869" w:rsidRDefault="002D243C">
            <w:pPr>
              <w:pStyle w:val="Standard"/>
              <w:tabs>
                <w:tab w:val="left" w:pos="-9"/>
                <w:tab w:val="left" w:pos="161"/>
              </w:tabs>
              <w:spacing w:after="120" w:line="240" w:lineRule="auto"/>
              <w:ind w:left="170" w:hanging="170"/>
            </w:pPr>
            <w:r>
              <w:rPr>
                <w:rFonts w:ascii="Arial" w:eastAsia="Arial" w:hAnsi="Arial" w:cs="Arial"/>
                <w:color w:val="000000"/>
                <w:sz w:val="24"/>
                <w:szCs w:val="24"/>
              </w:rPr>
              <w:t>has the meaning given to it in the Order Form;</w:t>
            </w:r>
          </w:p>
        </w:tc>
      </w:tr>
      <w:tr w:rsidR="00091869">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spacing w:after="120" w:line="240" w:lineRule="auto"/>
              <w:ind w:left="-108"/>
            </w:pPr>
            <w:r>
              <w:rPr>
                <w:rFonts w:ascii="Arial" w:eastAsia="Arial" w:hAnsi="Arial" w:cs="Arial"/>
                <w:b/>
                <w:color w:val="000000"/>
                <w:sz w:val="24"/>
                <w:szCs w:val="24"/>
              </w:rPr>
              <w:t>"Service Credits"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tabs>
                <w:tab w:val="left" w:pos="-179"/>
                <w:tab w:val="left" w:pos="-9"/>
              </w:tabs>
              <w:spacing w:after="120" w:line="240" w:lineRule="auto"/>
            </w:pPr>
            <w:r>
              <w:rPr>
                <w:rFonts w:ascii="Arial" w:eastAsia="Arial" w:hAnsi="Arial" w:cs="Arial"/>
                <w:color w:val="000000"/>
                <w:sz w:val="24"/>
                <w:szCs w:val="24"/>
              </w:rPr>
              <w:t>Not used</w:t>
            </w:r>
          </w:p>
        </w:tc>
      </w:tr>
      <w:tr w:rsidR="00091869">
        <w:trPr>
          <w:trHeight w:val="35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spacing w:after="120" w:line="240" w:lineRule="auto"/>
              <w:ind w:left="-108"/>
            </w:pPr>
            <w:r>
              <w:rPr>
                <w:rFonts w:ascii="Arial" w:eastAsia="Arial" w:hAnsi="Arial" w:cs="Arial"/>
                <w:b/>
                <w:color w:val="000000"/>
                <w:sz w:val="24"/>
                <w:szCs w:val="24"/>
              </w:rPr>
              <w:t>"Service Credit Cap"</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tabs>
                <w:tab w:val="left" w:pos="-179"/>
                <w:tab w:val="left" w:pos="-9"/>
              </w:tabs>
              <w:spacing w:after="120" w:line="240" w:lineRule="auto"/>
            </w:pPr>
            <w:r>
              <w:rPr>
                <w:rFonts w:ascii="Arial" w:eastAsia="Arial" w:hAnsi="Arial" w:cs="Arial"/>
                <w:color w:val="000000"/>
                <w:sz w:val="24"/>
                <w:szCs w:val="24"/>
              </w:rPr>
              <w:t>has the meaning given to it in the Order Form;</w:t>
            </w:r>
          </w:p>
        </w:tc>
      </w:tr>
      <w:tr w:rsidR="00091869">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spacing w:after="120" w:line="240" w:lineRule="auto"/>
              <w:ind w:left="-108"/>
            </w:pPr>
            <w:r>
              <w:rPr>
                <w:rFonts w:ascii="Arial" w:eastAsia="Arial" w:hAnsi="Arial" w:cs="Arial"/>
                <w:b/>
                <w:color w:val="000000"/>
                <w:sz w:val="24"/>
                <w:szCs w:val="24"/>
              </w:rPr>
              <w:t>"Service Level Failure"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tabs>
                <w:tab w:val="left" w:pos="-179"/>
                <w:tab w:val="left" w:pos="-9"/>
              </w:tabs>
              <w:spacing w:after="120" w:line="240" w:lineRule="auto"/>
            </w:pPr>
            <w:r>
              <w:rPr>
                <w:rFonts w:ascii="Arial" w:eastAsia="Arial" w:hAnsi="Arial" w:cs="Arial"/>
                <w:color w:val="000000"/>
                <w:sz w:val="24"/>
                <w:szCs w:val="24"/>
              </w:rPr>
              <w:t>means a failure to meet the Service Level Performance Measure in respect of a Service Level;</w:t>
            </w:r>
          </w:p>
        </w:tc>
      </w:tr>
      <w:tr w:rsidR="00091869">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spacing w:after="120" w:line="240" w:lineRule="auto"/>
              <w:ind w:left="-108"/>
            </w:pPr>
            <w:r>
              <w:rPr>
                <w:rFonts w:ascii="Arial" w:eastAsia="Arial" w:hAnsi="Arial" w:cs="Arial"/>
                <w:b/>
                <w:color w:val="000000"/>
                <w:sz w:val="24"/>
                <w:szCs w:val="24"/>
              </w:rPr>
              <w:t>"Service Level Performance Measure"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tabs>
                <w:tab w:val="left" w:pos="-179"/>
                <w:tab w:val="left" w:pos="-9"/>
              </w:tabs>
              <w:spacing w:after="120" w:line="240" w:lineRule="auto"/>
            </w:pPr>
            <w:r>
              <w:rPr>
                <w:rFonts w:ascii="Arial" w:eastAsia="Arial" w:hAnsi="Arial" w:cs="Arial"/>
                <w:color w:val="000000"/>
                <w:sz w:val="24"/>
                <w:szCs w:val="24"/>
              </w:rPr>
              <w:t>shall be as set out against the relevant Service Level in the Annex to Part A of this Schedule; and</w:t>
            </w:r>
          </w:p>
        </w:tc>
      </w:tr>
      <w:tr w:rsidR="00091869">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spacing w:after="120" w:line="240" w:lineRule="auto"/>
              <w:ind w:left="-108"/>
            </w:pPr>
            <w:r>
              <w:rPr>
                <w:rFonts w:ascii="Arial" w:eastAsia="Arial" w:hAnsi="Arial" w:cs="Arial"/>
                <w:b/>
                <w:color w:val="000000"/>
                <w:sz w:val="24"/>
                <w:szCs w:val="24"/>
              </w:rPr>
              <w:t>"Service Level Threshold"</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91869" w:rsidRDefault="002D243C">
            <w:pPr>
              <w:pStyle w:val="Standard"/>
              <w:tabs>
                <w:tab w:val="left" w:pos="-179"/>
                <w:tab w:val="left" w:pos="-9"/>
              </w:tabs>
              <w:spacing w:after="120" w:line="240" w:lineRule="auto"/>
            </w:pPr>
            <w:r>
              <w:rPr>
                <w:rFonts w:ascii="Arial" w:eastAsia="Arial" w:hAnsi="Arial" w:cs="Arial"/>
                <w:color w:val="000000"/>
                <w:sz w:val="24"/>
                <w:szCs w:val="24"/>
              </w:rPr>
              <w:t>shall be as set out against the relevant Service Level in the Annex to Part A of this Schedule.</w:t>
            </w:r>
          </w:p>
        </w:tc>
      </w:tr>
    </w:tbl>
    <w:p w:rsidR="00091869" w:rsidRDefault="002D243C">
      <w:pPr>
        <w:pStyle w:val="Standard"/>
        <w:numPr>
          <w:ilvl w:val="0"/>
          <w:numId w:val="2"/>
        </w:numPr>
        <w:tabs>
          <w:tab w:val="left" w:pos="-2738"/>
        </w:tabs>
        <w:spacing w:before="240" w:after="120" w:line="240" w:lineRule="auto"/>
      </w:pPr>
      <w:r>
        <w:rPr>
          <w:rFonts w:ascii="Arial Bold" w:eastAsia="Arial Bold" w:hAnsi="Arial Bold" w:cs="Arial Bold"/>
          <w:b/>
          <w:color w:val="000000"/>
          <w:sz w:val="24"/>
          <w:szCs w:val="24"/>
        </w:rPr>
        <w:t>What happens if you don’t meet the Service Levels</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The Supplier shall at all times provide the Deliverables to meet or exceed the Service Level Performance Measure for each Service Level.</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A Service Credit shall be the Buyer’s exclusive financial remedy for a Service Level Failure except where:</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 Supplier has over the previous (twelve) 12 Month period exceeded the Service Credit Cap; and/or</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 Service Level Failure:</w:t>
      </w:r>
    </w:p>
    <w:p w:rsidR="00091869" w:rsidRDefault="002D243C">
      <w:pPr>
        <w:pStyle w:val="Standard"/>
        <w:numPr>
          <w:ilvl w:val="3"/>
          <w:numId w:val="2"/>
        </w:numPr>
        <w:spacing w:before="120" w:after="120" w:line="240" w:lineRule="auto"/>
      </w:pPr>
      <w:r>
        <w:rPr>
          <w:rFonts w:ascii="Arial" w:eastAsia="Arial" w:hAnsi="Arial" w:cs="Arial"/>
          <w:color w:val="000000"/>
          <w:sz w:val="24"/>
          <w:szCs w:val="24"/>
        </w:rPr>
        <w:t>exceeds the relevant Service Level Threshold;</w:t>
      </w:r>
    </w:p>
    <w:p w:rsidR="00091869" w:rsidRDefault="002D243C">
      <w:pPr>
        <w:pStyle w:val="Standard"/>
        <w:numPr>
          <w:ilvl w:val="3"/>
          <w:numId w:val="2"/>
        </w:numPr>
        <w:spacing w:before="120" w:after="120" w:line="240" w:lineRule="auto"/>
      </w:pPr>
      <w:r>
        <w:rPr>
          <w:rFonts w:ascii="Arial" w:eastAsia="Arial" w:hAnsi="Arial" w:cs="Arial"/>
          <w:color w:val="000000"/>
          <w:sz w:val="24"/>
          <w:szCs w:val="24"/>
        </w:rPr>
        <w:t>has arisen due to a Prohibited Act or wilful Default by the Supplier;</w:t>
      </w:r>
    </w:p>
    <w:p w:rsidR="00091869" w:rsidRDefault="002D243C">
      <w:pPr>
        <w:pStyle w:val="Standard"/>
        <w:numPr>
          <w:ilvl w:val="3"/>
          <w:numId w:val="2"/>
        </w:numPr>
        <w:spacing w:before="120" w:after="120" w:line="240" w:lineRule="auto"/>
      </w:pPr>
      <w:r>
        <w:rPr>
          <w:rFonts w:ascii="Arial" w:eastAsia="Arial" w:hAnsi="Arial" w:cs="Arial"/>
          <w:color w:val="000000"/>
          <w:sz w:val="24"/>
          <w:szCs w:val="24"/>
        </w:rPr>
        <w:lastRenderedPageBreak/>
        <w:t>results in the corruption or loss of any Government Data; and/or</w:t>
      </w:r>
    </w:p>
    <w:p w:rsidR="00091869" w:rsidRDefault="002D243C">
      <w:pPr>
        <w:pStyle w:val="Standard"/>
        <w:numPr>
          <w:ilvl w:val="3"/>
          <w:numId w:val="2"/>
        </w:numPr>
        <w:spacing w:before="120" w:after="120" w:line="240" w:lineRule="auto"/>
      </w:pPr>
      <w:r>
        <w:rPr>
          <w:rFonts w:ascii="Arial" w:eastAsia="Arial" w:hAnsi="Arial" w:cs="Arial"/>
          <w:color w:val="000000"/>
          <w:sz w:val="24"/>
          <w:szCs w:val="24"/>
        </w:rPr>
        <w:t>results in the Buyer being required to make a compensation payment to one or more third parties; and/or</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 Buyer is entitled to or does terminate this Contract pursuant to Clause 10.4 (CCS and Buyer Termination Rights).</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 total number of Service Levels for which the weighting is to be changed does not exceed the number applicable as at the Start Date;</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rsidR="00091869" w:rsidRDefault="002D243C">
      <w:pPr>
        <w:pStyle w:val="Standard"/>
        <w:numPr>
          <w:ilvl w:val="2"/>
          <w:numId w:val="2"/>
        </w:numPr>
        <w:spacing w:before="120" w:after="120" w:line="240" w:lineRule="auto"/>
      </w:pPr>
      <w:r>
        <w:rPr>
          <w:rFonts w:ascii="Arial" w:eastAsia="Arial" w:hAnsi="Arial" w:cs="Arial"/>
          <w:color w:val="000000"/>
          <w:sz w:val="24"/>
          <w:szCs w:val="24"/>
        </w:rPr>
        <w:t>there is no change to the Service Credit Cap.</w:t>
      </w:r>
    </w:p>
    <w:p w:rsidR="00091869" w:rsidRDefault="002D243C">
      <w:pPr>
        <w:pStyle w:val="Standard"/>
        <w:numPr>
          <w:ilvl w:val="0"/>
          <w:numId w:val="2"/>
        </w:numPr>
        <w:tabs>
          <w:tab w:val="left" w:pos="-2738"/>
        </w:tabs>
        <w:spacing w:before="240" w:after="120" w:line="240" w:lineRule="auto"/>
      </w:pPr>
      <w:r>
        <w:rPr>
          <w:rFonts w:ascii="Arial Bold" w:eastAsia="Arial Bold" w:hAnsi="Arial Bold" w:cs="Arial Bold"/>
          <w:b/>
          <w:color w:val="000000"/>
          <w:sz w:val="24"/>
          <w:szCs w:val="24"/>
        </w:rPr>
        <w:t>Critical Service Level Failure</w:t>
      </w:r>
    </w:p>
    <w:p w:rsidR="00091869" w:rsidRDefault="002D243C">
      <w:pPr>
        <w:pStyle w:val="Standard"/>
        <w:spacing w:before="120" w:after="120" w:line="240" w:lineRule="auto"/>
        <w:ind w:left="936" w:hanging="576"/>
      </w:pPr>
      <w:r>
        <w:rPr>
          <w:rFonts w:ascii="Arial" w:eastAsia="Arial" w:hAnsi="Arial" w:cs="Arial"/>
          <w:color w:val="000000"/>
          <w:sz w:val="24"/>
          <w:szCs w:val="24"/>
        </w:rPr>
        <w:t>On the occurrence of a Critical Service Level Failure:</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rsidR="00091869" w:rsidRDefault="002D243C">
      <w:pPr>
        <w:pStyle w:val="Standard"/>
        <w:numPr>
          <w:ilvl w:val="1"/>
          <w:numId w:val="2"/>
        </w:numP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091869" w:rsidRDefault="002D243C">
      <w:pPr>
        <w:pStyle w:val="Standard"/>
        <w:tabs>
          <w:tab w:val="left" w:pos="4122"/>
        </w:tabs>
        <w:spacing w:after="220" w:line="240" w:lineRule="auto"/>
        <w:ind w:left="720"/>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091869" w:rsidRDefault="00091869">
      <w:pPr>
        <w:pStyle w:val="Standard"/>
        <w:tabs>
          <w:tab w:val="left" w:pos="568"/>
        </w:tabs>
        <w:spacing w:before="240" w:after="120" w:line="240" w:lineRule="auto"/>
        <w:ind w:left="426" w:hanging="360"/>
        <w:rPr>
          <w:rFonts w:ascii="Arial" w:eastAsia="Arial" w:hAnsi="Arial" w:cs="Arial"/>
          <w:b/>
          <w:smallCaps/>
          <w:color w:val="000000"/>
          <w:sz w:val="24"/>
          <w:szCs w:val="24"/>
        </w:rPr>
      </w:pPr>
    </w:p>
    <w:p w:rsidR="00091869" w:rsidRDefault="002D243C">
      <w:pPr>
        <w:pStyle w:val="Heading1"/>
        <w:pageBreakBefore/>
      </w:pPr>
      <w:bookmarkStart w:id="2" w:name="_u5uttf1ok6c4"/>
      <w:bookmarkEnd w:id="2"/>
      <w:r>
        <w:lastRenderedPageBreak/>
        <w:t>Part A: Service Levels and Service Credits</w:t>
      </w:r>
    </w:p>
    <w:p w:rsidR="00091869" w:rsidRDefault="002D243C">
      <w:pPr>
        <w:pStyle w:val="Standard"/>
        <w:numPr>
          <w:ilvl w:val="0"/>
          <w:numId w:val="5"/>
        </w:numPr>
        <w:tabs>
          <w:tab w:val="left" w:pos="-2738"/>
        </w:tabs>
        <w:spacing w:before="240" w:after="120" w:line="240" w:lineRule="auto"/>
      </w:pPr>
      <w:r>
        <w:rPr>
          <w:rFonts w:ascii="Arial Bold" w:eastAsia="Arial Bold" w:hAnsi="Arial Bold" w:cs="Arial Bold"/>
          <w:b/>
          <w:color w:val="000000"/>
          <w:sz w:val="24"/>
          <w:szCs w:val="24"/>
        </w:rPr>
        <w:t>Service Levels</w:t>
      </w:r>
    </w:p>
    <w:p w:rsidR="00091869" w:rsidRDefault="002D243C">
      <w:pPr>
        <w:pStyle w:val="Standard"/>
        <w:spacing w:before="120" w:after="120" w:line="240" w:lineRule="auto"/>
        <w:ind w:left="720" w:hanging="576"/>
      </w:pPr>
      <w:r>
        <w:rPr>
          <w:rFonts w:ascii="Arial" w:eastAsia="Arial" w:hAnsi="Arial" w:cs="Arial"/>
          <w:color w:val="000000"/>
          <w:sz w:val="24"/>
          <w:szCs w:val="24"/>
        </w:rPr>
        <w:t>If the level of performance of the Supplier:</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is likely to or fails to meet any Service Level Performance Measure; or</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is likely to cause or causes a Critical Service Failure to occur,</w:t>
      </w:r>
    </w:p>
    <w:p w:rsidR="00091869" w:rsidRDefault="002D243C">
      <w:pPr>
        <w:pStyle w:val="Standard"/>
        <w:spacing w:before="120" w:after="120" w:line="240" w:lineRule="auto"/>
        <w:ind w:left="720" w:hanging="576"/>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091869" w:rsidRDefault="002D243C">
      <w:pPr>
        <w:pStyle w:val="Standard"/>
        <w:numPr>
          <w:ilvl w:val="2"/>
          <w:numId w:val="1"/>
        </w:numPr>
        <w:spacing w:before="120" w:after="120" w:line="240" w:lineRule="auto"/>
      </w:pPr>
      <w:r>
        <w:rPr>
          <w:rFonts w:ascii="Arial" w:eastAsia="Arial" w:hAnsi="Arial" w:cs="Arial"/>
          <w:color w:val="000000"/>
          <w:sz w:val="24"/>
          <w:szCs w:val="24"/>
        </w:rPr>
        <w:t>require the Supplier to immediately take all remedial action that is reasonable to mitigate the impact on the Buyer and to rectify or prevent a Service Level Failure or Critical Service Level Failure from taking place or recurring;</w:t>
      </w:r>
    </w:p>
    <w:p w:rsidR="00091869" w:rsidRDefault="002D243C">
      <w:pPr>
        <w:pStyle w:val="Standard"/>
        <w:numPr>
          <w:ilvl w:val="2"/>
          <w:numId w:val="1"/>
        </w:numPr>
        <w:spacing w:before="120" w:after="120" w:line="240" w:lineRule="auto"/>
      </w:pPr>
      <w:r>
        <w:rPr>
          <w:rFonts w:ascii="Arial" w:eastAsia="Arial" w:hAnsi="Arial" w:cs="Arial"/>
          <w:color w:val="000000"/>
          <w:sz w:val="24"/>
          <w:szCs w:val="24"/>
        </w:rPr>
        <w:t>instruct the Supplier to comply with the Rectification Plan Process;</w:t>
      </w:r>
    </w:p>
    <w:p w:rsidR="00091869" w:rsidRDefault="002D243C">
      <w:pPr>
        <w:pStyle w:val="Standard"/>
        <w:numPr>
          <w:ilvl w:val="2"/>
          <w:numId w:val="1"/>
        </w:numP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rsidR="00091869" w:rsidRDefault="002D243C">
      <w:pPr>
        <w:pStyle w:val="Standard"/>
        <w:numPr>
          <w:ilvl w:val="2"/>
          <w:numId w:val="1"/>
        </w:numP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091869" w:rsidRDefault="002D243C">
      <w:pPr>
        <w:pStyle w:val="Standard"/>
        <w:numPr>
          <w:ilvl w:val="0"/>
          <w:numId w:val="3"/>
        </w:numPr>
        <w:tabs>
          <w:tab w:val="left" w:pos="-2738"/>
        </w:tabs>
        <w:spacing w:before="240" w:after="120" w:line="240" w:lineRule="auto"/>
      </w:pPr>
      <w:r>
        <w:rPr>
          <w:rFonts w:ascii="Arial Bold" w:eastAsia="Arial Bold" w:hAnsi="Arial Bold" w:cs="Arial Bold"/>
          <w:b/>
          <w:color w:val="000000"/>
          <w:sz w:val="24"/>
          <w:szCs w:val="24"/>
        </w:rPr>
        <w:t>Service Credits</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t>
      </w:r>
      <w:r>
        <w:rPr>
          <w:rFonts w:ascii="Arial" w:eastAsia="Arial" w:hAnsi="Arial" w:cs="Arial"/>
          <w:sz w:val="24"/>
          <w:szCs w:val="24"/>
        </w:rPr>
        <w:t>with the calculation</w:t>
      </w:r>
      <w:r>
        <w:rPr>
          <w:rFonts w:ascii="Arial" w:eastAsia="Arial" w:hAnsi="Arial" w:cs="Arial"/>
          <w:color w:val="000000"/>
          <w:sz w:val="24"/>
          <w:szCs w:val="24"/>
        </w:rPr>
        <w:t xml:space="preserve"> formula in the Annex to Part A of this Schedule.</w:t>
      </w:r>
    </w:p>
    <w:p w:rsidR="00EF207E" w:rsidRDefault="002D243C">
      <w:pPr>
        <w:pStyle w:val="Heading1"/>
        <w:pageBreakBefore/>
      </w:pPr>
      <w:bookmarkStart w:id="3" w:name="_rfdl01wgeyuw"/>
      <w:bookmarkEnd w:id="3"/>
      <w:r>
        <w:lastRenderedPageBreak/>
        <w:t xml:space="preserve">Annex A to Part A: Services Levels and Service </w:t>
      </w:r>
      <w:r w:rsidR="00EF207E">
        <w:t xml:space="preserve">     </w:t>
      </w:r>
      <w:r>
        <w:t>Cr</w:t>
      </w:r>
      <w:r w:rsidR="00EF207E" w:rsidRPr="00EF207E">
        <w:t>edits Table</w:t>
      </w:r>
    </w:p>
    <w:tbl>
      <w:tblPr>
        <w:tblW w:w="9408" w:type="dxa"/>
        <w:jc w:val="center"/>
        <w:tblCellMar>
          <w:left w:w="10" w:type="dxa"/>
          <w:right w:w="10" w:type="dxa"/>
        </w:tblCellMar>
        <w:tblLook w:val="04A0" w:firstRow="1" w:lastRow="0" w:firstColumn="1" w:lastColumn="0" w:noHBand="0" w:noVBand="1"/>
      </w:tblPr>
      <w:tblGrid>
        <w:gridCol w:w="596"/>
        <w:gridCol w:w="2703"/>
        <w:gridCol w:w="2875"/>
        <w:gridCol w:w="1685"/>
        <w:gridCol w:w="1549"/>
      </w:tblGrid>
      <w:tr w:rsidR="00EF207E" w:rsidRPr="00EF207E" w:rsidTr="00EF207E">
        <w:trPr>
          <w:trHeight w:val="390"/>
          <w:jc w:val="center"/>
        </w:trPr>
        <w:tc>
          <w:tcPr>
            <w:tcW w:w="9408" w:type="dxa"/>
            <w:gridSpan w:val="5"/>
            <w:tcBorders>
              <w:top w:val="single" w:sz="4" w:space="0" w:color="000000"/>
              <w:left w:val="single" w:sz="4" w:space="0" w:color="000000"/>
              <w:bottom w:val="single" w:sz="4" w:space="0" w:color="000000"/>
              <w:right w:val="single" w:sz="4" w:space="0" w:color="000000"/>
            </w:tcBorders>
            <w:shd w:val="clear" w:color="auto" w:fill="D9D9D9"/>
          </w:tcPr>
          <w:p w:rsidR="00EF207E" w:rsidRPr="00EF207E" w:rsidRDefault="00EF207E" w:rsidP="00EF207E">
            <w:pPr>
              <w:ind w:left="95"/>
              <w:rPr>
                <w:rFonts w:ascii="Arial" w:eastAsia="Arial" w:hAnsi="Arial" w:cs="Arial"/>
              </w:rPr>
            </w:pPr>
            <w:r w:rsidRPr="00EF207E">
              <w:rPr>
                <w:rFonts w:ascii="Arial" w:eastAsia="Arial" w:hAnsi="Arial" w:cs="Arial"/>
              </w:rPr>
              <w:t>Service Levels</w:t>
            </w:r>
          </w:p>
        </w:tc>
      </w:tr>
      <w:tr w:rsidR="00EF207E" w:rsidRPr="00EF207E" w:rsidTr="00EF207E">
        <w:trPr>
          <w:trHeight w:val="706"/>
          <w:jc w:val="center"/>
        </w:trPr>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EF207E" w:rsidRPr="00EF207E" w:rsidRDefault="00EF207E" w:rsidP="00EF207E">
            <w:pPr>
              <w:ind w:left="61"/>
              <w:rPr>
                <w:rFonts w:ascii="Arial" w:eastAsia="Arial" w:hAnsi="Arial" w:cs="Arial"/>
              </w:rPr>
            </w:pPr>
            <w:r w:rsidRPr="00EF207E">
              <w:rPr>
                <w:rFonts w:ascii="Arial" w:eastAsia="Arial" w:hAnsi="Arial" w:cs="Arial"/>
              </w:rPr>
              <w:t>No.</w:t>
            </w:r>
          </w:p>
        </w:tc>
        <w:tc>
          <w:tcPr>
            <w:tcW w:w="2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EF207E" w:rsidRPr="00EF207E" w:rsidRDefault="00EF207E" w:rsidP="00EF207E">
            <w:pPr>
              <w:ind w:left="61"/>
              <w:rPr>
                <w:rFonts w:ascii="Arial" w:eastAsia="Arial" w:hAnsi="Arial" w:cs="Arial"/>
              </w:rPr>
            </w:pPr>
            <w:r w:rsidRPr="00EF207E">
              <w:rPr>
                <w:rFonts w:ascii="Arial" w:eastAsia="Arial" w:hAnsi="Arial" w:cs="Arial"/>
              </w:rPr>
              <w:t>Service Level Performance Criterion</w:t>
            </w:r>
          </w:p>
        </w:tc>
        <w:tc>
          <w:tcPr>
            <w:tcW w:w="28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EF207E" w:rsidRPr="00EF207E" w:rsidRDefault="00EF207E" w:rsidP="00EF207E">
            <w:pPr>
              <w:ind w:left="95"/>
              <w:rPr>
                <w:rFonts w:ascii="Arial" w:eastAsia="Arial" w:hAnsi="Arial" w:cs="Arial"/>
              </w:rPr>
            </w:pPr>
            <w:r w:rsidRPr="00EF207E">
              <w:rPr>
                <w:rFonts w:ascii="Arial" w:eastAsia="Arial" w:hAnsi="Arial" w:cs="Arial"/>
              </w:rPr>
              <w:t>Key Indicator</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EF207E" w:rsidRPr="00EF207E" w:rsidRDefault="00EF207E" w:rsidP="00EF207E">
            <w:pPr>
              <w:ind w:left="-30"/>
              <w:rPr>
                <w:rFonts w:ascii="Arial" w:eastAsia="Arial" w:hAnsi="Arial" w:cs="Arial"/>
              </w:rPr>
            </w:pPr>
            <w:r w:rsidRPr="00EF207E">
              <w:rPr>
                <w:rFonts w:ascii="Arial" w:eastAsia="Arial" w:hAnsi="Arial" w:cs="Arial"/>
              </w:rPr>
              <w:t>Service Level Performance Measure</w:t>
            </w:r>
          </w:p>
        </w:tc>
        <w:tc>
          <w:tcPr>
            <w:tcW w:w="15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rsidR="00EF207E" w:rsidRPr="00EF207E" w:rsidRDefault="00EF207E" w:rsidP="00EF207E">
            <w:pPr>
              <w:ind w:left="95"/>
              <w:rPr>
                <w:rFonts w:ascii="Arial" w:eastAsia="Arial" w:hAnsi="Arial" w:cs="Arial"/>
              </w:rPr>
            </w:pPr>
            <w:r w:rsidRPr="00EF207E">
              <w:rPr>
                <w:rFonts w:ascii="Arial" w:eastAsia="Arial" w:hAnsi="Arial" w:cs="Arial"/>
              </w:rPr>
              <w:t>Service Level Threshold</w:t>
            </w:r>
          </w:p>
        </w:tc>
      </w:tr>
      <w:tr w:rsidR="00EF207E" w:rsidRPr="00EF207E" w:rsidTr="00EF207E">
        <w:trPr>
          <w:trHeight w:val="1474"/>
          <w:jc w:val="center"/>
        </w:trPr>
        <w:tc>
          <w:tcPr>
            <w:tcW w:w="596" w:type="dxa"/>
            <w:tcBorders>
              <w:top w:val="single" w:sz="4" w:space="0" w:color="000000"/>
              <w:left w:val="single" w:sz="4" w:space="0" w:color="000000"/>
              <w:bottom w:val="single" w:sz="4" w:space="0" w:color="000000"/>
              <w:right w:val="single" w:sz="4" w:space="0" w:color="000000"/>
            </w:tcBorders>
          </w:tcPr>
          <w:p w:rsidR="00EF207E" w:rsidRPr="00EF207E" w:rsidRDefault="00EF207E" w:rsidP="00EF207E">
            <w:pPr>
              <w:spacing w:after="120"/>
              <w:ind w:left="61"/>
              <w:rPr>
                <w:rFonts w:ascii="Arial" w:eastAsia="Arial" w:hAnsi="Arial" w:cs="Arial"/>
              </w:rPr>
            </w:pPr>
            <w:r w:rsidRPr="00EF207E">
              <w:rPr>
                <w:rFonts w:ascii="Arial" w:eastAsia="Arial" w:hAnsi="Arial" w:cs="Arial"/>
              </w:rPr>
              <w:t>1.</w:t>
            </w:r>
          </w:p>
        </w:tc>
        <w:tc>
          <w:tcPr>
            <w:tcW w:w="27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61"/>
              <w:rPr>
                <w:rFonts w:ascii="Arial" w:eastAsia="Arial" w:hAnsi="Arial" w:cs="Arial"/>
              </w:rPr>
            </w:pPr>
            <w:r w:rsidRPr="00EF207E">
              <w:rPr>
                <w:rFonts w:ascii="Arial" w:eastAsia="Arial" w:hAnsi="Arial" w:cs="Arial"/>
              </w:rPr>
              <w:t>Timely and accurate billing of the Buyer</w:t>
            </w:r>
          </w:p>
          <w:p w:rsidR="00EF207E" w:rsidRPr="00EF207E" w:rsidRDefault="00EF207E" w:rsidP="00EF207E">
            <w:pPr>
              <w:spacing w:after="120"/>
              <w:ind w:left="61"/>
              <w:rPr>
                <w:rFonts w:ascii="Arial" w:eastAsia="Arial" w:hAnsi="Arial" w:cs="Arial"/>
              </w:rPr>
            </w:pPr>
          </w:p>
        </w:tc>
        <w:tc>
          <w:tcPr>
            <w:tcW w:w="28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95"/>
              <w:rPr>
                <w:rFonts w:ascii="Arial" w:eastAsia="Arial" w:hAnsi="Arial" w:cs="Arial"/>
              </w:rPr>
            </w:pPr>
            <w:r w:rsidRPr="00EF207E">
              <w:rPr>
                <w:rFonts w:ascii="Arial" w:eastAsia="Arial" w:hAnsi="Arial" w:cs="Arial"/>
              </w:rPr>
              <w:t>Invoices to be provided by the Supplier, containing no material inaccuracies; no later than one week following the end of each calendar month/acceptance of deliverables by the Buyer</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at all times (100%)</w:t>
            </w:r>
          </w:p>
          <w:p w:rsidR="00EF207E" w:rsidRPr="00EF207E" w:rsidRDefault="00EF207E" w:rsidP="00EF207E">
            <w:pPr>
              <w:spacing w:after="120"/>
              <w:ind w:left="-30"/>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95"/>
              <w:rPr>
                <w:rFonts w:ascii="Arial" w:eastAsia="Arial" w:hAnsi="Arial" w:cs="Arial"/>
              </w:rPr>
            </w:pPr>
            <w:r w:rsidRPr="00EF207E">
              <w:rPr>
                <w:rFonts w:ascii="Arial" w:eastAsia="Arial" w:hAnsi="Arial" w:cs="Arial"/>
              </w:rPr>
              <w:t>At least 90% of the time</w:t>
            </w:r>
          </w:p>
        </w:tc>
      </w:tr>
      <w:tr w:rsidR="00EF207E" w:rsidRPr="00EF207E" w:rsidTr="00EF207E">
        <w:trPr>
          <w:trHeight w:val="1816"/>
          <w:jc w:val="center"/>
        </w:trPr>
        <w:tc>
          <w:tcPr>
            <w:tcW w:w="596" w:type="dxa"/>
            <w:tcBorders>
              <w:top w:val="single" w:sz="4" w:space="0" w:color="000000"/>
              <w:left w:val="single" w:sz="4" w:space="0" w:color="000000"/>
              <w:bottom w:val="single" w:sz="4" w:space="0" w:color="000000"/>
              <w:right w:val="single" w:sz="4" w:space="0" w:color="000000"/>
            </w:tcBorders>
          </w:tcPr>
          <w:p w:rsidR="00EF207E" w:rsidRPr="00EF207E" w:rsidRDefault="00EF207E" w:rsidP="00EF207E">
            <w:pPr>
              <w:spacing w:after="120"/>
              <w:ind w:left="61"/>
              <w:rPr>
                <w:rFonts w:ascii="Arial" w:eastAsia="Arial" w:hAnsi="Arial" w:cs="Arial"/>
              </w:rPr>
            </w:pPr>
            <w:r w:rsidRPr="00EF207E">
              <w:rPr>
                <w:rFonts w:ascii="Arial" w:eastAsia="Arial" w:hAnsi="Arial" w:cs="Arial"/>
              </w:rPr>
              <w:t>2.</w:t>
            </w:r>
          </w:p>
        </w:tc>
        <w:tc>
          <w:tcPr>
            <w:tcW w:w="27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61"/>
              <w:rPr>
                <w:rFonts w:ascii="Arial" w:eastAsia="Arial" w:hAnsi="Arial" w:cs="Arial"/>
              </w:rPr>
            </w:pPr>
            <w:r w:rsidRPr="00EF207E">
              <w:rPr>
                <w:rFonts w:ascii="Arial" w:eastAsia="Arial" w:hAnsi="Arial" w:cs="Arial"/>
              </w:rPr>
              <w:t>Statement of work response lead-times</w:t>
            </w:r>
          </w:p>
          <w:p w:rsidR="00EF207E" w:rsidRPr="00EF207E" w:rsidRDefault="00EF207E" w:rsidP="00EF207E">
            <w:pPr>
              <w:spacing w:after="120"/>
              <w:ind w:left="61"/>
              <w:rPr>
                <w:rFonts w:ascii="Arial" w:eastAsia="Arial" w:hAnsi="Arial" w:cs="Arial"/>
              </w:rPr>
            </w:pPr>
          </w:p>
        </w:tc>
        <w:tc>
          <w:tcPr>
            <w:tcW w:w="28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95"/>
              <w:rPr>
                <w:rFonts w:ascii="Arial" w:eastAsia="Arial" w:hAnsi="Arial" w:cs="Arial"/>
              </w:rPr>
            </w:pPr>
            <w:r w:rsidRPr="00EF207E">
              <w:rPr>
                <w:rFonts w:ascii="Arial" w:eastAsia="Arial" w:hAnsi="Arial" w:cs="Arial"/>
              </w:rPr>
              <w:t>The provision of a statement of work proposal by the Supplier following the receipt of a written specification of requirements from the Buyer</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 xml:space="preserve">Within 7 calendar days </w:t>
            </w:r>
          </w:p>
          <w:p w:rsidR="00EF207E" w:rsidRPr="00EF207E" w:rsidRDefault="00EF207E" w:rsidP="00EF207E">
            <w:pPr>
              <w:spacing w:after="120"/>
              <w:ind w:left="-30"/>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rPr>
                <w:rFonts w:ascii="Arial" w:eastAsia="Arial" w:hAnsi="Arial" w:cs="Arial"/>
              </w:rPr>
            </w:pPr>
            <w:r w:rsidRPr="00EF207E">
              <w:rPr>
                <w:rFonts w:ascii="Arial" w:eastAsia="Arial" w:hAnsi="Arial" w:cs="Arial"/>
              </w:rPr>
              <w:t>Within 10 calendar days</w:t>
            </w:r>
          </w:p>
        </w:tc>
      </w:tr>
      <w:tr w:rsidR="00EF207E" w:rsidRPr="00EF207E" w:rsidTr="00EF207E">
        <w:trPr>
          <w:trHeight w:val="1474"/>
          <w:jc w:val="center"/>
        </w:trPr>
        <w:tc>
          <w:tcPr>
            <w:tcW w:w="596" w:type="dxa"/>
            <w:tcBorders>
              <w:top w:val="single" w:sz="4" w:space="0" w:color="000000"/>
              <w:left w:val="single" w:sz="4" w:space="0" w:color="000000"/>
              <w:bottom w:val="single" w:sz="4" w:space="0" w:color="000000"/>
              <w:right w:val="single" w:sz="4" w:space="0" w:color="000000"/>
            </w:tcBorders>
          </w:tcPr>
          <w:p w:rsidR="00EF207E" w:rsidRPr="00EF207E" w:rsidRDefault="00EF207E" w:rsidP="00EF207E">
            <w:pPr>
              <w:spacing w:after="120"/>
              <w:ind w:left="61"/>
              <w:rPr>
                <w:rFonts w:ascii="Arial" w:eastAsia="Arial" w:hAnsi="Arial" w:cs="Arial"/>
              </w:rPr>
            </w:pPr>
            <w:r w:rsidRPr="00EF207E">
              <w:rPr>
                <w:rFonts w:ascii="Arial" w:eastAsia="Arial" w:hAnsi="Arial" w:cs="Arial"/>
              </w:rPr>
              <w:t>3.</w:t>
            </w:r>
          </w:p>
        </w:tc>
        <w:tc>
          <w:tcPr>
            <w:tcW w:w="27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61"/>
              <w:rPr>
                <w:rFonts w:ascii="Arial" w:eastAsia="Arial" w:hAnsi="Arial" w:cs="Arial"/>
              </w:rPr>
            </w:pPr>
            <w:r w:rsidRPr="00EF207E">
              <w:rPr>
                <w:rFonts w:ascii="Arial" w:eastAsia="Arial" w:hAnsi="Arial" w:cs="Arial"/>
              </w:rPr>
              <w:t>Mobilisation</w:t>
            </w:r>
          </w:p>
        </w:tc>
        <w:tc>
          <w:tcPr>
            <w:tcW w:w="28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rPr>
                <w:rFonts w:ascii="Arial" w:eastAsia="Arial" w:hAnsi="Arial" w:cs="Arial"/>
              </w:rPr>
            </w:pPr>
            <w:r w:rsidRPr="00EF207E">
              <w:rPr>
                <w:rFonts w:ascii="Arial" w:eastAsia="Arial" w:hAnsi="Arial" w:cs="Arial"/>
              </w:rPr>
              <w:t>The amount of time taken by the Supplier to commence delivery of a statement of work following receipt of the Buyer’s written agreement to the Supplier’s statement of work proposal</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Within 3 calendar days</w:t>
            </w:r>
          </w:p>
        </w:tc>
        <w:tc>
          <w:tcPr>
            <w:tcW w:w="15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Within 5 calendar days</w:t>
            </w:r>
          </w:p>
        </w:tc>
      </w:tr>
      <w:tr w:rsidR="00EF207E" w:rsidRPr="00EF207E" w:rsidTr="00EF207E">
        <w:trPr>
          <w:trHeight w:val="60"/>
          <w:jc w:val="center"/>
        </w:trPr>
        <w:tc>
          <w:tcPr>
            <w:tcW w:w="596" w:type="dxa"/>
            <w:tcBorders>
              <w:top w:val="single" w:sz="4" w:space="0" w:color="000000"/>
              <w:left w:val="single" w:sz="4" w:space="0" w:color="000000"/>
              <w:bottom w:val="single" w:sz="4" w:space="0" w:color="000000"/>
              <w:right w:val="single" w:sz="4" w:space="0" w:color="000000"/>
            </w:tcBorders>
          </w:tcPr>
          <w:p w:rsidR="00EF207E" w:rsidRPr="00EF207E" w:rsidRDefault="00EF207E" w:rsidP="00EF207E">
            <w:pPr>
              <w:spacing w:after="120"/>
              <w:ind w:left="61"/>
              <w:rPr>
                <w:rFonts w:ascii="Arial" w:eastAsia="Arial" w:hAnsi="Arial" w:cs="Arial"/>
              </w:rPr>
            </w:pPr>
            <w:r w:rsidRPr="00EF207E">
              <w:rPr>
                <w:rFonts w:ascii="Arial" w:eastAsia="Arial" w:hAnsi="Arial" w:cs="Arial"/>
              </w:rPr>
              <w:t>4.</w:t>
            </w:r>
          </w:p>
        </w:tc>
        <w:tc>
          <w:tcPr>
            <w:tcW w:w="27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61"/>
              <w:rPr>
                <w:rFonts w:ascii="Arial" w:eastAsia="Arial" w:hAnsi="Arial" w:cs="Arial"/>
              </w:rPr>
            </w:pPr>
            <w:r w:rsidRPr="00EF207E">
              <w:rPr>
                <w:rFonts w:ascii="Arial" w:eastAsia="Arial" w:hAnsi="Arial" w:cs="Arial"/>
              </w:rPr>
              <w:t>Reporting</w:t>
            </w:r>
          </w:p>
        </w:tc>
        <w:tc>
          <w:tcPr>
            <w:tcW w:w="28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The provision of all reports in accordance with the reporting frequency stated within the statement of requirements</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All reports provided at stated intervals</w:t>
            </w:r>
          </w:p>
          <w:p w:rsidR="00EF207E" w:rsidRPr="00EF207E" w:rsidRDefault="00EF207E" w:rsidP="00EF207E">
            <w:pPr>
              <w:spacing w:after="120"/>
              <w:ind w:left="-30"/>
              <w:rPr>
                <w:rFonts w:ascii="Arial" w:eastAsia="Arial" w:hAnsi="Arial" w:cs="Arial"/>
              </w:rPr>
            </w:pPr>
          </w:p>
        </w:tc>
        <w:tc>
          <w:tcPr>
            <w:tcW w:w="15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Reports provided up to 3 working days following stated intervals</w:t>
            </w:r>
          </w:p>
        </w:tc>
      </w:tr>
      <w:tr w:rsidR="00EF207E" w:rsidRPr="00EF207E" w:rsidTr="00EF207E">
        <w:trPr>
          <w:trHeight w:val="1893"/>
          <w:jc w:val="center"/>
        </w:trPr>
        <w:tc>
          <w:tcPr>
            <w:tcW w:w="596" w:type="dxa"/>
            <w:tcBorders>
              <w:top w:val="single" w:sz="4" w:space="0" w:color="000000"/>
              <w:left w:val="single" w:sz="4" w:space="0" w:color="000000"/>
              <w:bottom w:val="single" w:sz="4" w:space="0" w:color="auto"/>
              <w:right w:val="single" w:sz="4" w:space="0" w:color="000000"/>
            </w:tcBorders>
          </w:tcPr>
          <w:p w:rsidR="00EF207E" w:rsidRPr="00EF207E" w:rsidRDefault="00EF207E" w:rsidP="00EF207E">
            <w:pPr>
              <w:spacing w:after="120"/>
              <w:ind w:left="61"/>
              <w:rPr>
                <w:rFonts w:ascii="Arial" w:eastAsia="Arial" w:hAnsi="Arial" w:cs="Arial"/>
              </w:rPr>
            </w:pPr>
            <w:r w:rsidRPr="00EF207E">
              <w:rPr>
                <w:rFonts w:ascii="Arial" w:eastAsia="Arial" w:hAnsi="Arial" w:cs="Arial"/>
              </w:rPr>
              <w:t>5.</w:t>
            </w:r>
          </w:p>
        </w:tc>
        <w:tc>
          <w:tcPr>
            <w:tcW w:w="270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rsidR="00EF207E" w:rsidRPr="00EF207E" w:rsidRDefault="00EF207E" w:rsidP="00EF207E">
            <w:pPr>
              <w:spacing w:after="120"/>
              <w:ind w:left="61"/>
              <w:rPr>
                <w:rFonts w:ascii="Arial" w:eastAsia="Arial" w:hAnsi="Arial" w:cs="Arial"/>
              </w:rPr>
            </w:pPr>
            <w:r w:rsidRPr="00EF207E">
              <w:rPr>
                <w:rFonts w:ascii="Arial" w:eastAsia="Arial" w:hAnsi="Arial" w:cs="Arial"/>
              </w:rPr>
              <w:t>Knowledge Transfer Feedback (survey intervals to be agreed between the parties)</w:t>
            </w:r>
          </w:p>
        </w:tc>
        <w:tc>
          <w:tcPr>
            <w:tcW w:w="28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Feedback from Buyer staff on the efforts made by the Supplier to transfer knowledge and upskill Buyer staff</w:t>
            </w:r>
          </w:p>
        </w:tc>
        <w:tc>
          <w:tcPr>
            <w:tcW w:w="16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80% of survey respondents agree that Supplier is making active efforts to share its knowledge</w:t>
            </w:r>
          </w:p>
        </w:tc>
        <w:tc>
          <w:tcPr>
            <w:tcW w:w="154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EF207E" w:rsidRPr="00EF207E" w:rsidRDefault="00EF207E" w:rsidP="00EF207E">
            <w:pPr>
              <w:spacing w:after="120"/>
              <w:ind w:left="-30"/>
              <w:rPr>
                <w:rFonts w:ascii="Arial" w:eastAsia="Arial" w:hAnsi="Arial" w:cs="Arial"/>
              </w:rPr>
            </w:pPr>
            <w:r w:rsidRPr="00EF207E">
              <w:rPr>
                <w:rFonts w:ascii="Arial" w:eastAsia="Arial" w:hAnsi="Arial" w:cs="Arial"/>
              </w:rPr>
              <w:t>70% of survey respondents agree that Supplier is making active efforts to share its knowledge</w:t>
            </w:r>
          </w:p>
        </w:tc>
      </w:tr>
    </w:tbl>
    <w:p w:rsidR="00EF207E" w:rsidRPr="00EF207E" w:rsidRDefault="00EF207E" w:rsidP="00EF207E">
      <w:pPr>
        <w:suppressAutoHyphens w:val="0"/>
        <w:autoSpaceDN/>
        <w:textAlignment w:val="auto"/>
        <w:rPr>
          <w:rFonts w:ascii="Times New Roman" w:eastAsia="Times New Roman" w:hAnsi="Times New Roman" w:cs="Times New Roman"/>
          <w:sz w:val="24"/>
          <w:szCs w:val="24"/>
          <w:lang w:eastAsia="en-GB" w:bidi="ar-SA"/>
        </w:rPr>
      </w:pPr>
    </w:p>
    <w:p w:rsidR="00091869" w:rsidRDefault="002D243C">
      <w:pPr>
        <w:pStyle w:val="Heading1"/>
        <w:pageBreakBefore/>
      </w:pPr>
      <w:bookmarkStart w:id="4" w:name="_x9wyd863xbky"/>
      <w:bookmarkEnd w:id="4"/>
      <w:r>
        <w:rPr>
          <w:rFonts w:ascii="Arial Bold" w:eastAsia="Arial Bold" w:hAnsi="Arial Bold" w:cs="Arial Bold"/>
        </w:rPr>
        <w:lastRenderedPageBreak/>
        <w:t>Part B: Performance Monitoring</w:t>
      </w:r>
    </w:p>
    <w:p w:rsidR="00091869" w:rsidRDefault="002D243C">
      <w:pPr>
        <w:pStyle w:val="Standard"/>
        <w:numPr>
          <w:ilvl w:val="0"/>
          <w:numId w:val="3"/>
        </w:numPr>
        <w:tabs>
          <w:tab w:val="left" w:pos="-2738"/>
        </w:tabs>
        <w:spacing w:before="240" w:after="120" w:line="240" w:lineRule="auto"/>
      </w:pPr>
      <w:r>
        <w:rPr>
          <w:rFonts w:ascii="Arial Bold" w:eastAsia="Arial Bold" w:hAnsi="Arial Bold" w:cs="Arial Bold"/>
          <w:b/>
          <w:color w:val="000000"/>
          <w:sz w:val="24"/>
          <w:szCs w:val="24"/>
        </w:rPr>
        <w:t>Performance Monitoring and Performance Review</w:t>
      </w:r>
    </w:p>
    <w:p w:rsidR="00091869" w:rsidRDefault="002D243C">
      <w:pPr>
        <w:pStyle w:val="Standard"/>
        <w:keepNext/>
        <w:numPr>
          <w:ilvl w:val="1"/>
          <w:numId w:val="3"/>
        </w:numP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within five working days of the end of each month, beginning one month after the Call-Off Start Date. Each report shall cover, as a minimum, the following information in respect of the relevant Service Period just ended:</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a summary of all failures to achieve Service Levels that occurred during that Service Period;</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details of any Critical Service Level Failures;</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for any repeat failures, actions taken to resolve the underlying cause and prevent recurrence;</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such other details as the Buyer may reasonably require from time to time.</w:t>
      </w:r>
    </w:p>
    <w:p w:rsidR="00091869" w:rsidRDefault="002D243C">
      <w:pPr>
        <w:pStyle w:val="Standard"/>
        <w:keepNext/>
        <w:numPr>
          <w:ilvl w:val="1"/>
          <w:numId w:val="3"/>
        </w:numP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be attended by the Supplier's Representative and the Buyer’s Representative; and</w:t>
      </w:r>
    </w:p>
    <w:p w:rsidR="00091869" w:rsidRDefault="002D243C">
      <w:pPr>
        <w:pStyle w:val="Standard"/>
        <w:numPr>
          <w:ilvl w:val="2"/>
          <w:numId w:val="3"/>
        </w:numPr>
        <w:spacing w:before="120" w:after="120" w:line="240" w:lineRule="auto"/>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rsidR="00091869" w:rsidRDefault="00091869">
      <w:pPr>
        <w:pStyle w:val="Standard"/>
        <w:spacing w:before="120" w:after="120" w:line="240" w:lineRule="auto"/>
        <w:ind w:left="1440" w:hanging="576"/>
        <w:rPr>
          <w:rFonts w:ascii="Arial" w:eastAsia="Arial" w:hAnsi="Arial" w:cs="Arial"/>
          <w:color w:val="000000"/>
          <w:sz w:val="24"/>
          <w:szCs w:val="24"/>
        </w:rPr>
      </w:pPr>
    </w:p>
    <w:p w:rsidR="00091869" w:rsidRDefault="002D243C">
      <w:pPr>
        <w:pStyle w:val="Standard"/>
        <w:numPr>
          <w:ilvl w:val="0"/>
          <w:numId w:val="3"/>
        </w:numPr>
        <w:tabs>
          <w:tab w:val="left" w:pos="-2738"/>
        </w:tabs>
        <w:spacing w:before="240" w:after="120" w:line="240" w:lineRule="auto"/>
      </w:pPr>
      <w:r>
        <w:rPr>
          <w:rFonts w:ascii="Arial Bold" w:eastAsia="Arial Bold" w:hAnsi="Arial Bold" w:cs="Arial Bold"/>
          <w:b/>
          <w:color w:val="000000"/>
          <w:sz w:val="24"/>
          <w:szCs w:val="24"/>
        </w:rPr>
        <w:t>Satisfaction Surveys</w:t>
      </w:r>
    </w:p>
    <w:p w:rsidR="00091869" w:rsidRDefault="002D243C">
      <w:pPr>
        <w:pStyle w:val="Standard"/>
        <w:numPr>
          <w:ilvl w:val="1"/>
          <w:numId w:val="3"/>
        </w:numPr>
        <w:spacing w:before="120" w:after="120" w:line="240" w:lineRule="auto"/>
      </w:pPr>
      <w:r>
        <w:rPr>
          <w:rFonts w:ascii="Arial" w:eastAsia="Arial" w:hAnsi="Arial" w:cs="Arial"/>
          <w:color w:val="000000"/>
          <w:sz w:val="24"/>
          <w:szCs w:val="24"/>
        </w:rPr>
        <w:t xml:space="preserve">The Buyer may undertake satisfaction surveys in respect of the </w:t>
      </w:r>
      <w:r>
        <w:rPr>
          <w:rFonts w:ascii="Arial" w:eastAsia="Arial" w:hAnsi="Arial" w:cs="Arial"/>
          <w:color w:val="000000"/>
          <w:sz w:val="24"/>
          <w:szCs w:val="24"/>
        </w:rPr>
        <w:lastRenderedPageBreak/>
        <w:t>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5" w:name="_GoBack"/>
      <w:bookmarkEnd w:id="5"/>
    </w:p>
    <w:sectPr w:rsidR="00091869">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45" w:rsidRDefault="00A83545">
      <w:r>
        <w:separator/>
      </w:r>
    </w:p>
  </w:endnote>
  <w:endnote w:type="continuationSeparator" w:id="0">
    <w:p w:rsidR="00A83545" w:rsidRDefault="00A8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56" w:rsidRDefault="002D243C" w:rsidP="00EF207E">
    <w:pPr>
      <w:pStyle w:val="Standard"/>
      <w:tabs>
        <w:tab w:val="center" w:pos="4513"/>
        <w:tab w:val="right" w:pos="9026"/>
      </w:tabs>
      <w:spacing w:after="0" w:line="240" w:lineRule="auto"/>
      <w:jc w:val="both"/>
    </w:pPr>
    <w:r>
      <w:rPr>
        <w:noProof/>
        <w:lang w:eastAsia="en-GB" w:bidi="ar-SA"/>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9733402</wp:posOffset>
              </wp:positionV>
              <wp:extent cx="7560314" cy="864825"/>
              <wp:effectExtent l="0" t="0" r="0" b="12065"/>
              <wp:wrapNone/>
              <wp:docPr id="1" name="MSIPCM59a2486dab0edac07a398d1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864825"/>
                      </a:xfrm>
                      <a:prstGeom prst="rect">
                        <a:avLst/>
                      </a:prstGeom>
                      <a:noFill/>
                      <a:ln>
                        <a:noFill/>
                        <a:prstDash/>
                      </a:ln>
                    </wps:spPr>
                    <wps:txbx>
                      <w:txbxContent>
                        <w:p w:rsidR="00040556" w:rsidRDefault="00262D47" w:rsidP="00EF207E">
                          <w:pPr>
                            <w:ind w:left="1276"/>
                            <w:rPr>
                              <w:color w:val="000000"/>
                              <w:sz w:val="20"/>
                            </w:rPr>
                          </w:pPr>
                          <w:r>
                            <w:rPr>
                              <w:rFonts w:ascii="Arial" w:hAnsi="Arial" w:cs="Arial"/>
                            </w:rPr>
                            <w:t>Unity Programme Delivery Partner SR1032578788</w:t>
                          </w:r>
                        </w:p>
                      </w:txbxContent>
                    </wps:txbx>
                    <wps:bodyPr vert="horz" wrap="square" lIns="91440" tIns="0" rIns="91440" bIns="0" anchor="b" anchorCtr="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SIPCM59a2486dab0edac07a398d1f" o:spid="_x0000_s1026" type="#_x0000_t202" alt="{&quot;HashCode&quot;:-1264847310,&quot;Height&quot;:841.0,&quot;Width&quot;:595.0,&quot;Placement&quot;:&quot;Footer&quot;,&quot;Index&quot;:&quot;Primary&quot;,&quot;Section&quot;:1,&quot;Top&quot;:0.0,&quot;Left&quot;:0.0}" style="position:absolute;left:0;text-align:left;margin-left:0;margin-top:766.4pt;width:595.3pt;height:68.1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" filled="f" stroked="f">
              <v:textbox inset=",0,,0">
                <w:txbxContent>
                  <w:p w:rsidR="00040556" w:rsidRDefault="00262D47" w:rsidP="00EF207E">
                    <w:pPr>
                      <w:ind w:left="1276"/>
                      <w:rPr>
                        <w:color w:val="000000"/>
                        <w:sz w:val="20"/>
                      </w:rPr>
                    </w:pPr>
                    <w:r>
                      <w:rPr>
                        <w:rFonts w:ascii="Arial" w:hAnsi="Arial" w:cs="Arial"/>
                      </w:rPr>
                      <w:t>Unity Programme Delivery Partner SR1032578788</w:t>
                    </w:r>
                  </w:p>
                </w:txbxContent>
              </v:textbox>
              <w10:wrap anchorx="page" anchory="page"/>
            </v:shape>
          </w:pict>
        </mc:Fallback>
      </mc:AlternateContent>
    </w:r>
    <w:r>
      <w:rPr>
        <w:rFonts w:ascii="Arial" w:eastAsia="Arial" w:hAnsi="Arial" w:cs="Arial"/>
        <w:color w:val="000000"/>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rsidR="009D6382">
      <w:rPr>
        <w:noProof/>
      </w:rPr>
      <w:t>6</w:t>
    </w:r>
    <w:r>
      <w:fldChar w:fldCharType="end"/>
    </w:r>
  </w:p>
  <w:p w:rsidR="00040556" w:rsidRDefault="002D243C">
    <w:pPr>
      <w:pStyle w:val="Standard"/>
      <w:tabs>
        <w:tab w:val="center" w:pos="4513"/>
        <w:tab w:val="right" w:pos="9026"/>
      </w:tabs>
      <w:spacing w:after="0" w:line="240" w:lineRule="auto"/>
    </w:pPr>
    <w:r>
      <w:rPr>
        <w:rFonts w:ascii="Arial" w:eastAsia="Arial" w:hAnsi="Arial" w:cs="Arial"/>
        <w:color w:val="000000"/>
        <w:sz w:val="20"/>
        <w:szCs w:val="20"/>
      </w:rPr>
      <w:t>Model Version: v3.</w:t>
    </w:r>
    <w:r>
      <w:rPr>
        <w:rFonts w:ascii="Arial" w:eastAsia="Arial" w:hAnsi="Arial" w:cs="Arial"/>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45" w:rsidRDefault="00A83545">
      <w:r>
        <w:rPr>
          <w:color w:val="000000"/>
        </w:rPr>
        <w:separator/>
      </w:r>
    </w:p>
  </w:footnote>
  <w:footnote w:type="continuationSeparator" w:id="0">
    <w:p w:rsidR="00A83545" w:rsidRDefault="00A8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556" w:rsidRDefault="002D243C">
    <w:pPr>
      <w:pStyle w:val="Standard"/>
      <w:tabs>
        <w:tab w:val="center" w:pos="4513"/>
        <w:tab w:val="right" w:pos="9026"/>
      </w:tabs>
      <w:spacing w:after="0" w:line="240" w:lineRule="auto"/>
    </w:pPr>
    <w:r>
      <w:rPr>
        <w:rFonts w:ascii="Arial" w:eastAsia="Arial" w:hAnsi="Arial" w:cs="Arial"/>
        <w:b/>
        <w:color w:val="000000"/>
        <w:sz w:val="20"/>
        <w:szCs w:val="20"/>
      </w:rPr>
      <w:t>Call-Off Schedule 14 (Service Levels)</w:t>
    </w:r>
  </w:p>
  <w:p w:rsidR="00040556" w:rsidRDefault="002D243C">
    <w:pPr>
      <w:pStyle w:val="Standard"/>
      <w:tabs>
        <w:tab w:val="center" w:pos="4513"/>
        <w:tab w:val="right" w:pos="9026"/>
      </w:tabs>
      <w:spacing w:after="0" w:line="240" w:lineRule="auto"/>
    </w:pPr>
    <w:r>
      <w:rPr>
        <w:rFonts w:ascii="Arial" w:eastAsia="Arial" w:hAnsi="Arial" w:cs="Arial"/>
        <w:color w:val="000000"/>
        <w:sz w:val="20"/>
        <w:szCs w:val="20"/>
      </w:rPr>
      <w:t>Call-Off Ref:</w:t>
    </w:r>
  </w:p>
  <w:p w:rsidR="00040556" w:rsidRDefault="002D243C">
    <w:pPr>
      <w:pStyle w:val="Standard"/>
      <w:tabs>
        <w:tab w:val="center" w:pos="4513"/>
        <w:tab w:val="right" w:pos="9026"/>
      </w:tabs>
      <w:spacing w:after="0" w:line="240" w:lineRule="auto"/>
    </w:pPr>
    <w:r>
      <w:rPr>
        <w:rFonts w:ascii="Arial" w:eastAsia="Arial" w:hAnsi="Arial" w:cs="Arial"/>
        <w:color w:val="000000"/>
        <w:sz w:val="20"/>
        <w:szCs w:val="20"/>
      </w:rPr>
      <w:t>Crown Copyright 2018</w:t>
    </w:r>
  </w:p>
  <w:p w:rsidR="00040556" w:rsidRDefault="00A83545">
    <w:pPr>
      <w:pStyle w:val="Standard"/>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4097"/>
    <w:multiLevelType w:val="multilevel"/>
    <w:tmpl w:val="3D7C42B2"/>
    <w:styleLink w:val="WWNum1"/>
    <w:lvl w:ilvl="0">
      <w:start w:val="1"/>
      <w:numFmt w:val="decimal"/>
      <w:lvlText w:val="%1."/>
      <w:lvlJc w:val="left"/>
      <w:pPr>
        <w:ind w:left="720" w:hanging="720"/>
      </w:pPr>
      <w:rPr>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B51083D"/>
    <w:multiLevelType w:val="multilevel"/>
    <w:tmpl w:val="82CC5B5C"/>
    <w:styleLink w:val="WWNum3"/>
    <w:lvl w:ilvl="0">
      <w:start w:val="1"/>
      <w:numFmt w:val="decimal"/>
      <w:lvlText w:val="%1."/>
      <w:lvlJc w:val="left"/>
      <w:pPr>
        <w:ind w:left="720" w:hanging="720"/>
      </w:pPr>
      <w:rPr>
        <w:rFonts w:ascii="Arial Bold" w:hAnsi="Arial Bold"/>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B66560C"/>
    <w:multiLevelType w:val="multilevel"/>
    <w:tmpl w:val="C4626FC8"/>
    <w:styleLink w:val="WWNum2"/>
    <w:lvl w:ilvl="0">
      <w:start w:val="1"/>
      <w:numFmt w:val="decimal"/>
      <w:lvlText w:val="%1."/>
      <w:lvlJc w:val="left"/>
      <w:pPr>
        <w:ind w:left="720" w:hanging="720"/>
      </w:pPr>
      <w:rPr>
        <w:rFonts w:ascii="Arial Bold" w:hAnsi="Arial Bold"/>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hAnsi="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hAnsi="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ascii="Arial" w:hAnsi="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 w:numId="4">
    <w:abstractNumId w:val="2"/>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69"/>
    <w:rsid w:val="00091869"/>
    <w:rsid w:val="00262D47"/>
    <w:rsid w:val="002D243C"/>
    <w:rsid w:val="0056668C"/>
    <w:rsid w:val="005C33E5"/>
    <w:rsid w:val="00642661"/>
    <w:rsid w:val="009D6382"/>
    <w:rsid w:val="00A83545"/>
    <w:rsid w:val="00C95D41"/>
    <w:rsid w:val="00EF2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B446D6-3BF4-4FF4-A913-DFE9F49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after="240"/>
      <w:outlineLvl w:val="0"/>
    </w:pPr>
    <w:rPr>
      <w:rFonts w:ascii="Arial" w:eastAsia="Arial" w:hAnsi="Arial" w:cs="Arial"/>
      <w:b/>
      <w:sz w:val="36"/>
      <w:szCs w:val="36"/>
    </w:rPr>
  </w:style>
  <w:style w:type="paragraph" w:styleId="Heading2">
    <w:name w:val="heading 2"/>
    <w:basedOn w:val="Normal"/>
    <w:next w:val="Standar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2"/>
      <w:szCs w:val="22"/>
      <w:u w:val="none"/>
      <w:vertAlign w:val="baseline"/>
    </w:rPr>
  </w:style>
  <w:style w:type="character" w:customStyle="1" w:styleId="ListLabel2">
    <w:name w:val="ListLabel 2"/>
    <w:rPr>
      <w:b w:val="0"/>
      <w:i w:val="0"/>
      <w:caps w:val="0"/>
      <w:smallCaps w:val="0"/>
      <w:strike w:val="0"/>
      <w:dstrike w:val="0"/>
      <w:color w:val="000000"/>
      <w:position w:val="0"/>
      <w:sz w:val="22"/>
      <w:szCs w:val="22"/>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0">
    <w:name w:val="ListLabel 10"/>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ascii="Arial Bold" w:eastAsia="Arial Bold" w:hAnsi="Arial Bold" w:cs="Arial Bold"/>
      <w:b/>
      <w:i w:val="0"/>
      <w:caps w:val="0"/>
      <w:smallCaps w:val="0"/>
      <w:strike w:val="0"/>
      <w:dstrike w:val="0"/>
      <w:color w:val="000000"/>
      <w:position w:val="0"/>
      <w:sz w:val="24"/>
      <w:szCs w:val="24"/>
      <w:u w:val="none"/>
      <w:vertAlign w:val="baseline"/>
    </w:rPr>
  </w:style>
  <w:style w:type="character" w:customStyle="1" w:styleId="ListLabel14">
    <w:name w:val="ListLabel 14"/>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5">
    <w:name w:val="ListLabel 15"/>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6">
    <w:name w:val="ListLabel 16"/>
    <w:rPr>
      <w:b w:val="0"/>
      <w:i w:val="0"/>
      <w:caps w:val="0"/>
      <w:smallCaps w:val="0"/>
      <w:strike w:val="0"/>
      <w:dstrike w:val="0"/>
      <w:color w:val="000000"/>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Ambaye, Sebastian (CDIO)</dc:creator>
  <cp:lastModifiedBy>Anderson, Ian (Commercial)</cp:lastModifiedBy>
  <cp:revision>2</cp:revision>
  <dcterms:created xsi:type="dcterms:W3CDTF">2023-06-12T08:20:00Z</dcterms:created>
  <dcterms:modified xsi:type="dcterms:W3CDTF">2023-06-12T08:20:00Z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2023-03-10T12:58:33Z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70d1562e-2d83-466a-9587-a7c7aa4b2e49</vt:lpwstr>
  </property>
  <property fmtid="{D5CDD505-2E9C-101B-9397-08002B2CF9AE}" pid="8" name="MSIP_Label_f9af038e-07b4-4369-a678-c835687cb272_ContentBits">
    <vt:lpwstr>2</vt:lpwstr>
  </property>
</Properties>
</file>