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AD26BE" w:rsidRPr="008D4A19" w14:paraId="48ED3031" w14:textId="77777777" w:rsidTr="00F14B2C">
        <w:tc>
          <w:tcPr>
            <w:tcW w:w="4539" w:type="dxa"/>
          </w:tcPr>
          <w:p w14:paraId="008A048D" w14:textId="77777777" w:rsidR="00AD26BE" w:rsidRPr="008D4A19" w:rsidRDefault="00AD26BE" w:rsidP="00F14B2C">
            <w:pPr>
              <w:spacing w:after="200" w:line="276" w:lineRule="auto"/>
              <w:rPr>
                <w:rFonts w:eastAsiaTheme="minorHAnsi" w:cstheme="minorBidi"/>
                <w:b/>
                <w:color w:val="FF0000"/>
                <w:szCs w:val="22"/>
              </w:rPr>
            </w:pPr>
            <w:r w:rsidRPr="008D4A19">
              <w:rPr>
                <w:rFonts w:eastAsiaTheme="minorHAnsi" w:cstheme="minorBidi"/>
                <w:b/>
                <w:noProof/>
                <w:color w:val="FF0000"/>
                <w:szCs w:val="22"/>
              </w:rPr>
              <w:drawing>
                <wp:inline distT="0" distB="0" distL="0" distR="0" wp14:anchorId="1D648153" wp14:editId="33C1FF21">
                  <wp:extent cx="1809750" cy="1085850"/>
                  <wp:effectExtent l="19050" t="0" r="0" b="0"/>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487" w:type="dxa"/>
          </w:tcPr>
          <w:p w14:paraId="49DD46AD" w14:textId="77777777" w:rsidR="00AD26BE" w:rsidRPr="008D4A19" w:rsidRDefault="00AD26BE" w:rsidP="00F14B2C">
            <w:pPr>
              <w:spacing w:after="200" w:line="276" w:lineRule="auto"/>
              <w:jc w:val="right"/>
              <w:rPr>
                <w:rFonts w:eastAsiaTheme="minorHAnsi" w:cstheme="minorBidi"/>
                <w:b/>
                <w:color w:val="FF0000"/>
                <w:szCs w:val="22"/>
              </w:rPr>
            </w:pPr>
            <w:r>
              <w:rPr>
                <w:noProof/>
              </w:rPr>
              <w:drawing>
                <wp:inline distT="0" distB="0" distL="0" distR="0" wp14:anchorId="346574BF" wp14:editId="333CA27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4E5EA8D5" w14:textId="77777777" w:rsidR="00AD26BE" w:rsidRDefault="00AD26BE" w:rsidP="00AD26BE"/>
    <w:p w14:paraId="207FD5D6" w14:textId="77777777" w:rsidR="00AD26BE" w:rsidRDefault="00AD26BE" w:rsidP="00AD26BE"/>
    <w:p w14:paraId="633B4024" w14:textId="77777777" w:rsidR="00AD26BE" w:rsidRDefault="00AD26BE" w:rsidP="00AD26BE"/>
    <w:p w14:paraId="73189744" w14:textId="77777777" w:rsidR="00AD26BE" w:rsidRDefault="00AD26BE" w:rsidP="00AD26BE"/>
    <w:p w14:paraId="11700504" w14:textId="77777777" w:rsidR="00AD26BE" w:rsidRDefault="00AD26BE" w:rsidP="00AD26BE"/>
    <w:p w14:paraId="117D20EE" w14:textId="77777777" w:rsidR="00AD26BE" w:rsidRDefault="00AD26BE" w:rsidP="00AD26BE"/>
    <w:p w14:paraId="0864FFF7" w14:textId="77777777" w:rsidR="00AD26BE" w:rsidRDefault="00AD26BE" w:rsidP="00AD26BE"/>
    <w:p w14:paraId="25BC4E5F" w14:textId="7142E316" w:rsidR="00AD26BE" w:rsidRPr="00360CDD" w:rsidRDefault="00AD26BE" w:rsidP="00AD26BE">
      <w:pPr>
        <w:rPr>
          <w:b/>
          <w:sz w:val="52"/>
          <w:szCs w:val="52"/>
        </w:rPr>
      </w:pPr>
      <w:r w:rsidRPr="00360CDD">
        <w:rPr>
          <w:b/>
          <w:sz w:val="52"/>
          <w:szCs w:val="52"/>
        </w:rPr>
        <w:t xml:space="preserve">SPECIFICATION </w:t>
      </w:r>
      <w:bookmarkStart w:id="0" w:name="_GoBack"/>
      <w:bookmarkEnd w:id="0"/>
    </w:p>
    <w:p w14:paraId="4417495C" w14:textId="77777777" w:rsidR="00AD26BE" w:rsidRDefault="00AD26BE" w:rsidP="00AD26BE">
      <w:pPr>
        <w:rPr>
          <w:b/>
          <w:sz w:val="48"/>
          <w:szCs w:val="48"/>
        </w:rPr>
      </w:pPr>
    </w:p>
    <w:p w14:paraId="4C6626C3" w14:textId="77777777" w:rsidR="00AD26BE" w:rsidRDefault="00AD26BE" w:rsidP="00AD26BE">
      <w:pPr>
        <w:rPr>
          <w:b/>
          <w:sz w:val="48"/>
          <w:szCs w:val="48"/>
        </w:rPr>
      </w:pPr>
    </w:p>
    <w:p w14:paraId="05E9E69A" w14:textId="560D6AAD" w:rsidR="00AD26BE" w:rsidRPr="00360CDD" w:rsidRDefault="00AD26BE" w:rsidP="00AD26BE">
      <w:pPr>
        <w:rPr>
          <w:b/>
          <w:color w:val="FF0000"/>
          <w:sz w:val="36"/>
          <w:szCs w:val="36"/>
        </w:rPr>
      </w:pPr>
      <w:r w:rsidRPr="00360CDD">
        <w:rPr>
          <w:b/>
          <w:sz w:val="36"/>
          <w:szCs w:val="36"/>
        </w:rPr>
        <w:t>INVITATION TO TENDER</w:t>
      </w:r>
      <w:r>
        <w:rPr>
          <w:b/>
          <w:sz w:val="36"/>
          <w:szCs w:val="36"/>
        </w:rPr>
        <w:t>:</w:t>
      </w:r>
      <w:r w:rsidRPr="00360CDD">
        <w:rPr>
          <w:b/>
          <w:sz w:val="36"/>
          <w:szCs w:val="36"/>
        </w:rPr>
        <w:t xml:space="preserve"> </w:t>
      </w:r>
      <w:r w:rsidR="00345405" w:rsidRPr="00345405">
        <w:rPr>
          <w:b/>
          <w:sz w:val="36"/>
          <w:szCs w:val="36"/>
        </w:rPr>
        <w:t>itt_</w:t>
      </w:r>
      <w:r w:rsidR="00046650">
        <w:rPr>
          <w:b/>
          <w:sz w:val="36"/>
          <w:szCs w:val="36"/>
        </w:rPr>
        <w:t>29921</w:t>
      </w:r>
    </w:p>
    <w:p w14:paraId="79405AAA" w14:textId="77777777" w:rsidR="00AD26BE" w:rsidRDefault="00AD26BE" w:rsidP="00AD26BE">
      <w:pPr>
        <w:autoSpaceDE w:val="0"/>
        <w:autoSpaceDN w:val="0"/>
        <w:adjustRightInd w:val="0"/>
        <w:rPr>
          <w:rFonts w:cs="Arial"/>
          <w:b/>
          <w:bCs/>
          <w:sz w:val="48"/>
          <w:szCs w:val="48"/>
        </w:rPr>
      </w:pPr>
    </w:p>
    <w:p w14:paraId="34E318DB" w14:textId="77777777" w:rsidR="00AD26BE" w:rsidRDefault="00AD26BE" w:rsidP="00AD26BE">
      <w:pPr>
        <w:autoSpaceDE w:val="0"/>
        <w:autoSpaceDN w:val="0"/>
        <w:adjustRightInd w:val="0"/>
        <w:rPr>
          <w:rFonts w:cs="Arial"/>
          <w:b/>
          <w:bCs/>
          <w:sz w:val="48"/>
          <w:szCs w:val="48"/>
        </w:rPr>
      </w:pPr>
    </w:p>
    <w:p w14:paraId="073D4F05" w14:textId="647A8B89" w:rsidR="00AD26BE" w:rsidRPr="00AD26BE" w:rsidRDefault="00AD26BE" w:rsidP="00AD26BE">
      <w:pPr>
        <w:autoSpaceDE w:val="0"/>
        <w:autoSpaceDN w:val="0"/>
        <w:adjustRightInd w:val="0"/>
        <w:rPr>
          <w:rFonts w:cs="Arial"/>
          <w:b/>
          <w:bCs/>
          <w:color w:val="FF0000"/>
          <w:sz w:val="36"/>
          <w:szCs w:val="36"/>
        </w:rPr>
      </w:pPr>
      <w:r w:rsidRPr="00AD26BE">
        <w:rPr>
          <w:rFonts w:cs="Arial"/>
          <w:b/>
          <w:bCs/>
          <w:sz w:val="36"/>
          <w:szCs w:val="36"/>
        </w:rPr>
        <w:t xml:space="preserve">SPECIFICATION REFERENCE: </w:t>
      </w:r>
      <w:r w:rsidR="00046650">
        <w:rPr>
          <w:rFonts w:cs="Arial"/>
          <w:b/>
          <w:bCs/>
          <w:sz w:val="36"/>
          <w:szCs w:val="36"/>
        </w:rPr>
        <w:t>24-004</w:t>
      </w:r>
    </w:p>
    <w:p w14:paraId="560D34E7" w14:textId="77777777" w:rsidR="00AD26BE" w:rsidRPr="00360CDD" w:rsidRDefault="00AD26BE" w:rsidP="00AD26BE">
      <w:pPr>
        <w:autoSpaceDE w:val="0"/>
        <w:autoSpaceDN w:val="0"/>
        <w:adjustRightInd w:val="0"/>
        <w:rPr>
          <w:rFonts w:cs="Arial"/>
          <w:b/>
          <w:bCs/>
          <w:sz w:val="48"/>
          <w:szCs w:val="48"/>
        </w:rPr>
      </w:pPr>
    </w:p>
    <w:p w14:paraId="53B363B3" w14:textId="77777777" w:rsidR="00AD26BE" w:rsidRDefault="00AD26BE" w:rsidP="00AD26BE">
      <w:pPr>
        <w:autoSpaceDE w:val="0"/>
        <w:autoSpaceDN w:val="0"/>
        <w:adjustRightInd w:val="0"/>
        <w:rPr>
          <w:rFonts w:cs="Arial"/>
          <w:b/>
          <w:bCs/>
          <w:color w:val="FF0000"/>
          <w:sz w:val="36"/>
          <w:szCs w:val="36"/>
        </w:rPr>
      </w:pPr>
    </w:p>
    <w:p w14:paraId="0591A7CD" w14:textId="4279CA03" w:rsidR="00345405" w:rsidRPr="00345405" w:rsidRDefault="00345405" w:rsidP="00345405">
      <w:pPr>
        <w:spacing w:line="276" w:lineRule="auto"/>
        <w:ind w:right="284"/>
        <w:jc w:val="both"/>
        <w:rPr>
          <w:rFonts w:eastAsiaTheme="minorHAnsi"/>
          <w:b/>
          <w:caps/>
          <w:sz w:val="36"/>
        </w:rPr>
      </w:pPr>
      <w:r w:rsidRPr="00345405">
        <w:rPr>
          <w:rFonts w:eastAsiaTheme="minorHAnsi"/>
          <w:b/>
          <w:caps/>
          <w:sz w:val="36"/>
        </w:rPr>
        <w:t xml:space="preserve">ESF funded activity to support individuals who are NEET in </w:t>
      </w:r>
    </w:p>
    <w:p w14:paraId="614BAA9A" w14:textId="77777777" w:rsidR="00AD26BE" w:rsidRDefault="00AD26BE" w:rsidP="00AD26BE">
      <w:pPr>
        <w:rPr>
          <w:b/>
          <w:sz w:val="48"/>
          <w:szCs w:val="48"/>
        </w:rPr>
      </w:pPr>
    </w:p>
    <w:p w14:paraId="2EDCCBE2" w14:textId="77777777" w:rsidR="00AD26BE" w:rsidRDefault="00AD26BE" w:rsidP="00AD26BE">
      <w:pPr>
        <w:rPr>
          <w:b/>
          <w:sz w:val="48"/>
          <w:szCs w:val="48"/>
        </w:rPr>
      </w:pPr>
    </w:p>
    <w:p w14:paraId="2BFE13B1" w14:textId="24540A14" w:rsidR="00AD26BE" w:rsidRPr="00046650" w:rsidRDefault="00046650" w:rsidP="00AD26BE">
      <w:pPr>
        <w:rPr>
          <w:b/>
          <w:color w:val="0000FF"/>
          <w:sz w:val="36"/>
          <w:szCs w:val="36"/>
        </w:rPr>
      </w:pPr>
      <w:r w:rsidRPr="00046650">
        <w:rPr>
          <w:rFonts w:cs="Arial"/>
          <w:b/>
          <w:color w:val="0000FF"/>
          <w:sz w:val="36"/>
          <w:szCs w:val="36"/>
        </w:rPr>
        <w:t>New Anglia</w:t>
      </w:r>
    </w:p>
    <w:p w14:paraId="4D462E90" w14:textId="77777777" w:rsidR="00AD26BE" w:rsidRPr="00046650" w:rsidRDefault="00AD26BE" w:rsidP="00AD26BE">
      <w:pPr>
        <w:rPr>
          <w:b/>
          <w:color w:val="0000FF"/>
          <w:sz w:val="48"/>
          <w:szCs w:val="48"/>
        </w:rPr>
      </w:pPr>
    </w:p>
    <w:p w14:paraId="18752C2C" w14:textId="77777777" w:rsidR="00AD26BE" w:rsidRDefault="00AD26BE" w:rsidP="00AD26BE">
      <w:pPr>
        <w:rPr>
          <w:b/>
          <w:sz w:val="48"/>
          <w:szCs w:val="48"/>
        </w:rPr>
      </w:pPr>
    </w:p>
    <w:p w14:paraId="622C5000" w14:textId="1108D045" w:rsidR="00F14B2C" w:rsidRDefault="00AD26BE">
      <w:pPr>
        <w:rPr>
          <w:b/>
          <w:sz w:val="36"/>
          <w:szCs w:val="36"/>
        </w:rPr>
      </w:pPr>
      <w:r w:rsidRPr="00360CDD">
        <w:rPr>
          <w:b/>
          <w:sz w:val="36"/>
          <w:szCs w:val="36"/>
        </w:rPr>
        <w:t>DATE:</w:t>
      </w:r>
      <w:r w:rsidR="00345405">
        <w:rPr>
          <w:b/>
          <w:sz w:val="36"/>
          <w:szCs w:val="36"/>
        </w:rPr>
        <w:t xml:space="preserve"> </w:t>
      </w:r>
      <w:r w:rsidR="00046650">
        <w:rPr>
          <w:b/>
          <w:sz w:val="36"/>
          <w:szCs w:val="36"/>
        </w:rPr>
        <w:t>January 2016</w:t>
      </w:r>
    </w:p>
    <w:p w14:paraId="2FEB9385" w14:textId="19DD3962" w:rsidR="003843BC" w:rsidRDefault="00F14B2C">
      <w:pPr>
        <w:rPr>
          <w:b/>
          <w:sz w:val="36"/>
          <w:szCs w:val="36"/>
        </w:rPr>
      </w:pPr>
      <w:r w:rsidRPr="008D4A19">
        <w:rPr>
          <w:rFonts w:eastAsiaTheme="minorHAnsi" w:cstheme="minorBidi"/>
          <w:b/>
          <w:noProof/>
          <w:color w:val="FF0000"/>
          <w:szCs w:val="22"/>
          <w:lang w:eastAsia="en-GB"/>
        </w:rPr>
        <w:lastRenderedPageBreak/>
        <w:drawing>
          <wp:inline distT="0" distB="0" distL="0" distR="0" wp14:anchorId="2F00B72F" wp14:editId="498041F1">
            <wp:extent cx="1809750" cy="1085850"/>
            <wp:effectExtent l="19050" t="0" r="0" b="0"/>
            <wp:docPr id="3"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1"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r>
        <w:rPr>
          <w:b/>
          <w:sz w:val="36"/>
          <w:szCs w:val="36"/>
        </w:rPr>
        <w:tab/>
      </w:r>
      <w:r>
        <w:rPr>
          <w:b/>
          <w:sz w:val="36"/>
          <w:szCs w:val="36"/>
        </w:rPr>
        <w:tab/>
      </w:r>
      <w:r>
        <w:rPr>
          <w:b/>
          <w:sz w:val="36"/>
          <w:szCs w:val="36"/>
        </w:rPr>
        <w:tab/>
      </w:r>
      <w:r>
        <w:rPr>
          <w:b/>
          <w:sz w:val="36"/>
          <w:szCs w:val="36"/>
        </w:rPr>
        <w:tab/>
      </w:r>
      <w:r>
        <w:rPr>
          <w:b/>
          <w:sz w:val="36"/>
          <w:szCs w:val="36"/>
        </w:rPr>
        <w:tab/>
      </w:r>
      <w:r>
        <w:rPr>
          <w:noProof/>
          <w:lang w:eastAsia="en-GB"/>
        </w:rPr>
        <w:drawing>
          <wp:inline distT="0" distB="0" distL="0" distR="0" wp14:anchorId="6B6DFE1E" wp14:editId="75BAC5C6">
            <wp:extent cx="1047135" cy="1047135"/>
            <wp:effectExtent l="0" t="0" r="635" b="635"/>
            <wp:docPr id="4"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p w14:paraId="2AFC15D2" w14:textId="77777777" w:rsidR="00F14B2C" w:rsidRDefault="00F14B2C">
      <w:pPr>
        <w:rPr>
          <w:b/>
          <w:sz w:val="36"/>
          <w:szCs w:val="36"/>
        </w:rPr>
      </w:pPr>
    </w:p>
    <w:p w14:paraId="23DDF348" w14:textId="77777777" w:rsidR="00F14B2C" w:rsidRDefault="00F14B2C">
      <w:pPr>
        <w:rPr>
          <w:b/>
          <w:sz w:val="36"/>
          <w:szCs w:val="36"/>
        </w:rPr>
      </w:pPr>
    </w:p>
    <w:tbl>
      <w:tblPr>
        <w:tblStyle w:val="TableGrid"/>
        <w:tblW w:w="5177" w:type="pct"/>
        <w:tblLayout w:type="fixed"/>
        <w:tblLook w:val="04A0" w:firstRow="1" w:lastRow="0" w:firstColumn="1" w:lastColumn="0" w:noHBand="0" w:noVBand="1"/>
      </w:tblPr>
      <w:tblGrid>
        <w:gridCol w:w="9067"/>
        <w:gridCol w:w="21"/>
      </w:tblGrid>
      <w:tr w:rsidR="00046650" w:rsidRPr="00046650" w14:paraId="39145165" w14:textId="77777777" w:rsidTr="00720C6C">
        <w:trPr>
          <w:trHeight w:val="597"/>
        </w:trPr>
        <w:tc>
          <w:tcPr>
            <w:tcW w:w="9088" w:type="dxa"/>
            <w:gridSpan w:val="2"/>
          </w:tcPr>
          <w:p w14:paraId="031DB5AE" w14:textId="77777777" w:rsidR="00046650" w:rsidRPr="00046650" w:rsidRDefault="00046650" w:rsidP="00720C6C">
            <w:pPr>
              <w:pStyle w:val="BodyText"/>
              <w:tabs>
                <w:tab w:val="num" w:pos="1134"/>
              </w:tabs>
              <w:spacing w:after="0"/>
              <w:jc w:val="both"/>
              <w:rPr>
                <w:rFonts w:ascii="Arial" w:hAnsi="Arial" w:cs="Arial"/>
                <w:b/>
              </w:rPr>
            </w:pPr>
            <w:r w:rsidRPr="00046650">
              <w:rPr>
                <w:rFonts w:ascii="Arial" w:hAnsi="Arial" w:cs="Arial"/>
                <w:b/>
              </w:rPr>
              <w:t>EUROPEAN SOCIAL FUND – NEET SPECIFICATION – FINAL TEMPLATE</w:t>
            </w:r>
          </w:p>
          <w:p w14:paraId="25CF7E79" w14:textId="77777777" w:rsidR="00046650" w:rsidRPr="00046650" w:rsidRDefault="00046650" w:rsidP="00720C6C">
            <w:pPr>
              <w:pStyle w:val="BodyText"/>
              <w:tabs>
                <w:tab w:val="num" w:pos="1134"/>
              </w:tabs>
              <w:spacing w:after="0"/>
              <w:jc w:val="both"/>
              <w:rPr>
                <w:rFonts w:ascii="Arial" w:hAnsi="Arial" w:cs="Arial"/>
                <w:b/>
              </w:rPr>
            </w:pPr>
            <w:r w:rsidRPr="00046650">
              <w:rPr>
                <w:rFonts w:ascii="Arial" w:hAnsi="Arial" w:cs="Arial"/>
                <w:b/>
              </w:rPr>
              <w:t>New Anglia Local Enterprise Partnership – NEET Prevention Programme in Norfolk.</w:t>
            </w:r>
          </w:p>
          <w:p w14:paraId="2433AC85" w14:textId="77777777" w:rsidR="00046650" w:rsidRPr="00046650" w:rsidRDefault="00046650" w:rsidP="00720C6C">
            <w:pPr>
              <w:pStyle w:val="BodyText"/>
              <w:tabs>
                <w:tab w:val="num" w:pos="1134"/>
              </w:tabs>
              <w:spacing w:after="0"/>
              <w:jc w:val="both"/>
              <w:rPr>
                <w:rFonts w:ascii="Arial" w:hAnsi="Arial" w:cs="Arial"/>
                <w:b/>
              </w:rPr>
            </w:pPr>
            <w:r w:rsidRPr="00046650">
              <w:rPr>
                <w:rFonts w:ascii="Arial" w:hAnsi="Arial" w:cs="Arial"/>
                <w:b/>
              </w:rPr>
              <w:t>ITT_29921-24-004-01</w:t>
            </w:r>
          </w:p>
          <w:p w14:paraId="6D6E3C83" w14:textId="77777777" w:rsidR="00046650" w:rsidRPr="00046650" w:rsidRDefault="00046650" w:rsidP="00720C6C">
            <w:pPr>
              <w:pStyle w:val="BodyText"/>
              <w:tabs>
                <w:tab w:val="num" w:pos="1134"/>
              </w:tabs>
              <w:spacing w:after="0"/>
              <w:jc w:val="both"/>
              <w:rPr>
                <w:rFonts w:ascii="Arial" w:hAnsi="Arial" w:cs="Arial"/>
                <w:b/>
                <w:color w:val="FF0000"/>
              </w:rPr>
            </w:pPr>
          </w:p>
        </w:tc>
      </w:tr>
      <w:tr w:rsidR="00046650" w:rsidRPr="00FD3B0A" w14:paraId="5B23DBB3" w14:textId="77777777" w:rsidTr="00720C6C">
        <w:trPr>
          <w:trHeight w:val="567"/>
        </w:trPr>
        <w:tc>
          <w:tcPr>
            <w:tcW w:w="9088" w:type="dxa"/>
            <w:gridSpan w:val="2"/>
            <w:shd w:val="clear" w:color="auto" w:fill="D9D9D9" w:themeFill="background1" w:themeFillShade="D9"/>
            <w:vAlign w:val="center"/>
          </w:tcPr>
          <w:p w14:paraId="5B83676E" w14:textId="77777777" w:rsidR="00046650" w:rsidRPr="00FD3B0A" w:rsidRDefault="00046650" w:rsidP="00720C6C">
            <w:pPr>
              <w:pStyle w:val="SpecificationHeading"/>
            </w:pPr>
            <w:r w:rsidRPr="00FD3B0A">
              <w:t>BACKGROUND</w:t>
            </w:r>
          </w:p>
        </w:tc>
      </w:tr>
      <w:tr w:rsidR="00046650" w:rsidRPr="00C8791B" w14:paraId="5B004EC0" w14:textId="77777777" w:rsidTr="00720C6C">
        <w:tc>
          <w:tcPr>
            <w:tcW w:w="9088" w:type="dxa"/>
            <w:gridSpan w:val="2"/>
          </w:tcPr>
          <w:p w14:paraId="09B03BB8" w14:textId="77777777" w:rsidR="00046650" w:rsidRPr="002833D9" w:rsidRDefault="00046650" w:rsidP="00720C6C">
            <w:pPr>
              <w:tabs>
                <w:tab w:val="num" w:pos="900"/>
              </w:tabs>
              <w:autoSpaceDE w:val="0"/>
              <w:autoSpaceDN w:val="0"/>
              <w:adjustRightInd w:val="0"/>
              <w:rPr>
                <w:rFonts w:cs="Arial"/>
                <w:b/>
              </w:rPr>
            </w:pPr>
          </w:p>
          <w:p w14:paraId="48EFC594" w14:textId="77777777" w:rsidR="00046650" w:rsidRPr="002833D9" w:rsidRDefault="00046650" w:rsidP="00720C6C">
            <w:pPr>
              <w:tabs>
                <w:tab w:val="num" w:pos="900"/>
              </w:tabs>
              <w:autoSpaceDE w:val="0"/>
              <w:autoSpaceDN w:val="0"/>
              <w:adjustRightInd w:val="0"/>
              <w:rPr>
                <w:rFonts w:cs="Arial"/>
                <w:b/>
              </w:rPr>
            </w:pPr>
            <w:r w:rsidRPr="002833D9">
              <w:rPr>
                <w:rFonts w:cs="Arial"/>
                <w:b/>
              </w:rPr>
              <w:t>General</w:t>
            </w:r>
          </w:p>
          <w:p w14:paraId="317BA066" w14:textId="77777777" w:rsidR="00046650" w:rsidRPr="002833D9" w:rsidRDefault="00046650" w:rsidP="00720C6C">
            <w:pPr>
              <w:tabs>
                <w:tab w:val="num" w:pos="900"/>
              </w:tabs>
              <w:autoSpaceDE w:val="0"/>
              <w:autoSpaceDN w:val="0"/>
              <w:adjustRightInd w:val="0"/>
              <w:rPr>
                <w:rFonts w:cs="Arial"/>
                <w:b/>
              </w:rPr>
            </w:pPr>
          </w:p>
          <w:p w14:paraId="6EC53687" w14:textId="77777777" w:rsidR="00046650" w:rsidRPr="00AF706C" w:rsidRDefault="00046650" w:rsidP="00720C6C">
            <w:pPr>
              <w:tabs>
                <w:tab w:val="num" w:pos="900"/>
              </w:tabs>
              <w:autoSpaceDE w:val="0"/>
              <w:autoSpaceDN w:val="0"/>
              <w:adjustRightInd w:val="0"/>
              <w:rPr>
                <w:rFonts w:cs="Arial"/>
              </w:rPr>
            </w:pPr>
            <w:r w:rsidRPr="00AF706C">
              <w:rPr>
                <w:rFonts w:cs="Arial"/>
              </w:rPr>
              <w:t>The contracting authority is the Secretary of State for Business Innovation and Skills acting through the Skills Funding Agency (SFA), an executive agency of the Department for Business Innovation and Skills exercising functions to fund adult education and skills.</w:t>
            </w:r>
          </w:p>
          <w:p w14:paraId="1EC9D234" w14:textId="77777777" w:rsidR="00046650" w:rsidRPr="00AF706C" w:rsidRDefault="00046650" w:rsidP="00720C6C">
            <w:pPr>
              <w:tabs>
                <w:tab w:val="num" w:pos="900"/>
              </w:tabs>
              <w:autoSpaceDE w:val="0"/>
              <w:autoSpaceDN w:val="0"/>
              <w:adjustRightInd w:val="0"/>
              <w:rPr>
                <w:rFonts w:cs="Arial"/>
              </w:rPr>
            </w:pPr>
          </w:p>
          <w:p w14:paraId="3F91E3CA" w14:textId="77777777" w:rsidR="00046650" w:rsidRPr="00AF706C" w:rsidRDefault="00046650" w:rsidP="00720C6C">
            <w:pPr>
              <w:rPr>
                <w:rFonts w:cs="Arial"/>
              </w:rPr>
            </w:pPr>
            <w:r w:rsidRPr="00AF706C">
              <w:rPr>
                <w:rFonts w:cs="Arial"/>
              </w:rPr>
              <w:t xml:space="preserve">The SFA, acting as an Opt-In Organisation for the European Social Fund (ESF), is procuring education and training Services to meet priorities identified by </w:t>
            </w:r>
            <w:r w:rsidRPr="00AF706C">
              <w:t xml:space="preserve">Local Enterprise Partnership (LEP) area European Structural and Investment Funds Sub–Committees. </w:t>
            </w:r>
            <w:r w:rsidRPr="00AF706C">
              <w:rPr>
                <w:rFonts w:cs="Arial"/>
              </w:rPr>
              <w:t>As an Opt-In Organisation the SFA provides match funding at Priority Axis level utilising sources of public funding as match for ESF funded activity.</w:t>
            </w:r>
          </w:p>
          <w:p w14:paraId="5ADCA07C" w14:textId="77777777" w:rsidR="00046650" w:rsidRPr="00AF706C" w:rsidRDefault="00046650" w:rsidP="00720C6C">
            <w:pPr>
              <w:rPr>
                <w:rFonts w:cs="Arial"/>
              </w:rPr>
            </w:pPr>
          </w:p>
          <w:p w14:paraId="5D05A8A9" w14:textId="77777777" w:rsidR="00046650" w:rsidRPr="00AF706C" w:rsidRDefault="00046650" w:rsidP="00720C6C">
            <w:pPr>
              <w:rPr>
                <w:rFonts w:cs="Arial"/>
              </w:rPr>
            </w:pPr>
            <w:r w:rsidRPr="00AF706C">
              <w:rPr>
                <w:rFonts w:cs="Arial"/>
              </w:rPr>
              <w:t xml:space="preserve">This Invitation to Tender (ITT) supports ESF Investment Priority 1.2 where the need has been identified both in the LEP area and European Structural and Investment Fund Strategies.  </w:t>
            </w:r>
          </w:p>
          <w:p w14:paraId="3D243FA6" w14:textId="77777777" w:rsidR="00046650" w:rsidRPr="00AF706C" w:rsidRDefault="00046650" w:rsidP="00720C6C">
            <w:pPr>
              <w:tabs>
                <w:tab w:val="num" w:pos="900"/>
              </w:tabs>
              <w:autoSpaceDE w:val="0"/>
              <w:autoSpaceDN w:val="0"/>
              <w:adjustRightInd w:val="0"/>
              <w:rPr>
                <w:rFonts w:cs="Arial"/>
              </w:rPr>
            </w:pPr>
          </w:p>
          <w:p w14:paraId="32AA9E7E" w14:textId="77777777" w:rsidR="00046650" w:rsidRDefault="00046650" w:rsidP="00720C6C">
            <w:pPr>
              <w:rPr>
                <w:rFonts w:cs="Arial"/>
              </w:rPr>
            </w:pPr>
            <w:r w:rsidRPr="00AF706C">
              <w:rPr>
                <w:rFonts w:cs="Arial"/>
              </w:rPr>
              <w:t xml:space="preserve">The SFA is looking to procure an organisation(s) to deliver education and training Services to support young people who are 15-24 who are not in education employment or training (NEET) or </w:t>
            </w:r>
            <w:r>
              <w:rPr>
                <w:rFonts w:cs="Arial"/>
              </w:rPr>
              <w:t>a</w:t>
            </w:r>
            <w:r w:rsidRPr="00AF706C">
              <w:rPr>
                <w:rFonts w:cs="Arial"/>
              </w:rPr>
              <w:t xml:space="preserve">t risk of becoming NEET in </w:t>
            </w:r>
            <w:r w:rsidRPr="00246005">
              <w:rPr>
                <w:rFonts w:cs="Arial"/>
              </w:rPr>
              <w:t xml:space="preserve">the New Anglia </w:t>
            </w:r>
            <w:r w:rsidRPr="00AF706C">
              <w:rPr>
                <w:rFonts w:cs="Arial"/>
              </w:rPr>
              <w:t>LEP area set out below.</w:t>
            </w:r>
            <w:r w:rsidRPr="002833D9">
              <w:rPr>
                <w:rFonts w:cs="Arial"/>
              </w:rPr>
              <w:t xml:space="preserve"> </w:t>
            </w:r>
          </w:p>
          <w:p w14:paraId="568F23C9" w14:textId="77777777" w:rsidR="00046650" w:rsidRDefault="00046650" w:rsidP="00720C6C">
            <w:pPr>
              <w:rPr>
                <w:rFonts w:cs="Arial"/>
              </w:rPr>
            </w:pPr>
          </w:p>
          <w:p w14:paraId="4C5CB1F5" w14:textId="77777777" w:rsidR="00046650" w:rsidRPr="002833D9" w:rsidRDefault="00046650" w:rsidP="00720C6C">
            <w:pPr>
              <w:rPr>
                <w:rFonts w:cs="Arial"/>
              </w:rPr>
            </w:pPr>
            <w:r>
              <w:rPr>
                <w:rFonts w:cs="Arial"/>
              </w:rPr>
              <w:t>New Anglia LEP covers the Counties of Norfolk and Suffolk. This specification relates only to the County of Norfolk and to procure one Candidate for Norfolk.</w:t>
            </w:r>
          </w:p>
          <w:p w14:paraId="1B23D8FA" w14:textId="77777777" w:rsidR="00046650" w:rsidRPr="002833D9" w:rsidRDefault="00046650" w:rsidP="00720C6C">
            <w:pPr>
              <w:rPr>
                <w:rFonts w:cs="Arial"/>
              </w:rPr>
            </w:pPr>
          </w:p>
          <w:p w14:paraId="4947A18C" w14:textId="77777777" w:rsidR="00046650" w:rsidRDefault="00046650" w:rsidP="00720C6C">
            <w:pPr>
              <w:rPr>
                <w:rFonts w:cs="Arial"/>
                <w:b/>
              </w:rPr>
            </w:pPr>
            <w:r>
              <w:rPr>
                <w:rFonts w:cs="Arial"/>
                <w:b/>
              </w:rPr>
              <w:t>New Anglia Local Enterprise Partnership</w:t>
            </w:r>
          </w:p>
          <w:p w14:paraId="5C0D5093" w14:textId="77777777" w:rsidR="00046650" w:rsidRDefault="00046650" w:rsidP="00720C6C">
            <w:pPr>
              <w:rPr>
                <w:rFonts w:cs="Arial"/>
              </w:rPr>
            </w:pPr>
          </w:p>
          <w:p w14:paraId="05D8F3A5" w14:textId="77777777" w:rsidR="00046650" w:rsidRPr="00FE554B" w:rsidRDefault="00046650" w:rsidP="00720C6C">
            <w:pPr>
              <w:rPr>
                <w:rFonts w:cs="Arial"/>
              </w:rPr>
            </w:pPr>
            <w:r w:rsidRPr="00FE554B">
              <w:rPr>
                <w:rFonts w:cs="Arial"/>
              </w:rPr>
              <w:t xml:space="preserve">New Anglia LEP and its partners recognise that a strong skills base is a pre-requisite to a growing and performing economy where local people are at the heart of economic sustainability. </w:t>
            </w:r>
          </w:p>
          <w:p w14:paraId="6F07A50E" w14:textId="77777777" w:rsidR="00046650" w:rsidRPr="00FE554B" w:rsidRDefault="00046650" w:rsidP="00720C6C">
            <w:pPr>
              <w:rPr>
                <w:rFonts w:cs="Arial"/>
              </w:rPr>
            </w:pPr>
          </w:p>
          <w:p w14:paraId="1353F90F" w14:textId="77777777" w:rsidR="00046650" w:rsidRDefault="00046650" w:rsidP="00720C6C">
            <w:pPr>
              <w:pStyle w:val="BodyText"/>
              <w:tabs>
                <w:tab w:val="left" w:pos="360"/>
              </w:tabs>
              <w:spacing w:after="0"/>
              <w:rPr>
                <w:rFonts w:ascii="Arial" w:hAnsi="Arial" w:cs="Arial"/>
              </w:rPr>
            </w:pPr>
            <w:r w:rsidRPr="00366989">
              <w:rPr>
                <w:rFonts w:ascii="Arial" w:hAnsi="Arial" w:cs="Arial"/>
              </w:rPr>
              <w:lastRenderedPageBreak/>
              <w:t>The New Anglia Strategic Economic Plan (SEP) sets out the ambition to develop a locally responsive skills system that transforms skills from being an economic barrier to being a growth enabler. This requires the creation of a skills system that meets current and future economic needs, and raises individual achievement and aspiration. The LEP wants to grow local talent in key growth and employment sectors and help people get into work.</w:t>
            </w:r>
          </w:p>
          <w:p w14:paraId="17866861" w14:textId="77777777" w:rsidR="00046650" w:rsidRPr="00366989" w:rsidRDefault="00046650" w:rsidP="00720C6C">
            <w:pPr>
              <w:pStyle w:val="BodyText"/>
              <w:tabs>
                <w:tab w:val="left" w:pos="360"/>
              </w:tabs>
              <w:spacing w:after="0"/>
              <w:rPr>
                <w:rFonts w:ascii="Arial" w:hAnsi="Arial" w:cs="Arial"/>
              </w:rPr>
            </w:pPr>
          </w:p>
          <w:p w14:paraId="1A5EFFFF" w14:textId="77777777" w:rsidR="00046650" w:rsidRDefault="00046650" w:rsidP="00720C6C">
            <w:pPr>
              <w:pStyle w:val="BodyText"/>
              <w:tabs>
                <w:tab w:val="left" w:pos="360"/>
              </w:tabs>
              <w:spacing w:after="0"/>
              <w:rPr>
                <w:rFonts w:ascii="Arial" w:hAnsi="Arial" w:cs="Arial"/>
              </w:rPr>
            </w:pPr>
            <w:r w:rsidRPr="00FE554B">
              <w:rPr>
                <w:rFonts w:ascii="Arial" w:hAnsi="Arial" w:cs="Arial"/>
              </w:rPr>
              <w:t xml:space="preserve">The Skills Board owns the New Anglia </w:t>
            </w:r>
            <w:hyperlink r:id="rId13" w:history="1">
              <w:r w:rsidRPr="00F42811">
                <w:rPr>
                  <w:rFonts w:ascii="Arial" w:hAnsi="Arial" w:cs="Arial"/>
                </w:rPr>
                <w:t>Skills</w:t>
              </w:r>
            </w:hyperlink>
            <w:r w:rsidRPr="00F42811">
              <w:rPr>
                <w:rFonts w:ascii="Arial" w:hAnsi="Arial" w:cs="Arial"/>
              </w:rPr>
              <w:t xml:space="preserve"> Manifesto</w:t>
            </w:r>
            <w:r w:rsidRPr="00FE554B">
              <w:rPr>
                <w:rFonts w:ascii="Arial" w:hAnsi="Arial" w:cs="Arial"/>
              </w:rPr>
              <w:t xml:space="preserve"> </w:t>
            </w:r>
            <w:r>
              <w:rPr>
                <w:rFonts w:ascii="Arial" w:hAnsi="Arial" w:cs="Arial"/>
              </w:rPr>
              <w:t xml:space="preserve">(can be located by accessing </w:t>
            </w:r>
            <w:hyperlink r:id="rId14" w:history="1">
              <w:r w:rsidRPr="0000058F">
                <w:rPr>
                  <w:rStyle w:val="Hyperlink"/>
                  <w:rFonts w:cs="Arial"/>
                </w:rPr>
                <w:t>http://www.newanglia.co.uk/skills/</w:t>
              </w:r>
            </w:hyperlink>
            <w:r>
              <w:rPr>
                <w:rFonts w:ascii="Arial" w:hAnsi="Arial" w:cs="Arial"/>
              </w:rPr>
              <w:t xml:space="preserve"> ) </w:t>
            </w:r>
            <w:r w:rsidRPr="00FE554B">
              <w:rPr>
                <w:rFonts w:ascii="Arial" w:hAnsi="Arial" w:cs="Arial"/>
              </w:rPr>
              <w:t>which was published in November 2013 and signals the long term commitment to skills and calls upon employers, individuals, local authorities and education providers to come together and form a strong and enduring partnership to address local skills needs.</w:t>
            </w:r>
          </w:p>
          <w:p w14:paraId="498F9A4D" w14:textId="77777777" w:rsidR="00046650" w:rsidRPr="00FE554B" w:rsidRDefault="00046650" w:rsidP="00720C6C">
            <w:pPr>
              <w:pStyle w:val="BodyText"/>
              <w:tabs>
                <w:tab w:val="left" w:pos="360"/>
              </w:tabs>
              <w:spacing w:after="0"/>
              <w:rPr>
                <w:rFonts w:cs="Arial"/>
              </w:rPr>
            </w:pPr>
          </w:p>
          <w:p w14:paraId="251F4C73" w14:textId="77777777" w:rsidR="00046650" w:rsidRDefault="00046650" w:rsidP="00720C6C">
            <w:pPr>
              <w:pStyle w:val="BodyText"/>
              <w:tabs>
                <w:tab w:val="left" w:pos="360"/>
              </w:tabs>
              <w:spacing w:after="0"/>
              <w:rPr>
                <w:rFonts w:ascii="Arial" w:hAnsi="Arial" w:cs="Arial"/>
              </w:rPr>
            </w:pPr>
            <w:r w:rsidRPr="00FE554B">
              <w:rPr>
                <w:rFonts w:ascii="Arial" w:hAnsi="Arial" w:cs="Arial"/>
              </w:rPr>
              <w:t xml:space="preserve">The </w:t>
            </w:r>
            <w:r>
              <w:rPr>
                <w:rFonts w:ascii="Arial" w:hAnsi="Arial" w:cs="Arial"/>
              </w:rPr>
              <w:t xml:space="preserve">New Anglia SEP (can be located by accessing </w:t>
            </w:r>
            <w:hyperlink r:id="rId15" w:history="1">
              <w:r w:rsidRPr="0000058F">
                <w:rPr>
                  <w:rStyle w:val="Hyperlink"/>
                  <w:rFonts w:cs="Arial"/>
                </w:rPr>
                <w:t>http://www.newanglia.co.uk/wp-content/uploads/2014/03/New-Anglia-Strategic-Economic-Plan-V2.pdf</w:t>
              </w:r>
            </w:hyperlink>
            <w:r>
              <w:rPr>
                <w:rFonts w:ascii="Arial" w:hAnsi="Arial" w:cs="Arial"/>
              </w:rPr>
              <w:t xml:space="preserve"> ) </w:t>
            </w:r>
            <w:r w:rsidRPr="00FE554B">
              <w:rPr>
                <w:rFonts w:ascii="Arial" w:hAnsi="Arial" w:cs="Arial"/>
              </w:rPr>
              <w:t>outlines the high level ambitions for skills, workforce development and employability</w:t>
            </w:r>
            <w:r>
              <w:rPr>
                <w:rFonts w:ascii="Arial" w:hAnsi="Arial" w:cs="Arial"/>
              </w:rPr>
              <w:t>, and the</w:t>
            </w:r>
            <w:r w:rsidRPr="00FE554B">
              <w:rPr>
                <w:rFonts w:ascii="Arial" w:hAnsi="Arial" w:cs="Arial"/>
              </w:rPr>
              <w:t xml:space="preserve"> ESF investment </w:t>
            </w:r>
            <w:r>
              <w:rPr>
                <w:rFonts w:ascii="Arial" w:hAnsi="Arial" w:cs="Arial"/>
              </w:rPr>
              <w:t xml:space="preserve">must </w:t>
            </w:r>
            <w:r w:rsidRPr="00FE554B">
              <w:rPr>
                <w:rFonts w:ascii="Arial" w:hAnsi="Arial" w:cs="Arial"/>
              </w:rPr>
              <w:t>help to move this forward.</w:t>
            </w:r>
          </w:p>
          <w:p w14:paraId="3CC48E67" w14:textId="77777777" w:rsidR="00046650" w:rsidRPr="00366989" w:rsidRDefault="00046650" w:rsidP="00720C6C">
            <w:pPr>
              <w:pStyle w:val="BodyText"/>
              <w:tabs>
                <w:tab w:val="left" w:pos="360"/>
              </w:tabs>
              <w:spacing w:after="0"/>
              <w:rPr>
                <w:rFonts w:ascii="Arial" w:hAnsi="Arial" w:cs="Arial"/>
              </w:rPr>
            </w:pPr>
          </w:p>
          <w:p w14:paraId="5B97C8DA" w14:textId="77777777" w:rsidR="00046650" w:rsidRDefault="00046650" w:rsidP="00720C6C">
            <w:pPr>
              <w:pStyle w:val="BodyText"/>
              <w:tabs>
                <w:tab w:val="left" w:pos="360"/>
              </w:tabs>
              <w:spacing w:after="0"/>
              <w:rPr>
                <w:rFonts w:ascii="Arial" w:hAnsi="Arial" w:cs="Arial"/>
              </w:rPr>
            </w:pPr>
            <w:r w:rsidRPr="00FE554B">
              <w:rPr>
                <w:rFonts w:ascii="Arial" w:hAnsi="Arial" w:cs="Arial"/>
              </w:rPr>
              <w:t xml:space="preserve">The </w:t>
            </w:r>
            <w:r>
              <w:rPr>
                <w:rFonts w:ascii="Arial" w:hAnsi="Arial" w:cs="Arial"/>
              </w:rPr>
              <w:t xml:space="preserve">Services being procured must </w:t>
            </w:r>
            <w:r w:rsidRPr="00FE554B">
              <w:rPr>
                <w:rFonts w:ascii="Arial" w:hAnsi="Arial" w:cs="Arial"/>
              </w:rPr>
              <w:t>align with the Specific Local Objectives SO</w:t>
            </w:r>
            <w:r>
              <w:rPr>
                <w:rFonts w:ascii="Arial" w:hAnsi="Arial" w:cs="Arial"/>
              </w:rPr>
              <w:t xml:space="preserve"> </w:t>
            </w:r>
            <w:r w:rsidRPr="00FE554B">
              <w:rPr>
                <w:rFonts w:ascii="Arial" w:hAnsi="Arial" w:cs="Arial"/>
              </w:rPr>
              <w:t xml:space="preserve">8.3 and 8.4 as set out in The New Anglia European Investment Strategy.  </w:t>
            </w:r>
          </w:p>
          <w:p w14:paraId="69013F51" w14:textId="77777777" w:rsidR="00046650" w:rsidRPr="00FE554B" w:rsidRDefault="00046650" w:rsidP="00720C6C">
            <w:pPr>
              <w:pStyle w:val="BodyText"/>
              <w:tabs>
                <w:tab w:val="left" w:pos="360"/>
              </w:tabs>
              <w:spacing w:after="0"/>
              <w:rPr>
                <w:rFonts w:ascii="Arial" w:hAnsi="Arial" w:cs="Arial"/>
                <w:b/>
              </w:rPr>
            </w:pPr>
          </w:p>
          <w:p w14:paraId="6FE6E462" w14:textId="77777777" w:rsidR="00046650" w:rsidRDefault="00046650" w:rsidP="00720C6C">
            <w:pPr>
              <w:pStyle w:val="BodyText"/>
              <w:tabs>
                <w:tab w:val="left" w:pos="360"/>
              </w:tabs>
              <w:spacing w:after="0"/>
              <w:rPr>
                <w:rFonts w:ascii="Arial" w:hAnsi="Arial" w:cs="Arial"/>
              </w:rPr>
            </w:pPr>
            <w:r>
              <w:rPr>
                <w:rFonts w:ascii="Arial" w:hAnsi="Arial" w:cs="Arial"/>
              </w:rPr>
              <w:t>T</w:t>
            </w:r>
            <w:r w:rsidRPr="00FE554B">
              <w:rPr>
                <w:rFonts w:ascii="Arial" w:hAnsi="Arial" w:cs="Arial"/>
              </w:rPr>
              <w:t>he delivery of all ESF funding will complement the strategic landscape which the priorities have been formulated</w:t>
            </w:r>
            <w:r>
              <w:rPr>
                <w:rFonts w:ascii="Arial" w:hAnsi="Arial" w:cs="Arial"/>
              </w:rPr>
              <w:t xml:space="preserve"> for</w:t>
            </w:r>
            <w:r w:rsidRPr="00FE554B">
              <w:rPr>
                <w:rFonts w:ascii="Arial" w:hAnsi="Arial" w:cs="Arial"/>
              </w:rPr>
              <w:t>.</w:t>
            </w:r>
          </w:p>
          <w:p w14:paraId="07D47B44" w14:textId="77777777" w:rsidR="00046650" w:rsidRPr="00FE554B" w:rsidRDefault="00046650" w:rsidP="00720C6C">
            <w:pPr>
              <w:pStyle w:val="BodyText"/>
              <w:tabs>
                <w:tab w:val="left" w:pos="360"/>
              </w:tabs>
              <w:spacing w:after="0"/>
              <w:rPr>
                <w:rFonts w:ascii="Arial" w:hAnsi="Arial" w:cs="Arial"/>
              </w:rPr>
            </w:pPr>
          </w:p>
          <w:p w14:paraId="7D899653" w14:textId="77777777" w:rsidR="00046650" w:rsidRDefault="00046650" w:rsidP="00720C6C">
            <w:pPr>
              <w:pStyle w:val="BodyText"/>
              <w:tabs>
                <w:tab w:val="left" w:pos="360"/>
              </w:tabs>
              <w:spacing w:after="0"/>
              <w:rPr>
                <w:rFonts w:ascii="Arial" w:hAnsi="Arial" w:cs="Arial"/>
              </w:rPr>
            </w:pPr>
            <w:r w:rsidRPr="00FE554B">
              <w:rPr>
                <w:rFonts w:ascii="Arial" w:hAnsi="Arial" w:cs="Arial"/>
              </w:rPr>
              <w:t>NEET prevention is a significant issue across New Anglia</w:t>
            </w:r>
            <w:r w:rsidRPr="004D738F">
              <w:rPr>
                <w:rFonts w:ascii="Arial" w:hAnsi="Arial" w:cs="Arial"/>
              </w:rPr>
              <w:t xml:space="preserve">. </w:t>
            </w:r>
            <w:r w:rsidRPr="000A3C1F">
              <w:rPr>
                <w:rFonts w:ascii="Arial" w:hAnsi="Arial" w:cs="Arial"/>
              </w:rPr>
              <w:t xml:space="preserve">Norfolk has experienced persistently high levels of NEET with participation at 17 in particular significantly </w:t>
            </w:r>
            <w:r w:rsidRPr="00FE554B">
              <w:rPr>
                <w:rFonts w:ascii="Arial" w:hAnsi="Arial" w:cs="Arial"/>
              </w:rPr>
              <w:t xml:space="preserve">below that at national, regional and statistical neighbour level. New Anglia as a whole </w:t>
            </w:r>
            <w:r>
              <w:rPr>
                <w:rFonts w:ascii="Arial" w:hAnsi="Arial" w:cs="Arial"/>
              </w:rPr>
              <w:t>experience</w:t>
            </w:r>
            <w:r w:rsidRPr="00FE554B">
              <w:rPr>
                <w:rFonts w:ascii="Arial" w:hAnsi="Arial" w:cs="Arial"/>
              </w:rPr>
              <w:t xml:space="preserve"> a higher incidence of NEET than regional counterparts.</w:t>
            </w:r>
          </w:p>
          <w:p w14:paraId="2258D7F4" w14:textId="77777777" w:rsidR="00046650" w:rsidRDefault="00046650" w:rsidP="00720C6C">
            <w:pPr>
              <w:pStyle w:val="BodyText"/>
              <w:tabs>
                <w:tab w:val="left" w:pos="360"/>
              </w:tabs>
              <w:spacing w:after="0"/>
              <w:rPr>
                <w:rFonts w:ascii="Arial" w:hAnsi="Arial" w:cs="Arial"/>
              </w:rPr>
            </w:pPr>
          </w:p>
          <w:p w14:paraId="45617166" w14:textId="77777777" w:rsidR="00046650" w:rsidRPr="00FE554B" w:rsidRDefault="00046650" w:rsidP="00720C6C">
            <w:pPr>
              <w:pStyle w:val="Bodycopy"/>
              <w:spacing w:line="240" w:lineRule="auto"/>
              <w:rPr>
                <w:rFonts w:ascii="Arial" w:hAnsi="Arial" w:cs="Arial"/>
                <w:sz w:val="24"/>
                <w:szCs w:val="24"/>
              </w:rPr>
            </w:pPr>
            <w:r w:rsidRPr="00FE554B">
              <w:rPr>
                <w:rFonts w:ascii="Arial" w:hAnsi="Arial" w:cs="Arial"/>
                <w:sz w:val="24"/>
                <w:szCs w:val="24"/>
              </w:rPr>
              <w:t xml:space="preserve">‘Lost in Transition’ research published in May 2012 by the Work Foundation shows that more young people are struggling to make the initial transition into a successful outcome post </w:t>
            </w:r>
            <w:r>
              <w:rPr>
                <w:rFonts w:ascii="Arial" w:hAnsi="Arial" w:cs="Arial"/>
                <w:sz w:val="24"/>
                <w:szCs w:val="24"/>
              </w:rPr>
              <w:t xml:space="preserve">year </w:t>
            </w:r>
            <w:r w:rsidRPr="00FE554B">
              <w:rPr>
                <w:rFonts w:ascii="Arial" w:hAnsi="Arial" w:cs="Arial"/>
                <w:sz w:val="24"/>
                <w:szCs w:val="24"/>
              </w:rPr>
              <w:t xml:space="preserve">12. It demonstrates that young people become NEET at different points highlighting the need for them to be supported at different ages and stages until they make a successful transition.  </w:t>
            </w:r>
          </w:p>
          <w:p w14:paraId="46483404" w14:textId="77777777" w:rsidR="00046650" w:rsidRPr="00C8791B" w:rsidRDefault="00046650" w:rsidP="00720C6C">
            <w:pPr>
              <w:pStyle w:val="Bodycopy"/>
              <w:spacing w:line="240" w:lineRule="auto"/>
              <w:rPr>
                <w:rFonts w:ascii="Arial" w:hAnsi="Arial" w:cs="Arial"/>
                <w:color w:val="44546A" w:themeColor="text2"/>
              </w:rPr>
            </w:pPr>
            <w:r w:rsidRPr="00FE554B">
              <w:rPr>
                <w:rFonts w:ascii="Arial" w:hAnsi="Arial" w:cs="Arial"/>
                <w:sz w:val="24"/>
                <w:szCs w:val="24"/>
              </w:rPr>
              <w:t xml:space="preserve">The </w:t>
            </w:r>
            <w:r>
              <w:rPr>
                <w:rFonts w:ascii="Arial" w:hAnsi="Arial" w:cs="Arial"/>
                <w:sz w:val="24"/>
                <w:szCs w:val="24"/>
              </w:rPr>
              <w:t>S</w:t>
            </w:r>
            <w:r w:rsidRPr="00FE554B">
              <w:rPr>
                <w:rFonts w:ascii="Arial" w:hAnsi="Arial" w:cs="Arial"/>
                <w:sz w:val="24"/>
                <w:szCs w:val="24"/>
              </w:rPr>
              <w:t xml:space="preserve">ervice being procured aims to support the transition </w:t>
            </w:r>
            <w:r>
              <w:rPr>
                <w:rFonts w:ascii="Arial" w:hAnsi="Arial" w:cs="Arial"/>
                <w:sz w:val="24"/>
                <w:szCs w:val="24"/>
              </w:rPr>
              <w:t xml:space="preserve">of young people </w:t>
            </w:r>
            <w:r w:rsidRPr="00FE554B">
              <w:rPr>
                <w:rFonts w:ascii="Arial" w:hAnsi="Arial" w:cs="Arial"/>
                <w:sz w:val="24"/>
                <w:szCs w:val="24"/>
              </w:rPr>
              <w:t xml:space="preserve">through innovative delivery and individual bespoke support which is not available through mainstream funding. </w:t>
            </w:r>
          </w:p>
        </w:tc>
      </w:tr>
      <w:tr w:rsidR="00046650" w:rsidRPr="00C107CE" w14:paraId="06254E3B" w14:textId="77777777" w:rsidTr="00720C6C">
        <w:trPr>
          <w:trHeight w:val="567"/>
        </w:trPr>
        <w:tc>
          <w:tcPr>
            <w:tcW w:w="9088" w:type="dxa"/>
            <w:gridSpan w:val="2"/>
            <w:shd w:val="clear" w:color="auto" w:fill="D9D9D9" w:themeFill="background1" w:themeFillShade="D9"/>
            <w:vAlign w:val="center"/>
          </w:tcPr>
          <w:p w14:paraId="35D9F8A9" w14:textId="77777777" w:rsidR="00046650" w:rsidRPr="00C107CE" w:rsidRDefault="00046650" w:rsidP="00720C6C">
            <w:pPr>
              <w:tabs>
                <w:tab w:val="num" w:pos="900"/>
              </w:tabs>
              <w:autoSpaceDE w:val="0"/>
              <w:autoSpaceDN w:val="0"/>
              <w:adjustRightInd w:val="0"/>
              <w:rPr>
                <w:rFonts w:cs="Arial"/>
                <w:b/>
              </w:rPr>
            </w:pPr>
            <w:r w:rsidRPr="002833D9">
              <w:rPr>
                <w:rFonts w:cs="Arial"/>
                <w:b/>
              </w:rPr>
              <w:lastRenderedPageBreak/>
              <w:t>DEFINITION OF TERMS</w:t>
            </w:r>
          </w:p>
        </w:tc>
      </w:tr>
      <w:tr w:rsidR="00046650" w:rsidRPr="00AF706C" w14:paraId="4EBA05A2" w14:textId="77777777" w:rsidTr="00720C6C">
        <w:tc>
          <w:tcPr>
            <w:tcW w:w="9088" w:type="dxa"/>
            <w:gridSpan w:val="2"/>
          </w:tcPr>
          <w:p w14:paraId="6036D0F3" w14:textId="77777777" w:rsidR="00046650" w:rsidRPr="00AF706C" w:rsidRDefault="00046650" w:rsidP="00720C6C">
            <w:pPr>
              <w:rPr>
                <w:rFonts w:cs="Arial"/>
                <w:i/>
              </w:rPr>
            </w:pPr>
          </w:p>
          <w:p w14:paraId="31FAD7DD" w14:textId="77777777" w:rsidR="00046650" w:rsidRPr="00AF706C" w:rsidRDefault="00046650" w:rsidP="00720C6C">
            <w:pPr>
              <w:ind w:left="360" w:hanging="360"/>
            </w:pPr>
            <w:r w:rsidRPr="00AF706C">
              <w:rPr>
                <w:b/>
              </w:rPr>
              <w:t xml:space="preserve">At risk of becoming NEET: </w:t>
            </w:r>
            <w:r w:rsidRPr="00AF706C">
              <w:t>Support for at risk young people aged 15 to prevent them becoming NEET.</w:t>
            </w:r>
          </w:p>
          <w:p w14:paraId="7F380E1A" w14:textId="77777777" w:rsidR="00046650" w:rsidRPr="00AF706C" w:rsidRDefault="00046650" w:rsidP="00720C6C">
            <w:pPr>
              <w:ind w:left="360" w:hanging="360"/>
              <w:rPr>
                <w:b/>
              </w:rPr>
            </w:pPr>
          </w:p>
          <w:p w14:paraId="2481ECF7" w14:textId="77777777" w:rsidR="00046650" w:rsidRPr="00AF706C" w:rsidRDefault="00046650" w:rsidP="00720C6C">
            <w:pPr>
              <w:ind w:left="360" w:hanging="360"/>
            </w:pPr>
            <w:r w:rsidRPr="00AF706C">
              <w:rPr>
                <w:b/>
              </w:rPr>
              <w:t xml:space="preserve">Candidate: </w:t>
            </w:r>
            <w:r w:rsidRPr="00AF706C">
              <w:t>means an organisation who has been invited to take part in this restricted procurement procedure</w:t>
            </w:r>
            <w:r>
              <w:t>.</w:t>
            </w:r>
          </w:p>
          <w:p w14:paraId="276C7A67" w14:textId="77777777" w:rsidR="00046650" w:rsidRPr="00AF706C" w:rsidRDefault="00046650" w:rsidP="00720C6C">
            <w:pPr>
              <w:ind w:left="360" w:hanging="360"/>
              <w:rPr>
                <w:b/>
              </w:rPr>
            </w:pPr>
          </w:p>
          <w:p w14:paraId="07A07D84" w14:textId="77777777" w:rsidR="00046650" w:rsidRPr="00AF706C" w:rsidRDefault="00046650" w:rsidP="00720C6C">
            <w:pPr>
              <w:ind w:left="360" w:hanging="360"/>
              <w:rPr>
                <w:b/>
              </w:rPr>
            </w:pPr>
            <w:r w:rsidRPr="00AF706C">
              <w:rPr>
                <w:b/>
              </w:rPr>
              <w:lastRenderedPageBreak/>
              <w:t>Disability</w:t>
            </w:r>
            <w:r w:rsidRPr="00AF706C">
              <w:t>: A person has a disability if they disclose a disability that limits their ability to work.</w:t>
            </w:r>
          </w:p>
          <w:p w14:paraId="32FBD7FE" w14:textId="77777777" w:rsidR="00046650" w:rsidRPr="00AF706C" w:rsidRDefault="00046650" w:rsidP="00720C6C">
            <w:pPr>
              <w:ind w:left="360" w:hanging="360"/>
              <w:rPr>
                <w:b/>
              </w:rPr>
            </w:pPr>
          </w:p>
          <w:p w14:paraId="0299F71B" w14:textId="77777777" w:rsidR="00046650" w:rsidRPr="00AF706C" w:rsidRDefault="00046650" w:rsidP="00720C6C">
            <w:pPr>
              <w:ind w:left="360" w:hanging="360"/>
            </w:pPr>
            <w:r w:rsidRPr="00AF706C">
              <w:rPr>
                <w:b/>
              </w:rPr>
              <w:t>Eligibility:</w:t>
            </w:r>
            <w:r w:rsidRPr="00AF706C">
              <w:t xml:space="preserve"> Other than 15 year olds at risk of being NEET, only people who are eligible to work in UK are eligible for this programme.  Asylum seekers are not generally supported by ESF.</w:t>
            </w:r>
          </w:p>
          <w:p w14:paraId="67A97364" w14:textId="77777777" w:rsidR="00046650" w:rsidRPr="00AF706C" w:rsidRDefault="00046650" w:rsidP="00720C6C">
            <w:pPr>
              <w:ind w:left="360" w:hanging="360"/>
            </w:pPr>
          </w:p>
          <w:p w14:paraId="6ABCA017" w14:textId="77777777" w:rsidR="00046650" w:rsidRPr="00AF706C" w:rsidRDefault="00046650" w:rsidP="00720C6C">
            <w:pPr>
              <w:autoSpaceDE w:val="0"/>
              <w:autoSpaceDN w:val="0"/>
              <w:adjustRightInd w:val="0"/>
              <w:ind w:left="360" w:hanging="360"/>
            </w:pPr>
            <w:r w:rsidRPr="00AF706C">
              <w:rPr>
                <w:b/>
              </w:rPr>
              <w:t>Employed</w:t>
            </w:r>
            <w:r w:rsidRPr="00AF706C">
              <w:t>: People are employed if they perform work for pay, profit or family gain. People are self-employed if they work in his/her own business for the purpose of earning a profit, even if they are not making a profit or are just setting up.</w:t>
            </w:r>
          </w:p>
          <w:p w14:paraId="61567E40" w14:textId="77777777" w:rsidR="00046650" w:rsidRPr="00AF706C" w:rsidRDefault="00046650" w:rsidP="00720C6C">
            <w:pPr>
              <w:autoSpaceDE w:val="0"/>
              <w:autoSpaceDN w:val="0"/>
              <w:adjustRightInd w:val="0"/>
              <w:ind w:left="360" w:hanging="360"/>
              <w:rPr>
                <w:color w:val="FF0000"/>
              </w:rPr>
            </w:pPr>
          </w:p>
          <w:p w14:paraId="4E364CAB" w14:textId="77777777" w:rsidR="00046650" w:rsidRPr="00AF706C" w:rsidRDefault="00046650" w:rsidP="00720C6C">
            <w:pPr>
              <w:autoSpaceDE w:val="0"/>
              <w:autoSpaceDN w:val="0"/>
              <w:adjustRightInd w:val="0"/>
              <w:ind w:left="360" w:hanging="360"/>
            </w:pPr>
            <w:r w:rsidRPr="00AF706C">
              <w:rPr>
                <w:b/>
              </w:rPr>
              <w:t>Job Seeking:</w:t>
            </w:r>
            <w:r w:rsidRPr="00AF706C">
              <w:t xml:space="preserve"> Where applicable, persons engaged in job seeking is understood to be persons usually without work and actively seeking work.</w:t>
            </w:r>
          </w:p>
          <w:p w14:paraId="142819C9" w14:textId="77777777" w:rsidR="00046650" w:rsidRPr="00AF706C" w:rsidRDefault="00046650" w:rsidP="00720C6C">
            <w:pPr>
              <w:autoSpaceDE w:val="0"/>
              <w:autoSpaceDN w:val="0"/>
              <w:adjustRightInd w:val="0"/>
              <w:ind w:left="360" w:hanging="360"/>
            </w:pPr>
          </w:p>
          <w:p w14:paraId="6171E971" w14:textId="77777777" w:rsidR="00046650" w:rsidRPr="00AF706C" w:rsidRDefault="00046650" w:rsidP="00720C6C">
            <w:pPr>
              <w:autoSpaceDE w:val="0"/>
              <w:autoSpaceDN w:val="0"/>
              <w:adjustRightInd w:val="0"/>
              <w:ind w:left="360" w:hanging="360"/>
            </w:pPr>
            <w:r w:rsidRPr="00AF706C">
              <w:rPr>
                <w:b/>
              </w:rPr>
              <w:t xml:space="preserve">Qualifications: </w:t>
            </w:r>
            <w:r w:rsidRPr="00AF706C">
              <w:t xml:space="preserve">Qualification means a formal outcome assessment and validation process which is obtained when a competent body determines that an individual has achieved learning outcomes to given standards.  Regulated qualifications/aims are those listed in the Learning Aims Reference Service as being regulated.  Non-regulated aims are those listed in the Learning Aims Reference Service as being non-regulated.  </w:t>
            </w:r>
          </w:p>
          <w:p w14:paraId="6A158172" w14:textId="77777777" w:rsidR="00046650" w:rsidRPr="00AF706C" w:rsidRDefault="00046650" w:rsidP="00720C6C">
            <w:pPr>
              <w:autoSpaceDE w:val="0"/>
              <w:autoSpaceDN w:val="0"/>
              <w:adjustRightInd w:val="0"/>
              <w:ind w:left="360" w:hanging="360"/>
            </w:pPr>
          </w:p>
          <w:p w14:paraId="5613D3BF" w14:textId="77777777" w:rsidR="00046650" w:rsidRPr="00AF706C" w:rsidRDefault="00046650" w:rsidP="00720C6C">
            <w:pPr>
              <w:autoSpaceDE w:val="0"/>
              <w:autoSpaceDN w:val="0"/>
              <w:adjustRightInd w:val="0"/>
              <w:ind w:left="360" w:hanging="360"/>
            </w:pPr>
            <w:r w:rsidRPr="00AF706C">
              <w:t xml:space="preserve">     Regulated and non-regulated aims must be planned to be delivered within budget.</w:t>
            </w:r>
          </w:p>
          <w:p w14:paraId="51AF1E5A" w14:textId="77777777" w:rsidR="00046650" w:rsidRPr="00AF706C" w:rsidRDefault="00046650" w:rsidP="00720C6C">
            <w:pPr>
              <w:autoSpaceDE w:val="0"/>
              <w:autoSpaceDN w:val="0"/>
              <w:adjustRightInd w:val="0"/>
              <w:ind w:left="360" w:hanging="360"/>
            </w:pPr>
          </w:p>
          <w:p w14:paraId="462C45FA" w14:textId="77777777" w:rsidR="00046650" w:rsidRPr="00AF706C" w:rsidRDefault="00046650" w:rsidP="00720C6C">
            <w:pPr>
              <w:autoSpaceDE w:val="0"/>
              <w:autoSpaceDN w:val="0"/>
              <w:adjustRightInd w:val="0"/>
              <w:ind w:left="360" w:hanging="360"/>
            </w:pPr>
            <w:r w:rsidRPr="00AF706C">
              <w:t xml:space="preserve">     Qualification rates are based on the published LARS rates at the start of the contract.</w:t>
            </w:r>
          </w:p>
          <w:p w14:paraId="2B855526" w14:textId="77777777" w:rsidR="00046650" w:rsidRPr="00AF706C" w:rsidRDefault="00046650" w:rsidP="00720C6C">
            <w:pPr>
              <w:autoSpaceDE w:val="0"/>
              <w:autoSpaceDN w:val="0"/>
              <w:adjustRightInd w:val="0"/>
              <w:ind w:left="360" w:hanging="360"/>
            </w:pPr>
          </w:p>
          <w:p w14:paraId="352057AA" w14:textId="77777777" w:rsidR="00046650" w:rsidRPr="00AF706C" w:rsidRDefault="00046650" w:rsidP="00720C6C">
            <w:pPr>
              <w:autoSpaceDE w:val="0"/>
              <w:autoSpaceDN w:val="0"/>
              <w:adjustRightInd w:val="0"/>
              <w:ind w:left="360" w:hanging="360"/>
            </w:pPr>
            <w:r w:rsidRPr="00AF706C">
              <w:rPr>
                <w:b/>
              </w:rPr>
              <w:t xml:space="preserve">Services:  </w:t>
            </w:r>
            <w:r w:rsidRPr="00AF706C">
              <w:t>The provision of education, training or support delivered to individuals.</w:t>
            </w:r>
          </w:p>
          <w:p w14:paraId="34CFEBD3" w14:textId="77777777" w:rsidR="00046650" w:rsidRPr="00AF706C" w:rsidRDefault="00046650" w:rsidP="00720C6C">
            <w:pPr>
              <w:autoSpaceDE w:val="0"/>
              <w:autoSpaceDN w:val="0"/>
              <w:adjustRightInd w:val="0"/>
              <w:ind w:left="360" w:hanging="360"/>
            </w:pPr>
          </w:p>
          <w:p w14:paraId="2796DA0A" w14:textId="77777777" w:rsidR="00046650" w:rsidRPr="00AF706C" w:rsidRDefault="00046650" w:rsidP="00720C6C">
            <w:pPr>
              <w:autoSpaceDE w:val="0"/>
              <w:autoSpaceDN w:val="0"/>
              <w:adjustRightInd w:val="0"/>
              <w:ind w:left="360" w:hanging="360"/>
              <w:rPr>
                <w:color w:val="FF0000"/>
              </w:rPr>
            </w:pPr>
            <w:r w:rsidRPr="00AF706C">
              <w:rPr>
                <w:b/>
              </w:rPr>
              <w:t>Start Date:</w:t>
            </w:r>
            <w:r w:rsidRPr="00AF706C">
              <w:t xml:space="preserve"> Employment status and age are determined on the date of starting on the Provision.</w:t>
            </w:r>
            <w:r w:rsidRPr="00AF706C">
              <w:rPr>
                <w:b/>
              </w:rPr>
              <w:t xml:space="preserve"> </w:t>
            </w:r>
          </w:p>
          <w:p w14:paraId="61378A0C" w14:textId="77777777" w:rsidR="00046650" w:rsidRPr="00AF706C" w:rsidRDefault="00046650" w:rsidP="00720C6C">
            <w:pPr>
              <w:autoSpaceDE w:val="0"/>
              <w:autoSpaceDN w:val="0"/>
              <w:adjustRightInd w:val="0"/>
              <w:ind w:left="360" w:hanging="360"/>
              <w:rPr>
                <w:color w:val="FF0000"/>
              </w:rPr>
            </w:pPr>
          </w:p>
          <w:p w14:paraId="2AB7D516" w14:textId="77777777" w:rsidR="00046650" w:rsidRPr="00AF706C" w:rsidRDefault="00046650" w:rsidP="00720C6C">
            <w:pPr>
              <w:autoSpaceDE w:val="0"/>
              <w:autoSpaceDN w:val="0"/>
              <w:adjustRightInd w:val="0"/>
              <w:ind w:left="360" w:hanging="360"/>
              <w:rPr>
                <w:color w:val="FF0000"/>
              </w:rPr>
            </w:pPr>
            <w:r w:rsidRPr="00AF706C">
              <w:rPr>
                <w:b/>
              </w:rPr>
              <w:t>Survey</w:t>
            </w:r>
            <w:r w:rsidRPr="00AF706C">
              <w:t>: Where applicable, long term sustained outcomes over 6 months will be monitored separately.  Some ESF indicators will be collected by survey by the ESF Managing Authority directly from the participants.</w:t>
            </w:r>
          </w:p>
          <w:p w14:paraId="697687F4" w14:textId="77777777" w:rsidR="00046650" w:rsidRPr="00AF706C" w:rsidRDefault="00046650" w:rsidP="00720C6C">
            <w:pPr>
              <w:autoSpaceDE w:val="0"/>
              <w:autoSpaceDN w:val="0"/>
              <w:adjustRightInd w:val="0"/>
              <w:ind w:left="360" w:hanging="360"/>
              <w:rPr>
                <w:color w:val="FF0000"/>
              </w:rPr>
            </w:pPr>
          </w:p>
          <w:p w14:paraId="034A891D" w14:textId="77777777" w:rsidR="00046650" w:rsidRPr="00AF706C" w:rsidRDefault="00046650" w:rsidP="00720C6C">
            <w:pPr>
              <w:autoSpaceDE w:val="0"/>
              <w:autoSpaceDN w:val="0"/>
              <w:adjustRightInd w:val="0"/>
              <w:ind w:left="360" w:hanging="360"/>
            </w:pPr>
            <w:r w:rsidRPr="00AF706C">
              <w:rPr>
                <w:b/>
              </w:rPr>
              <w:t>Unemployed:</w:t>
            </w:r>
            <w:r w:rsidRPr="00AF706C">
              <w:t xml:space="preserve"> Unemployed are persons usually without work, available for work and actively seeking work.  Persons considered registered unemployed would be included.  Full time students are considered as inactive as they are not available for work.  Long term unemployment is greater than 6 months for under 25 years old and greater than 12 months for 25 years old or more.</w:t>
            </w:r>
          </w:p>
          <w:p w14:paraId="5D7ADF78" w14:textId="77777777" w:rsidR="00046650" w:rsidRDefault="00046650" w:rsidP="00720C6C"/>
          <w:p w14:paraId="4DDBF8CE" w14:textId="77777777" w:rsidR="00046650" w:rsidRDefault="00046650" w:rsidP="00720C6C"/>
          <w:p w14:paraId="0AE4CB22" w14:textId="77777777" w:rsidR="00046650" w:rsidRDefault="00046650" w:rsidP="00720C6C"/>
          <w:p w14:paraId="06519818" w14:textId="77777777" w:rsidR="00046650" w:rsidRDefault="00046650" w:rsidP="00720C6C"/>
          <w:p w14:paraId="034481CD" w14:textId="77777777" w:rsidR="00046650" w:rsidRDefault="00046650" w:rsidP="00720C6C"/>
          <w:p w14:paraId="763447F9" w14:textId="77777777" w:rsidR="00046650" w:rsidRPr="00AF706C" w:rsidRDefault="00046650" w:rsidP="00720C6C"/>
        </w:tc>
      </w:tr>
      <w:tr w:rsidR="00046650" w:rsidRPr="00AF706C" w14:paraId="5B0BE602" w14:textId="77777777" w:rsidTr="00720C6C">
        <w:trPr>
          <w:trHeight w:val="567"/>
        </w:trPr>
        <w:tc>
          <w:tcPr>
            <w:tcW w:w="9088" w:type="dxa"/>
            <w:gridSpan w:val="2"/>
            <w:shd w:val="clear" w:color="auto" w:fill="D9D9D9" w:themeFill="background1" w:themeFillShade="D9"/>
            <w:vAlign w:val="center"/>
          </w:tcPr>
          <w:p w14:paraId="5176F117" w14:textId="77777777" w:rsidR="00046650" w:rsidRPr="00AF706C" w:rsidRDefault="00046650" w:rsidP="00720C6C">
            <w:pPr>
              <w:autoSpaceDE w:val="0"/>
              <w:autoSpaceDN w:val="0"/>
              <w:adjustRightInd w:val="0"/>
              <w:rPr>
                <w:rFonts w:cs="Arial"/>
                <w:b/>
              </w:rPr>
            </w:pPr>
            <w:r w:rsidRPr="00AF706C">
              <w:rPr>
                <w:rFonts w:cs="Arial"/>
                <w:b/>
              </w:rPr>
              <w:lastRenderedPageBreak/>
              <w:t>SERVICE REQUIREMENTS</w:t>
            </w:r>
          </w:p>
        </w:tc>
      </w:tr>
      <w:tr w:rsidR="00046650" w:rsidRPr="00AF706C" w14:paraId="2ECC977D" w14:textId="77777777" w:rsidTr="00720C6C">
        <w:tc>
          <w:tcPr>
            <w:tcW w:w="9088" w:type="dxa"/>
            <w:gridSpan w:val="2"/>
          </w:tcPr>
          <w:p w14:paraId="7283AEB8" w14:textId="77777777" w:rsidR="00046650" w:rsidRPr="00AF706C" w:rsidRDefault="00046650" w:rsidP="00720C6C">
            <w:pPr>
              <w:rPr>
                <w:rFonts w:cs="Arial"/>
                <w:b/>
              </w:rPr>
            </w:pPr>
          </w:p>
          <w:p w14:paraId="40D2BA6F" w14:textId="77777777" w:rsidR="00046650" w:rsidRPr="00AF706C" w:rsidRDefault="00046650" w:rsidP="00720C6C">
            <w:pPr>
              <w:rPr>
                <w:rFonts w:cs="Arial"/>
                <w:b/>
              </w:rPr>
            </w:pPr>
            <w:r w:rsidRPr="00AF706C">
              <w:rPr>
                <w:rFonts w:cs="Arial"/>
                <w:b/>
              </w:rPr>
              <w:lastRenderedPageBreak/>
              <w:t xml:space="preserve">General </w:t>
            </w:r>
          </w:p>
          <w:p w14:paraId="6F471C3F" w14:textId="77777777" w:rsidR="00046650" w:rsidRPr="00AF706C" w:rsidRDefault="00046650" w:rsidP="00720C6C">
            <w:pPr>
              <w:rPr>
                <w:rFonts w:cs="Arial"/>
              </w:rPr>
            </w:pPr>
          </w:p>
          <w:p w14:paraId="16139A9F" w14:textId="77777777" w:rsidR="00046650" w:rsidRPr="00AF706C" w:rsidRDefault="00046650" w:rsidP="00720C6C">
            <w:pPr>
              <w:rPr>
                <w:rFonts w:cs="Arial"/>
              </w:rPr>
            </w:pPr>
            <w:r w:rsidRPr="00AF706C">
              <w:rPr>
                <w:rFonts w:cs="Arial"/>
              </w:rPr>
              <w:t>All activities must complement and avoid duplication with other provision, thereby adding value to Department for Work and Pensions/Big Lottery, Education Funding Agency, Skills Funding Agency, local authority, National Careers Service and the new Careers Enterprise Company funded provision.  Successful Candidates will be required to ensure that ESF provision will clearly add value and not duplicate any provision that can be arranged locally through existing mainstream institutions.</w:t>
            </w:r>
          </w:p>
          <w:p w14:paraId="091F7173" w14:textId="77777777" w:rsidR="00046650" w:rsidRPr="00AF706C" w:rsidRDefault="00046650" w:rsidP="00720C6C">
            <w:pPr>
              <w:rPr>
                <w:rFonts w:cs="Arial"/>
              </w:rPr>
            </w:pPr>
          </w:p>
          <w:p w14:paraId="164FF849" w14:textId="77777777" w:rsidR="00046650" w:rsidRPr="00AF706C" w:rsidRDefault="00046650" w:rsidP="00720C6C">
            <w:pPr>
              <w:rPr>
                <w:rFonts w:cs="Arial"/>
                <w:b/>
                <w:i/>
              </w:rPr>
            </w:pPr>
            <w:r w:rsidRPr="00AF706C">
              <w:rPr>
                <w:rFonts w:cs="Arial"/>
                <w:b/>
                <w:i/>
              </w:rPr>
              <w:t>Capacity and readiness to deliver</w:t>
            </w:r>
          </w:p>
          <w:p w14:paraId="14F4C224" w14:textId="77777777" w:rsidR="00046650" w:rsidRDefault="00046650" w:rsidP="00720C6C">
            <w:pPr>
              <w:autoSpaceDE w:val="0"/>
              <w:autoSpaceDN w:val="0"/>
              <w:adjustRightInd w:val="0"/>
              <w:rPr>
                <w:rFonts w:cs="Arial"/>
              </w:rPr>
            </w:pPr>
            <w:r w:rsidRPr="00AF706C">
              <w:rPr>
                <w:rFonts w:cs="Arial"/>
              </w:rPr>
              <w:t>Candidates must have:</w:t>
            </w:r>
          </w:p>
          <w:p w14:paraId="0CC8ACB5" w14:textId="77777777" w:rsidR="00046650" w:rsidRPr="00AF706C" w:rsidRDefault="00046650" w:rsidP="00720C6C">
            <w:pPr>
              <w:autoSpaceDE w:val="0"/>
              <w:autoSpaceDN w:val="0"/>
              <w:adjustRightInd w:val="0"/>
              <w:rPr>
                <w:rFonts w:cs="Arial"/>
              </w:rPr>
            </w:pPr>
          </w:p>
          <w:p w14:paraId="09965620" w14:textId="77777777" w:rsidR="00046650" w:rsidRPr="00AF706C" w:rsidRDefault="00046650" w:rsidP="00046650">
            <w:pPr>
              <w:pStyle w:val="ListParagraph"/>
              <w:numPr>
                <w:ilvl w:val="0"/>
                <w:numId w:val="42"/>
              </w:numPr>
              <w:autoSpaceDE w:val="0"/>
              <w:autoSpaceDN w:val="0"/>
              <w:adjustRightInd w:val="0"/>
              <w:rPr>
                <w:rFonts w:cs="Arial"/>
                <w:szCs w:val="22"/>
              </w:rPr>
            </w:pPr>
            <w:r w:rsidRPr="00AF706C">
              <w:rPr>
                <w:rFonts w:cs="Arial"/>
                <w:szCs w:val="22"/>
              </w:rPr>
              <w:t>The resources to offer very local and flexible delivery in the areas w</w:t>
            </w:r>
            <w:r>
              <w:rPr>
                <w:rFonts w:cs="Arial"/>
                <w:szCs w:val="22"/>
              </w:rPr>
              <w:t>here levels of NEET are highest</w:t>
            </w:r>
          </w:p>
          <w:p w14:paraId="6772D035" w14:textId="77777777" w:rsidR="00046650" w:rsidRPr="00AF706C" w:rsidRDefault="00046650" w:rsidP="00046650">
            <w:pPr>
              <w:pStyle w:val="ListParagraph"/>
              <w:numPr>
                <w:ilvl w:val="0"/>
                <w:numId w:val="42"/>
              </w:numPr>
              <w:rPr>
                <w:rFonts w:cs="Arial"/>
              </w:rPr>
            </w:pPr>
            <w:r w:rsidRPr="00AF706C">
              <w:rPr>
                <w:rFonts w:cs="Arial"/>
                <w:bCs/>
              </w:rPr>
              <w:t>The capacity to deliver provision immediately upon commencement of the contract and that delivery should not be delayed in any way by any recruitment processes or other processes or relationsh</w:t>
            </w:r>
            <w:r>
              <w:rPr>
                <w:rFonts w:cs="Arial"/>
                <w:bCs/>
              </w:rPr>
              <w:t>ips that need to be established.</w:t>
            </w:r>
          </w:p>
          <w:p w14:paraId="3AAA5F24" w14:textId="77777777" w:rsidR="00046650" w:rsidRPr="00AF706C" w:rsidRDefault="00046650" w:rsidP="00720C6C">
            <w:pPr>
              <w:rPr>
                <w:rFonts w:cs="Arial"/>
              </w:rPr>
            </w:pPr>
          </w:p>
          <w:p w14:paraId="3510B268" w14:textId="77777777" w:rsidR="00046650" w:rsidRPr="00AF706C" w:rsidRDefault="00046650" w:rsidP="00720C6C">
            <w:pPr>
              <w:rPr>
                <w:rFonts w:cs="Arial"/>
                <w:b/>
                <w:i/>
              </w:rPr>
            </w:pPr>
            <w:r w:rsidRPr="00AF706C">
              <w:rPr>
                <w:rFonts w:cs="Arial"/>
                <w:b/>
                <w:i/>
              </w:rPr>
              <w:t>Track record</w:t>
            </w:r>
          </w:p>
          <w:p w14:paraId="5C9920D0" w14:textId="77777777" w:rsidR="00046650" w:rsidRPr="00AF706C" w:rsidRDefault="00046650" w:rsidP="00720C6C">
            <w:pPr>
              <w:rPr>
                <w:rFonts w:cs="Arial"/>
                <w:szCs w:val="22"/>
              </w:rPr>
            </w:pPr>
            <w:r w:rsidRPr="00AF706C">
              <w:rPr>
                <w:rFonts w:cs="Arial"/>
              </w:rPr>
              <w:t>T</w:t>
            </w:r>
            <w:r w:rsidRPr="00AF706C">
              <w:rPr>
                <w:rFonts w:cs="Arial"/>
                <w:szCs w:val="22"/>
              </w:rPr>
              <w:t>he ability to deliver the required activity, based on a track record in the successful delivery and management of this type of programme</w:t>
            </w:r>
            <w:r>
              <w:rPr>
                <w:rFonts w:cs="Arial"/>
                <w:szCs w:val="22"/>
              </w:rPr>
              <w:t>.</w:t>
            </w:r>
          </w:p>
          <w:p w14:paraId="798CAE04" w14:textId="77777777" w:rsidR="00046650" w:rsidRPr="00AF706C" w:rsidRDefault="00046650" w:rsidP="00720C6C">
            <w:pPr>
              <w:rPr>
                <w:rFonts w:cs="Arial"/>
                <w:szCs w:val="22"/>
              </w:rPr>
            </w:pPr>
          </w:p>
          <w:p w14:paraId="24FCC338" w14:textId="77777777" w:rsidR="00046650" w:rsidRPr="00AF706C" w:rsidRDefault="00046650" w:rsidP="00720C6C">
            <w:pPr>
              <w:autoSpaceDE w:val="0"/>
              <w:autoSpaceDN w:val="0"/>
              <w:adjustRightInd w:val="0"/>
              <w:ind w:left="29"/>
              <w:rPr>
                <w:rFonts w:cs="Arial"/>
                <w:szCs w:val="22"/>
              </w:rPr>
            </w:pPr>
            <w:r w:rsidRPr="00AF706C">
              <w:t>Candidates will need to have a</w:t>
            </w:r>
            <w:r w:rsidRPr="00AF706C">
              <w:rPr>
                <w:rFonts w:cs="Arial"/>
              </w:rPr>
              <w:t>n understanding of the varied needs of young people and a</w:t>
            </w:r>
            <w:r w:rsidRPr="00AF706C">
              <w:rPr>
                <w:rFonts w:cs="Arial"/>
                <w:szCs w:val="22"/>
              </w:rPr>
              <w:t xml:space="preserve">n ability to engage and work with young people, especially those who are disengaged and vulnerable and have particular learning needs or barriers to learning. </w:t>
            </w:r>
          </w:p>
          <w:p w14:paraId="0FDA0740" w14:textId="77777777" w:rsidR="00046650" w:rsidRPr="00AF706C" w:rsidRDefault="00046650" w:rsidP="00720C6C">
            <w:pPr>
              <w:autoSpaceDE w:val="0"/>
              <w:autoSpaceDN w:val="0"/>
              <w:adjustRightInd w:val="0"/>
              <w:ind w:left="29"/>
              <w:rPr>
                <w:rFonts w:cs="Arial"/>
                <w:szCs w:val="22"/>
              </w:rPr>
            </w:pPr>
          </w:p>
          <w:p w14:paraId="3A54D5CD" w14:textId="77777777" w:rsidR="00046650" w:rsidRPr="00AF706C" w:rsidRDefault="00046650" w:rsidP="00720C6C">
            <w:pPr>
              <w:autoSpaceDE w:val="0"/>
              <w:autoSpaceDN w:val="0"/>
              <w:adjustRightInd w:val="0"/>
              <w:ind w:left="29"/>
              <w:rPr>
                <w:rFonts w:cs="Arial"/>
                <w:szCs w:val="22"/>
              </w:rPr>
            </w:pPr>
            <w:r w:rsidRPr="00AF706C">
              <w:rPr>
                <w:rFonts w:cs="Arial"/>
                <w:szCs w:val="22"/>
              </w:rPr>
              <w:t>Candidates will need to have experience of creating employment opportunities.</w:t>
            </w:r>
          </w:p>
          <w:p w14:paraId="639AF21C" w14:textId="77777777" w:rsidR="00046650" w:rsidRPr="00AF706C" w:rsidRDefault="00046650" w:rsidP="00720C6C">
            <w:pPr>
              <w:autoSpaceDE w:val="0"/>
              <w:autoSpaceDN w:val="0"/>
              <w:adjustRightInd w:val="0"/>
              <w:ind w:left="29"/>
              <w:rPr>
                <w:rFonts w:cs="Arial"/>
                <w:b/>
                <w:i/>
              </w:rPr>
            </w:pPr>
            <w:r w:rsidRPr="00AF706C">
              <w:rPr>
                <w:rFonts w:cs="Arial"/>
              </w:rPr>
              <w:t>And in designing and delivering high quality provision for young people including those who are NEET/</w:t>
            </w:r>
            <w:r>
              <w:rPr>
                <w:rFonts w:cs="Arial"/>
              </w:rPr>
              <w:t>a</w:t>
            </w:r>
            <w:r w:rsidRPr="00AF706C">
              <w:rPr>
                <w:rFonts w:cs="Arial"/>
              </w:rPr>
              <w:t>t risk of becoming NEET.</w:t>
            </w:r>
          </w:p>
          <w:p w14:paraId="4A4717CE" w14:textId="77777777" w:rsidR="00046650" w:rsidRPr="00AF706C" w:rsidRDefault="00046650" w:rsidP="00720C6C">
            <w:pPr>
              <w:rPr>
                <w:rFonts w:cs="Arial"/>
              </w:rPr>
            </w:pPr>
          </w:p>
          <w:p w14:paraId="24690870" w14:textId="77777777" w:rsidR="00046650" w:rsidRPr="00AF706C" w:rsidRDefault="00046650" w:rsidP="00720C6C">
            <w:pPr>
              <w:rPr>
                <w:rFonts w:cs="Arial"/>
              </w:rPr>
            </w:pPr>
            <w:r w:rsidRPr="00AF706C">
              <w:rPr>
                <w:rFonts w:cs="Arial"/>
                <w:b/>
                <w:i/>
              </w:rPr>
              <w:t>Management and quality assurance</w:t>
            </w:r>
          </w:p>
          <w:p w14:paraId="6C7578EA" w14:textId="77777777" w:rsidR="00046650" w:rsidRPr="00AF706C" w:rsidRDefault="00046650" w:rsidP="00720C6C">
            <w:pPr>
              <w:rPr>
                <w:rFonts w:cs="Arial"/>
              </w:rPr>
            </w:pPr>
            <w:r w:rsidRPr="00AF706C">
              <w:rPr>
                <w:rFonts w:cs="Arial"/>
              </w:rPr>
              <w:t>Candidates will need to have effective management arrangements in place to ensure all of the requirements of this specification particularly in regard to meeting the identified needs of identified young people are fulfilled.  The Services must be delivered to a high quality and successful tenderers will need to have in place quality assurance and improvement processes.</w:t>
            </w:r>
          </w:p>
          <w:p w14:paraId="71ACAD1B" w14:textId="77777777" w:rsidR="00046650" w:rsidRPr="00AF706C" w:rsidRDefault="00046650" w:rsidP="00720C6C">
            <w:pPr>
              <w:rPr>
                <w:rFonts w:cs="Arial"/>
              </w:rPr>
            </w:pPr>
          </w:p>
          <w:p w14:paraId="0879C7A5" w14:textId="77777777" w:rsidR="00046650" w:rsidRPr="00AF706C" w:rsidRDefault="00046650" w:rsidP="00720C6C">
            <w:pPr>
              <w:rPr>
                <w:rFonts w:cs="Arial"/>
              </w:rPr>
            </w:pPr>
            <w:r w:rsidRPr="00AF706C">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42ECA888" w14:textId="77777777" w:rsidR="00046650" w:rsidRDefault="00046650" w:rsidP="00720C6C">
            <w:pPr>
              <w:rPr>
                <w:rFonts w:cs="Arial"/>
              </w:rPr>
            </w:pPr>
          </w:p>
          <w:p w14:paraId="0C0A4DF7" w14:textId="77777777" w:rsidR="00046650" w:rsidRDefault="00046650" w:rsidP="00720C6C">
            <w:pPr>
              <w:rPr>
                <w:rFonts w:cs="Arial"/>
              </w:rPr>
            </w:pPr>
          </w:p>
          <w:p w14:paraId="025DA712" w14:textId="77777777" w:rsidR="00046650" w:rsidRPr="00AF706C" w:rsidRDefault="00046650" w:rsidP="00720C6C">
            <w:pPr>
              <w:rPr>
                <w:rFonts w:cs="Arial"/>
              </w:rPr>
            </w:pPr>
          </w:p>
          <w:p w14:paraId="5DDF02B4" w14:textId="77777777" w:rsidR="00046650" w:rsidRPr="00AF706C" w:rsidRDefault="00046650" w:rsidP="00720C6C">
            <w:pPr>
              <w:rPr>
                <w:rFonts w:cs="Arial"/>
              </w:rPr>
            </w:pPr>
            <w:r w:rsidRPr="00AF706C">
              <w:rPr>
                <w:rFonts w:cs="Arial"/>
                <w:b/>
                <w:i/>
              </w:rPr>
              <w:t>Partnership working</w:t>
            </w:r>
          </w:p>
          <w:p w14:paraId="4F7790D4" w14:textId="77777777" w:rsidR="00046650" w:rsidRPr="00AF706C" w:rsidRDefault="00046650" w:rsidP="00720C6C">
            <w:pPr>
              <w:rPr>
                <w:rFonts w:cs="Arial"/>
              </w:rPr>
            </w:pPr>
            <w:r w:rsidRPr="00AF706C">
              <w:rPr>
                <w:rFonts w:cs="Arial"/>
              </w:rPr>
              <w:t>Candidates will be required to work in partnership with other organisations delivering education and training in the area to ensure the Service is complementary to and not in competition with other funded provision.</w:t>
            </w:r>
          </w:p>
          <w:p w14:paraId="38FBF2E7" w14:textId="77777777" w:rsidR="00046650" w:rsidRPr="00AF706C" w:rsidRDefault="00046650" w:rsidP="00720C6C">
            <w:pPr>
              <w:rPr>
                <w:rFonts w:cs="Arial"/>
              </w:rPr>
            </w:pPr>
          </w:p>
          <w:p w14:paraId="34A2523F" w14:textId="77777777" w:rsidR="00046650" w:rsidRPr="00AF706C" w:rsidRDefault="00046650" w:rsidP="00720C6C">
            <w:pPr>
              <w:rPr>
                <w:rFonts w:cs="Arial"/>
              </w:rPr>
            </w:pPr>
            <w:r w:rsidRPr="00AF706C">
              <w:rPr>
                <w:rFonts w:cs="Arial"/>
              </w:rPr>
              <w:lastRenderedPageBreak/>
              <w:t xml:space="preserve">Candidates will engage with every Local Authority (LA) in the LEP area and will be expected to identify internal LA links across different departments.  The Service must be able to respond to changing local needs and opportunities, as well as policy changes. </w:t>
            </w:r>
          </w:p>
          <w:p w14:paraId="523A1BEB" w14:textId="77777777" w:rsidR="00046650" w:rsidRPr="00AF706C" w:rsidRDefault="00046650" w:rsidP="00720C6C">
            <w:pPr>
              <w:rPr>
                <w:rFonts w:cs="Arial"/>
              </w:rPr>
            </w:pPr>
          </w:p>
          <w:p w14:paraId="1A4DE8D4" w14:textId="77777777" w:rsidR="00046650" w:rsidRPr="00AF706C" w:rsidRDefault="00046650" w:rsidP="00720C6C">
            <w:pPr>
              <w:autoSpaceDE w:val="0"/>
              <w:autoSpaceDN w:val="0"/>
              <w:adjustRightInd w:val="0"/>
              <w:rPr>
                <w:rFonts w:cs="Arial"/>
              </w:rPr>
            </w:pPr>
            <w:r w:rsidRPr="00AF706C">
              <w:rPr>
                <w:rFonts w:cs="Arial"/>
              </w:rPr>
              <w:t xml:space="preserve">Candidates will be required to establish linkages with and have an understanding of, local stakeholder needs and develop strong links with the key stakeholders. </w:t>
            </w:r>
          </w:p>
          <w:p w14:paraId="39E9DA6B" w14:textId="77777777" w:rsidR="00046650" w:rsidRPr="00AF706C" w:rsidRDefault="00046650" w:rsidP="00720C6C">
            <w:pPr>
              <w:rPr>
                <w:rFonts w:cs="Arial"/>
              </w:rPr>
            </w:pPr>
          </w:p>
          <w:p w14:paraId="5B6D06B2" w14:textId="77777777" w:rsidR="00046650" w:rsidRPr="00AF706C" w:rsidRDefault="00046650" w:rsidP="00720C6C">
            <w:pPr>
              <w:rPr>
                <w:rFonts w:cs="Arial"/>
              </w:rPr>
            </w:pPr>
            <w:r w:rsidRPr="00AF706C">
              <w:rPr>
                <w:rFonts w:cs="Arial"/>
                <w:b/>
                <w:i/>
              </w:rPr>
              <w:t>Market intelligence and local knowledge</w:t>
            </w:r>
          </w:p>
          <w:p w14:paraId="00A6D3FA" w14:textId="77777777" w:rsidR="00046650" w:rsidRPr="00AF706C" w:rsidRDefault="00046650" w:rsidP="00720C6C">
            <w:pPr>
              <w:rPr>
                <w:rFonts w:cs="Arial"/>
              </w:rPr>
            </w:pPr>
            <w:r w:rsidRPr="00AF706C">
              <w:rPr>
                <w:rFonts w:cs="Arial"/>
              </w:rPr>
              <w:t>The delivery of the Services must take into account the current and future social and economic indicators including labour market intelligence and in particular the specific factor</w:t>
            </w:r>
            <w:r>
              <w:rPr>
                <w:rFonts w:cs="Arial"/>
              </w:rPr>
              <w:t>s</w:t>
            </w:r>
            <w:r w:rsidRPr="00AF706C">
              <w:rPr>
                <w:rFonts w:cs="Arial"/>
              </w:rPr>
              <w:t xml:space="preserve"> affecting the area in which the Service is being delivered.</w:t>
            </w:r>
            <w:r w:rsidRPr="00AF706C">
              <w:rPr>
                <w:rFonts w:cs="Arial"/>
                <w:szCs w:val="22"/>
              </w:rPr>
              <w:t xml:space="preserve"> A comprehensive understanding of the current employment market and the c</w:t>
            </w:r>
            <w:r w:rsidRPr="00AF706C">
              <w:rPr>
                <w:rFonts w:cs="Arial"/>
              </w:rPr>
              <w:t>urrent and future social and economic indicators including labour market intelligence</w:t>
            </w:r>
            <w:r>
              <w:rPr>
                <w:rFonts w:cs="Arial"/>
              </w:rPr>
              <w:t>.</w:t>
            </w:r>
          </w:p>
          <w:p w14:paraId="1B1ED439" w14:textId="77777777" w:rsidR="00046650" w:rsidRDefault="00046650" w:rsidP="00720C6C">
            <w:pPr>
              <w:pStyle w:val="letteredlist"/>
              <w:numPr>
                <w:ilvl w:val="0"/>
                <w:numId w:val="0"/>
              </w:numPr>
              <w:spacing w:after="0"/>
              <w:ind w:left="29"/>
              <w:rPr>
                <w:b/>
                <w:i/>
              </w:rPr>
            </w:pPr>
          </w:p>
          <w:p w14:paraId="08C03D3E" w14:textId="77777777" w:rsidR="00046650" w:rsidRPr="00AF706C" w:rsidRDefault="00046650" w:rsidP="00720C6C">
            <w:pPr>
              <w:pStyle w:val="letteredlist"/>
              <w:numPr>
                <w:ilvl w:val="0"/>
                <w:numId w:val="0"/>
              </w:numPr>
              <w:spacing w:after="0"/>
              <w:ind w:left="29"/>
              <w:rPr>
                <w:b/>
                <w:i/>
              </w:rPr>
            </w:pPr>
            <w:r w:rsidRPr="00AF706C">
              <w:rPr>
                <w:b/>
                <w:i/>
              </w:rPr>
              <w:t>Management information and reporting</w:t>
            </w:r>
          </w:p>
          <w:p w14:paraId="51FA2AC8" w14:textId="77777777" w:rsidR="00046650" w:rsidRPr="00AF706C" w:rsidRDefault="00046650" w:rsidP="00720C6C">
            <w:pPr>
              <w:rPr>
                <w:rFonts w:cs="Arial"/>
              </w:rPr>
            </w:pPr>
            <w:r w:rsidRPr="00AF706C">
              <w:t xml:space="preserve">Candidates will develop management information systems to enable it to submit data to the Skills Funding Agency via the Individual Learner Record (ILR) and put in place robust arrangements for ensuring that the evidence required to support payments is collected and retained.  </w:t>
            </w:r>
          </w:p>
          <w:p w14:paraId="05482625" w14:textId="77777777" w:rsidR="00046650" w:rsidRPr="00AF706C" w:rsidRDefault="00046650" w:rsidP="00720C6C">
            <w:pPr>
              <w:rPr>
                <w:rFonts w:cs="Arial"/>
              </w:rPr>
            </w:pPr>
          </w:p>
          <w:p w14:paraId="3BEC0F64" w14:textId="77777777" w:rsidR="00046650" w:rsidRPr="00AF706C" w:rsidRDefault="00046650" w:rsidP="00720C6C">
            <w:pPr>
              <w:rPr>
                <w:rFonts w:cs="Arial"/>
              </w:rPr>
            </w:pPr>
            <w:r w:rsidRPr="00AF706C">
              <w:rPr>
                <w:rFonts w:cs="Arial"/>
              </w:rPr>
              <w:t xml:space="preserve">Candidates will be required to share with LAs, LEPs and the Skills Funding Agency ongoing performance management data as well as additional intelligence to improve the effectiveness of all NEET reduction and prevention activities including details of each young person supported and update them of the young person’s progress. </w:t>
            </w:r>
          </w:p>
          <w:p w14:paraId="6A1740C6" w14:textId="77777777" w:rsidR="00046650" w:rsidRPr="00AF706C" w:rsidRDefault="00046650" w:rsidP="00720C6C">
            <w:pPr>
              <w:autoSpaceDE w:val="0"/>
              <w:autoSpaceDN w:val="0"/>
              <w:adjustRightInd w:val="0"/>
              <w:rPr>
                <w:rFonts w:cs="Arial"/>
                <w:b/>
              </w:rPr>
            </w:pPr>
          </w:p>
          <w:p w14:paraId="191CD6C8" w14:textId="77777777" w:rsidR="00046650" w:rsidRPr="00AF706C" w:rsidRDefault="00046650" w:rsidP="00720C6C">
            <w:pPr>
              <w:rPr>
                <w:rFonts w:cs="Arial"/>
              </w:rPr>
            </w:pPr>
            <w:r w:rsidRPr="00AF706C">
              <w:rPr>
                <w:rFonts w:cs="Arial"/>
              </w:rPr>
              <w:t>Candidates will be required to share delivery/outcomes to ensure full coverage.</w:t>
            </w:r>
          </w:p>
          <w:p w14:paraId="02686AE3" w14:textId="77777777" w:rsidR="00046650" w:rsidRPr="00AF706C" w:rsidRDefault="00046650" w:rsidP="00720C6C">
            <w:pPr>
              <w:autoSpaceDE w:val="0"/>
              <w:autoSpaceDN w:val="0"/>
              <w:adjustRightInd w:val="0"/>
              <w:rPr>
                <w:rFonts w:cs="Arial"/>
                <w:b/>
              </w:rPr>
            </w:pPr>
          </w:p>
          <w:p w14:paraId="7AD92ABA" w14:textId="77777777" w:rsidR="00046650" w:rsidRPr="00AF706C" w:rsidRDefault="00046650" w:rsidP="00720C6C">
            <w:pPr>
              <w:autoSpaceDE w:val="0"/>
              <w:autoSpaceDN w:val="0"/>
              <w:adjustRightInd w:val="0"/>
              <w:rPr>
                <w:rFonts w:cs="Arial"/>
                <w:b/>
              </w:rPr>
            </w:pPr>
            <w:r w:rsidRPr="00AF706C">
              <w:rPr>
                <w:rFonts w:cs="Arial"/>
                <w:b/>
              </w:rPr>
              <w:t xml:space="preserve">LEP Specific </w:t>
            </w:r>
          </w:p>
          <w:p w14:paraId="78491E7A" w14:textId="77777777" w:rsidR="00046650" w:rsidRPr="00AF706C" w:rsidRDefault="00046650" w:rsidP="00720C6C">
            <w:pPr>
              <w:autoSpaceDE w:val="0"/>
              <w:autoSpaceDN w:val="0"/>
              <w:adjustRightInd w:val="0"/>
              <w:rPr>
                <w:rFonts w:cs="Arial"/>
              </w:rPr>
            </w:pPr>
          </w:p>
          <w:p w14:paraId="2823174C" w14:textId="77777777" w:rsidR="00046650" w:rsidRPr="00AF706C" w:rsidRDefault="00046650" w:rsidP="00720C6C">
            <w:pPr>
              <w:autoSpaceDE w:val="0"/>
              <w:autoSpaceDN w:val="0"/>
              <w:adjustRightInd w:val="0"/>
              <w:rPr>
                <w:rFonts w:cs="Arial"/>
              </w:rPr>
            </w:pPr>
            <w:r w:rsidRPr="00AF706C">
              <w:rPr>
                <w:rFonts w:cs="Arial"/>
              </w:rPr>
              <w:t>The aim of the Services is to address persistent high levels of NEET in Norfolk, by working with the Local Authorit</w:t>
            </w:r>
            <w:r>
              <w:rPr>
                <w:rFonts w:cs="Arial"/>
              </w:rPr>
              <w:t>y</w:t>
            </w:r>
            <w:r w:rsidRPr="00AF706C">
              <w:rPr>
                <w:rFonts w:cs="Arial"/>
              </w:rPr>
              <w:t xml:space="preserve">, schools and other key partners to target and </w:t>
            </w:r>
            <w:r>
              <w:rPr>
                <w:rFonts w:cs="Arial"/>
              </w:rPr>
              <w:t>support vulnerable young people a</w:t>
            </w:r>
            <w:r w:rsidRPr="00AF706C">
              <w:rPr>
                <w:rFonts w:cs="Arial"/>
              </w:rPr>
              <w:t xml:space="preserve">t risk of becoming NEET.  </w:t>
            </w:r>
          </w:p>
          <w:p w14:paraId="65418484" w14:textId="77777777" w:rsidR="00046650" w:rsidRPr="00AF706C" w:rsidRDefault="00046650" w:rsidP="00720C6C">
            <w:pPr>
              <w:autoSpaceDE w:val="0"/>
              <w:autoSpaceDN w:val="0"/>
              <w:adjustRightInd w:val="0"/>
              <w:rPr>
                <w:rFonts w:cs="Arial"/>
              </w:rPr>
            </w:pPr>
          </w:p>
          <w:p w14:paraId="1D85A7DA" w14:textId="77777777" w:rsidR="00046650" w:rsidRPr="00AF706C" w:rsidRDefault="00046650" w:rsidP="00720C6C">
            <w:pPr>
              <w:autoSpaceDE w:val="0"/>
              <w:autoSpaceDN w:val="0"/>
              <w:adjustRightInd w:val="0"/>
              <w:rPr>
                <w:rFonts w:cs="Arial"/>
              </w:rPr>
            </w:pPr>
            <w:r w:rsidRPr="00AF706C">
              <w:rPr>
                <w:rFonts w:cs="Arial"/>
              </w:rPr>
              <w:t>The objectives of the Services delivered in Norfolk are:</w:t>
            </w:r>
          </w:p>
          <w:p w14:paraId="2B851F41" w14:textId="77777777" w:rsidR="00046650" w:rsidRPr="00AF706C" w:rsidRDefault="00046650" w:rsidP="00720C6C">
            <w:pPr>
              <w:tabs>
                <w:tab w:val="left" w:pos="1594"/>
              </w:tabs>
              <w:autoSpaceDE w:val="0"/>
              <w:autoSpaceDN w:val="0"/>
              <w:adjustRightInd w:val="0"/>
              <w:rPr>
                <w:rFonts w:cs="Arial"/>
              </w:rPr>
            </w:pPr>
            <w:r w:rsidRPr="00AF706C">
              <w:rPr>
                <w:rFonts w:cs="Arial"/>
              </w:rPr>
              <w:tab/>
            </w:r>
          </w:p>
          <w:p w14:paraId="2D0CB7E9" w14:textId="77777777" w:rsidR="00046650" w:rsidRPr="00AF706C" w:rsidRDefault="00046650" w:rsidP="00046650">
            <w:pPr>
              <w:pStyle w:val="ListParagraph"/>
              <w:numPr>
                <w:ilvl w:val="0"/>
                <w:numId w:val="42"/>
              </w:numPr>
              <w:autoSpaceDE w:val="0"/>
              <w:autoSpaceDN w:val="0"/>
              <w:adjustRightInd w:val="0"/>
              <w:rPr>
                <w:rFonts w:cs="Arial"/>
              </w:rPr>
            </w:pPr>
            <w:r w:rsidRPr="00AF706C">
              <w:rPr>
                <w:rFonts w:cs="Arial"/>
              </w:rPr>
              <w:t xml:space="preserve">A net decrease in the numbers of young people becoming NEET </w:t>
            </w:r>
          </w:p>
          <w:p w14:paraId="5BF8416E" w14:textId="77777777" w:rsidR="00046650" w:rsidRPr="00AF706C" w:rsidRDefault="00046650" w:rsidP="00046650">
            <w:pPr>
              <w:pStyle w:val="ListParagraph"/>
              <w:numPr>
                <w:ilvl w:val="0"/>
                <w:numId w:val="42"/>
              </w:numPr>
              <w:autoSpaceDE w:val="0"/>
              <w:autoSpaceDN w:val="0"/>
              <w:adjustRightInd w:val="0"/>
              <w:rPr>
                <w:rFonts w:cs="Arial"/>
              </w:rPr>
            </w:pPr>
            <w:r w:rsidRPr="00AF706C">
              <w:rPr>
                <w:rFonts w:cs="Arial"/>
              </w:rPr>
              <w:t>More young people taking up apprenticeships</w:t>
            </w:r>
          </w:p>
          <w:p w14:paraId="5DF3065B" w14:textId="77777777" w:rsidR="00046650" w:rsidRPr="00AF706C" w:rsidRDefault="00046650" w:rsidP="00046650">
            <w:pPr>
              <w:pStyle w:val="ListParagraph"/>
              <w:numPr>
                <w:ilvl w:val="0"/>
                <w:numId w:val="42"/>
              </w:numPr>
              <w:autoSpaceDE w:val="0"/>
              <w:autoSpaceDN w:val="0"/>
              <w:adjustRightInd w:val="0"/>
              <w:rPr>
                <w:rFonts w:cs="Arial"/>
              </w:rPr>
            </w:pPr>
            <w:r>
              <w:rPr>
                <w:rFonts w:cs="Arial"/>
              </w:rPr>
              <w:t>Norfolk</w:t>
            </w:r>
            <w:r w:rsidRPr="00AF706C">
              <w:rPr>
                <w:rFonts w:cs="Arial"/>
              </w:rPr>
              <w:t xml:space="preserve"> NEET statistics to align better with national and regional statistics.</w:t>
            </w:r>
          </w:p>
          <w:p w14:paraId="4F47B264" w14:textId="77777777" w:rsidR="00046650" w:rsidRPr="00AF706C" w:rsidRDefault="00046650" w:rsidP="00046650">
            <w:pPr>
              <w:pStyle w:val="ListParagraph"/>
              <w:numPr>
                <w:ilvl w:val="0"/>
                <w:numId w:val="42"/>
              </w:numPr>
              <w:autoSpaceDE w:val="0"/>
              <w:autoSpaceDN w:val="0"/>
              <w:adjustRightInd w:val="0"/>
              <w:rPr>
                <w:rFonts w:cs="Arial"/>
              </w:rPr>
            </w:pPr>
            <w:r w:rsidRPr="00AF706C">
              <w:rPr>
                <w:rFonts w:cs="Arial"/>
              </w:rPr>
              <w:t>Sustainable integration into the labour market of young people</w:t>
            </w:r>
            <w:r>
              <w:rPr>
                <w:rFonts w:cs="Arial"/>
              </w:rPr>
              <w:t>.</w:t>
            </w:r>
            <w:r w:rsidRPr="00AF706C">
              <w:rPr>
                <w:rFonts w:cs="Arial"/>
              </w:rPr>
              <w:t xml:space="preserve"> </w:t>
            </w:r>
          </w:p>
          <w:p w14:paraId="0C937E4C" w14:textId="77777777" w:rsidR="00046650" w:rsidRPr="00AF706C" w:rsidRDefault="00046650" w:rsidP="00720C6C">
            <w:pPr>
              <w:pStyle w:val="ListParagraph"/>
              <w:autoSpaceDE w:val="0"/>
              <w:autoSpaceDN w:val="0"/>
              <w:adjustRightInd w:val="0"/>
              <w:ind w:left="360"/>
              <w:rPr>
                <w:rFonts w:cs="Arial"/>
              </w:rPr>
            </w:pPr>
          </w:p>
          <w:p w14:paraId="1160E687" w14:textId="77777777" w:rsidR="00046650" w:rsidRPr="00AF706C" w:rsidRDefault="00046650" w:rsidP="00720C6C">
            <w:pPr>
              <w:autoSpaceDE w:val="0"/>
              <w:autoSpaceDN w:val="0"/>
              <w:adjustRightInd w:val="0"/>
              <w:jc w:val="both"/>
              <w:rPr>
                <w:rFonts w:cs="Arial"/>
              </w:rPr>
            </w:pPr>
            <w:r w:rsidRPr="00AF706C">
              <w:rPr>
                <w:rFonts w:cs="Arial"/>
              </w:rPr>
              <w:t>The Services should offer flexible bespoke interventions to young people, which are not available through existing mainstream funding.</w:t>
            </w:r>
          </w:p>
          <w:p w14:paraId="4D78965E" w14:textId="77777777" w:rsidR="00046650" w:rsidRPr="00AF706C" w:rsidRDefault="00046650" w:rsidP="00720C6C">
            <w:pPr>
              <w:autoSpaceDE w:val="0"/>
              <w:autoSpaceDN w:val="0"/>
              <w:adjustRightInd w:val="0"/>
              <w:rPr>
                <w:rFonts w:cs="Arial"/>
                <w:b/>
              </w:rPr>
            </w:pPr>
          </w:p>
          <w:p w14:paraId="262D7F5F" w14:textId="77777777" w:rsidR="00046650" w:rsidRPr="00AF706C" w:rsidRDefault="00046650" w:rsidP="00720C6C">
            <w:pPr>
              <w:autoSpaceDE w:val="0"/>
              <w:autoSpaceDN w:val="0"/>
              <w:adjustRightInd w:val="0"/>
              <w:rPr>
                <w:rFonts w:cs="Arial"/>
              </w:rPr>
            </w:pPr>
            <w:r>
              <w:rPr>
                <w:rFonts w:cs="Arial"/>
              </w:rPr>
              <w:t>In the C</w:t>
            </w:r>
            <w:r w:rsidRPr="00AF706C">
              <w:rPr>
                <w:rFonts w:cs="Arial"/>
              </w:rPr>
              <w:t>ounty of Norfolk the focus is on those aged 15-18 through Years 11 and 12 to re-engage them with employment, education or training, assisting either with the transition at age 16 into post 16 education or training</w:t>
            </w:r>
            <w:r>
              <w:rPr>
                <w:rFonts w:cs="Arial"/>
              </w:rPr>
              <w:t>,</w:t>
            </w:r>
            <w:r w:rsidRPr="00AF706C">
              <w:rPr>
                <w:rFonts w:cs="Arial"/>
              </w:rPr>
              <w:t xml:space="preserve"> or to </w:t>
            </w:r>
            <w:r>
              <w:rPr>
                <w:rFonts w:cs="Arial"/>
              </w:rPr>
              <w:t>engage/</w:t>
            </w:r>
            <w:r w:rsidRPr="00AF706C">
              <w:rPr>
                <w:rFonts w:cs="Arial"/>
              </w:rPr>
              <w:t xml:space="preserve">remain in education and training post Year 12. Participation at age 17 remains one of the </w:t>
            </w:r>
            <w:r w:rsidRPr="00AF706C">
              <w:rPr>
                <w:rFonts w:cs="Arial"/>
              </w:rPr>
              <w:lastRenderedPageBreak/>
              <w:t>biggest challenges with performance being significantly below national, regional and statistical neighbours.</w:t>
            </w:r>
          </w:p>
          <w:p w14:paraId="3A7C3694" w14:textId="77777777" w:rsidR="00046650" w:rsidRPr="00AF706C" w:rsidRDefault="00046650" w:rsidP="00720C6C">
            <w:pPr>
              <w:autoSpaceDE w:val="0"/>
              <w:autoSpaceDN w:val="0"/>
              <w:adjustRightInd w:val="0"/>
              <w:rPr>
                <w:rFonts w:cs="Arial"/>
              </w:rPr>
            </w:pPr>
          </w:p>
          <w:p w14:paraId="4A46A827" w14:textId="77777777" w:rsidR="00046650" w:rsidRPr="00AF706C" w:rsidRDefault="00046650" w:rsidP="00720C6C">
            <w:pPr>
              <w:autoSpaceDE w:val="0"/>
              <w:autoSpaceDN w:val="0"/>
              <w:adjustRightInd w:val="0"/>
              <w:rPr>
                <w:rFonts w:cs="Arial"/>
              </w:rPr>
            </w:pPr>
            <w:r w:rsidRPr="00AF706C">
              <w:rPr>
                <w:rFonts w:cs="Arial"/>
              </w:rPr>
              <w:t>The objectives of the Services delivered in Norfolk for the priority groups are:</w:t>
            </w:r>
          </w:p>
          <w:p w14:paraId="13ADB896" w14:textId="77777777" w:rsidR="00046650" w:rsidRPr="00AF706C" w:rsidRDefault="00046650" w:rsidP="00720C6C">
            <w:pPr>
              <w:autoSpaceDE w:val="0"/>
              <w:autoSpaceDN w:val="0"/>
              <w:adjustRightInd w:val="0"/>
              <w:rPr>
                <w:rFonts w:cs="Arial"/>
              </w:rPr>
            </w:pPr>
          </w:p>
          <w:p w14:paraId="0A8F12DC" w14:textId="77777777" w:rsidR="00046650" w:rsidRPr="00AF706C" w:rsidRDefault="00046650" w:rsidP="00046650">
            <w:pPr>
              <w:pStyle w:val="ListParagraph"/>
              <w:numPr>
                <w:ilvl w:val="0"/>
                <w:numId w:val="42"/>
              </w:numPr>
              <w:ind w:right="-82"/>
              <w:rPr>
                <w:rFonts w:cs="Arial"/>
              </w:rPr>
            </w:pPr>
            <w:r>
              <w:rPr>
                <w:rFonts w:cs="Arial"/>
              </w:rPr>
              <w:t>133</w:t>
            </w:r>
            <w:r w:rsidRPr="00AF706C">
              <w:rPr>
                <w:rFonts w:cs="Arial"/>
              </w:rPr>
              <w:t xml:space="preserve"> young people between the ages of 15-18 to be engaged on a bespoke programme </w:t>
            </w:r>
            <w:r>
              <w:rPr>
                <w:rFonts w:cs="Arial"/>
              </w:rPr>
              <w:t>with a minimum of</w:t>
            </w:r>
            <w:r w:rsidRPr="00AF706C">
              <w:rPr>
                <w:rFonts w:cs="Arial"/>
              </w:rPr>
              <w:t xml:space="preserve"> </w:t>
            </w:r>
            <w:r>
              <w:rPr>
                <w:rFonts w:cs="Arial"/>
              </w:rPr>
              <w:t>3</w:t>
            </w:r>
            <w:r w:rsidRPr="00AF706C">
              <w:rPr>
                <w:rFonts w:cs="Arial"/>
              </w:rPr>
              <w:t>0 learners from Short Stay Schools</w:t>
            </w:r>
            <w:r>
              <w:rPr>
                <w:rFonts w:cs="Arial"/>
              </w:rPr>
              <w:t>.</w:t>
            </w:r>
            <w:r w:rsidRPr="00AF706C">
              <w:rPr>
                <w:rFonts w:cs="Arial"/>
              </w:rPr>
              <w:t xml:space="preserve"> </w:t>
            </w:r>
            <w:r>
              <w:rPr>
                <w:rFonts w:cs="Arial"/>
              </w:rPr>
              <w:t>This will include</w:t>
            </w:r>
            <w:r w:rsidRPr="00AF706C">
              <w:rPr>
                <w:rFonts w:cs="Arial"/>
              </w:rPr>
              <w:t xml:space="preserve"> a </w:t>
            </w:r>
            <w:r>
              <w:rPr>
                <w:rFonts w:cs="Arial"/>
              </w:rPr>
              <w:t>programme of</w:t>
            </w:r>
            <w:r w:rsidRPr="00AF706C" w:rsidDel="004D738F">
              <w:rPr>
                <w:rFonts w:cs="Arial"/>
              </w:rPr>
              <w:t xml:space="preserve"> </w:t>
            </w:r>
            <w:r>
              <w:rPr>
                <w:rFonts w:cs="Arial"/>
              </w:rPr>
              <w:t>summer activities which may offer a one week residential</w:t>
            </w:r>
          </w:p>
          <w:p w14:paraId="2DD33686" w14:textId="77777777" w:rsidR="00046650" w:rsidRPr="00AF706C" w:rsidRDefault="00046650" w:rsidP="00046650">
            <w:pPr>
              <w:pStyle w:val="ListParagraph"/>
              <w:numPr>
                <w:ilvl w:val="0"/>
                <w:numId w:val="42"/>
              </w:numPr>
              <w:autoSpaceDE w:val="0"/>
              <w:autoSpaceDN w:val="0"/>
              <w:adjustRightInd w:val="0"/>
              <w:rPr>
                <w:rFonts w:cs="Arial"/>
              </w:rPr>
            </w:pPr>
            <w:r>
              <w:rPr>
                <w:rFonts w:cs="Arial"/>
              </w:rPr>
              <w:t xml:space="preserve">Aim to achieve 85% sustained rate of transition into further education/training </w:t>
            </w:r>
          </w:p>
          <w:p w14:paraId="1ADF79CA" w14:textId="77777777" w:rsidR="00046650" w:rsidRPr="00AF706C" w:rsidRDefault="00046650" w:rsidP="00046650">
            <w:pPr>
              <w:pStyle w:val="ListParagraph"/>
              <w:numPr>
                <w:ilvl w:val="0"/>
                <w:numId w:val="42"/>
              </w:numPr>
              <w:autoSpaceDE w:val="0"/>
              <w:autoSpaceDN w:val="0"/>
              <w:adjustRightInd w:val="0"/>
              <w:rPr>
                <w:rFonts w:cs="Arial"/>
              </w:rPr>
            </w:pPr>
            <w:r w:rsidRPr="00AF706C">
              <w:rPr>
                <w:rFonts w:cs="Arial"/>
              </w:rPr>
              <w:t xml:space="preserve">Supporting the transition at age 16 into appropriate post 16 education or training or </w:t>
            </w:r>
            <w:r>
              <w:rPr>
                <w:rFonts w:cs="Arial"/>
              </w:rPr>
              <w:t>engaging/</w:t>
            </w:r>
            <w:r w:rsidRPr="00AF706C">
              <w:rPr>
                <w:rFonts w:cs="Arial"/>
              </w:rPr>
              <w:t>remaining in educ</w:t>
            </w:r>
            <w:r>
              <w:rPr>
                <w:rFonts w:cs="Arial"/>
              </w:rPr>
              <w:t>ation and training post Year 12.</w:t>
            </w:r>
          </w:p>
          <w:p w14:paraId="0A4FFC53" w14:textId="77777777" w:rsidR="00046650" w:rsidRDefault="00046650" w:rsidP="00720C6C">
            <w:pPr>
              <w:autoSpaceDE w:val="0"/>
              <w:autoSpaceDN w:val="0"/>
              <w:adjustRightInd w:val="0"/>
              <w:rPr>
                <w:rFonts w:cs="Arial"/>
                <w:b/>
              </w:rPr>
            </w:pPr>
          </w:p>
          <w:p w14:paraId="398FA9A2" w14:textId="77777777" w:rsidR="00046650" w:rsidRPr="00AF706C" w:rsidRDefault="00046650" w:rsidP="00720C6C">
            <w:pPr>
              <w:autoSpaceDE w:val="0"/>
              <w:autoSpaceDN w:val="0"/>
              <w:adjustRightInd w:val="0"/>
              <w:rPr>
                <w:rFonts w:cs="Arial"/>
                <w:b/>
              </w:rPr>
            </w:pPr>
            <w:r w:rsidRPr="00AF706C">
              <w:rPr>
                <w:rFonts w:cs="Arial"/>
                <w:b/>
              </w:rPr>
              <w:t>The detailed Servi</w:t>
            </w:r>
            <w:r>
              <w:rPr>
                <w:rFonts w:cs="Arial"/>
                <w:b/>
              </w:rPr>
              <w:t>ces requirements are as follows</w:t>
            </w:r>
          </w:p>
          <w:p w14:paraId="576B8F81" w14:textId="77777777" w:rsidR="00046650" w:rsidRPr="00AF706C" w:rsidRDefault="00046650" w:rsidP="00720C6C">
            <w:pPr>
              <w:autoSpaceDE w:val="0"/>
              <w:autoSpaceDN w:val="0"/>
              <w:adjustRightInd w:val="0"/>
              <w:jc w:val="both"/>
              <w:rPr>
                <w:rFonts w:cs="Arial"/>
              </w:rPr>
            </w:pPr>
          </w:p>
          <w:p w14:paraId="546D3808" w14:textId="77777777" w:rsidR="00046650" w:rsidRPr="00AF706C" w:rsidRDefault="00046650" w:rsidP="00720C6C">
            <w:pPr>
              <w:autoSpaceDE w:val="0"/>
              <w:autoSpaceDN w:val="0"/>
              <w:adjustRightInd w:val="0"/>
              <w:jc w:val="both"/>
              <w:rPr>
                <w:rFonts w:cs="Arial"/>
              </w:rPr>
            </w:pPr>
            <w:r w:rsidRPr="00AF706C">
              <w:rPr>
                <w:rFonts w:cs="Arial"/>
              </w:rPr>
              <w:t>The Services must provide an initial diagnostic assessment and needs analysis for all young people using recognised tools to examine the young person’s ambitions, skills levels and barriers to engagement and progression</w:t>
            </w:r>
            <w:r>
              <w:rPr>
                <w:rFonts w:cs="Arial"/>
              </w:rPr>
              <w:t xml:space="preserve">. This should </w:t>
            </w:r>
            <w:r w:rsidRPr="00AF706C">
              <w:rPr>
                <w:rFonts w:cs="Arial"/>
              </w:rPr>
              <w:t xml:space="preserve">result in robust individualised learning and transition plans with regular progress reviews and exit interviews. </w:t>
            </w:r>
          </w:p>
          <w:p w14:paraId="7D0B6185" w14:textId="77777777" w:rsidR="00046650" w:rsidRPr="00AF706C" w:rsidRDefault="00046650" w:rsidP="00720C6C">
            <w:pPr>
              <w:autoSpaceDE w:val="0"/>
              <w:autoSpaceDN w:val="0"/>
              <w:adjustRightInd w:val="0"/>
              <w:jc w:val="both"/>
              <w:rPr>
                <w:rFonts w:cs="Arial"/>
              </w:rPr>
            </w:pPr>
          </w:p>
          <w:p w14:paraId="38A92A9F" w14:textId="77777777" w:rsidR="00046650" w:rsidRPr="00AF706C" w:rsidRDefault="00046650" w:rsidP="00720C6C">
            <w:pPr>
              <w:autoSpaceDE w:val="0"/>
              <w:autoSpaceDN w:val="0"/>
              <w:adjustRightInd w:val="0"/>
              <w:jc w:val="both"/>
              <w:rPr>
                <w:rFonts w:cs="Arial"/>
              </w:rPr>
            </w:pPr>
            <w:r w:rsidRPr="00AF706C">
              <w:rPr>
                <w:rFonts w:cs="Arial"/>
              </w:rPr>
              <w:t xml:space="preserve">The Services must provide tailored information advice and guidance (IAG) for each young person, with intensive personal guidance and help to develop their understanding of the post 16 opportunities available to them including traineeships and apprenticeships. </w:t>
            </w:r>
            <w:r>
              <w:rPr>
                <w:rFonts w:cs="Arial"/>
              </w:rPr>
              <w:t>T</w:t>
            </w:r>
            <w:r w:rsidRPr="00AF706C">
              <w:rPr>
                <w:rFonts w:cs="Arial"/>
              </w:rPr>
              <w:t>he Services must help young people gain a greater understanding of their own abilities, learning needs and the range of opportunities available</w:t>
            </w:r>
            <w:r>
              <w:rPr>
                <w:rFonts w:cs="Arial"/>
              </w:rPr>
              <w:t>,</w:t>
            </w:r>
            <w:r w:rsidRPr="00AF706C">
              <w:rPr>
                <w:rFonts w:cs="Arial"/>
              </w:rPr>
              <w:t xml:space="preserve"> suppo</w:t>
            </w:r>
            <w:r>
              <w:rPr>
                <w:rFonts w:cs="Arial"/>
              </w:rPr>
              <w:t xml:space="preserve">rted by the effective use of </w:t>
            </w:r>
            <w:r w:rsidRPr="00AF706C">
              <w:rPr>
                <w:rFonts w:cs="Arial"/>
              </w:rPr>
              <w:t>intensive enhanced and impartial high quality IAG at all stages of the learner journey.</w:t>
            </w:r>
          </w:p>
          <w:p w14:paraId="4CD4E09D" w14:textId="77777777" w:rsidR="00046650" w:rsidRPr="00AF706C" w:rsidDel="002F258B" w:rsidRDefault="00046650" w:rsidP="00720C6C">
            <w:pPr>
              <w:autoSpaceDE w:val="0"/>
              <w:autoSpaceDN w:val="0"/>
              <w:adjustRightInd w:val="0"/>
              <w:ind w:left="-47"/>
              <w:rPr>
                <w:rFonts w:cs="Arial"/>
                <w:iCs/>
              </w:rPr>
            </w:pPr>
          </w:p>
          <w:p w14:paraId="1DB9D27C" w14:textId="77777777" w:rsidR="00046650" w:rsidRPr="00AF706C" w:rsidRDefault="00046650" w:rsidP="00720C6C">
            <w:pPr>
              <w:autoSpaceDE w:val="0"/>
              <w:autoSpaceDN w:val="0"/>
              <w:adjustRightInd w:val="0"/>
              <w:jc w:val="both"/>
              <w:rPr>
                <w:rFonts w:cs="Arial"/>
              </w:rPr>
            </w:pPr>
            <w:r>
              <w:rPr>
                <w:rFonts w:cs="Arial"/>
              </w:rPr>
              <w:t xml:space="preserve">The Services must deliver </w:t>
            </w:r>
            <w:r w:rsidRPr="00AF706C">
              <w:rPr>
                <w:rFonts w:cs="Arial"/>
              </w:rPr>
              <w:t>personalised provision which is flexible (in terms of content, times and location) through the involvement of young people in both the design and delivery of the programmes</w:t>
            </w:r>
            <w:r>
              <w:rPr>
                <w:rFonts w:cs="Arial"/>
              </w:rPr>
              <w:t xml:space="preserve">, </w:t>
            </w:r>
            <w:r w:rsidRPr="00AF706C">
              <w:rPr>
                <w:rFonts w:cs="Arial"/>
              </w:rPr>
              <w:t xml:space="preserve">including training to provide peer support taking into account local conditions and requirements. </w:t>
            </w:r>
          </w:p>
          <w:p w14:paraId="7CCCA4A7" w14:textId="77777777" w:rsidR="00046650" w:rsidRPr="00AF706C" w:rsidRDefault="00046650" w:rsidP="00720C6C">
            <w:pPr>
              <w:autoSpaceDE w:val="0"/>
              <w:autoSpaceDN w:val="0"/>
              <w:adjustRightInd w:val="0"/>
              <w:rPr>
                <w:rFonts w:cs="Arial"/>
              </w:rPr>
            </w:pPr>
          </w:p>
          <w:p w14:paraId="51D5910E" w14:textId="77777777" w:rsidR="00046650" w:rsidRPr="00AF706C" w:rsidRDefault="00046650" w:rsidP="00720C6C">
            <w:pPr>
              <w:autoSpaceDE w:val="0"/>
              <w:autoSpaceDN w:val="0"/>
              <w:adjustRightInd w:val="0"/>
              <w:jc w:val="both"/>
              <w:rPr>
                <w:iCs/>
              </w:rPr>
            </w:pPr>
            <w:r w:rsidRPr="00AF706C">
              <w:rPr>
                <w:iCs/>
              </w:rPr>
              <w:t>The Services should include flexible and innovative delivery methods, which should include outreach or residential opportunities if appropriate</w:t>
            </w:r>
            <w:r>
              <w:rPr>
                <w:iCs/>
              </w:rPr>
              <w:t>,</w:t>
            </w:r>
            <w:r w:rsidRPr="00AF706C">
              <w:rPr>
                <w:iCs/>
              </w:rPr>
              <w:t xml:space="preserve"> to meet a young person’s assessed needs. </w:t>
            </w:r>
          </w:p>
          <w:p w14:paraId="092A9FA1" w14:textId="77777777" w:rsidR="00046650" w:rsidRPr="00AF706C" w:rsidRDefault="00046650" w:rsidP="00720C6C">
            <w:pPr>
              <w:rPr>
                <w:rFonts w:cs="Arial"/>
              </w:rPr>
            </w:pPr>
          </w:p>
          <w:p w14:paraId="433A9949" w14:textId="77777777" w:rsidR="00046650" w:rsidRPr="00AF706C" w:rsidRDefault="00046650" w:rsidP="00720C6C">
            <w:pPr>
              <w:autoSpaceDE w:val="0"/>
              <w:autoSpaceDN w:val="0"/>
              <w:adjustRightInd w:val="0"/>
              <w:jc w:val="both"/>
              <w:rPr>
                <w:rFonts w:cs="Arial"/>
              </w:rPr>
            </w:pPr>
            <w:r w:rsidRPr="00AF706C">
              <w:t>The Services must develop and demonstrate young peoples’ employability skills through a range of structured opportunities such as enterprise, employer-based vocational training and tasters, employment trials, work pairing, work experience, internsh</w:t>
            </w:r>
            <w:r>
              <w:t>ips and voluntary work in both public and private sectors or in the third s</w:t>
            </w:r>
            <w:r w:rsidRPr="00AF706C">
              <w:t>ector an</w:t>
            </w:r>
            <w:r>
              <w:t>d/or part-time, evening or week</w:t>
            </w:r>
            <w:r w:rsidRPr="00AF706C">
              <w:t xml:space="preserve">end work. </w:t>
            </w:r>
            <w:r w:rsidRPr="00AF706C">
              <w:rPr>
                <w:rFonts w:eastAsiaTheme="minorHAnsi" w:cs="Arial"/>
                <w:iCs/>
              </w:rPr>
              <w:t xml:space="preserve"> </w:t>
            </w:r>
          </w:p>
          <w:p w14:paraId="3A176F65" w14:textId="77777777" w:rsidR="00046650" w:rsidRPr="00AF706C" w:rsidRDefault="00046650" w:rsidP="00720C6C">
            <w:pPr>
              <w:autoSpaceDE w:val="0"/>
              <w:autoSpaceDN w:val="0"/>
              <w:adjustRightInd w:val="0"/>
              <w:rPr>
                <w:rFonts w:cs="Arial"/>
              </w:rPr>
            </w:pPr>
          </w:p>
          <w:p w14:paraId="3019426B" w14:textId="77777777" w:rsidR="00046650" w:rsidRPr="00AF706C" w:rsidRDefault="00046650" w:rsidP="00720C6C">
            <w:pPr>
              <w:autoSpaceDE w:val="0"/>
              <w:autoSpaceDN w:val="0"/>
              <w:adjustRightInd w:val="0"/>
              <w:rPr>
                <w:rFonts w:cs="Arial"/>
              </w:rPr>
            </w:pPr>
            <w:r w:rsidRPr="00AF706C">
              <w:rPr>
                <w:rFonts w:cs="Arial"/>
                <w:iCs/>
              </w:rPr>
              <w:t>The Services should include the provision of small amounts of funding to help pay for travel and other costs to facilitate young people accessing the Services as appropriate and the financial and other incentives to encourage retention, achievement and progression. T</w:t>
            </w:r>
            <w:r>
              <w:rPr>
                <w:rFonts w:cs="Arial"/>
                <w:iCs/>
              </w:rPr>
              <w:t xml:space="preserve">his </w:t>
            </w:r>
            <w:r w:rsidRPr="00AF706C">
              <w:rPr>
                <w:rFonts w:cs="Arial"/>
                <w:iCs/>
              </w:rPr>
              <w:t>element is to be funded out of the unit costs funding.</w:t>
            </w:r>
          </w:p>
          <w:p w14:paraId="5415DCB6" w14:textId="77777777" w:rsidR="00046650" w:rsidRPr="00AF706C" w:rsidRDefault="00046650" w:rsidP="00720C6C">
            <w:pPr>
              <w:autoSpaceDE w:val="0"/>
              <w:autoSpaceDN w:val="0"/>
              <w:adjustRightInd w:val="0"/>
              <w:ind w:left="-47"/>
              <w:rPr>
                <w:rFonts w:cs="Arial"/>
              </w:rPr>
            </w:pPr>
          </w:p>
          <w:p w14:paraId="65C103C9" w14:textId="77777777" w:rsidR="00046650" w:rsidRPr="00AF706C" w:rsidRDefault="00046650" w:rsidP="00720C6C">
            <w:pPr>
              <w:autoSpaceDE w:val="0"/>
              <w:autoSpaceDN w:val="0"/>
              <w:adjustRightInd w:val="0"/>
              <w:rPr>
                <w:rFonts w:cs="Arial"/>
              </w:rPr>
            </w:pPr>
            <w:r w:rsidRPr="00AF706C">
              <w:rPr>
                <w:rFonts w:cs="Arial"/>
              </w:rPr>
              <w:lastRenderedPageBreak/>
              <w:t>The successful Candidate must provide quarterly narrative reports for the Local Authori</w:t>
            </w:r>
            <w:r>
              <w:rPr>
                <w:rFonts w:cs="Arial"/>
              </w:rPr>
              <w:t>ty</w:t>
            </w:r>
            <w:r w:rsidRPr="00AF706C">
              <w:rPr>
                <w:rFonts w:cs="Arial"/>
              </w:rPr>
              <w:t>, including information on performance by sub-contractors.</w:t>
            </w:r>
          </w:p>
          <w:p w14:paraId="38BB35C6" w14:textId="77777777" w:rsidR="00046650" w:rsidRPr="00AF706C" w:rsidRDefault="00046650" w:rsidP="00720C6C">
            <w:pPr>
              <w:autoSpaceDE w:val="0"/>
              <w:autoSpaceDN w:val="0"/>
              <w:adjustRightInd w:val="0"/>
              <w:rPr>
                <w:rFonts w:cs="Arial"/>
              </w:rPr>
            </w:pPr>
          </w:p>
          <w:p w14:paraId="010ABB29" w14:textId="77777777" w:rsidR="00046650" w:rsidRPr="00AF706C" w:rsidRDefault="00046650" w:rsidP="00720C6C">
            <w:pPr>
              <w:rPr>
                <w:rFonts w:cs="Arial"/>
              </w:rPr>
            </w:pPr>
            <w:r w:rsidRPr="00AF706C">
              <w:rPr>
                <w:rFonts w:cs="Arial"/>
              </w:rPr>
              <w:t xml:space="preserve">In addition the Services must include:  </w:t>
            </w:r>
          </w:p>
          <w:p w14:paraId="13BAB949" w14:textId="77777777" w:rsidR="00046650" w:rsidRPr="00AF706C" w:rsidRDefault="00046650" w:rsidP="00720C6C">
            <w:pPr>
              <w:rPr>
                <w:rFonts w:cs="Arial"/>
              </w:rPr>
            </w:pPr>
          </w:p>
          <w:p w14:paraId="7D62F17F" w14:textId="77777777" w:rsidR="00046650" w:rsidRPr="00AF706C" w:rsidRDefault="00046650" w:rsidP="00046650">
            <w:pPr>
              <w:pStyle w:val="ListParagraph"/>
              <w:numPr>
                <w:ilvl w:val="0"/>
                <w:numId w:val="42"/>
              </w:numPr>
              <w:ind w:right="-82"/>
              <w:rPr>
                <w:rFonts w:cs="Arial"/>
              </w:rPr>
            </w:pPr>
            <w:r w:rsidRPr="00AF706C">
              <w:rPr>
                <w:rFonts w:cs="Arial"/>
              </w:rPr>
              <w:t>A referral mechanism for young people from the Local Authorities and schools (including Short Stay Schools) and other stakeholders including DWP or housing</w:t>
            </w:r>
            <w:r>
              <w:rPr>
                <w:rFonts w:cs="Arial"/>
              </w:rPr>
              <w:t xml:space="preserve"> associations where appropriate</w:t>
            </w:r>
          </w:p>
          <w:p w14:paraId="57D78185" w14:textId="77777777" w:rsidR="00046650" w:rsidRPr="00AF706C" w:rsidRDefault="00046650" w:rsidP="00720C6C">
            <w:pPr>
              <w:rPr>
                <w:rFonts w:cs="Arial"/>
              </w:rPr>
            </w:pPr>
          </w:p>
          <w:p w14:paraId="0190AE9A" w14:textId="77777777" w:rsidR="00046650" w:rsidRPr="00AF706C" w:rsidRDefault="00046650" w:rsidP="00046650">
            <w:pPr>
              <w:pStyle w:val="ListParagraph"/>
              <w:numPr>
                <w:ilvl w:val="0"/>
                <w:numId w:val="42"/>
              </w:numPr>
              <w:ind w:right="-82"/>
              <w:rPr>
                <w:rFonts w:cs="Arial"/>
              </w:rPr>
            </w:pPr>
            <w:r w:rsidRPr="00AF706C">
              <w:rPr>
                <w:rFonts w:cs="Arial"/>
              </w:rPr>
              <w:t>One-to-one intensive advocacy and mentoring throughout years 11 and 12 in combination with group activity and peer mentoring where appropriate</w:t>
            </w:r>
          </w:p>
          <w:p w14:paraId="2686F0E9" w14:textId="77777777" w:rsidR="00046650" w:rsidRPr="00AF706C" w:rsidRDefault="00046650" w:rsidP="00720C6C">
            <w:pPr>
              <w:rPr>
                <w:rFonts w:cs="Arial"/>
              </w:rPr>
            </w:pPr>
          </w:p>
          <w:p w14:paraId="21D4DF82" w14:textId="77777777" w:rsidR="00046650" w:rsidRPr="00AF706C" w:rsidRDefault="00046650" w:rsidP="00046650">
            <w:pPr>
              <w:pStyle w:val="ListParagraph"/>
              <w:numPr>
                <w:ilvl w:val="0"/>
                <w:numId w:val="42"/>
              </w:numPr>
              <w:ind w:right="-82"/>
              <w:rPr>
                <w:rFonts w:cs="Arial"/>
              </w:rPr>
            </w:pPr>
            <w:r w:rsidRPr="00AF706C">
              <w:rPr>
                <w:rFonts w:cs="Arial"/>
              </w:rPr>
              <w:t xml:space="preserve">The provision of a </w:t>
            </w:r>
            <w:r>
              <w:rPr>
                <w:rFonts w:cs="Arial"/>
              </w:rPr>
              <w:t>summer activity programme</w:t>
            </w:r>
            <w:r w:rsidRPr="00AF706C">
              <w:rPr>
                <w:rFonts w:cs="Arial"/>
              </w:rPr>
              <w:t xml:space="preserve"> for identified learners </w:t>
            </w:r>
            <w:r>
              <w:rPr>
                <w:rFonts w:cs="Arial"/>
              </w:rPr>
              <w:t>with students from the</w:t>
            </w:r>
            <w:r w:rsidRPr="00AF706C">
              <w:rPr>
                <w:rFonts w:cs="Arial"/>
              </w:rPr>
              <w:t xml:space="preserve"> Short Stay Schools</w:t>
            </w:r>
            <w:r>
              <w:rPr>
                <w:rFonts w:cs="Arial"/>
              </w:rPr>
              <w:t xml:space="preserve"> as a priority group</w:t>
            </w:r>
            <w:r w:rsidRPr="00AF706C">
              <w:rPr>
                <w:rFonts w:cs="Arial"/>
              </w:rPr>
              <w:t xml:space="preserve">. </w:t>
            </w:r>
            <w:r>
              <w:rPr>
                <w:rFonts w:cs="Arial"/>
              </w:rPr>
              <w:t xml:space="preserve">This may take the form of a residential summer school. </w:t>
            </w:r>
            <w:r w:rsidRPr="00AF706C">
              <w:rPr>
                <w:rFonts w:cs="Arial"/>
              </w:rPr>
              <w:t>The funding for this is included within the unit costs</w:t>
            </w:r>
          </w:p>
          <w:p w14:paraId="7E8F3A6E" w14:textId="77777777" w:rsidR="00046650" w:rsidRPr="00AF706C" w:rsidRDefault="00046650" w:rsidP="00720C6C">
            <w:pPr>
              <w:rPr>
                <w:rFonts w:cs="Arial"/>
              </w:rPr>
            </w:pPr>
          </w:p>
          <w:p w14:paraId="57C178FF" w14:textId="77777777" w:rsidR="00046650" w:rsidRPr="00AF706C" w:rsidRDefault="00046650" w:rsidP="00046650">
            <w:pPr>
              <w:pStyle w:val="ListParagraph"/>
              <w:numPr>
                <w:ilvl w:val="0"/>
                <w:numId w:val="42"/>
              </w:numPr>
              <w:ind w:right="-82"/>
              <w:rPr>
                <w:rFonts w:cs="Arial"/>
              </w:rPr>
            </w:pPr>
            <w:r w:rsidRPr="00AF706C">
              <w:rPr>
                <w:rFonts w:cs="Arial"/>
              </w:rPr>
              <w:t xml:space="preserve">Support </w:t>
            </w:r>
            <w:r>
              <w:rPr>
                <w:rFonts w:cs="Arial"/>
              </w:rPr>
              <w:t>for</w:t>
            </w:r>
            <w:r w:rsidRPr="00AF706C">
              <w:rPr>
                <w:rFonts w:cs="Arial"/>
              </w:rPr>
              <w:t xml:space="preserve"> remaining in employment, education and training, which extends to continued support and engagement after a positive outcome has been achieved and maintained</w:t>
            </w:r>
          </w:p>
          <w:p w14:paraId="344BA794" w14:textId="77777777" w:rsidR="00046650" w:rsidRPr="00AF706C" w:rsidRDefault="00046650" w:rsidP="00720C6C">
            <w:pPr>
              <w:rPr>
                <w:rFonts w:cs="Arial"/>
              </w:rPr>
            </w:pPr>
          </w:p>
          <w:p w14:paraId="5568A38B" w14:textId="77777777" w:rsidR="00046650" w:rsidRPr="00AF706C" w:rsidRDefault="00046650" w:rsidP="00046650">
            <w:pPr>
              <w:pStyle w:val="ListParagraph"/>
              <w:numPr>
                <w:ilvl w:val="0"/>
                <w:numId w:val="42"/>
              </w:numPr>
              <w:ind w:right="-82"/>
              <w:rPr>
                <w:rFonts w:cs="Arial"/>
              </w:rPr>
            </w:pPr>
            <w:r w:rsidRPr="00AF706C">
              <w:rPr>
                <w:rFonts w:cs="Arial"/>
              </w:rPr>
              <w:t>Provision of post-employment support where employment is the desired outcome. This will include a longer-term relationship with the learner, acting as an advocate for them</w:t>
            </w:r>
          </w:p>
          <w:p w14:paraId="2A56EFFA" w14:textId="77777777" w:rsidR="00046650" w:rsidRPr="00AF706C" w:rsidRDefault="00046650" w:rsidP="00720C6C">
            <w:pPr>
              <w:rPr>
                <w:rFonts w:cs="Arial"/>
              </w:rPr>
            </w:pPr>
          </w:p>
          <w:p w14:paraId="6441138C" w14:textId="77777777" w:rsidR="00046650" w:rsidRDefault="00046650" w:rsidP="00046650">
            <w:pPr>
              <w:pStyle w:val="ListParagraph"/>
              <w:numPr>
                <w:ilvl w:val="0"/>
                <w:numId w:val="42"/>
              </w:numPr>
              <w:ind w:right="-82"/>
              <w:rPr>
                <w:rFonts w:cs="Arial"/>
              </w:rPr>
            </w:pPr>
            <w:r w:rsidRPr="00AF706C">
              <w:rPr>
                <w:rFonts w:cs="Arial"/>
              </w:rPr>
              <w:t>Access to other support organisations where there is one or more barriers to education or employment, including mental health</w:t>
            </w:r>
          </w:p>
          <w:p w14:paraId="2F97D7DF" w14:textId="77777777" w:rsidR="00046650" w:rsidRPr="0029368F" w:rsidRDefault="00046650" w:rsidP="00720C6C">
            <w:pPr>
              <w:pStyle w:val="ListParagraph"/>
              <w:rPr>
                <w:rFonts w:cs="Arial"/>
              </w:rPr>
            </w:pPr>
          </w:p>
          <w:p w14:paraId="6F416312" w14:textId="77777777" w:rsidR="00046650" w:rsidRPr="00AF706C" w:rsidRDefault="00046650" w:rsidP="00046650">
            <w:pPr>
              <w:pStyle w:val="ListParagraph"/>
              <w:numPr>
                <w:ilvl w:val="0"/>
                <w:numId w:val="42"/>
              </w:numPr>
              <w:ind w:right="-82"/>
              <w:rPr>
                <w:rFonts w:cs="Arial"/>
              </w:rPr>
            </w:pPr>
            <w:r>
              <w:rPr>
                <w:rFonts w:cs="Arial"/>
              </w:rPr>
              <w:t>Transitional support and aftercare and mentoring support to keep young people on target.</w:t>
            </w:r>
          </w:p>
          <w:p w14:paraId="3A829A4F" w14:textId="77777777" w:rsidR="00046650" w:rsidRDefault="00046650" w:rsidP="00720C6C"/>
          <w:p w14:paraId="3F668A69" w14:textId="77777777" w:rsidR="00046650" w:rsidRDefault="00046650" w:rsidP="00720C6C"/>
          <w:p w14:paraId="5BD8C372" w14:textId="77777777" w:rsidR="00046650" w:rsidRDefault="00046650" w:rsidP="00720C6C"/>
          <w:p w14:paraId="25CEDC6F" w14:textId="77777777" w:rsidR="00046650" w:rsidRDefault="00046650" w:rsidP="00720C6C"/>
          <w:p w14:paraId="0BEB5702" w14:textId="77777777" w:rsidR="00046650" w:rsidRDefault="00046650" w:rsidP="00720C6C"/>
          <w:p w14:paraId="5E75A28B" w14:textId="77777777" w:rsidR="00046650" w:rsidRDefault="00046650" w:rsidP="00720C6C"/>
          <w:p w14:paraId="61E99EE3" w14:textId="77777777" w:rsidR="00046650" w:rsidRDefault="00046650" w:rsidP="00720C6C"/>
          <w:p w14:paraId="5A8155FC" w14:textId="77777777" w:rsidR="00046650" w:rsidRPr="00AF706C" w:rsidRDefault="00046650" w:rsidP="00720C6C"/>
        </w:tc>
      </w:tr>
      <w:tr w:rsidR="00046650" w:rsidRPr="00C107CE" w14:paraId="16B470FB" w14:textId="77777777" w:rsidTr="00720C6C">
        <w:trPr>
          <w:gridAfter w:val="1"/>
          <w:wAfter w:w="21" w:type="dxa"/>
          <w:trHeight w:val="553"/>
        </w:trPr>
        <w:tc>
          <w:tcPr>
            <w:tcW w:w="9067" w:type="dxa"/>
            <w:shd w:val="clear" w:color="auto" w:fill="D9D9D9" w:themeFill="background1" w:themeFillShade="D9"/>
            <w:vAlign w:val="center"/>
          </w:tcPr>
          <w:p w14:paraId="79DC624F" w14:textId="77777777" w:rsidR="00046650" w:rsidRPr="00C107CE" w:rsidRDefault="00046650" w:rsidP="00720C6C">
            <w:pPr>
              <w:rPr>
                <w:rFonts w:cs="Arial"/>
                <w:b/>
              </w:rPr>
            </w:pPr>
            <w:r>
              <w:rPr>
                <w:rFonts w:cs="Arial"/>
                <w:b/>
              </w:rPr>
              <w:lastRenderedPageBreak/>
              <w:t>Horizontal Principles</w:t>
            </w:r>
          </w:p>
        </w:tc>
      </w:tr>
      <w:tr w:rsidR="00046650" w:rsidRPr="002833D9" w14:paraId="156341A7" w14:textId="77777777" w:rsidTr="00720C6C">
        <w:tc>
          <w:tcPr>
            <w:tcW w:w="9088" w:type="dxa"/>
            <w:gridSpan w:val="2"/>
            <w:shd w:val="clear" w:color="auto" w:fill="auto"/>
          </w:tcPr>
          <w:p w14:paraId="235EFF76" w14:textId="77777777" w:rsidR="00046650" w:rsidRDefault="00046650" w:rsidP="00720C6C">
            <w:pPr>
              <w:autoSpaceDE w:val="0"/>
              <w:autoSpaceDN w:val="0"/>
              <w:adjustRightInd w:val="0"/>
              <w:rPr>
                <w:rFonts w:cs="Arial"/>
              </w:rPr>
            </w:pPr>
          </w:p>
          <w:p w14:paraId="0E7B2724" w14:textId="77777777" w:rsidR="00046650" w:rsidRPr="00AF706C" w:rsidRDefault="00046650" w:rsidP="00720C6C">
            <w:pPr>
              <w:autoSpaceDE w:val="0"/>
              <w:autoSpaceDN w:val="0"/>
              <w:adjustRightInd w:val="0"/>
              <w:rPr>
                <w:rFonts w:cs="Arial"/>
              </w:rPr>
            </w:pPr>
            <w:r w:rsidRPr="00AF706C">
              <w:rPr>
                <w:rFonts w:cs="Arial"/>
              </w:rPr>
              <w:t xml:space="preserve">The Services must support the cross cutting themes </w:t>
            </w:r>
            <w:r w:rsidRPr="00AF706C">
              <w:rPr>
                <w:rFonts w:cs="Arial"/>
                <w:color w:val="000000"/>
              </w:rPr>
              <w:t>of the ESF Framework</w:t>
            </w:r>
            <w:r w:rsidRPr="00AF706C">
              <w:rPr>
                <w:rFonts w:cs="Arial"/>
              </w:rPr>
              <w:t xml:space="preserve">. These are set out below. </w:t>
            </w:r>
          </w:p>
          <w:p w14:paraId="25993851" w14:textId="77777777" w:rsidR="00046650" w:rsidRPr="00AF706C" w:rsidRDefault="00046650" w:rsidP="00720C6C">
            <w:pPr>
              <w:autoSpaceDE w:val="0"/>
              <w:autoSpaceDN w:val="0"/>
              <w:adjustRightInd w:val="0"/>
              <w:rPr>
                <w:rFonts w:cs="Arial"/>
              </w:rPr>
            </w:pPr>
          </w:p>
          <w:p w14:paraId="021243A9" w14:textId="77777777" w:rsidR="00046650" w:rsidRPr="00AF706C" w:rsidRDefault="00046650" w:rsidP="00720C6C">
            <w:pPr>
              <w:autoSpaceDE w:val="0"/>
              <w:autoSpaceDN w:val="0"/>
              <w:adjustRightInd w:val="0"/>
              <w:rPr>
                <w:rFonts w:cs="Arial"/>
                <w:color w:val="000000"/>
              </w:rPr>
            </w:pPr>
            <w:r w:rsidRPr="00AF706C">
              <w:rPr>
                <w:rFonts w:cs="Arial"/>
                <w:color w:val="000000"/>
              </w:rPr>
              <w:t xml:space="preserve">Gender Equality and Equal Opportunities and Sustainable Development. The ESF programme maintains the dual approach to promoting gender equality and equality of opportunities by funding specific activities which target women and disadvantaged groups as well as integrating equal opportunities into the planning, implementation, monitoring and evaluation of the programme as a whole. Action to promote equality and diversity is an integral part of the SFA business objectives. A world-class workforce can only be created if we remove barriers, eliminate discrimination, address disadvantage and raise the aspirations of both present and potential learners. Performance monitoring of the project will include a review of </w:t>
            </w:r>
            <w:r w:rsidRPr="00AF706C">
              <w:rPr>
                <w:rFonts w:cs="Arial"/>
                <w:color w:val="000000"/>
              </w:rPr>
              <w:lastRenderedPageBreak/>
              <w:t>progress against the implementation/action plan on a quarterly basis included in this specification.</w:t>
            </w:r>
          </w:p>
          <w:p w14:paraId="11BA61C5" w14:textId="77777777" w:rsidR="00046650" w:rsidRPr="00AF706C" w:rsidRDefault="00046650" w:rsidP="00720C6C">
            <w:pPr>
              <w:autoSpaceDE w:val="0"/>
              <w:autoSpaceDN w:val="0"/>
              <w:adjustRightInd w:val="0"/>
              <w:rPr>
                <w:rFonts w:cs="Arial"/>
                <w:color w:val="000000"/>
              </w:rPr>
            </w:pPr>
          </w:p>
          <w:p w14:paraId="36457EF6" w14:textId="77777777" w:rsidR="00046650" w:rsidRPr="00FD3B0A" w:rsidRDefault="00046650" w:rsidP="00720C6C">
            <w:pPr>
              <w:pStyle w:val="SpecificationHeading"/>
            </w:pPr>
            <w:r w:rsidRPr="00AF706C">
              <w:rPr>
                <w:b w:val="0"/>
              </w:rPr>
              <w:t>Sustainable Development (SD) activity is a mandatory requirement of all projects funded through the ESF programme. Successful tenderers will be required to have in place an operational SD policy and implementation/action plan within two months of the project Start Date. Performance monitoring of the project will include a review of progress against the implementation/action plan on a quarterly basis included in this specification. Activity will need to promote and engage with priority individuals, such as those with protected characteristics</w:t>
            </w:r>
            <w:r w:rsidRPr="00AF706C">
              <w:t>.</w:t>
            </w:r>
          </w:p>
          <w:p w14:paraId="23247D49" w14:textId="77777777" w:rsidR="00046650" w:rsidRDefault="00046650" w:rsidP="00720C6C">
            <w:pPr>
              <w:pStyle w:val="SpecificationHeading"/>
            </w:pPr>
          </w:p>
          <w:p w14:paraId="49E70BCC" w14:textId="77777777" w:rsidR="00046650" w:rsidRDefault="00046650" w:rsidP="00720C6C">
            <w:pPr>
              <w:pStyle w:val="SpecificationHeading"/>
            </w:pPr>
          </w:p>
          <w:p w14:paraId="3FBC6661" w14:textId="77777777" w:rsidR="00046650" w:rsidRDefault="00046650" w:rsidP="00720C6C">
            <w:pPr>
              <w:pStyle w:val="SpecificationHeading"/>
            </w:pPr>
          </w:p>
          <w:p w14:paraId="39B065D7" w14:textId="77777777" w:rsidR="00046650" w:rsidRDefault="00046650" w:rsidP="00720C6C">
            <w:pPr>
              <w:pStyle w:val="SpecificationHeading"/>
            </w:pPr>
          </w:p>
          <w:p w14:paraId="3F3FB156" w14:textId="77777777" w:rsidR="00046650" w:rsidRDefault="00046650" w:rsidP="00720C6C">
            <w:pPr>
              <w:pStyle w:val="SpecificationHeading"/>
            </w:pPr>
          </w:p>
          <w:p w14:paraId="09830DFB" w14:textId="77777777" w:rsidR="00046650" w:rsidRDefault="00046650" w:rsidP="00720C6C">
            <w:pPr>
              <w:pStyle w:val="SpecificationHeading"/>
            </w:pPr>
          </w:p>
          <w:p w14:paraId="03BC1294" w14:textId="77777777" w:rsidR="00046650" w:rsidRDefault="00046650" w:rsidP="00720C6C">
            <w:pPr>
              <w:pStyle w:val="SpecificationHeading"/>
            </w:pPr>
          </w:p>
          <w:p w14:paraId="61217AAD" w14:textId="77777777" w:rsidR="00046650" w:rsidRDefault="00046650" w:rsidP="00720C6C">
            <w:pPr>
              <w:pStyle w:val="SpecificationHeading"/>
            </w:pPr>
          </w:p>
          <w:p w14:paraId="5C6C208E" w14:textId="77777777" w:rsidR="00046650" w:rsidRDefault="00046650" w:rsidP="00720C6C">
            <w:pPr>
              <w:pStyle w:val="SpecificationHeading"/>
            </w:pPr>
          </w:p>
          <w:p w14:paraId="3B29BC08" w14:textId="77777777" w:rsidR="00046650" w:rsidRDefault="00046650" w:rsidP="00720C6C">
            <w:pPr>
              <w:pStyle w:val="SpecificationHeading"/>
            </w:pPr>
          </w:p>
          <w:p w14:paraId="4B1F4D95" w14:textId="77777777" w:rsidR="00046650" w:rsidRDefault="00046650" w:rsidP="00720C6C">
            <w:pPr>
              <w:pStyle w:val="SpecificationHeading"/>
            </w:pPr>
          </w:p>
          <w:p w14:paraId="0AF01C55" w14:textId="77777777" w:rsidR="00046650" w:rsidRDefault="00046650" w:rsidP="00720C6C">
            <w:pPr>
              <w:pStyle w:val="SpecificationHeading"/>
            </w:pPr>
          </w:p>
          <w:p w14:paraId="387B9C21" w14:textId="77777777" w:rsidR="00046650" w:rsidRDefault="00046650" w:rsidP="00720C6C">
            <w:pPr>
              <w:pStyle w:val="SpecificationHeading"/>
            </w:pPr>
          </w:p>
          <w:p w14:paraId="7921811E" w14:textId="77777777" w:rsidR="00046650" w:rsidRPr="002833D9" w:rsidRDefault="00046650" w:rsidP="00720C6C">
            <w:pPr>
              <w:pStyle w:val="SpecificationHeading"/>
            </w:pPr>
          </w:p>
        </w:tc>
      </w:tr>
      <w:tr w:rsidR="00046650" w:rsidRPr="00544738" w14:paraId="262ACBA1" w14:textId="77777777" w:rsidTr="00720C6C">
        <w:trPr>
          <w:trHeight w:val="567"/>
        </w:trPr>
        <w:tc>
          <w:tcPr>
            <w:tcW w:w="9088" w:type="dxa"/>
            <w:gridSpan w:val="2"/>
            <w:shd w:val="clear" w:color="auto" w:fill="D9D9D9" w:themeFill="background1" w:themeFillShade="D9"/>
            <w:vAlign w:val="center"/>
          </w:tcPr>
          <w:p w14:paraId="1BDA70EC" w14:textId="77777777" w:rsidR="00046650" w:rsidRPr="00544738" w:rsidRDefault="00046650" w:rsidP="00720C6C">
            <w:pPr>
              <w:pStyle w:val="SpecificationHeading"/>
            </w:pPr>
            <w:r w:rsidRPr="002833D9">
              <w:lastRenderedPageBreak/>
              <w:t>ELIGIBILITY</w:t>
            </w:r>
          </w:p>
        </w:tc>
      </w:tr>
      <w:tr w:rsidR="00046650" w:rsidRPr="00C8791B" w14:paraId="6E660959" w14:textId="77777777" w:rsidTr="00720C6C">
        <w:tc>
          <w:tcPr>
            <w:tcW w:w="9088" w:type="dxa"/>
            <w:gridSpan w:val="2"/>
          </w:tcPr>
          <w:p w14:paraId="52D29450" w14:textId="77777777" w:rsidR="00046650" w:rsidRDefault="00046650" w:rsidP="00720C6C">
            <w:pPr>
              <w:rPr>
                <w:rFonts w:cs="Arial"/>
                <w:b/>
                <w:u w:val="single"/>
              </w:rPr>
            </w:pPr>
          </w:p>
          <w:p w14:paraId="73909D12" w14:textId="77777777" w:rsidR="00046650" w:rsidRDefault="00046650" w:rsidP="00720C6C">
            <w:pPr>
              <w:rPr>
                <w:b/>
              </w:rPr>
            </w:pPr>
            <w:r>
              <w:rPr>
                <w:b/>
              </w:rPr>
              <w:t>General</w:t>
            </w:r>
          </w:p>
          <w:p w14:paraId="0DE6BDD8" w14:textId="77777777" w:rsidR="00046650" w:rsidRPr="00344FA1" w:rsidRDefault="00046650" w:rsidP="00720C6C"/>
          <w:p w14:paraId="680DB626" w14:textId="77777777" w:rsidR="00046650" w:rsidRPr="00AF706C" w:rsidRDefault="00046650" w:rsidP="00720C6C">
            <w:pPr>
              <w:rPr>
                <w:rFonts w:cs="Arial"/>
              </w:rPr>
            </w:pPr>
            <w:r w:rsidRPr="00AF706C">
              <w:rPr>
                <w:rFonts w:cs="Arial"/>
              </w:rPr>
              <w:t>General Eligibil</w:t>
            </w:r>
            <w:r>
              <w:rPr>
                <w:rFonts w:cs="Arial"/>
              </w:rPr>
              <w:t>ity requirements are set out in</w:t>
            </w:r>
            <w:r w:rsidRPr="00AF706C">
              <w:rPr>
                <w:rFonts w:cs="Arial"/>
              </w:rPr>
              <w:t>: the</w:t>
            </w:r>
            <w:r w:rsidRPr="00AF706C">
              <w:t xml:space="preserve"> </w:t>
            </w:r>
            <w:r w:rsidRPr="00AF706C">
              <w:rPr>
                <w:rFonts w:cs="Arial"/>
              </w:rPr>
              <w:t xml:space="preserve">European Social Fund Programme for England 2014-2020 National Eligibility Rules which can be found here: </w:t>
            </w:r>
            <w:hyperlink r:id="rId16" w:history="1">
              <w:r w:rsidRPr="00AF706C">
                <w:rPr>
                  <w:rStyle w:val="Hyperlink"/>
                  <w:rFonts w:cs="Arial"/>
                </w:rPr>
                <w:t>https://www.gov.uk/government/publications/european-structural-and-investment-funds-programme-guidance</w:t>
              </w:r>
            </w:hyperlink>
            <w:r w:rsidRPr="00AF706C">
              <w:rPr>
                <w:rFonts w:cs="Arial"/>
              </w:rPr>
              <w:t xml:space="preserve"> </w:t>
            </w:r>
            <w:r>
              <w:rPr>
                <w:rFonts w:cs="Arial"/>
              </w:rPr>
              <w:t>.</w:t>
            </w:r>
          </w:p>
          <w:p w14:paraId="7111AFDC" w14:textId="77777777" w:rsidR="00046650" w:rsidRPr="00AF706C" w:rsidRDefault="00046650" w:rsidP="00720C6C">
            <w:pPr>
              <w:rPr>
                <w:rFonts w:cs="Arial"/>
              </w:rPr>
            </w:pPr>
          </w:p>
          <w:p w14:paraId="4E9485E1" w14:textId="77777777" w:rsidR="00046650" w:rsidRDefault="00046650" w:rsidP="00720C6C">
            <w:pPr>
              <w:rPr>
                <w:rFonts w:cs="Arial"/>
              </w:rPr>
            </w:pPr>
            <w:r w:rsidRPr="00AF706C">
              <w:rPr>
                <w:rFonts w:cs="Arial"/>
              </w:rPr>
              <w:t>Please note LEP Specific requirements are subject to National Eligibility Rules.</w:t>
            </w:r>
          </w:p>
          <w:p w14:paraId="32E0E56D" w14:textId="77777777" w:rsidR="00046650" w:rsidRDefault="00046650" w:rsidP="00720C6C">
            <w:pPr>
              <w:rPr>
                <w:rFonts w:cs="Arial"/>
              </w:rPr>
            </w:pPr>
          </w:p>
          <w:p w14:paraId="78CE5485" w14:textId="77777777" w:rsidR="00046650" w:rsidRPr="002A3883" w:rsidRDefault="00046650" w:rsidP="00720C6C">
            <w:pPr>
              <w:rPr>
                <w:rFonts w:ascii="Calibri" w:hAnsi="Calibri"/>
                <w:iCs/>
                <w:sz w:val="22"/>
                <w:szCs w:val="22"/>
              </w:rPr>
            </w:pPr>
            <w:r w:rsidRPr="002A3883">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1E8D6EED" w14:textId="77777777" w:rsidR="00046650" w:rsidRPr="002A3883" w:rsidRDefault="00046650" w:rsidP="00720C6C">
            <w:pPr>
              <w:ind w:left="720"/>
              <w:rPr>
                <w:iCs/>
              </w:rPr>
            </w:pPr>
            <w:r w:rsidRPr="002A3883">
              <w:rPr>
                <w:rFonts w:cs="Arial"/>
                <w:iCs/>
              </w:rPr>
              <w:t> </w:t>
            </w:r>
          </w:p>
          <w:p w14:paraId="32E53046" w14:textId="77777777" w:rsidR="00046650" w:rsidRPr="002A3883" w:rsidRDefault="00046650" w:rsidP="00720C6C">
            <w:pPr>
              <w:rPr>
                <w:iCs/>
              </w:rPr>
            </w:pPr>
            <w:r w:rsidRPr="002A3883">
              <w:rPr>
                <w:rFonts w:cs="Arial"/>
                <w:iCs/>
              </w:rPr>
              <w:t>Ethnic groups                          min 20%</w:t>
            </w:r>
          </w:p>
          <w:p w14:paraId="1D79AD6C" w14:textId="77777777" w:rsidR="00046650" w:rsidRPr="002A3883" w:rsidRDefault="00046650" w:rsidP="00720C6C">
            <w:pPr>
              <w:rPr>
                <w:iCs/>
              </w:rPr>
            </w:pPr>
            <w:r w:rsidRPr="002A3883">
              <w:rPr>
                <w:rFonts w:cs="Arial"/>
                <w:iCs/>
              </w:rPr>
              <w:t>Female                                    min 45%</w:t>
            </w:r>
          </w:p>
          <w:p w14:paraId="5FFEC05B" w14:textId="77777777" w:rsidR="00046650" w:rsidRPr="002A3883" w:rsidRDefault="00046650" w:rsidP="00720C6C">
            <w:pPr>
              <w:rPr>
                <w:iCs/>
              </w:rPr>
            </w:pPr>
            <w:r w:rsidRPr="002A3883">
              <w:rPr>
                <w:rFonts w:cs="Arial"/>
                <w:iCs/>
              </w:rPr>
              <w:lastRenderedPageBreak/>
              <w:t>Disability/health issues            min 10%</w:t>
            </w:r>
          </w:p>
          <w:p w14:paraId="4B263EC5" w14:textId="77777777" w:rsidR="00046650" w:rsidRPr="002A3883" w:rsidRDefault="00046650" w:rsidP="00720C6C">
            <w:pPr>
              <w:rPr>
                <w:iCs/>
              </w:rPr>
            </w:pPr>
            <w:r w:rsidRPr="002A3883">
              <w:rPr>
                <w:rFonts w:cs="Arial"/>
                <w:iCs/>
              </w:rPr>
              <w:t>Lone parents                           min 5%</w:t>
            </w:r>
          </w:p>
          <w:p w14:paraId="1542F1FF" w14:textId="77777777" w:rsidR="00046650" w:rsidRPr="002A3883" w:rsidRDefault="00046650" w:rsidP="00720C6C">
            <w:pPr>
              <w:rPr>
                <w:rFonts w:cs="Arial"/>
                <w:iCs/>
              </w:rPr>
            </w:pPr>
            <w:r w:rsidRPr="002A3883">
              <w:rPr>
                <w:rFonts w:cs="Arial"/>
                <w:iCs/>
              </w:rPr>
              <w:t>No basic skills                         min 18%</w:t>
            </w:r>
          </w:p>
          <w:p w14:paraId="444A82BA" w14:textId="77777777" w:rsidR="00046650" w:rsidRPr="002833D9" w:rsidRDefault="00046650" w:rsidP="00720C6C">
            <w:pPr>
              <w:rPr>
                <w:rFonts w:cs="Arial"/>
              </w:rPr>
            </w:pPr>
          </w:p>
          <w:p w14:paraId="7985F129" w14:textId="77777777" w:rsidR="00046650" w:rsidRDefault="00046650" w:rsidP="00720C6C">
            <w:pPr>
              <w:autoSpaceDE w:val="0"/>
              <w:autoSpaceDN w:val="0"/>
              <w:adjustRightInd w:val="0"/>
              <w:rPr>
                <w:rFonts w:cs="Arial"/>
                <w:b/>
              </w:rPr>
            </w:pPr>
            <w:r>
              <w:rPr>
                <w:rFonts w:cs="Arial"/>
                <w:b/>
              </w:rPr>
              <w:t xml:space="preserve">LEP Specific </w:t>
            </w:r>
          </w:p>
          <w:p w14:paraId="228198B3" w14:textId="77777777" w:rsidR="00046650" w:rsidRDefault="00046650" w:rsidP="00720C6C">
            <w:pPr>
              <w:autoSpaceDE w:val="0"/>
              <w:autoSpaceDN w:val="0"/>
              <w:adjustRightInd w:val="0"/>
              <w:rPr>
                <w:rFonts w:cs="Arial"/>
                <w:b/>
              </w:rPr>
            </w:pPr>
          </w:p>
          <w:p w14:paraId="60CBC698" w14:textId="77777777" w:rsidR="00046650" w:rsidRDefault="00046650" w:rsidP="00720C6C">
            <w:pPr>
              <w:autoSpaceDE w:val="0"/>
              <w:autoSpaceDN w:val="0"/>
              <w:adjustRightInd w:val="0"/>
              <w:rPr>
                <w:rFonts w:cs="Arial"/>
              </w:rPr>
            </w:pPr>
            <w:r w:rsidRPr="00FE554B">
              <w:rPr>
                <w:rFonts w:cs="Arial"/>
              </w:rPr>
              <w:t xml:space="preserve">The </w:t>
            </w:r>
            <w:r>
              <w:rPr>
                <w:rFonts w:cs="Arial"/>
              </w:rPr>
              <w:t>S</w:t>
            </w:r>
            <w:r w:rsidRPr="00FE554B">
              <w:rPr>
                <w:rFonts w:cs="Arial"/>
              </w:rPr>
              <w:t>ervice</w:t>
            </w:r>
            <w:r>
              <w:rPr>
                <w:rFonts w:cs="Arial"/>
              </w:rPr>
              <w:t>s</w:t>
            </w:r>
            <w:r w:rsidRPr="00FE554B">
              <w:rPr>
                <w:rFonts w:cs="Arial"/>
              </w:rPr>
              <w:t xml:space="preserve"> will</w:t>
            </w:r>
            <w:r>
              <w:rPr>
                <w:rFonts w:cs="Arial"/>
              </w:rPr>
              <w:t xml:space="preserve"> focus on</w:t>
            </w:r>
            <w:r w:rsidRPr="00FE554B">
              <w:rPr>
                <w:rFonts w:cs="Arial"/>
              </w:rPr>
              <w:t xml:space="preserve"> support</w:t>
            </w:r>
            <w:r>
              <w:rPr>
                <w:rFonts w:cs="Arial"/>
              </w:rPr>
              <w:t>ing</w:t>
            </w:r>
            <w:r w:rsidRPr="00FE554B">
              <w:rPr>
                <w:rFonts w:cs="Arial"/>
              </w:rPr>
              <w:t xml:space="preserve"> </w:t>
            </w:r>
            <w:r>
              <w:rPr>
                <w:rFonts w:cs="Arial"/>
              </w:rPr>
              <w:t>young people</w:t>
            </w:r>
            <w:r w:rsidRPr="00FE554B">
              <w:rPr>
                <w:rFonts w:cs="Arial"/>
              </w:rPr>
              <w:t xml:space="preserve"> </w:t>
            </w:r>
            <w:r>
              <w:rPr>
                <w:rFonts w:cs="Arial"/>
              </w:rPr>
              <w:t>aged 15-18</w:t>
            </w:r>
            <w:r w:rsidRPr="00FE554B">
              <w:rPr>
                <w:rFonts w:cs="Arial"/>
              </w:rPr>
              <w:t xml:space="preserve"> in Years 11 and 12 at the start of the activity who are </w:t>
            </w:r>
            <w:r>
              <w:rPr>
                <w:rFonts w:cs="Arial"/>
              </w:rPr>
              <w:t>a</w:t>
            </w:r>
            <w:r w:rsidRPr="00FE554B">
              <w:rPr>
                <w:rFonts w:cs="Arial"/>
              </w:rPr>
              <w:t>t risk of becoming NEET</w:t>
            </w:r>
            <w:r>
              <w:rPr>
                <w:rFonts w:cs="Arial"/>
              </w:rPr>
              <w:t xml:space="preserve"> or who are NEET</w:t>
            </w:r>
            <w:r w:rsidRPr="00FE554B">
              <w:rPr>
                <w:rFonts w:cs="Arial"/>
              </w:rPr>
              <w:t xml:space="preserve"> and who are </w:t>
            </w:r>
            <w:r w:rsidRPr="002C2B8D">
              <w:rPr>
                <w:rFonts w:cs="Arial"/>
              </w:rPr>
              <w:t>either resident in Norfolk</w:t>
            </w:r>
            <w:r w:rsidRPr="00FE554B">
              <w:rPr>
                <w:rFonts w:cs="Arial"/>
              </w:rPr>
              <w:t xml:space="preserve"> or funded by the local authority</w:t>
            </w:r>
            <w:r>
              <w:rPr>
                <w:rFonts w:cs="Arial"/>
              </w:rPr>
              <w:t>, or who attend a Norfolk educational institution</w:t>
            </w:r>
            <w:r w:rsidRPr="00FE554B">
              <w:rPr>
                <w:rFonts w:cs="Arial"/>
              </w:rPr>
              <w:t>.</w:t>
            </w:r>
          </w:p>
          <w:p w14:paraId="048E9E92" w14:textId="77777777" w:rsidR="00046650" w:rsidRPr="00C8791B" w:rsidRDefault="00046650" w:rsidP="00720C6C">
            <w:pPr>
              <w:autoSpaceDE w:val="0"/>
              <w:autoSpaceDN w:val="0"/>
              <w:adjustRightInd w:val="0"/>
              <w:rPr>
                <w:rFonts w:cs="Arial"/>
                <w:color w:val="000000"/>
              </w:rPr>
            </w:pPr>
          </w:p>
        </w:tc>
      </w:tr>
      <w:tr w:rsidR="00046650" w:rsidRPr="00A005EF" w14:paraId="14CB98DE" w14:textId="77777777" w:rsidTr="00720C6C">
        <w:trPr>
          <w:trHeight w:val="567"/>
        </w:trPr>
        <w:tc>
          <w:tcPr>
            <w:tcW w:w="9088" w:type="dxa"/>
            <w:gridSpan w:val="2"/>
            <w:shd w:val="clear" w:color="auto" w:fill="D9D9D9" w:themeFill="background1" w:themeFillShade="D9"/>
            <w:vAlign w:val="center"/>
          </w:tcPr>
          <w:p w14:paraId="5B819204" w14:textId="77777777" w:rsidR="00046650" w:rsidRPr="00A005EF" w:rsidRDefault="00046650" w:rsidP="00720C6C">
            <w:pPr>
              <w:spacing w:before="120" w:after="120"/>
              <w:rPr>
                <w:b/>
                <w:bCs/>
              </w:rPr>
            </w:pPr>
            <w:r w:rsidRPr="00A005EF">
              <w:rPr>
                <w:b/>
              </w:rPr>
              <w:lastRenderedPageBreak/>
              <w:t>GEOGRAPHY / AREA OF DELIVERY</w:t>
            </w:r>
          </w:p>
        </w:tc>
      </w:tr>
      <w:tr w:rsidR="00046650" w:rsidRPr="00AF706C" w14:paraId="05471B4E" w14:textId="77777777" w:rsidTr="00720C6C">
        <w:trPr>
          <w:trHeight w:val="983"/>
        </w:trPr>
        <w:tc>
          <w:tcPr>
            <w:tcW w:w="9088" w:type="dxa"/>
            <w:gridSpan w:val="2"/>
          </w:tcPr>
          <w:p w14:paraId="61B44853" w14:textId="77777777" w:rsidR="00046650" w:rsidRPr="00AF706C" w:rsidRDefault="00046650" w:rsidP="00720C6C"/>
          <w:p w14:paraId="5C478386" w14:textId="77777777" w:rsidR="00046650" w:rsidRPr="00AF706C" w:rsidRDefault="00046650" w:rsidP="00720C6C">
            <w:pPr>
              <w:rPr>
                <w:b/>
              </w:rPr>
            </w:pPr>
            <w:r w:rsidRPr="00AF706C">
              <w:rPr>
                <w:b/>
              </w:rPr>
              <w:t>LEP Specific</w:t>
            </w:r>
          </w:p>
          <w:p w14:paraId="3E8D90AF" w14:textId="77777777" w:rsidR="00046650" w:rsidRPr="00AF706C" w:rsidRDefault="00046650" w:rsidP="00720C6C">
            <w:pPr>
              <w:rPr>
                <w:b/>
              </w:rPr>
            </w:pPr>
          </w:p>
          <w:p w14:paraId="57F45DB8" w14:textId="77777777" w:rsidR="00046650" w:rsidRPr="00AF706C" w:rsidRDefault="00046650" w:rsidP="00720C6C">
            <w:pPr>
              <w:autoSpaceDE w:val="0"/>
              <w:autoSpaceDN w:val="0"/>
              <w:adjustRightInd w:val="0"/>
              <w:rPr>
                <w:rFonts w:cs="Arial"/>
              </w:rPr>
            </w:pPr>
            <w:r>
              <w:rPr>
                <w:rFonts w:cs="Arial"/>
              </w:rPr>
              <w:t xml:space="preserve">The </w:t>
            </w:r>
            <w:r w:rsidRPr="00AF706C">
              <w:rPr>
                <w:rFonts w:cs="Arial"/>
              </w:rPr>
              <w:t>New Anglia</w:t>
            </w:r>
            <w:r>
              <w:rPr>
                <w:rFonts w:cs="Arial"/>
              </w:rPr>
              <w:t xml:space="preserve"> Local Enterprise Partnership area</w:t>
            </w:r>
            <w:r w:rsidRPr="00AF706C">
              <w:rPr>
                <w:rFonts w:cs="Arial"/>
              </w:rPr>
              <w:t xml:space="preserve"> has been split into two areas covering Norfolk and Suffolk</w:t>
            </w:r>
            <w:r>
              <w:rPr>
                <w:rFonts w:cs="Arial"/>
              </w:rPr>
              <w:t xml:space="preserve">. </w:t>
            </w:r>
            <w:r w:rsidRPr="00AF706C">
              <w:rPr>
                <w:rFonts w:cs="Arial"/>
              </w:rPr>
              <w:t xml:space="preserve">The Services will be delivered within </w:t>
            </w:r>
            <w:r>
              <w:rPr>
                <w:rFonts w:cs="Arial"/>
              </w:rPr>
              <w:t xml:space="preserve">Norfolk.  </w:t>
            </w:r>
            <w:r w:rsidRPr="00AF706C">
              <w:rPr>
                <w:rFonts w:cs="Arial"/>
              </w:rPr>
              <w:t xml:space="preserve">  Learners should either be resident in </w:t>
            </w:r>
            <w:r>
              <w:rPr>
                <w:rFonts w:cs="Arial"/>
              </w:rPr>
              <w:t>the C</w:t>
            </w:r>
            <w:r w:rsidRPr="00AF706C">
              <w:rPr>
                <w:rFonts w:cs="Arial"/>
              </w:rPr>
              <w:t>ounty of Norfolk or funded by the relevant Local Authority or who attend an educational institution.</w:t>
            </w:r>
          </w:p>
          <w:p w14:paraId="54BC3502" w14:textId="77777777" w:rsidR="00046650" w:rsidRDefault="00046650" w:rsidP="00720C6C">
            <w:pPr>
              <w:autoSpaceDE w:val="0"/>
              <w:autoSpaceDN w:val="0"/>
              <w:adjustRightInd w:val="0"/>
              <w:rPr>
                <w:rFonts w:cs="Arial"/>
              </w:rPr>
            </w:pPr>
          </w:p>
          <w:p w14:paraId="534A6D69" w14:textId="77777777" w:rsidR="00046650" w:rsidRDefault="00046650" w:rsidP="00720C6C">
            <w:pPr>
              <w:autoSpaceDE w:val="0"/>
              <w:autoSpaceDN w:val="0"/>
              <w:adjustRightInd w:val="0"/>
              <w:rPr>
                <w:rFonts w:cs="Arial"/>
              </w:rPr>
            </w:pPr>
            <w:r w:rsidRPr="00AF706C">
              <w:rPr>
                <w:rFonts w:cs="Arial"/>
              </w:rPr>
              <w:t xml:space="preserve">The successful Candidate must deliver the Services across the whole </w:t>
            </w:r>
            <w:r>
              <w:rPr>
                <w:rFonts w:cs="Arial"/>
              </w:rPr>
              <w:t>of Norfolk</w:t>
            </w:r>
            <w:r w:rsidRPr="00AF706C">
              <w:rPr>
                <w:rFonts w:cs="Arial"/>
              </w:rPr>
              <w:t xml:space="preserve">.  </w:t>
            </w:r>
          </w:p>
          <w:p w14:paraId="69542D42" w14:textId="77777777" w:rsidR="00046650" w:rsidRDefault="00046650" w:rsidP="00720C6C">
            <w:pPr>
              <w:autoSpaceDE w:val="0"/>
              <w:autoSpaceDN w:val="0"/>
              <w:adjustRightInd w:val="0"/>
              <w:rPr>
                <w:rFonts w:cs="Arial"/>
              </w:rPr>
            </w:pPr>
          </w:p>
          <w:p w14:paraId="5D592E31" w14:textId="77777777" w:rsidR="00046650" w:rsidRDefault="00046650" w:rsidP="00720C6C">
            <w:pPr>
              <w:autoSpaceDE w:val="0"/>
              <w:autoSpaceDN w:val="0"/>
              <w:adjustRightInd w:val="0"/>
              <w:rPr>
                <w:rFonts w:cs="Arial"/>
              </w:rPr>
            </w:pPr>
          </w:p>
          <w:p w14:paraId="414DF940" w14:textId="77777777" w:rsidR="00046650" w:rsidRDefault="00046650" w:rsidP="00720C6C">
            <w:pPr>
              <w:autoSpaceDE w:val="0"/>
              <w:autoSpaceDN w:val="0"/>
              <w:adjustRightInd w:val="0"/>
              <w:rPr>
                <w:rFonts w:cs="Arial"/>
              </w:rPr>
            </w:pPr>
          </w:p>
          <w:p w14:paraId="675FD1DB" w14:textId="77777777" w:rsidR="00046650" w:rsidRDefault="00046650" w:rsidP="00720C6C">
            <w:pPr>
              <w:autoSpaceDE w:val="0"/>
              <w:autoSpaceDN w:val="0"/>
              <w:adjustRightInd w:val="0"/>
              <w:rPr>
                <w:rFonts w:cs="Arial"/>
              </w:rPr>
            </w:pPr>
          </w:p>
          <w:p w14:paraId="6202B4F2" w14:textId="77777777" w:rsidR="00046650" w:rsidRDefault="00046650" w:rsidP="00720C6C">
            <w:pPr>
              <w:autoSpaceDE w:val="0"/>
              <w:autoSpaceDN w:val="0"/>
              <w:adjustRightInd w:val="0"/>
              <w:rPr>
                <w:rFonts w:cs="Arial"/>
              </w:rPr>
            </w:pPr>
          </w:p>
          <w:p w14:paraId="1CE48175" w14:textId="77777777" w:rsidR="00046650" w:rsidRPr="00AF706C" w:rsidRDefault="00046650" w:rsidP="00720C6C">
            <w:pPr>
              <w:autoSpaceDE w:val="0"/>
              <w:autoSpaceDN w:val="0"/>
              <w:adjustRightInd w:val="0"/>
              <w:rPr>
                <w:rFonts w:cs="Arial"/>
              </w:rPr>
            </w:pPr>
          </w:p>
        </w:tc>
      </w:tr>
      <w:tr w:rsidR="00046650" w:rsidRPr="00AF706C" w14:paraId="5CE44B8F" w14:textId="77777777" w:rsidTr="00720C6C">
        <w:trPr>
          <w:trHeight w:val="567"/>
        </w:trPr>
        <w:tc>
          <w:tcPr>
            <w:tcW w:w="9088" w:type="dxa"/>
            <w:gridSpan w:val="2"/>
            <w:shd w:val="clear" w:color="auto" w:fill="D9D9D9" w:themeFill="background1" w:themeFillShade="D9"/>
          </w:tcPr>
          <w:p w14:paraId="13EF42D9" w14:textId="77777777" w:rsidR="00046650" w:rsidRPr="00AF706C" w:rsidRDefault="00046650" w:rsidP="00720C6C">
            <w:pPr>
              <w:spacing w:before="120" w:after="120"/>
              <w:rPr>
                <w:b/>
                <w:bCs/>
              </w:rPr>
            </w:pPr>
            <w:r w:rsidRPr="00AF706C">
              <w:rPr>
                <w:b/>
              </w:rPr>
              <w:t>FUNDING AND DELIVERABLES</w:t>
            </w:r>
          </w:p>
        </w:tc>
      </w:tr>
      <w:tr w:rsidR="00046650" w:rsidRPr="00AF706C" w14:paraId="503A4EC0" w14:textId="77777777" w:rsidTr="00720C6C">
        <w:trPr>
          <w:trHeight w:val="1408"/>
        </w:trPr>
        <w:tc>
          <w:tcPr>
            <w:tcW w:w="9088" w:type="dxa"/>
            <w:gridSpan w:val="2"/>
          </w:tcPr>
          <w:p w14:paraId="3D3386CA" w14:textId="77777777" w:rsidR="00046650" w:rsidRPr="00AF706C" w:rsidRDefault="00046650" w:rsidP="00720C6C">
            <w:pPr>
              <w:rPr>
                <w:rFonts w:cs="Arial"/>
              </w:rPr>
            </w:pPr>
          </w:p>
          <w:p w14:paraId="7CC6C50D" w14:textId="77777777" w:rsidR="00046650" w:rsidRPr="00AF706C" w:rsidRDefault="00046650" w:rsidP="00720C6C">
            <w:pPr>
              <w:rPr>
                <w:rFonts w:cs="Arial"/>
                <w:b/>
              </w:rPr>
            </w:pPr>
            <w:r w:rsidRPr="00AF706C">
              <w:rPr>
                <w:rFonts w:cs="Arial"/>
                <w:b/>
              </w:rPr>
              <w:t>LEP Specific</w:t>
            </w:r>
          </w:p>
          <w:p w14:paraId="70828379" w14:textId="77777777" w:rsidR="00046650" w:rsidRPr="00AF706C" w:rsidRDefault="00046650" w:rsidP="00720C6C">
            <w:pPr>
              <w:rPr>
                <w:rFonts w:cs="Arial"/>
              </w:rPr>
            </w:pPr>
          </w:p>
          <w:p w14:paraId="59FAAD9E" w14:textId="77777777" w:rsidR="00046650" w:rsidRPr="00AF706C" w:rsidRDefault="00046650" w:rsidP="00720C6C">
            <w:pPr>
              <w:rPr>
                <w:rFonts w:cs="Arial"/>
              </w:rPr>
            </w:pPr>
            <w:r w:rsidRPr="000C6BB9">
              <w:rPr>
                <w:rFonts w:cs="Arial"/>
              </w:rPr>
              <w:t xml:space="preserve">Currently £199,633 will be available for the period from </w:t>
            </w:r>
            <w:r>
              <w:rPr>
                <w:rFonts w:cs="Arial"/>
              </w:rPr>
              <w:t>20 May</w:t>
            </w:r>
            <w:r w:rsidRPr="000C6BB9">
              <w:rPr>
                <w:rFonts w:cs="Arial"/>
              </w:rPr>
              <w:t xml:space="preserve"> 2016 to 31 March 2018. This may be increased if additional funding becomes available. </w:t>
            </w:r>
          </w:p>
          <w:p w14:paraId="00E37F90" w14:textId="77777777" w:rsidR="00046650" w:rsidRPr="00AF706C" w:rsidRDefault="00046650" w:rsidP="00720C6C">
            <w:pPr>
              <w:rPr>
                <w:rFonts w:cs="Arial"/>
              </w:rPr>
            </w:pPr>
          </w:p>
          <w:p w14:paraId="32A15FC6" w14:textId="77777777" w:rsidR="00046650" w:rsidRDefault="00046650" w:rsidP="00720C6C">
            <w:pPr>
              <w:autoSpaceDE w:val="0"/>
              <w:autoSpaceDN w:val="0"/>
              <w:adjustRightInd w:val="0"/>
              <w:rPr>
                <w:rFonts w:cs="Arial"/>
              </w:rPr>
            </w:pPr>
            <w:r w:rsidRPr="00AF706C">
              <w:rPr>
                <w:rFonts w:cs="Arial"/>
              </w:rPr>
              <w:t>All activity is to be achieved within the lifetime of the contract.</w:t>
            </w:r>
          </w:p>
          <w:p w14:paraId="73E40C10" w14:textId="77777777" w:rsidR="00046650" w:rsidRDefault="00046650" w:rsidP="00720C6C">
            <w:pPr>
              <w:autoSpaceDE w:val="0"/>
              <w:autoSpaceDN w:val="0"/>
              <w:adjustRightInd w:val="0"/>
              <w:rPr>
                <w:rFonts w:cs="Arial"/>
              </w:rPr>
            </w:pPr>
          </w:p>
          <w:p w14:paraId="0EAFC50E" w14:textId="77777777" w:rsidR="00046650" w:rsidRDefault="00046650" w:rsidP="00720C6C">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8274FEE" w14:textId="77777777" w:rsidR="00046650" w:rsidRPr="00AF706C" w:rsidRDefault="00046650" w:rsidP="00720C6C">
            <w:pPr>
              <w:rPr>
                <w:b/>
              </w:rPr>
            </w:pPr>
          </w:p>
          <w:p w14:paraId="67320685" w14:textId="77777777" w:rsidR="00046650" w:rsidRPr="00AF706C" w:rsidRDefault="00046650" w:rsidP="00720C6C">
            <w:pPr>
              <w:autoSpaceDE w:val="0"/>
              <w:autoSpaceDN w:val="0"/>
              <w:adjustRightInd w:val="0"/>
              <w:rPr>
                <w:rFonts w:cs="Arial"/>
              </w:rPr>
            </w:pPr>
            <w:r w:rsidRPr="00AF706C">
              <w:rPr>
                <w:rFonts w:cs="Arial"/>
              </w:rPr>
              <w:t>The minimum Service deliverables, values and volumes for which evidence must be provided are:</w:t>
            </w:r>
          </w:p>
          <w:p w14:paraId="05310AD7" w14:textId="77777777" w:rsidR="00046650" w:rsidRPr="00AF706C" w:rsidRDefault="00046650" w:rsidP="00720C6C">
            <w:pPr>
              <w:rPr>
                <w:rFonts w:eastAsiaTheme="minorHAnsi" w:cs="Arial"/>
                <w:sz w:val="22"/>
                <w:szCs w:val="22"/>
              </w:rPr>
            </w:pPr>
          </w:p>
          <w:tbl>
            <w:tblPr>
              <w:tblW w:w="7860" w:type="dxa"/>
              <w:tblLayout w:type="fixed"/>
              <w:tblLook w:val="04A0" w:firstRow="1" w:lastRow="0" w:firstColumn="1" w:lastColumn="0" w:noHBand="0" w:noVBand="1"/>
            </w:tblPr>
            <w:tblGrid>
              <w:gridCol w:w="4420"/>
              <w:gridCol w:w="1120"/>
              <w:gridCol w:w="1200"/>
              <w:gridCol w:w="1120"/>
            </w:tblGrid>
            <w:tr w:rsidR="00046650" w:rsidRPr="00B71A1E" w14:paraId="25E55A38" w14:textId="77777777" w:rsidTr="00720C6C">
              <w:trPr>
                <w:trHeight w:val="860"/>
              </w:trPr>
              <w:tc>
                <w:tcPr>
                  <w:tcW w:w="44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5798A82" w14:textId="77777777" w:rsidR="00046650" w:rsidRPr="00B71A1E" w:rsidRDefault="00046650" w:rsidP="00720C6C">
                  <w:pPr>
                    <w:rPr>
                      <w:rFonts w:ascii="Calibri" w:hAnsi="Calibri"/>
                      <w:b/>
                      <w:bCs/>
                      <w:color w:val="000000"/>
                      <w:sz w:val="20"/>
                      <w:szCs w:val="20"/>
                      <w:lang w:eastAsia="en-GB"/>
                    </w:rPr>
                  </w:pPr>
                  <w:r w:rsidRPr="00B71A1E">
                    <w:rPr>
                      <w:rFonts w:ascii="Calibri" w:hAnsi="Calibri"/>
                      <w:b/>
                      <w:bCs/>
                      <w:color w:val="000000"/>
                      <w:sz w:val="20"/>
                      <w:szCs w:val="20"/>
                      <w:lang w:eastAsia="en-GB"/>
                    </w:rPr>
                    <w:lastRenderedPageBreak/>
                    <w:t>Description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62C3841A" w14:textId="77777777" w:rsidR="00046650" w:rsidRPr="00B71A1E" w:rsidRDefault="00046650" w:rsidP="00720C6C">
                  <w:pPr>
                    <w:jc w:val="center"/>
                    <w:rPr>
                      <w:rFonts w:ascii="Calibri" w:hAnsi="Calibri"/>
                      <w:b/>
                      <w:bCs/>
                      <w:color w:val="000000"/>
                      <w:sz w:val="16"/>
                      <w:szCs w:val="16"/>
                      <w:lang w:eastAsia="en-GB"/>
                    </w:rPr>
                  </w:pPr>
                  <w:r w:rsidRPr="00B71A1E">
                    <w:rPr>
                      <w:rFonts w:ascii="Calibri" w:hAnsi="Calibri"/>
                      <w:b/>
                      <w:bCs/>
                      <w:color w:val="000000"/>
                      <w:sz w:val="16"/>
                      <w:szCs w:val="16"/>
                      <w:lang w:eastAsia="en-GB"/>
                    </w:rPr>
                    <w:t>Volumes</w:t>
                  </w:r>
                </w:p>
              </w:tc>
              <w:tc>
                <w:tcPr>
                  <w:tcW w:w="12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1AFC259" w14:textId="77777777" w:rsidR="00046650" w:rsidRPr="00B71A1E" w:rsidRDefault="00046650" w:rsidP="00720C6C">
                  <w:pPr>
                    <w:jc w:val="center"/>
                    <w:rPr>
                      <w:rFonts w:ascii="Calibri" w:hAnsi="Calibri"/>
                      <w:b/>
                      <w:bCs/>
                      <w:color w:val="000000"/>
                      <w:sz w:val="16"/>
                      <w:szCs w:val="16"/>
                      <w:lang w:eastAsia="en-GB"/>
                    </w:rPr>
                  </w:pPr>
                  <w:r w:rsidRPr="00B71A1E">
                    <w:rPr>
                      <w:rFonts w:ascii="Calibri" w:hAnsi="Calibri"/>
                      <w:b/>
                      <w:bCs/>
                      <w:color w:val="000000"/>
                      <w:sz w:val="16"/>
                      <w:szCs w:val="16"/>
                      <w:lang w:eastAsia="en-GB"/>
                    </w:rPr>
                    <w:t>Unit Cost Total Value Average per Intervention</w:t>
                  </w:r>
                </w:p>
              </w:tc>
              <w:tc>
                <w:tcPr>
                  <w:tcW w:w="112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4EBF8F32" w14:textId="77777777" w:rsidR="00046650" w:rsidRPr="00B71A1E" w:rsidRDefault="00046650" w:rsidP="00720C6C">
                  <w:pPr>
                    <w:jc w:val="center"/>
                    <w:rPr>
                      <w:rFonts w:ascii="Calibri" w:hAnsi="Calibri"/>
                      <w:b/>
                      <w:bCs/>
                      <w:color w:val="000000"/>
                      <w:sz w:val="16"/>
                      <w:szCs w:val="16"/>
                      <w:lang w:eastAsia="en-GB"/>
                    </w:rPr>
                  </w:pPr>
                  <w:r w:rsidRPr="00B71A1E">
                    <w:rPr>
                      <w:rFonts w:ascii="Calibri" w:hAnsi="Calibri"/>
                      <w:b/>
                      <w:bCs/>
                      <w:color w:val="000000"/>
                      <w:sz w:val="16"/>
                      <w:szCs w:val="16"/>
                      <w:lang w:eastAsia="en-GB"/>
                    </w:rPr>
                    <w:t>£</w:t>
                  </w:r>
                </w:p>
              </w:tc>
            </w:tr>
            <w:tr w:rsidR="00046650" w:rsidRPr="00B71A1E" w14:paraId="6D5E754B" w14:textId="77777777" w:rsidTr="00720C6C">
              <w:trPr>
                <w:trHeight w:val="450"/>
              </w:trPr>
              <w:tc>
                <w:tcPr>
                  <w:tcW w:w="44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6AC2D3C8"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 xml:space="preserve">ST01 Learner Assessment and Plan </w:t>
                  </w:r>
                </w:p>
              </w:tc>
              <w:tc>
                <w:tcPr>
                  <w:tcW w:w="112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4F439DC3"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133</w:t>
                  </w:r>
                </w:p>
              </w:tc>
              <w:tc>
                <w:tcPr>
                  <w:tcW w:w="12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70081036"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£50</w:t>
                  </w:r>
                </w:p>
              </w:tc>
              <w:tc>
                <w:tcPr>
                  <w:tcW w:w="112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062E7AD"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£6,650</w:t>
                  </w:r>
                </w:p>
              </w:tc>
            </w:tr>
            <w:tr w:rsidR="00046650" w:rsidRPr="00B71A1E" w14:paraId="256EF506" w14:textId="77777777" w:rsidTr="00720C6C">
              <w:trPr>
                <w:trHeight w:val="450"/>
              </w:trPr>
              <w:tc>
                <w:tcPr>
                  <w:tcW w:w="4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6A6D9"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RQ01 Regulated Learning</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BAA92" w14:textId="77777777" w:rsidR="00046650" w:rsidRPr="00B71A1E" w:rsidRDefault="00046650" w:rsidP="00720C6C">
                  <w:pPr>
                    <w:jc w:val="center"/>
                    <w:rPr>
                      <w:rFonts w:cs="Arial"/>
                      <w:sz w:val="16"/>
                      <w:szCs w:val="16"/>
                      <w:lang w:eastAsia="en-GB"/>
                    </w:rPr>
                  </w:pPr>
                  <w:r w:rsidRPr="00B71A1E">
                    <w:rPr>
                      <w:rFonts w:cs="Arial"/>
                      <w:sz w:val="16"/>
                      <w:szCs w:val="16"/>
                      <w:lang w:eastAsia="en-GB"/>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CB97C7"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 </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A8721"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2</w:t>
                  </w:r>
                  <w:r w:rsidRPr="00B71A1E">
                    <w:rPr>
                      <w:rFonts w:ascii="Calibri" w:hAnsi="Calibri"/>
                      <w:color w:val="000000"/>
                      <w:sz w:val="16"/>
                      <w:szCs w:val="16"/>
                      <w:lang w:eastAsia="en-GB"/>
                    </w:rPr>
                    <w:t>0,000</w:t>
                  </w:r>
                </w:p>
              </w:tc>
            </w:tr>
            <w:tr w:rsidR="00046650" w:rsidRPr="00B71A1E" w14:paraId="3BCFDA91" w14:textId="77777777" w:rsidTr="00720C6C">
              <w:trPr>
                <w:trHeight w:val="450"/>
              </w:trPr>
              <w:tc>
                <w:tcPr>
                  <w:tcW w:w="44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CBAC092"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NR01 Non Regulated Activity</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137A6F44" w14:textId="77777777" w:rsidR="00046650" w:rsidRPr="00B71A1E" w:rsidRDefault="00046650" w:rsidP="00720C6C">
                  <w:pPr>
                    <w:jc w:val="center"/>
                    <w:rPr>
                      <w:rFonts w:cs="Arial"/>
                      <w:sz w:val="16"/>
                      <w:szCs w:val="16"/>
                      <w:lang w:eastAsia="en-GB"/>
                    </w:rPr>
                  </w:pPr>
                  <w:r w:rsidRPr="00B71A1E">
                    <w:rPr>
                      <w:rFonts w:cs="Arial"/>
                      <w:sz w:val="16"/>
                      <w:szCs w:val="16"/>
                      <w:lang w:eastAsia="en-GB"/>
                    </w:rPr>
                    <w:t> </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0B4F74"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 </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5BF4077B"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91,188</w:t>
                  </w:r>
                </w:p>
              </w:tc>
            </w:tr>
            <w:tr w:rsidR="00046650" w:rsidRPr="00B71A1E" w14:paraId="3CB9C144" w14:textId="77777777" w:rsidTr="00720C6C">
              <w:trPr>
                <w:trHeight w:val="450"/>
              </w:trPr>
              <w:tc>
                <w:tcPr>
                  <w:tcW w:w="4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00C132"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PG03 Progression Education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070CF"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61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48047"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£2</w:t>
                  </w:r>
                  <w:r>
                    <w:rPr>
                      <w:rFonts w:ascii="Calibri" w:hAnsi="Calibri"/>
                      <w:color w:val="000000"/>
                      <w:sz w:val="16"/>
                      <w:szCs w:val="16"/>
                      <w:lang w:eastAsia="en-GB"/>
                    </w:rPr>
                    <w:t>75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9FDC8"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£1</w:t>
                  </w:r>
                  <w:r>
                    <w:rPr>
                      <w:rFonts w:ascii="Calibri" w:hAnsi="Calibri"/>
                      <w:color w:val="000000"/>
                      <w:sz w:val="16"/>
                      <w:szCs w:val="16"/>
                      <w:lang w:eastAsia="en-GB"/>
                    </w:rPr>
                    <w:t>6</w:t>
                  </w:r>
                  <w:r w:rsidRPr="00B71A1E">
                    <w:rPr>
                      <w:rFonts w:ascii="Calibri" w:hAnsi="Calibri"/>
                      <w:color w:val="000000"/>
                      <w:sz w:val="16"/>
                      <w:szCs w:val="16"/>
                      <w:lang w:eastAsia="en-GB"/>
                    </w:rPr>
                    <w:t>,</w:t>
                  </w:r>
                  <w:r>
                    <w:rPr>
                      <w:rFonts w:ascii="Calibri" w:hAnsi="Calibri"/>
                      <w:color w:val="000000"/>
                      <w:sz w:val="16"/>
                      <w:szCs w:val="16"/>
                      <w:lang w:eastAsia="en-GB"/>
                    </w:rPr>
                    <w:t>775</w:t>
                  </w:r>
                </w:p>
              </w:tc>
            </w:tr>
            <w:tr w:rsidR="00046650" w:rsidRPr="00B71A1E" w14:paraId="7113ED5F" w14:textId="77777777" w:rsidTr="00720C6C">
              <w:trPr>
                <w:trHeight w:val="450"/>
              </w:trPr>
              <w:tc>
                <w:tcPr>
                  <w:tcW w:w="44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3D381EDA"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PG04 Progression Apprenticeship (EDU)</w:t>
                  </w:r>
                </w:p>
              </w:tc>
              <w:tc>
                <w:tcPr>
                  <w:tcW w:w="1120"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2D04602C"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w:t>
                  </w:r>
                </w:p>
              </w:tc>
              <w:tc>
                <w:tcPr>
                  <w:tcW w:w="12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1BEA3CB2"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£34</w:t>
                  </w:r>
                  <w:r>
                    <w:rPr>
                      <w:rFonts w:ascii="Calibri" w:hAnsi="Calibri"/>
                      <w:color w:val="000000"/>
                      <w:sz w:val="16"/>
                      <w:szCs w:val="16"/>
                      <w:lang w:eastAsia="en-GB"/>
                    </w:rPr>
                    <w:t>5</w:t>
                  </w:r>
                </w:p>
              </w:tc>
              <w:tc>
                <w:tcPr>
                  <w:tcW w:w="112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42741CC"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7,590</w:t>
                  </w:r>
                </w:p>
              </w:tc>
            </w:tr>
            <w:tr w:rsidR="00046650" w:rsidRPr="00B71A1E" w14:paraId="7F3D24CD" w14:textId="77777777" w:rsidTr="00720C6C">
              <w:trPr>
                <w:trHeight w:val="450"/>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2486538B"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PG05 Progression Traineeship (EDU)</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3FC30D"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30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AB578"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£2</w:t>
                  </w:r>
                  <w:r>
                    <w:rPr>
                      <w:rFonts w:ascii="Calibri" w:hAnsi="Calibri"/>
                      <w:color w:val="000000"/>
                      <w:sz w:val="16"/>
                      <w:szCs w:val="16"/>
                      <w:lang w:eastAsia="en-GB"/>
                    </w:rPr>
                    <w:t>75</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09E14"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8,250</w:t>
                  </w:r>
                </w:p>
              </w:tc>
            </w:tr>
            <w:tr w:rsidR="00046650" w:rsidRPr="00B71A1E" w14:paraId="21D7C91F" w14:textId="77777777" w:rsidTr="00720C6C">
              <w:trPr>
                <w:trHeight w:val="450"/>
              </w:trPr>
              <w:tc>
                <w:tcPr>
                  <w:tcW w:w="44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67B9CDDF"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SU03 Sustained Education 3 Months</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5E1BD886"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61</w:t>
                  </w:r>
                </w:p>
              </w:tc>
              <w:tc>
                <w:tcPr>
                  <w:tcW w:w="12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6D4E77D3"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£220</w:t>
                  </w:r>
                </w:p>
              </w:tc>
              <w:tc>
                <w:tcPr>
                  <w:tcW w:w="112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657D01C"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£1</w:t>
                  </w:r>
                  <w:r>
                    <w:rPr>
                      <w:rFonts w:ascii="Calibri" w:hAnsi="Calibri"/>
                      <w:color w:val="000000"/>
                      <w:sz w:val="16"/>
                      <w:szCs w:val="16"/>
                      <w:lang w:eastAsia="en-GB"/>
                    </w:rPr>
                    <w:t>3,420</w:t>
                  </w:r>
                </w:p>
              </w:tc>
            </w:tr>
            <w:tr w:rsidR="00046650" w:rsidRPr="00B71A1E" w14:paraId="1CADC4D5" w14:textId="77777777" w:rsidTr="00720C6C">
              <w:trPr>
                <w:trHeight w:val="450"/>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6E4B62FB"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SU04 Sustained Apprenticeship 3 Months</w:t>
                  </w:r>
                </w:p>
              </w:tc>
              <w:tc>
                <w:tcPr>
                  <w:tcW w:w="1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D212447"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w:t>
                  </w:r>
                </w:p>
              </w:tc>
              <w:tc>
                <w:tcPr>
                  <w:tcW w:w="12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B79A39D"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£300</w:t>
                  </w:r>
                </w:p>
              </w:tc>
              <w:tc>
                <w:tcPr>
                  <w:tcW w:w="11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486A67C"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6,600</w:t>
                  </w:r>
                </w:p>
              </w:tc>
            </w:tr>
            <w:tr w:rsidR="00046650" w:rsidRPr="00B71A1E" w14:paraId="008C3B3E" w14:textId="77777777" w:rsidTr="00720C6C">
              <w:trPr>
                <w:trHeight w:val="450"/>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5164D46D"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SU05 Sustained Traineeship 3 Months</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24364A84"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30</w:t>
                  </w:r>
                </w:p>
              </w:tc>
              <w:tc>
                <w:tcPr>
                  <w:tcW w:w="12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51D57987"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£220</w:t>
                  </w:r>
                </w:p>
              </w:tc>
              <w:tc>
                <w:tcPr>
                  <w:tcW w:w="112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05A40624"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6,600</w:t>
                  </w:r>
                </w:p>
              </w:tc>
            </w:tr>
            <w:tr w:rsidR="00046650" w:rsidRPr="00B71A1E" w14:paraId="507495C6" w14:textId="77777777" w:rsidTr="00720C6C">
              <w:trPr>
                <w:trHeight w:val="450"/>
              </w:trPr>
              <w:tc>
                <w:tcPr>
                  <w:tcW w:w="44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EC97ACA" w14:textId="77777777" w:rsidR="00046650" w:rsidRPr="00B71A1E" w:rsidRDefault="00046650" w:rsidP="00720C6C">
                  <w:pPr>
                    <w:rPr>
                      <w:rFonts w:ascii="Calibri" w:hAnsi="Calibri"/>
                      <w:sz w:val="20"/>
                      <w:szCs w:val="20"/>
                      <w:lang w:eastAsia="en-GB"/>
                    </w:rPr>
                  </w:pPr>
                  <w:r w:rsidRPr="00B71A1E">
                    <w:rPr>
                      <w:rFonts w:ascii="Calibri" w:hAnsi="Calibri"/>
                      <w:sz w:val="20"/>
                      <w:szCs w:val="20"/>
                      <w:lang w:eastAsia="en-GB"/>
                    </w:rPr>
                    <w:t>SU13 Sustained Education 6 Months</w:t>
                  </w:r>
                </w:p>
              </w:tc>
              <w:tc>
                <w:tcPr>
                  <w:tcW w:w="112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7852E1"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52</w:t>
                  </w:r>
                </w:p>
              </w:tc>
              <w:tc>
                <w:tcPr>
                  <w:tcW w:w="120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D104942"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£220</w:t>
                  </w:r>
                </w:p>
              </w:tc>
              <w:tc>
                <w:tcPr>
                  <w:tcW w:w="1120"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4D73E10"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£1</w:t>
                  </w:r>
                  <w:r>
                    <w:rPr>
                      <w:rFonts w:ascii="Calibri" w:hAnsi="Calibri"/>
                      <w:color w:val="000000"/>
                      <w:sz w:val="16"/>
                      <w:szCs w:val="16"/>
                      <w:lang w:eastAsia="en-GB"/>
                    </w:rPr>
                    <w:t>1,440</w:t>
                  </w:r>
                </w:p>
              </w:tc>
            </w:tr>
            <w:tr w:rsidR="00046650" w:rsidRPr="00B71A1E" w14:paraId="21DE9366" w14:textId="77777777" w:rsidTr="00720C6C">
              <w:trPr>
                <w:trHeight w:val="450"/>
              </w:trPr>
              <w:tc>
                <w:tcPr>
                  <w:tcW w:w="4420" w:type="dxa"/>
                  <w:tcBorders>
                    <w:top w:val="single" w:sz="4" w:space="0" w:color="000000"/>
                    <w:left w:val="single" w:sz="4" w:space="0" w:color="000000"/>
                    <w:bottom w:val="single" w:sz="4" w:space="0" w:color="auto"/>
                    <w:right w:val="single" w:sz="4" w:space="0" w:color="auto"/>
                  </w:tcBorders>
                  <w:shd w:val="clear" w:color="D9D9D9" w:fill="D9D9D9"/>
                  <w:vAlign w:val="center"/>
                  <w:hideMark/>
                </w:tcPr>
                <w:p w14:paraId="23A29BFB"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SU14 Sustained Apprenticeship 6 Months</w:t>
                  </w:r>
                </w:p>
              </w:tc>
              <w:tc>
                <w:tcPr>
                  <w:tcW w:w="1120" w:type="dxa"/>
                  <w:tcBorders>
                    <w:top w:val="single" w:sz="4" w:space="0" w:color="auto"/>
                    <w:left w:val="single" w:sz="4" w:space="0" w:color="auto"/>
                    <w:bottom w:val="single" w:sz="4" w:space="0" w:color="000000"/>
                    <w:right w:val="single" w:sz="4" w:space="0" w:color="auto"/>
                  </w:tcBorders>
                  <w:shd w:val="clear" w:color="D9D9D9" w:fill="D9D9D9"/>
                  <w:vAlign w:val="center"/>
                  <w:hideMark/>
                </w:tcPr>
                <w:p w14:paraId="3046B7DD"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18</w:t>
                  </w:r>
                </w:p>
              </w:tc>
              <w:tc>
                <w:tcPr>
                  <w:tcW w:w="120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24085E4C"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£300</w:t>
                  </w:r>
                </w:p>
              </w:tc>
              <w:tc>
                <w:tcPr>
                  <w:tcW w:w="1120" w:type="dxa"/>
                  <w:tcBorders>
                    <w:top w:val="single" w:sz="4" w:space="0" w:color="auto"/>
                    <w:left w:val="single" w:sz="4" w:space="0" w:color="auto"/>
                    <w:bottom w:val="single" w:sz="4" w:space="0" w:color="000000"/>
                    <w:right w:val="single" w:sz="4" w:space="0" w:color="auto"/>
                  </w:tcBorders>
                  <w:shd w:val="clear" w:color="D9D9D9" w:fill="D9D9D9"/>
                  <w:noWrap/>
                  <w:vAlign w:val="center"/>
                  <w:hideMark/>
                </w:tcPr>
                <w:p w14:paraId="7016483F"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5,440</w:t>
                  </w:r>
                </w:p>
              </w:tc>
            </w:tr>
            <w:tr w:rsidR="00046650" w:rsidRPr="00B71A1E" w14:paraId="7A50618E" w14:textId="77777777" w:rsidTr="00720C6C">
              <w:trPr>
                <w:trHeight w:val="450"/>
              </w:trPr>
              <w:tc>
                <w:tcPr>
                  <w:tcW w:w="4420" w:type="dxa"/>
                  <w:tcBorders>
                    <w:top w:val="single" w:sz="4" w:space="0" w:color="000000"/>
                    <w:left w:val="single" w:sz="4" w:space="0" w:color="000000"/>
                    <w:bottom w:val="single" w:sz="4" w:space="0" w:color="auto"/>
                    <w:right w:val="single" w:sz="4" w:space="0" w:color="auto"/>
                  </w:tcBorders>
                  <w:shd w:val="clear" w:color="auto" w:fill="auto"/>
                  <w:vAlign w:val="center"/>
                  <w:hideMark/>
                </w:tcPr>
                <w:p w14:paraId="72C962EE" w14:textId="77777777" w:rsidR="00046650" w:rsidRPr="00B71A1E" w:rsidRDefault="00046650" w:rsidP="00720C6C">
                  <w:pPr>
                    <w:rPr>
                      <w:rFonts w:ascii="Calibri" w:hAnsi="Calibri"/>
                      <w:color w:val="000000"/>
                      <w:sz w:val="20"/>
                      <w:szCs w:val="20"/>
                      <w:lang w:eastAsia="en-GB"/>
                    </w:rPr>
                  </w:pPr>
                  <w:r w:rsidRPr="00B71A1E">
                    <w:rPr>
                      <w:rFonts w:ascii="Calibri" w:hAnsi="Calibri"/>
                      <w:color w:val="000000"/>
                      <w:sz w:val="20"/>
                      <w:szCs w:val="20"/>
                      <w:lang w:eastAsia="en-GB"/>
                    </w:rPr>
                    <w:t>SU15 Sustained Traineeship 6 Months</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E52B1D"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3CBAF" w14:textId="77777777" w:rsidR="00046650" w:rsidRPr="00F42811" w:rsidRDefault="00046650" w:rsidP="00720C6C">
                  <w:pPr>
                    <w:jc w:val="center"/>
                    <w:rPr>
                      <w:rFonts w:ascii="Calibri" w:hAnsi="Calibri"/>
                      <w:color w:val="000000"/>
                      <w:sz w:val="16"/>
                      <w:szCs w:val="16"/>
                      <w:lang w:eastAsia="en-GB"/>
                    </w:rPr>
                  </w:pPr>
                  <w:r w:rsidRPr="00F42811">
                    <w:rPr>
                      <w:rFonts w:ascii="Calibri" w:hAnsi="Calibri"/>
                      <w:color w:val="000000"/>
                      <w:sz w:val="16"/>
                      <w:szCs w:val="16"/>
                      <w:lang w:eastAsia="en-GB"/>
                    </w:rPr>
                    <w:t>£220</w:t>
                  </w:r>
                </w:p>
              </w:tc>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9AB60" w14:textId="77777777" w:rsidR="00046650" w:rsidRPr="00B71A1E" w:rsidRDefault="00046650" w:rsidP="00720C6C">
                  <w:pPr>
                    <w:jc w:val="center"/>
                    <w:rPr>
                      <w:rFonts w:ascii="Calibri" w:hAnsi="Calibri"/>
                      <w:color w:val="000000"/>
                      <w:sz w:val="16"/>
                      <w:szCs w:val="16"/>
                      <w:lang w:eastAsia="en-GB"/>
                    </w:rPr>
                  </w:pPr>
                  <w:r w:rsidRPr="00B71A1E">
                    <w:rPr>
                      <w:rFonts w:ascii="Calibri" w:hAnsi="Calibri"/>
                      <w:color w:val="000000"/>
                      <w:sz w:val="16"/>
                      <w:szCs w:val="16"/>
                      <w:lang w:eastAsia="en-GB"/>
                    </w:rPr>
                    <w:t>£</w:t>
                  </w:r>
                  <w:r>
                    <w:rPr>
                      <w:rFonts w:ascii="Calibri" w:hAnsi="Calibri"/>
                      <w:color w:val="000000"/>
                      <w:sz w:val="16"/>
                      <w:szCs w:val="16"/>
                      <w:lang w:eastAsia="en-GB"/>
                    </w:rPr>
                    <w:t>5,720</w:t>
                  </w:r>
                </w:p>
              </w:tc>
            </w:tr>
          </w:tbl>
          <w:p w14:paraId="78BB8310" w14:textId="77777777" w:rsidR="00046650" w:rsidRPr="00AF706C" w:rsidRDefault="00046650" w:rsidP="00720C6C">
            <w:pPr>
              <w:rPr>
                <w:rFonts w:cs="Arial"/>
              </w:rPr>
            </w:pPr>
          </w:p>
          <w:p w14:paraId="4C9FEE07" w14:textId="77777777" w:rsidR="00046650" w:rsidRPr="00AF706C" w:rsidRDefault="00046650" w:rsidP="00720C6C">
            <w:pPr>
              <w:autoSpaceDE w:val="0"/>
              <w:autoSpaceDN w:val="0"/>
              <w:adjustRightInd w:val="0"/>
              <w:rPr>
                <w:rFonts w:cs="Arial"/>
                <w:b/>
              </w:rPr>
            </w:pPr>
          </w:p>
          <w:p w14:paraId="2E7B6E11" w14:textId="77777777" w:rsidR="00046650" w:rsidRPr="00AF706C" w:rsidRDefault="00046650" w:rsidP="00720C6C">
            <w:pPr>
              <w:autoSpaceDE w:val="0"/>
              <w:autoSpaceDN w:val="0"/>
              <w:adjustRightInd w:val="0"/>
              <w:rPr>
                <w:rFonts w:cs="Arial"/>
                <w:b/>
              </w:rPr>
            </w:pPr>
          </w:p>
        </w:tc>
      </w:tr>
    </w:tbl>
    <w:p w14:paraId="1B50353E" w14:textId="77777777" w:rsidR="000B787E" w:rsidRDefault="000B787E">
      <w:pPr>
        <w:rPr>
          <w:b/>
          <w:sz w:val="36"/>
          <w:szCs w:val="36"/>
        </w:rPr>
      </w:pPr>
    </w:p>
    <w:p w14:paraId="6F174AFC" w14:textId="77777777" w:rsidR="000B787E" w:rsidRDefault="000B787E">
      <w:pPr>
        <w:rPr>
          <w:b/>
          <w:sz w:val="36"/>
          <w:szCs w:val="36"/>
        </w:rPr>
      </w:pPr>
    </w:p>
    <w:p w14:paraId="6BA49FFA" w14:textId="77777777" w:rsidR="000B787E" w:rsidRDefault="000B787E">
      <w:pPr>
        <w:rPr>
          <w:b/>
          <w:sz w:val="36"/>
          <w:szCs w:val="36"/>
        </w:rPr>
      </w:pPr>
    </w:p>
    <w:p w14:paraId="259A3288" w14:textId="77777777" w:rsidR="000B787E" w:rsidRDefault="000B787E">
      <w:pPr>
        <w:rPr>
          <w:b/>
          <w:sz w:val="36"/>
          <w:szCs w:val="36"/>
        </w:rPr>
      </w:pPr>
    </w:p>
    <w:p w14:paraId="279156DC" w14:textId="77777777" w:rsidR="000B787E" w:rsidRDefault="000B787E">
      <w:pPr>
        <w:rPr>
          <w:b/>
          <w:sz w:val="36"/>
          <w:szCs w:val="36"/>
        </w:rPr>
      </w:pPr>
    </w:p>
    <w:p w14:paraId="0DBE0C64" w14:textId="77777777" w:rsidR="000B787E" w:rsidRDefault="000B787E">
      <w:pPr>
        <w:rPr>
          <w:b/>
          <w:sz w:val="36"/>
          <w:szCs w:val="36"/>
        </w:rPr>
      </w:pPr>
    </w:p>
    <w:p w14:paraId="4EEE2355" w14:textId="77777777" w:rsidR="000B787E" w:rsidRDefault="000B787E">
      <w:pPr>
        <w:rPr>
          <w:b/>
          <w:sz w:val="36"/>
          <w:szCs w:val="36"/>
        </w:rPr>
      </w:pPr>
    </w:p>
    <w:p w14:paraId="20CE46E7" w14:textId="77777777" w:rsidR="000B787E" w:rsidRDefault="000B787E">
      <w:pPr>
        <w:rPr>
          <w:b/>
          <w:sz w:val="36"/>
          <w:szCs w:val="36"/>
        </w:rPr>
      </w:pPr>
    </w:p>
    <w:p w14:paraId="2482C949" w14:textId="77777777" w:rsidR="000B787E" w:rsidRDefault="000B787E">
      <w:pPr>
        <w:rPr>
          <w:b/>
          <w:sz w:val="36"/>
          <w:szCs w:val="36"/>
        </w:rPr>
      </w:pPr>
    </w:p>
    <w:p w14:paraId="4870C64B" w14:textId="77777777" w:rsidR="000B787E" w:rsidRDefault="000B787E">
      <w:pPr>
        <w:rPr>
          <w:b/>
          <w:sz w:val="36"/>
          <w:szCs w:val="36"/>
        </w:rPr>
      </w:pPr>
    </w:p>
    <w:p w14:paraId="2973FDBE" w14:textId="77777777" w:rsidR="000B787E" w:rsidRDefault="000B787E">
      <w:pPr>
        <w:rPr>
          <w:b/>
          <w:sz w:val="36"/>
          <w:szCs w:val="36"/>
        </w:rPr>
      </w:pPr>
    </w:p>
    <w:p w14:paraId="61DA3B56" w14:textId="77777777" w:rsidR="000B787E" w:rsidRDefault="000B787E">
      <w:pPr>
        <w:rPr>
          <w:b/>
          <w:sz w:val="36"/>
          <w:szCs w:val="36"/>
        </w:rPr>
      </w:pPr>
    </w:p>
    <w:p w14:paraId="0C233FDE" w14:textId="77777777" w:rsidR="000B787E" w:rsidRDefault="000B787E">
      <w:pPr>
        <w:rPr>
          <w:b/>
          <w:sz w:val="36"/>
          <w:szCs w:val="36"/>
        </w:rPr>
      </w:pPr>
    </w:p>
    <w:p w14:paraId="3F55D129" w14:textId="77777777" w:rsidR="000B787E" w:rsidRDefault="000B787E">
      <w:pPr>
        <w:rPr>
          <w:b/>
          <w:sz w:val="36"/>
          <w:szCs w:val="36"/>
        </w:rPr>
      </w:pPr>
    </w:p>
    <w:p w14:paraId="5A45DD7F" w14:textId="77777777" w:rsidR="000B787E" w:rsidRDefault="000B787E">
      <w:pPr>
        <w:rPr>
          <w:b/>
          <w:sz w:val="36"/>
          <w:szCs w:val="36"/>
        </w:rPr>
      </w:pPr>
    </w:p>
    <w:sectPr w:rsidR="000B787E" w:rsidSect="00AD26BE">
      <w:footerReference w:type="default" r:id="rId17"/>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AB1D9B" w14:textId="77777777" w:rsidR="006B54E6" w:rsidRDefault="006B54E6">
      <w:r>
        <w:separator/>
      </w:r>
    </w:p>
  </w:endnote>
  <w:endnote w:type="continuationSeparator" w:id="0">
    <w:p w14:paraId="57D7A445" w14:textId="77777777" w:rsidR="006B54E6" w:rsidRDefault="006B5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55">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gridCol w:w="4389"/>
    </w:tblGrid>
    <w:tr w:rsidR="00F14B2C" w14:paraId="66DD8BED" w14:textId="77777777" w:rsidTr="00F14B2C">
      <w:tc>
        <w:tcPr>
          <w:tcW w:w="4388" w:type="dxa"/>
        </w:tcPr>
        <w:p w14:paraId="3831C2B1" w14:textId="2D89F7A6" w:rsidR="00F14B2C" w:rsidRPr="00345405" w:rsidRDefault="00F14B2C" w:rsidP="00046650">
          <w:pPr>
            <w:pStyle w:val="Footer"/>
            <w:rPr>
              <w:color w:val="FF0000"/>
              <w:sz w:val="16"/>
              <w:szCs w:val="16"/>
            </w:rPr>
          </w:pPr>
          <w:r w:rsidRPr="00345405">
            <w:rPr>
              <w:sz w:val="16"/>
              <w:szCs w:val="16"/>
            </w:rPr>
            <w:t>SQ/itt_</w:t>
          </w:r>
          <w:r w:rsidR="00046650">
            <w:rPr>
              <w:sz w:val="16"/>
              <w:szCs w:val="16"/>
            </w:rPr>
            <w:t>29921/24-004/January</w:t>
          </w:r>
          <w:r w:rsidRPr="00345405">
            <w:rPr>
              <w:sz w:val="16"/>
              <w:szCs w:val="16"/>
            </w:rPr>
            <w:t xml:space="preserve"> 201</w:t>
          </w:r>
          <w:r w:rsidR="00046650">
            <w:rPr>
              <w:sz w:val="16"/>
              <w:szCs w:val="16"/>
            </w:rPr>
            <w:t>6</w:t>
          </w:r>
        </w:p>
      </w:tc>
      <w:tc>
        <w:tcPr>
          <w:tcW w:w="4389" w:type="dxa"/>
        </w:tcPr>
        <w:p w14:paraId="6806C5C2" w14:textId="77777777" w:rsidR="00F14B2C" w:rsidRDefault="00F14B2C">
          <w:pPr>
            <w:pStyle w:val="Footer"/>
          </w:pPr>
        </w:p>
      </w:tc>
    </w:tr>
    <w:tr w:rsidR="00F14B2C" w14:paraId="7B4C0DB8" w14:textId="77777777" w:rsidTr="00F14B2C">
      <w:tc>
        <w:tcPr>
          <w:tcW w:w="4388" w:type="dxa"/>
        </w:tcPr>
        <w:p w14:paraId="5C4DE4E1" w14:textId="77777777" w:rsidR="00F14B2C" w:rsidRDefault="00F14B2C" w:rsidP="00F14B2C">
          <w:pPr>
            <w:pStyle w:val="Footer"/>
          </w:pPr>
        </w:p>
      </w:tc>
      <w:tc>
        <w:tcPr>
          <w:tcW w:w="4389" w:type="dxa"/>
        </w:tcPr>
        <w:p w14:paraId="33526727" w14:textId="77777777" w:rsidR="00F14B2C" w:rsidRPr="007E4DF8" w:rsidRDefault="00F14B2C" w:rsidP="00F14B2C">
          <w:pPr>
            <w:pStyle w:val="Footer"/>
            <w:jc w:val="right"/>
            <w:rPr>
              <w:sz w:val="16"/>
              <w:szCs w:val="16"/>
            </w:rPr>
          </w:pPr>
        </w:p>
      </w:tc>
    </w:tr>
  </w:tbl>
  <w:p w14:paraId="2FB741C8" w14:textId="77777777" w:rsidR="00F14B2C" w:rsidRDefault="00F14B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D8410" w14:textId="77777777" w:rsidR="006B54E6" w:rsidRDefault="006B54E6">
      <w:r>
        <w:separator/>
      </w:r>
    </w:p>
  </w:footnote>
  <w:footnote w:type="continuationSeparator" w:id="0">
    <w:p w14:paraId="438DC5FE" w14:textId="77777777" w:rsidR="006B54E6" w:rsidRDefault="006B54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5"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6" w15:restartNumberingAfterBreak="0">
    <w:nsid w:val="1902103C"/>
    <w:multiLevelType w:val="hybridMultilevel"/>
    <w:tmpl w:val="BC4C61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1A5C07"/>
    <w:multiLevelType w:val="hybridMultilevel"/>
    <w:tmpl w:val="8E0A8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A960B6"/>
    <w:multiLevelType w:val="hybridMultilevel"/>
    <w:tmpl w:val="D8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261EB1"/>
    <w:multiLevelType w:val="hybridMultilevel"/>
    <w:tmpl w:val="661010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B15B83"/>
    <w:multiLevelType w:val="hybridMultilevel"/>
    <w:tmpl w:val="DD56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55E4EF5"/>
    <w:multiLevelType w:val="hybridMultilevel"/>
    <w:tmpl w:val="8B58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2B76CF"/>
    <w:multiLevelType w:val="hybridMultilevel"/>
    <w:tmpl w:val="58620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87862F2"/>
    <w:multiLevelType w:val="hybridMultilevel"/>
    <w:tmpl w:val="5FAA6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8E5F0B"/>
    <w:multiLevelType w:val="hybridMultilevel"/>
    <w:tmpl w:val="FF8AEC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3"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D644415"/>
    <w:multiLevelType w:val="hybridMultilevel"/>
    <w:tmpl w:val="52BC5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393D21"/>
    <w:multiLevelType w:val="hybridMultilevel"/>
    <w:tmpl w:val="A0CEABAE"/>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9"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33" w15:restartNumberingAfterBreak="0">
    <w:nsid w:val="68195FEC"/>
    <w:multiLevelType w:val="hybridMultilevel"/>
    <w:tmpl w:val="3E0473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B200260"/>
    <w:multiLevelType w:val="hybridMultilevel"/>
    <w:tmpl w:val="7912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6CC413B"/>
    <w:multiLevelType w:val="hybridMultilevel"/>
    <w:tmpl w:val="B088F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7"/>
  </w:num>
  <w:num w:numId="3">
    <w:abstractNumId w:val="32"/>
  </w:num>
  <w:num w:numId="4">
    <w:abstractNumId w:val="33"/>
  </w:num>
  <w:num w:numId="5">
    <w:abstractNumId w:val="3"/>
  </w:num>
  <w:num w:numId="6">
    <w:abstractNumId w:val="38"/>
  </w:num>
  <w:num w:numId="7">
    <w:abstractNumId w:val="31"/>
  </w:num>
  <w:num w:numId="8">
    <w:abstractNumId w:val="20"/>
  </w:num>
  <w:num w:numId="9">
    <w:abstractNumId w:val="30"/>
  </w:num>
  <w:num w:numId="10">
    <w:abstractNumId w:val="0"/>
  </w:num>
  <w:num w:numId="11">
    <w:abstractNumId w:val="5"/>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9"/>
  </w:num>
  <w:num w:numId="13">
    <w:abstractNumId w:val="41"/>
  </w:num>
  <w:num w:numId="14">
    <w:abstractNumId w:val="27"/>
  </w:num>
  <w:num w:numId="15">
    <w:abstractNumId w:val="9"/>
  </w:num>
  <w:num w:numId="16">
    <w:abstractNumId w:val="12"/>
  </w:num>
  <w:num w:numId="17">
    <w:abstractNumId w:val="14"/>
  </w:num>
  <w:num w:numId="18">
    <w:abstractNumId w:val="15"/>
  </w:num>
  <w:num w:numId="19">
    <w:abstractNumId w:val="40"/>
  </w:num>
  <w:num w:numId="20">
    <w:abstractNumId w:val="23"/>
  </w:num>
  <w:num w:numId="21">
    <w:abstractNumId w:val="35"/>
  </w:num>
  <w:num w:numId="22">
    <w:abstractNumId w:val="19"/>
  </w:num>
  <w:num w:numId="23">
    <w:abstractNumId w:val="26"/>
  </w:num>
  <w:num w:numId="24">
    <w:abstractNumId w:val="36"/>
  </w:num>
  <w:num w:numId="25">
    <w:abstractNumId w:val="1"/>
  </w:num>
  <w:num w:numId="26">
    <w:abstractNumId w:val="18"/>
  </w:num>
  <w:num w:numId="27">
    <w:abstractNumId w:val="25"/>
  </w:num>
  <w:num w:numId="28">
    <w:abstractNumId w:val="2"/>
  </w:num>
  <w:num w:numId="29">
    <w:abstractNumId w:val="39"/>
  </w:num>
  <w:num w:numId="30">
    <w:abstractNumId w:val="17"/>
  </w:num>
  <w:num w:numId="31">
    <w:abstractNumId w:val="22"/>
  </w:num>
  <w:num w:numId="32">
    <w:abstractNumId w:val="34"/>
  </w:num>
  <w:num w:numId="33">
    <w:abstractNumId w:val="6"/>
  </w:num>
  <w:num w:numId="34">
    <w:abstractNumId w:val="11"/>
  </w:num>
  <w:num w:numId="35">
    <w:abstractNumId w:val="24"/>
  </w:num>
  <w:num w:numId="36">
    <w:abstractNumId w:val="21"/>
  </w:num>
  <w:num w:numId="37">
    <w:abstractNumId w:val="13"/>
  </w:num>
  <w:num w:numId="38">
    <w:abstractNumId w:val="16"/>
  </w:num>
  <w:num w:numId="39">
    <w:abstractNumId w:val="8"/>
  </w:num>
  <w:num w:numId="40">
    <w:abstractNumId w:val="7"/>
  </w:num>
  <w:num w:numId="41">
    <w:abstractNumId w:val="28"/>
  </w:num>
  <w:num w:numId="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6BE"/>
    <w:rsid w:val="00046650"/>
    <w:rsid w:val="000B787E"/>
    <w:rsid w:val="000F2DA4"/>
    <w:rsid w:val="00164072"/>
    <w:rsid w:val="00213170"/>
    <w:rsid w:val="00334D9B"/>
    <w:rsid w:val="00345405"/>
    <w:rsid w:val="003843BC"/>
    <w:rsid w:val="0038767B"/>
    <w:rsid w:val="003B090F"/>
    <w:rsid w:val="004B3BC9"/>
    <w:rsid w:val="005D0E85"/>
    <w:rsid w:val="00611A46"/>
    <w:rsid w:val="00647BDA"/>
    <w:rsid w:val="006B54E6"/>
    <w:rsid w:val="006D4961"/>
    <w:rsid w:val="008247B7"/>
    <w:rsid w:val="0088237F"/>
    <w:rsid w:val="00942BAA"/>
    <w:rsid w:val="00A96329"/>
    <w:rsid w:val="00AD26BE"/>
    <w:rsid w:val="00B87822"/>
    <w:rsid w:val="00BA2DF3"/>
    <w:rsid w:val="00BB31C6"/>
    <w:rsid w:val="00BC3899"/>
    <w:rsid w:val="00C8755C"/>
    <w:rsid w:val="00D847D4"/>
    <w:rsid w:val="00E51E13"/>
    <w:rsid w:val="00E527D8"/>
    <w:rsid w:val="00EE2D4A"/>
    <w:rsid w:val="00F14B2C"/>
    <w:rsid w:val="00F150A3"/>
    <w:rsid w:val="00FF17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84BB7"/>
  <w15:chartTrackingRefBased/>
  <w15:docId w15:val="{B6EDA7A3-7471-4B73-9DC2-736A9FEB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6BE"/>
    <w:pPr>
      <w:spacing w:after="0" w:line="240" w:lineRule="auto"/>
    </w:pPr>
    <w:rPr>
      <w:rFonts w:ascii="Arial" w:eastAsia="Times New Roman" w:hAnsi="Arial" w:cs="Times New Roman"/>
      <w:sz w:val="24"/>
      <w:szCs w:val="24"/>
    </w:rPr>
  </w:style>
  <w:style w:type="paragraph" w:styleId="Heading1">
    <w:name w:val="heading 1"/>
    <w:basedOn w:val="Normal"/>
    <w:next w:val="numberedparagraph"/>
    <w:link w:val="Heading1Char"/>
    <w:uiPriority w:val="99"/>
    <w:qFormat/>
    <w:rsid w:val="000F2DA4"/>
    <w:pPr>
      <w:keepNext/>
      <w:numPr>
        <w:numId w:val="1"/>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0F2DA4"/>
    <w:pPr>
      <w:keepNext/>
      <w:numPr>
        <w:ilvl w:val="1"/>
        <w:numId w:val="1"/>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0F2DA4"/>
    <w:pPr>
      <w:keepNext/>
      <w:numPr>
        <w:ilvl w:val="2"/>
        <w:numId w:val="1"/>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D26BE"/>
    <w:pPr>
      <w:tabs>
        <w:tab w:val="center" w:pos="4153"/>
        <w:tab w:val="right" w:pos="8306"/>
      </w:tabs>
      <w:spacing w:after="60"/>
    </w:pPr>
    <w:rPr>
      <w:sz w:val="20"/>
    </w:rPr>
  </w:style>
  <w:style w:type="character" w:customStyle="1" w:styleId="FooterChar">
    <w:name w:val="Footer Char"/>
    <w:basedOn w:val="DefaultParagraphFont"/>
    <w:link w:val="Footer"/>
    <w:uiPriority w:val="99"/>
    <w:rsid w:val="00AD26BE"/>
    <w:rPr>
      <w:rFonts w:ascii="Arial" w:eastAsia="Times New Roman" w:hAnsi="Arial" w:cs="Times New Roman"/>
      <w:sz w:val="20"/>
      <w:szCs w:val="24"/>
    </w:rPr>
  </w:style>
  <w:style w:type="table" w:styleId="TableGrid">
    <w:name w:val="Table Grid"/>
    <w:basedOn w:val="TableNormal"/>
    <w:uiPriority w:val="39"/>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26B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9"/>
    <w:rsid w:val="000F2DA4"/>
    <w:rPr>
      <w:rFonts w:ascii="Arial" w:eastAsia="Times New Roman" w:hAnsi="Arial" w:cs="Arial"/>
      <w:b/>
      <w:bCs/>
      <w:kern w:val="32"/>
      <w:sz w:val="36"/>
      <w:szCs w:val="32"/>
    </w:rPr>
  </w:style>
  <w:style w:type="character" w:customStyle="1" w:styleId="Heading2Char">
    <w:name w:val="Heading 2 Char"/>
    <w:basedOn w:val="DefaultParagraphFont"/>
    <w:link w:val="Heading2"/>
    <w:uiPriority w:val="99"/>
    <w:rsid w:val="000F2DA4"/>
    <w:rPr>
      <w:rFonts w:ascii="Arial" w:eastAsia="Times New Roman" w:hAnsi="Arial" w:cs="Arial"/>
      <w:b/>
      <w:bCs/>
      <w:iCs/>
      <w:sz w:val="28"/>
      <w:szCs w:val="28"/>
    </w:rPr>
  </w:style>
  <w:style w:type="character" w:customStyle="1" w:styleId="Heading3Char">
    <w:name w:val="Heading 3 Char"/>
    <w:basedOn w:val="DefaultParagraphFont"/>
    <w:link w:val="Heading3"/>
    <w:uiPriority w:val="99"/>
    <w:rsid w:val="000F2DA4"/>
    <w:rPr>
      <w:rFonts w:ascii="Arial" w:eastAsia="Times New Roman" w:hAnsi="Arial" w:cs="Arial"/>
      <w:b/>
      <w:bCs/>
      <w:sz w:val="24"/>
      <w:szCs w:val="26"/>
    </w:rPr>
  </w:style>
  <w:style w:type="paragraph" w:customStyle="1" w:styleId="numberedparagraph">
    <w:name w:val="numbered paragraph"/>
    <w:basedOn w:val="Normal"/>
    <w:link w:val="numberedparagraphChar"/>
    <w:uiPriority w:val="99"/>
    <w:rsid w:val="000F2DA4"/>
    <w:pPr>
      <w:numPr>
        <w:ilvl w:val="3"/>
        <w:numId w:val="1"/>
      </w:numPr>
      <w:spacing w:before="120" w:after="120"/>
    </w:pPr>
    <w:rPr>
      <w:rFonts w:cs="Arial"/>
    </w:rPr>
  </w:style>
  <w:style w:type="paragraph" w:customStyle="1" w:styleId="letteredlist">
    <w:name w:val="lettered list"/>
    <w:basedOn w:val="Normal"/>
    <w:uiPriority w:val="99"/>
    <w:rsid w:val="000F2DA4"/>
    <w:pPr>
      <w:numPr>
        <w:ilvl w:val="4"/>
        <w:numId w:val="1"/>
      </w:numPr>
      <w:spacing w:after="60"/>
    </w:pPr>
    <w:rPr>
      <w:rFonts w:cs="Arial"/>
    </w:rPr>
  </w:style>
  <w:style w:type="paragraph" w:styleId="NoSpacing">
    <w:name w:val="No Spacing"/>
    <w:uiPriority w:val="1"/>
    <w:qFormat/>
    <w:rsid w:val="000F2DA4"/>
    <w:pPr>
      <w:spacing w:after="0" w:line="240" w:lineRule="auto"/>
    </w:pPr>
    <w:rPr>
      <w:rFonts w:ascii="Arial" w:eastAsia="Times New Roman" w:hAnsi="Arial" w:cs="Times New Roman"/>
      <w:sz w:val="24"/>
      <w:szCs w:val="24"/>
    </w:rPr>
  </w:style>
  <w:style w:type="paragraph" w:styleId="ListParagraph">
    <w:name w:val="List Paragraph"/>
    <w:aliases w:val="F5 List Paragraph,List Paragraph1,List Paragraph11"/>
    <w:basedOn w:val="Normal"/>
    <w:link w:val="ListParagraphChar"/>
    <w:uiPriority w:val="34"/>
    <w:qFormat/>
    <w:rsid w:val="00E51E13"/>
    <w:pPr>
      <w:ind w:left="720"/>
      <w:contextualSpacing/>
    </w:pPr>
    <w:rPr>
      <w:rFonts w:ascii="Univers 55" w:hAnsi="Univers 55"/>
      <w:sz w:val="22"/>
      <w:szCs w:val="20"/>
    </w:rPr>
  </w:style>
  <w:style w:type="paragraph" w:customStyle="1" w:styleId="letteredList0">
    <w:name w:val="letteredList"/>
    <w:basedOn w:val="Normal"/>
    <w:rsid w:val="00E51E13"/>
    <w:pPr>
      <w:numPr>
        <w:ilvl w:val="5"/>
        <w:numId w:val="3"/>
      </w:numPr>
      <w:spacing w:after="60"/>
    </w:pPr>
  </w:style>
  <w:style w:type="paragraph" w:customStyle="1" w:styleId="paragraph">
    <w:name w:val="paragraph"/>
    <w:basedOn w:val="Normal"/>
    <w:rsid w:val="00E51E13"/>
    <w:pPr>
      <w:numPr>
        <w:ilvl w:val="4"/>
        <w:numId w:val="3"/>
      </w:numPr>
      <w:spacing w:after="120"/>
      <w:outlineLvl w:val="4"/>
    </w:pPr>
  </w:style>
  <w:style w:type="paragraph" w:styleId="NormalWeb">
    <w:name w:val="Normal (Web)"/>
    <w:basedOn w:val="Normal"/>
    <w:uiPriority w:val="99"/>
    <w:unhideWhenUsed/>
    <w:rsid w:val="00C8755C"/>
    <w:pPr>
      <w:spacing w:before="100" w:beforeAutospacing="1" w:after="100" w:afterAutospacing="1"/>
    </w:pPr>
    <w:rPr>
      <w:rFonts w:ascii="Times New Roman" w:hAnsi="Times New Roman"/>
      <w:lang w:eastAsia="en-GB"/>
    </w:rPr>
  </w:style>
  <w:style w:type="paragraph" w:styleId="Header">
    <w:name w:val="header"/>
    <w:basedOn w:val="Normal"/>
    <w:link w:val="HeaderChar"/>
    <w:unhideWhenUsed/>
    <w:rsid w:val="00345405"/>
    <w:pPr>
      <w:tabs>
        <w:tab w:val="center" w:pos="4513"/>
        <w:tab w:val="right" w:pos="9026"/>
      </w:tabs>
    </w:pPr>
  </w:style>
  <w:style w:type="character" w:customStyle="1" w:styleId="HeaderChar">
    <w:name w:val="Header Char"/>
    <w:basedOn w:val="DefaultParagraphFont"/>
    <w:link w:val="Header"/>
    <w:uiPriority w:val="99"/>
    <w:rsid w:val="00345405"/>
    <w:rPr>
      <w:rFonts w:ascii="Arial" w:eastAsia="Times New Roman" w:hAnsi="Arial" w:cs="Times New Roman"/>
      <w:sz w:val="24"/>
      <w:szCs w:val="24"/>
    </w:rPr>
  </w:style>
  <w:style w:type="paragraph" w:customStyle="1" w:styleId="bulletedList">
    <w:name w:val="bulletedList"/>
    <w:basedOn w:val="Normal"/>
    <w:rsid w:val="00F14B2C"/>
    <w:pPr>
      <w:numPr>
        <w:numId w:val="5"/>
      </w:numPr>
      <w:spacing w:after="60"/>
    </w:pPr>
  </w:style>
  <w:style w:type="paragraph" w:customStyle="1" w:styleId="BulletInLetteredList">
    <w:name w:val="BulletInLetteredList"/>
    <w:basedOn w:val="Normal"/>
    <w:rsid w:val="00F14B2C"/>
    <w:pPr>
      <w:numPr>
        <w:numId w:val="6"/>
      </w:numPr>
      <w:spacing w:after="60"/>
    </w:pPr>
  </w:style>
  <w:style w:type="paragraph" w:styleId="DocumentMap">
    <w:name w:val="Document Map"/>
    <w:basedOn w:val="Normal"/>
    <w:link w:val="DocumentMapChar"/>
    <w:semiHidden/>
    <w:rsid w:val="00F14B2C"/>
    <w:pPr>
      <w:shd w:val="clear" w:color="auto" w:fill="000080"/>
    </w:pPr>
    <w:rPr>
      <w:rFonts w:ascii="Tahoma" w:hAnsi="Tahoma" w:cs="Tahoma"/>
      <w:sz w:val="22"/>
    </w:rPr>
  </w:style>
  <w:style w:type="character" w:customStyle="1" w:styleId="DocumentMapChar">
    <w:name w:val="Document Map Char"/>
    <w:basedOn w:val="DefaultParagraphFont"/>
    <w:link w:val="DocumentMap"/>
    <w:semiHidden/>
    <w:rsid w:val="00F14B2C"/>
    <w:rPr>
      <w:rFonts w:ascii="Tahoma" w:eastAsia="Times New Roman" w:hAnsi="Tahoma" w:cs="Tahoma"/>
      <w:szCs w:val="24"/>
      <w:shd w:val="clear" w:color="auto" w:fill="000080"/>
    </w:rPr>
  </w:style>
  <w:style w:type="character" w:styleId="Emphasis">
    <w:name w:val="Emphasis"/>
    <w:basedOn w:val="DefaultParagraphFont"/>
    <w:qFormat/>
    <w:rsid w:val="00F14B2C"/>
    <w:rPr>
      <w:b/>
      <w:iCs/>
    </w:rPr>
  </w:style>
  <w:style w:type="paragraph" w:customStyle="1" w:styleId="footerLine">
    <w:name w:val="footerLine"/>
    <w:basedOn w:val="Footer"/>
    <w:next w:val="Footer"/>
    <w:rsid w:val="00F14B2C"/>
    <w:pPr>
      <w:pBdr>
        <w:bottom w:val="single" w:sz="4" w:space="1" w:color="auto"/>
      </w:pBdr>
    </w:pPr>
  </w:style>
  <w:style w:type="character" w:styleId="Hyperlink">
    <w:name w:val="Hyperlink"/>
    <w:basedOn w:val="DefaultParagraphFont"/>
    <w:rsid w:val="00F14B2C"/>
    <w:rPr>
      <w:rFonts w:ascii="Arial" w:hAnsi="Arial"/>
      <w:color w:val="0000FF"/>
      <w:sz w:val="22"/>
      <w:szCs w:val="22"/>
      <w:u w:val="single"/>
    </w:rPr>
  </w:style>
  <w:style w:type="paragraph" w:customStyle="1" w:styleId="Mainheading">
    <w:name w:val="Main heading"/>
    <w:basedOn w:val="Normal"/>
    <w:next w:val="Normal"/>
    <w:rsid w:val="00F14B2C"/>
    <w:pPr>
      <w:keepNext/>
      <w:spacing w:before="240" w:after="80"/>
      <w:outlineLvl w:val="0"/>
    </w:pPr>
    <w:rPr>
      <w:rFonts w:cs="Arial"/>
      <w:b/>
      <w:bCs/>
      <w:kern w:val="32"/>
      <w:sz w:val="28"/>
    </w:rPr>
  </w:style>
  <w:style w:type="paragraph" w:styleId="Quote">
    <w:name w:val="Quote"/>
    <w:basedOn w:val="Normal"/>
    <w:link w:val="QuoteChar"/>
    <w:qFormat/>
    <w:rsid w:val="00F14B2C"/>
    <w:pPr>
      <w:spacing w:after="60"/>
      <w:ind w:left="851"/>
    </w:pPr>
    <w:rPr>
      <w:i/>
    </w:rPr>
  </w:style>
  <w:style w:type="character" w:customStyle="1" w:styleId="QuoteChar">
    <w:name w:val="Quote Char"/>
    <w:basedOn w:val="DefaultParagraphFont"/>
    <w:link w:val="Quote"/>
    <w:rsid w:val="00F14B2C"/>
    <w:rPr>
      <w:rFonts w:ascii="Arial" w:eastAsia="Times New Roman" w:hAnsi="Arial" w:cs="Times New Roman"/>
      <w:i/>
      <w:sz w:val="24"/>
      <w:szCs w:val="24"/>
    </w:rPr>
  </w:style>
  <w:style w:type="paragraph" w:customStyle="1" w:styleId="QuoteSource">
    <w:name w:val="QuoteSource"/>
    <w:basedOn w:val="Normal"/>
    <w:next w:val="Normal"/>
    <w:rsid w:val="00F14B2C"/>
    <w:pPr>
      <w:spacing w:after="60"/>
      <w:jc w:val="right"/>
    </w:pPr>
  </w:style>
  <w:style w:type="paragraph" w:customStyle="1" w:styleId="Sub-heading">
    <w:name w:val="Sub-heading"/>
    <w:basedOn w:val="Normal"/>
    <w:next w:val="paragraph"/>
    <w:rsid w:val="00F14B2C"/>
    <w:pPr>
      <w:keepNext/>
      <w:spacing w:before="120" w:after="80"/>
      <w:outlineLvl w:val="1"/>
    </w:pPr>
    <w:rPr>
      <w:b/>
    </w:rPr>
  </w:style>
  <w:style w:type="paragraph" w:customStyle="1" w:styleId="Subtitle1">
    <w:name w:val="Subtitle1"/>
    <w:basedOn w:val="Normal"/>
    <w:rsid w:val="00F14B2C"/>
    <w:pPr>
      <w:spacing w:before="120" w:after="120"/>
    </w:pPr>
    <w:rPr>
      <w:b/>
    </w:rPr>
  </w:style>
  <w:style w:type="paragraph" w:styleId="Title">
    <w:name w:val="Title"/>
    <w:basedOn w:val="Normal"/>
    <w:link w:val="TitleChar"/>
    <w:qFormat/>
    <w:rsid w:val="00F14B2C"/>
    <w:pPr>
      <w:spacing w:after="120"/>
      <w:outlineLvl w:val="0"/>
    </w:pPr>
    <w:rPr>
      <w:rFonts w:cs="Arial"/>
      <w:b/>
      <w:bCs/>
      <w:sz w:val="28"/>
      <w:szCs w:val="32"/>
    </w:rPr>
  </w:style>
  <w:style w:type="character" w:customStyle="1" w:styleId="TitleChar">
    <w:name w:val="Title Char"/>
    <w:basedOn w:val="DefaultParagraphFont"/>
    <w:link w:val="Title"/>
    <w:rsid w:val="00F14B2C"/>
    <w:rPr>
      <w:rFonts w:ascii="Arial" w:eastAsia="Times New Roman" w:hAnsi="Arial" w:cs="Arial"/>
      <w:b/>
      <w:bCs/>
      <w:sz w:val="28"/>
      <w:szCs w:val="32"/>
    </w:rPr>
  </w:style>
  <w:style w:type="paragraph" w:customStyle="1" w:styleId="CharCharCharChar">
    <w:name w:val="Char Char Char Char"/>
    <w:basedOn w:val="Normal"/>
    <w:rsid w:val="00F14B2C"/>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F14B2C"/>
    <w:pPr>
      <w:spacing w:after="120"/>
      <w:outlineLvl w:val="0"/>
    </w:pPr>
    <w:rPr>
      <w:b/>
      <w:sz w:val="28"/>
    </w:rPr>
  </w:style>
  <w:style w:type="paragraph" w:styleId="BalloonText">
    <w:name w:val="Balloon Text"/>
    <w:basedOn w:val="Normal"/>
    <w:link w:val="BalloonTextChar"/>
    <w:rsid w:val="00F14B2C"/>
    <w:rPr>
      <w:rFonts w:ascii="Tahoma" w:hAnsi="Tahoma" w:cs="Tahoma"/>
      <w:sz w:val="16"/>
      <w:szCs w:val="16"/>
    </w:rPr>
  </w:style>
  <w:style w:type="character" w:customStyle="1" w:styleId="BalloonTextChar">
    <w:name w:val="Balloon Text Char"/>
    <w:basedOn w:val="DefaultParagraphFont"/>
    <w:link w:val="BalloonText"/>
    <w:rsid w:val="00F14B2C"/>
    <w:rPr>
      <w:rFonts w:ascii="Tahoma" w:eastAsia="Times New Roman" w:hAnsi="Tahoma" w:cs="Tahoma"/>
      <w:sz w:val="16"/>
      <w:szCs w:val="16"/>
    </w:rPr>
  </w:style>
  <w:style w:type="paragraph" w:customStyle="1" w:styleId="SpecificationHeading">
    <w:name w:val="Specification Heading"/>
    <w:basedOn w:val="Normal"/>
    <w:autoRedefine/>
    <w:uiPriority w:val="99"/>
    <w:rsid w:val="00F14B2C"/>
    <w:pPr>
      <w:keepNext/>
      <w:keepLines/>
      <w:spacing w:before="120" w:after="60"/>
    </w:pPr>
    <w:rPr>
      <w:rFonts w:cs="Arial"/>
      <w:b/>
      <w:color w:val="000000"/>
    </w:rPr>
  </w:style>
  <w:style w:type="paragraph" w:styleId="BodyText">
    <w:name w:val="Body Text"/>
    <w:basedOn w:val="Normal"/>
    <w:link w:val="BodyTextChar"/>
    <w:uiPriority w:val="99"/>
    <w:rsid w:val="00F14B2C"/>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F14B2C"/>
    <w:rPr>
      <w:rFonts w:ascii="Times New Roman" w:eastAsia="Times New Roman" w:hAnsi="Times New Roman" w:cs="Times New Roman"/>
      <w:sz w:val="24"/>
      <w:szCs w:val="24"/>
      <w:lang w:eastAsia="en-GB"/>
    </w:rPr>
  </w:style>
  <w:style w:type="paragraph" w:styleId="CommentText">
    <w:name w:val="annotation text"/>
    <w:basedOn w:val="Normal"/>
    <w:link w:val="CommentTextChar"/>
    <w:uiPriority w:val="99"/>
    <w:rsid w:val="00F14B2C"/>
    <w:rPr>
      <w:sz w:val="20"/>
      <w:szCs w:val="20"/>
      <w:lang w:eastAsia="en-GB"/>
    </w:rPr>
  </w:style>
  <w:style w:type="character" w:customStyle="1" w:styleId="CommentTextChar">
    <w:name w:val="Comment Text Char"/>
    <w:basedOn w:val="DefaultParagraphFont"/>
    <w:link w:val="CommentText"/>
    <w:uiPriority w:val="99"/>
    <w:rsid w:val="00F14B2C"/>
    <w:rPr>
      <w:rFonts w:ascii="Arial" w:eastAsia="Times New Roman" w:hAnsi="Arial" w:cs="Times New Roman"/>
      <w:sz w:val="20"/>
      <w:szCs w:val="20"/>
      <w:lang w:eastAsia="en-GB"/>
    </w:rPr>
  </w:style>
  <w:style w:type="paragraph" w:styleId="FootnoteText">
    <w:name w:val="footnote text"/>
    <w:basedOn w:val="Normal"/>
    <w:link w:val="FootnoteTextChar"/>
    <w:uiPriority w:val="99"/>
    <w:rsid w:val="00F14B2C"/>
    <w:rPr>
      <w:sz w:val="20"/>
      <w:szCs w:val="20"/>
      <w:lang w:eastAsia="en-GB"/>
    </w:rPr>
  </w:style>
  <w:style w:type="character" w:customStyle="1" w:styleId="FootnoteTextChar">
    <w:name w:val="Footnote Text Char"/>
    <w:basedOn w:val="DefaultParagraphFont"/>
    <w:link w:val="FootnoteText"/>
    <w:uiPriority w:val="99"/>
    <w:rsid w:val="00F14B2C"/>
    <w:rPr>
      <w:rFonts w:ascii="Arial" w:eastAsia="Times New Roman" w:hAnsi="Arial" w:cs="Times New Roman"/>
      <w:sz w:val="20"/>
      <w:szCs w:val="20"/>
      <w:lang w:eastAsia="en-GB"/>
    </w:rPr>
  </w:style>
  <w:style w:type="character" w:customStyle="1" w:styleId="numberedparagraphChar">
    <w:name w:val="numbered paragraph Char"/>
    <w:basedOn w:val="DefaultParagraphFont"/>
    <w:link w:val="numberedparagraph"/>
    <w:uiPriority w:val="99"/>
    <w:locked/>
    <w:rsid w:val="00F14B2C"/>
    <w:rPr>
      <w:rFonts w:ascii="Arial" w:eastAsia="Times New Roman" w:hAnsi="Arial" w:cs="Arial"/>
      <w:sz w:val="24"/>
      <w:szCs w:val="24"/>
    </w:rPr>
  </w:style>
  <w:style w:type="character" w:styleId="CommentReference">
    <w:name w:val="annotation reference"/>
    <w:basedOn w:val="DefaultParagraphFont"/>
    <w:uiPriority w:val="99"/>
    <w:semiHidden/>
    <w:unhideWhenUsed/>
    <w:rsid w:val="00F14B2C"/>
    <w:rPr>
      <w:sz w:val="16"/>
      <w:szCs w:val="16"/>
    </w:rPr>
  </w:style>
  <w:style w:type="paragraph" w:styleId="CommentSubject">
    <w:name w:val="annotation subject"/>
    <w:basedOn w:val="CommentText"/>
    <w:next w:val="CommentText"/>
    <w:link w:val="CommentSubjectChar"/>
    <w:semiHidden/>
    <w:unhideWhenUsed/>
    <w:rsid w:val="00F14B2C"/>
    <w:rPr>
      <w:b/>
      <w:bCs/>
      <w:lang w:eastAsia="en-US"/>
    </w:rPr>
  </w:style>
  <w:style w:type="character" w:customStyle="1" w:styleId="CommentSubjectChar">
    <w:name w:val="Comment Subject Char"/>
    <w:basedOn w:val="CommentTextChar"/>
    <w:link w:val="CommentSubject"/>
    <w:semiHidden/>
    <w:rsid w:val="00F14B2C"/>
    <w:rPr>
      <w:rFonts w:ascii="Arial" w:eastAsia="Times New Roman" w:hAnsi="Arial" w:cs="Times New Roman"/>
      <w:b/>
      <w:bCs/>
      <w:sz w:val="20"/>
      <w:szCs w:val="20"/>
      <w:lang w:eastAsia="en-GB"/>
    </w:rPr>
  </w:style>
  <w:style w:type="paragraph" w:customStyle="1" w:styleId="Default">
    <w:name w:val="Default"/>
    <w:rsid w:val="00F14B2C"/>
    <w:pPr>
      <w:autoSpaceDE w:val="0"/>
      <w:autoSpaceDN w:val="0"/>
      <w:adjustRightInd w:val="0"/>
      <w:spacing w:after="0" w:line="240" w:lineRule="auto"/>
    </w:pPr>
    <w:rPr>
      <w:rFonts w:ascii="Arial" w:hAnsi="Arial" w:cs="Arial"/>
      <w:color w:val="000000"/>
      <w:sz w:val="24"/>
      <w:szCs w:val="24"/>
    </w:rPr>
  </w:style>
  <w:style w:type="paragraph" w:styleId="ListBullet3">
    <w:name w:val="List Bullet 3"/>
    <w:basedOn w:val="Normal"/>
    <w:uiPriority w:val="99"/>
    <w:semiHidden/>
    <w:unhideWhenUsed/>
    <w:rsid w:val="00F14B2C"/>
    <w:pPr>
      <w:numPr>
        <w:numId w:val="10"/>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F14B2C"/>
  </w:style>
  <w:style w:type="paragraph" w:customStyle="1" w:styleId="DfESOutNumbered1">
    <w:name w:val="DfESOutNumbered1"/>
    <w:basedOn w:val="Normal"/>
    <w:link w:val="DfESOutNumbered1Char"/>
    <w:rsid w:val="00F14B2C"/>
    <w:pPr>
      <w:numPr>
        <w:numId w:val="11"/>
      </w:numPr>
      <w:spacing w:after="240" w:line="288" w:lineRule="auto"/>
    </w:pPr>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F14B2C"/>
    <w:rPr>
      <w:color w:val="954F72" w:themeColor="followedHyperlink"/>
      <w:u w:val="single"/>
    </w:rPr>
  </w:style>
  <w:style w:type="paragraph" w:styleId="Revision">
    <w:name w:val="Revision"/>
    <w:hidden/>
    <w:uiPriority w:val="99"/>
    <w:semiHidden/>
    <w:rsid w:val="00F14B2C"/>
    <w:pPr>
      <w:spacing w:after="0" w:line="240" w:lineRule="auto"/>
    </w:pPr>
    <w:rPr>
      <w:rFonts w:ascii="Arial" w:eastAsia="Times New Roman" w:hAnsi="Arial" w:cs="Times New Roman"/>
      <w:sz w:val="24"/>
      <w:szCs w:val="24"/>
    </w:rPr>
  </w:style>
  <w:style w:type="character" w:styleId="SubtleEmphasis">
    <w:name w:val="Subtle Emphasis"/>
    <w:basedOn w:val="DefaultParagraphFont"/>
    <w:uiPriority w:val="19"/>
    <w:qFormat/>
    <w:rsid w:val="00F14B2C"/>
    <w:rPr>
      <w:i/>
      <w:iCs/>
      <w:color w:val="404040" w:themeColor="text1" w:themeTint="BF"/>
    </w:rPr>
  </w:style>
  <w:style w:type="character" w:customStyle="1" w:styleId="ListParagraphChar">
    <w:name w:val="List Paragraph Char"/>
    <w:aliases w:val="F5 List Paragraph Char,List Paragraph1 Char,List Paragraph11 Char"/>
    <w:link w:val="ListParagraph"/>
    <w:uiPriority w:val="34"/>
    <w:locked/>
    <w:rsid w:val="00F14B2C"/>
    <w:rPr>
      <w:rFonts w:ascii="Univers 55" w:eastAsia="Times New Roman" w:hAnsi="Univers 55" w:cs="Times New Roman"/>
      <w:szCs w:val="20"/>
    </w:rPr>
  </w:style>
  <w:style w:type="character" w:customStyle="1" w:styleId="normaltextrun">
    <w:name w:val="normaltextrun"/>
    <w:basedOn w:val="DefaultParagraphFont"/>
    <w:rsid w:val="00F14B2C"/>
  </w:style>
  <w:style w:type="paragraph" w:customStyle="1" w:styleId="paragraph1">
    <w:name w:val="paragraph1"/>
    <w:basedOn w:val="Normal"/>
    <w:rsid w:val="00F14B2C"/>
    <w:rPr>
      <w:rFonts w:ascii="Times New Roman" w:hAnsi="Times New Roman"/>
      <w:lang w:eastAsia="en-GB"/>
    </w:rPr>
  </w:style>
  <w:style w:type="character" w:customStyle="1" w:styleId="eop">
    <w:name w:val="eop"/>
    <w:basedOn w:val="DefaultParagraphFont"/>
    <w:rsid w:val="00F14B2C"/>
  </w:style>
  <w:style w:type="paragraph" w:customStyle="1" w:styleId="Bodycopy">
    <w:name w:val="Body copy"/>
    <w:basedOn w:val="ListParagraph"/>
    <w:qFormat/>
    <w:rsid w:val="00046650"/>
    <w:pPr>
      <w:tabs>
        <w:tab w:val="num" w:pos="432"/>
      </w:tabs>
      <w:spacing w:after="320" w:line="300" w:lineRule="exact"/>
      <w:ind w:left="0"/>
      <w:contextualSpacing w:val="0"/>
    </w:pPr>
    <w:rPr>
      <w:rFonts w:ascii="Arial Narrow" w:eastAsia="Calibri" w:hAnsi="Arial Narrow"/>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9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arshakc\AppData\Local\Microsoft\Windows\INetCache\Content.Outlook\ANW3C28O\Skill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publications/european-structural-and-investment-funds-programm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newanglia.co.uk/wp-content/uploads/2014/03/New-Anglia-Strategic-Economic-Plan-V2.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ewanglia.co.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cb7936e3a1f9b5794d8b500596b26311">
  <xsd:schema xmlns:xsd="http://www.w3.org/2001/XMLSchema" xmlns:xs="http://www.w3.org/2001/XMLSchema" xmlns:p="http://schemas.microsoft.com/office/2006/metadata/properties" xmlns:ns2="57662250-88eb-4feb-ad90-0853014cc4f8" targetNamespace="http://schemas.microsoft.com/office/2006/metadata/properties" ma:root="true" ma:fieldsID="19b323539fad755bbd2b622f33284adb"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2BEB75-DF2A-4B9E-AA03-868C93B2BBEB}">
  <ds:schemaRefs>
    <ds:schemaRef ds:uri="http://schemas.microsoft.com/sharepoint/v3/contenttype/forms"/>
  </ds:schemaRefs>
</ds:datastoreItem>
</file>

<file path=customXml/itemProps2.xml><?xml version="1.0" encoding="utf-8"?>
<ds:datastoreItem xmlns:ds="http://schemas.openxmlformats.org/officeDocument/2006/customXml" ds:itemID="{3749791C-2FBF-4DF6-B13D-B31E090F9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A91A50-FF60-4A55-AA69-159AABD8325D}">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57662250-88eb-4feb-ad90-0853014cc4f8"/>
    <ds:schemaRef ds:uri="http://www.w3.org/XML/1998/namespace"/>
    <ds:schemaRef ds:uri="http://purl.org/dc/dcmitype/"/>
  </ds:schemaRefs>
</ds:datastoreItem>
</file>

<file path=customXml/itemProps4.xml><?xml version="1.0" encoding="utf-8"?>
<ds:datastoreItem xmlns:ds="http://schemas.openxmlformats.org/officeDocument/2006/customXml" ds:itemID="{CBE6C1E3-0FCB-47C0-9752-0BDC90A7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Lee</dc:creator>
  <cp:keywords/>
  <dc:description/>
  <cp:lastModifiedBy>Sunita Pancholi</cp:lastModifiedBy>
  <cp:revision>3</cp:revision>
  <dcterms:created xsi:type="dcterms:W3CDTF">2016-01-05T14:51:00Z</dcterms:created>
  <dcterms:modified xsi:type="dcterms:W3CDTF">2016-01-05T14:51:00Z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0x010100AB5CB3F4636D4F4E81116011AB3CE51C</vt:lpwstr>
  </property>
</Properties>
</file>