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059CE" w14:textId="77777777" w:rsidR="004647BD" w:rsidRDefault="004647BD">
      <w:pPr>
        <w:keepNext/>
        <w:pBdr>
          <w:top w:val="nil"/>
          <w:left w:val="nil"/>
          <w:bottom w:val="nil"/>
          <w:right w:val="nil"/>
          <w:between w:val="nil"/>
        </w:pBdr>
        <w:ind w:left="0"/>
        <w:jc w:val="left"/>
        <w:rPr>
          <w:b/>
          <w:color w:val="000000"/>
          <w:sz w:val="32"/>
          <w:szCs w:val="32"/>
        </w:rPr>
      </w:pPr>
      <w:bookmarkStart w:id="0" w:name="_GoBack"/>
      <w:bookmarkEnd w:id="0"/>
    </w:p>
    <w:p w14:paraId="050059CF" w14:textId="77777777" w:rsidR="004647BD" w:rsidRDefault="00221D25">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050059D0"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bookmarkStart w:id="1" w:name="_gjdgxs" w:colFirst="0" w:colLast="0"/>
      <w:bookmarkEnd w:id="1"/>
      <w:r>
        <w:rPr>
          <w:b/>
          <w:smallCaps/>
          <w:color w:val="000000"/>
          <w:sz w:val="24"/>
          <w:szCs w:val="24"/>
        </w:rPr>
        <w:t>D</w:t>
      </w:r>
      <w:r>
        <w:rPr>
          <w:rFonts w:ascii="Arial Bold" w:eastAsia="Arial Bold" w:hAnsi="Arial Bold" w:cs="Arial Bold"/>
          <w:b/>
          <w:color w:val="000000"/>
          <w:sz w:val="24"/>
          <w:szCs w:val="24"/>
        </w:rPr>
        <w:t>efinitions</w:t>
      </w:r>
    </w:p>
    <w:p w14:paraId="050059D1"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In this Schedule, the following words shall have the following meanings and they shall supplement Joint Schedule 1 (Definitions):</w:t>
      </w:r>
    </w:p>
    <w:tbl>
      <w:tblPr>
        <w:tblStyle w:val="a"/>
        <w:tblW w:w="8172" w:type="dxa"/>
        <w:tblInd w:w="1008" w:type="dxa"/>
        <w:tblLayout w:type="fixed"/>
        <w:tblLook w:val="0400" w:firstRow="0" w:lastRow="0" w:firstColumn="0" w:lastColumn="0" w:noHBand="0" w:noVBand="1"/>
      </w:tblPr>
      <w:tblGrid>
        <w:gridCol w:w="3097"/>
        <w:gridCol w:w="5075"/>
      </w:tblGrid>
      <w:tr w:rsidR="004647BD" w14:paraId="050059D4" w14:textId="77777777">
        <w:tc>
          <w:tcPr>
            <w:tcW w:w="3097" w:type="dxa"/>
          </w:tcPr>
          <w:p w14:paraId="050059D2"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"BCDR Plan"</w:t>
            </w:r>
          </w:p>
        </w:tc>
        <w:tc>
          <w:tcPr>
            <w:tcW w:w="5075" w:type="dxa"/>
          </w:tcPr>
          <w:p w14:paraId="050059D3"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2.2 of this Schedule;</w:t>
            </w:r>
          </w:p>
        </w:tc>
      </w:tr>
      <w:tr w:rsidR="004647BD" w14:paraId="050059D7" w14:textId="77777777">
        <w:tc>
          <w:tcPr>
            <w:tcW w:w="3097" w:type="dxa"/>
          </w:tcPr>
          <w:p w14:paraId="050059D5"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"Business Continuity Plan"</w:t>
            </w:r>
          </w:p>
        </w:tc>
        <w:tc>
          <w:tcPr>
            <w:tcW w:w="5075" w:type="dxa"/>
          </w:tcPr>
          <w:p w14:paraId="050059D6"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2.3.2 of this Schedule;</w:t>
            </w:r>
          </w:p>
        </w:tc>
      </w:tr>
      <w:tr w:rsidR="004647BD" w14:paraId="050059DA" w14:textId="77777777">
        <w:tc>
          <w:tcPr>
            <w:tcW w:w="3097" w:type="dxa"/>
          </w:tcPr>
          <w:p w14:paraId="050059D8"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Deliverables"</w:t>
            </w:r>
          </w:p>
        </w:tc>
        <w:tc>
          <w:tcPr>
            <w:tcW w:w="5075" w:type="dxa"/>
          </w:tcPr>
          <w:p w14:paraId="050059D9" w14:textId="77777777" w:rsidR="004647BD" w:rsidRDefault="00221D25">
            <w:pPr>
              <w:numPr>
                <w:ilvl w:val="0"/>
                <w:numId w:val="2"/>
              </w:numPr>
              <w:pBdr>
                <w:top w:val="nil"/>
                <w:left w:val="nil"/>
                <w:bottom w:val="nil"/>
                <w:right w:val="nil"/>
                <w:between w:val="nil"/>
              </w:pBdr>
              <w:tabs>
                <w:tab w:val="left" w:pos="-179"/>
              </w:tabs>
              <w:spacing w:after="120"/>
              <w:jc w:val="left"/>
              <w:rPr>
                <w:color w:val="000000"/>
              </w:rPr>
            </w:pPr>
            <w:r>
              <w:rPr>
                <w:color w:val="000000"/>
                <w:sz w:val="24"/>
                <w:szCs w:val="24"/>
              </w:rPr>
              <w:t>the Deliverables embodied in the processes and procedures for restoring the provision of Deliverables following the occurrence of a Disaster;</w:t>
            </w:r>
          </w:p>
        </w:tc>
      </w:tr>
      <w:tr w:rsidR="004647BD" w14:paraId="050059DD" w14:textId="77777777">
        <w:tc>
          <w:tcPr>
            <w:tcW w:w="3097" w:type="dxa"/>
          </w:tcPr>
          <w:p w14:paraId="050059DB"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Plan"</w:t>
            </w:r>
          </w:p>
        </w:tc>
        <w:tc>
          <w:tcPr>
            <w:tcW w:w="5075" w:type="dxa"/>
          </w:tcPr>
          <w:p w14:paraId="050059DC"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2.3.3 of this Schedule;</w:t>
            </w:r>
          </w:p>
        </w:tc>
      </w:tr>
      <w:tr w:rsidR="004647BD" w14:paraId="050059E0" w14:textId="77777777">
        <w:tc>
          <w:tcPr>
            <w:tcW w:w="3097" w:type="dxa"/>
          </w:tcPr>
          <w:p w14:paraId="050059DE"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"Disaster Recovery System"</w:t>
            </w:r>
          </w:p>
        </w:tc>
        <w:tc>
          <w:tcPr>
            <w:tcW w:w="5075" w:type="dxa"/>
          </w:tcPr>
          <w:p w14:paraId="050059DF"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the system embodied in the processes and procedures for restoring the provision of Deliverables following the occurrence of a Disaster;</w:t>
            </w:r>
          </w:p>
        </w:tc>
      </w:tr>
      <w:tr w:rsidR="004647BD" w14:paraId="050059E3" w14:textId="77777777">
        <w:trPr>
          <w:trHeight w:val="567"/>
        </w:trPr>
        <w:tc>
          <w:tcPr>
            <w:tcW w:w="3097" w:type="dxa"/>
          </w:tcPr>
          <w:p w14:paraId="050059E1"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"Related Supplier"</w:t>
            </w:r>
          </w:p>
        </w:tc>
        <w:tc>
          <w:tcPr>
            <w:tcW w:w="5075" w:type="dxa"/>
          </w:tcPr>
          <w:p w14:paraId="050059E2"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any person who provides Deliverables to the Buyer which are related to the Deliverables from time to time;</w:t>
            </w:r>
          </w:p>
        </w:tc>
      </w:tr>
      <w:tr w:rsidR="004647BD" w14:paraId="050059E6" w14:textId="77777777">
        <w:trPr>
          <w:trHeight w:val="567"/>
        </w:trPr>
        <w:tc>
          <w:tcPr>
            <w:tcW w:w="3097" w:type="dxa"/>
          </w:tcPr>
          <w:p w14:paraId="050059E4"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"Review Report"</w:t>
            </w:r>
          </w:p>
        </w:tc>
        <w:tc>
          <w:tcPr>
            <w:tcW w:w="5075" w:type="dxa"/>
          </w:tcPr>
          <w:p w14:paraId="050059E5"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6.3 of this Schedule; and</w:t>
            </w:r>
          </w:p>
        </w:tc>
      </w:tr>
      <w:tr w:rsidR="004647BD" w14:paraId="050059E9" w14:textId="77777777">
        <w:tc>
          <w:tcPr>
            <w:tcW w:w="3097" w:type="dxa"/>
          </w:tcPr>
          <w:p w14:paraId="050059E7" w14:textId="77777777" w:rsidR="004647BD" w:rsidRDefault="00221D25">
            <w:pPr>
              <w:pBdr>
                <w:top w:val="nil"/>
                <w:left w:val="nil"/>
                <w:bottom w:val="nil"/>
                <w:right w:val="nil"/>
                <w:between w:val="nil"/>
              </w:pBdr>
              <w:spacing w:after="120"/>
              <w:ind w:left="-108" w:firstLine="108"/>
              <w:jc w:val="left"/>
              <w:rPr>
                <w:b/>
                <w:color w:val="000000"/>
                <w:sz w:val="24"/>
                <w:szCs w:val="24"/>
              </w:rPr>
            </w:pPr>
            <w:r>
              <w:rPr>
                <w:b/>
                <w:color w:val="000000"/>
                <w:sz w:val="24"/>
                <w:szCs w:val="24"/>
              </w:rPr>
              <w:t>"Supplier's Proposals"</w:t>
            </w:r>
          </w:p>
        </w:tc>
        <w:tc>
          <w:tcPr>
            <w:tcW w:w="5075" w:type="dxa"/>
          </w:tcPr>
          <w:p w14:paraId="050059E8" w14:textId="77777777" w:rsidR="004647BD" w:rsidRDefault="00221D25">
            <w:pPr>
              <w:numPr>
                <w:ilvl w:val="0"/>
                <w:numId w:val="2"/>
              </w:numPr>
              <w:pBdr>
                <w:top w:val="nil"/>
                <w:left w:val="nil"/>
                <w:bottom w:val="nil"/>
                <w:right w:val="nil"/>
                <w:between w:val="nil"/>
              </w:pBdr>
              <w:tabs>
                <w:tab w:val="left" w:pos="-9"/>
              </w:tabs>
              <w:spacing w:after="120"/>
              <w:jc w:val="left"/>
              <w:rPr>
                <w:color w:val="000000"/>
              </w:rPr>
            </w:pPr>
            <w:r>
              <w:rPr>
                <w:color w:val="000000"/>
                <w:sz w:val="24"/>
                <w:szCs w:val="24"/>
              </w:rPr>
              <w:t>has the meaning given to it in Paragraph 6.3 of this Schedule;</w:t>
            </w:r>
          </w:p>
        </w:tc>
      </w:tr>
    </w:tbl>
    <w:p w14:paraId="050059EA"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BCDR Plan</w:t>
      </w:r>
    </w:p>
    <w:p w14:paraId="050059EB"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2" w:name="_30j0zll" w:colFirst="0" w:colLast="0"/>
      <w:bookmarkEnd w:id="2"/>
      <w:r>
        <w:rPr>
          <w:color w:val="000000"/>
          <w:sz w:val="24"/>
          <w:szCs w:val="24"/>
        </w:rPr>
        <w:t>The Buyer and the Supplier recognise that, where specified in Schedule 4 (Framework Management), CCS shall have the right to enforce the Buyer's rights under this Schedule.</w:t>
      </w:r>
    </w:p>
    <w:p w14:paraId="050059EC"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which shall detail the processes and arrangements that the Supplier shall follow to:</w:t>
      </w:r>
    </w:p>
    <w:p w14:paraId="050059ED"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ensure continuity of the business processes and operations supported by the Services following any failure or disruption of any element of the Deliverables; and</w:t>
      </w:r>
    </w:p>
    <w:p w14:paraId="050059EE"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 xml:space="preserve">the recovery of the Deliverables in the event of a Disaster </w:t>
      </w:r>
    </w:p>
    <w:p w14:paraId="050059EF"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divided into three sections:</w:t>
      </w:r>
    </w:p>
    <w:p w14:paraId="050059F0"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3" w:name="_1fob9te" w:colFirst="0" w:colLast="0"/>
      <w:bookmarkEnd w:id="3"/>
      <w:r>
        <w:rPr>
          <w:color w:val="000000"/>
          <w:sz w:val="24"/>
          <w:szCs w:val="24"/>
        </w:rPr>
        <w:t xml:space="preserve">Section 1 which shall set out general principles applicable to the BCDR Plan; </w:t>
      </w:r>
    </w:p>
    <w:p w14:paraId="050059F1"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4" w:name="_3znysh7" w:colFirst="0" w:colLast="0"/>
      <w:bookmarkEnd w:id="4"/>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14:paraId="050059F2"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5" w:name="_2et92p0" w:colFirst="0" w:colLast="0"/>
      <w:bookmarkEnd w:id="5"/>
      <w:r>
        <w:rPr>
          <w:color w:val="000000"/>
          <w:sz w:val="24"/>
          <w:szCs w:val="24"/>
        </w:rPr>
        <w:t xml:space="preserve">Section 3 which shall relate to disaster recovery (the </w:t>
      </w:r>
      <w:r>
        <w:rPr>
          <w:b/>
          <w:color w:val="000000"/>
          <w:sz w:val="24"/>
          <w:szCs w:val="24"/>
        </w:rPr>
        <w:t>"Disaster Recovery Plan"</w:t>
      </w:r>
      <w:r>
        <w:rPr>
          <w:color w:val="000000"/>
          <w:sz w:val="24"/>
          <w:szCs w:val="24"/>
        </w:rPr>
        <w:t>).</w:t>
      </w:r>
    </w:p>
    <w:p w14:paraId="050059F3"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6" w:name="_tyjcwt" w:colFirst="0" w:colLast="0"/>
      <w:bookmarkEnd w:id="6"/>
      <w:r>
        <w:rPr>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50059F4"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bookmarkStart w:id="7" w:name="_3dy6vkm" w:colFirst="0" w:colLast="0"/>
      <w:bookmarkEnd w:id="7"/>
      <w:r>
        <w:rPr>
          <w:rFonts w:ascii="Arial Bold" w:eastAsia="Arial Bold" w:hAnsi="Arial Bold" w:cs="Arial Bold"/>
          <w:b/>
          <w:color w:val="000000"/>
          <w:sz w:val="24"/>
          <w:szCs w:val="24"/>
        </w:rPr>
        <w:t>General Principles of the BCDR Plan (Section 1)</w:t>
      </w:r>
    </w:p>
    <w:p w14:paraId="050059F5"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Section 1 of the BCDR Plan shall:</w:t>
      </w:r>
    </w:p>
    <w:p w14:paraId="050059F6"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how the business continuity and disaster recovery elements of the BCDR Plan link to each other;</w:t>
      </w:r>
    </w:p>
    <w:p w14:paraId="050059F7"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050059F8"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an obligation upon the Supplier to liaise with the Buyer and any Related Suppliers with respect to business continuity and disaster recovery;</w:t>
      </w:r>
    </w:p>
    <w:p w14:paraId="050059F9"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050059FA"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8" w:name="_1t3h5sf" w:colFirst="0" w:colLast="0"/>
      <w:bookmarkEnd w:id="8"/>
      <w:r>
        <w:rPr>
          <w:color w:val="000000"/>
          <w:sz w:val="24"/>
          <w:szCs w:val="24"/>
        </w:rPr>
        <w:t>contain a communication strategy including details of an incident and problem management service and advice and help desk facility which can be accessed via multiple channels;</w:t>
      </w:r>
    </w:p>
    <w:p w14:paraId="050059FB" w14:textId="77777777" w:rsidR="004647BD" w:rsidRDefault="00221D25">
      <w:pPr>
        <w:keepNext/>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contain a risk analysis, including:</w:t>
      </w:r>
    </w:p>
    <w:p w14:paraId="050059FC" w14:textId="77777777"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failure or disruption scenarios and assessments of likely frequency of occurrence;</w:t>
      </w:r>
    </w:p>
    <w:p w14:paraId="050059FD" w14:textId="77777777"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any single points of failure within the provision of Deliverables and processes for managing those risks;</w:t>
      </w:r>
    </w:p>
    <w:p w14:paraId="050059FE" w14:textId="77777777"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identification of risks arising from the interaction of the provision of Deliverables with the goods and/or services provided by a Related Supplier; and</w:t>
      </w:r>
    </w:p>
    <w:p w14:paraId="050059FF" w14:textId="77777777" w:rsidR="004647BD" w:rsidRDefault="00221D25">
      <w:pPr>
        <w:numPr>
          <w:ilvl w:val="3"/>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 business impact analysis of different anticipated failures or disruptions;</w:t>
      </w:r>
    </w:p>
    <w:p w14:paraId="05005A00"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provide for documentation of processes, including business processes, and procedures;</w:t>
      </w:r>
    </w:p>
    <w:p w14:paraId="05005A01"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key contact details for the Supplier (and any Subcontractors) and for the Buyer;</w:t>
      </w:r>
    </w:p>
    <w:p w14:paraId="05005A02"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procedures for reverting to "normal service";</w:t>
      </w:r>
    </w:p>
    <w:p w14:paraId="05005A03"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method(s) of recovering or updating data collected (or which ought to have been collected) during a failure or disruption to minimise data loss;</w:t>
      </w:r>
    </w:p>
    <w:p w14:paraId="05005A04"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identify the responsibilities (if any) that the Buyer has agreed it will assume in the event of the invocation of the BCDR Plan; and</w:t>
      </w:r>
    </w:p>
    <w:p w14:paraId="05005A05"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05005A06"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designed so as to ensure that:</w:t>
      </w:r>
    </w:p>
    <w:p w14:paraId="05005A07"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Deliverables are provided in accordance with this Contract at all times during and after the invocation of the BCDR Plan;</w:t>
      </w:r>
    </w:p>
    <w:p w14:paraId="05005A08"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the adverse impact of any Disaster is minimised as far as reasonably possible; </w:t>
      </w:r>
    </w:p>
    <w:p w14:paraId="05005A09"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complies with the relevant provisions of ISO/IEC 27002; ISO22301/ISO22313   and all other industry standards from time to time in force; and</w:t>
      </w:r>
    </w:p>
    <w:p w14:paraId="05005A0A"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it details a process for the management of disaster recovery testing.</w:t>
      </w:r>
    </w:p>
    <w:p w14:paraId="05005A0B"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05005A0C"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05005A0D"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Business Continuity (Section 2)</w:t>
      </w:r>
    </w:p>
    <w:p w14:paraId="05005A0E"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9" w:name="_4d34og8" w:colFirst="0" w:colLast="0"/>
      <w:bookmarkEnd w:id="9"/>
      <w:r>
        <w:rPr>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05005A0F"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alternative processes, options and responsibilities that may be adopted in the event of a failure in or disruption to the provision of Deliverables; and</w:t>
      </w:r>
    </w:p>
    <w:p w14:paraId="05005A10"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steps to be taken by the Supplier upon resumption of the provision of Deliverables in order to address the effect of the failure or disruption.</w:t>
      </w:r>
    </w:p>
    <w:p w14:paraId="05005A11"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lastRenderedPageBreak/>
        <w:t>The Business Continuity Plan shall:</w:t>
      </w:r>
    </w:p>
    <w:p w14:paraId="05005A12"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address the various possible levels of failures of or disruptions to the provision of Deliverables;</w:t>
      </w:r>
    </w:p>
    <w:p w14:paraId="05005A13"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0" w:name="_2s8eyo1" w:colFirst="0" w:colLast="0"/>
      <w:bookmarkEnd w:id="10"/>
      <w:r>
        <w:rPr>
          <w:color w:val="000000"/>
          <w:sz w:val="24"/>
          <w:szCs w:val="24"/>
        </w:rPr>
        <w:t>set out the goods and/or services to be provided and the steps to be taken to remedy the different levels of failures of and disruption to the Deliverables;</w:t>
      </w:r>
    </w:p>
    <w:p w14:paraId="05005A14"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5005A15"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set out the circumstances in which the Business Continuity Plan is invoked.</w:t>
      </w:r>
    </w:p>
    <w:p w14:paraId="05005A16"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Disaster Recovery (Section 3)</w:t>
      </w:r>
    </w:p>
    <w:p w14:paraId="05005A17"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11" w:name="_17dp8vu" w:colFirst="0" w:colLast="0"/>
      <w:bookmarkEnd w:id="11"/>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5005A18"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Supplier's BCDR Plan shall include an approach to business continuity and disaster recovery that addresses the following:</w:t>
      </w:r>
    </w:p>
    <w:p w14:paraId="05005A19"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access to the Buyer Premises;</w:t>
      </w:r>
    </w:p>
    <w:p w14:paraId="05005A1A"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utilities to the Buyer Premises;</w:t>
      </w:r>
    </w:p>
    <w:p w14:paraId="05005A1B"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the Supplier's helpdesk or CAFM system;</w:t>
      </w:r>
    </w:p>
    <w:p w14:paraId="05005A1C"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loss of a Subcontractor;</w:t>
      </w:r>
    </w:p>
    <w:p w14:paraId="05005A1D"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emergency notification and escalation process;</w:t>
      </w:r>
    </w:p>
    <w:p w14:paraId="05005A1E"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contact lists;</w:t>
      </w:r>
    </w:p>
    <w:p w14:paraId="05005A1F"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staff training and awareness;</w:t>
      </w:r>
    </w:p>
    <w:p w14:paraId="05005A20"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BCDR Plan testing; </w:t>
      </w:r>
    </w:p>
    <w:p w14:paraId="05005A21"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post implementation review process; </w:t>
      </w:r>
    </w:p>
    <w:p w14:paraId="05005A22"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05005A23"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05005A24"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lastRenderedPageBreak/>
        <w:t>access controls to any disaster recovery sites used by the Supplier in relation to its obligations pursuant to this Schedule; and</w:t>
      </w:r>
    </w:p>
    <w:p w14:paraId="05005A25"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testing and management arrangements.</w:t>
      </w:r>
    </w:p>
    <w:p w14:paraId="05005A26" w14:textId="77777777" w:rsidR="004647BD" w:rsidRDefault="00221D25">
      <w:pPr>
        <w:keepNext/>
        <w:numPr>
          <w:ilvl w:val="0"/>
          <w:numId w:val="1"/>
        </w:numPr>
        <w:pBdr>
          <w:top w:val="nil"/>
          <w:left w:val="nil"/>
          <w:bottom w:val="nil"/>
          <w:right w:val="nil"/>
          <w:between w:val="nil"/>
        </w:pBdr>
        <w:tabs>
          <w:tab w:val="left" w:pos="0"/>
        </w:tabs>
        <w:spacing w:before="240"/>
        <w:jc w:val="left"/>
        <w:rPr>
          <w:b/>
          <w:sz w:val="24"/>
          <w:szCs w:val="24"/>
        </w:rPr>
      </w:pPr>
      <w:r>
        <w:rPr>
          <w:rFonts w:ascii="Arial Bold" w:eastAsia="Arial Bold" w:hAnsi="Arial Bold" w:cs="Arial Bold"/>
          <w:b/>
          <w:color w:val="000000"/>
          <w:sz w:val="24"/>
          <w:szCs w:val="24"/>
        </w:rPr>
        <w:t>Review and changing the BCDR Plan</w:t>
      </w:r>
    </w:p>
    <w:p w14:paraId="05005A27"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bookmarkStart w:id="12" w:name="_3rdcrjn" w:colFirst="0" w:colLast="0"/>
      <w:bookmarkEnd w:id="12"/>
      <w:r>
        <w:rPr>
          <w:color w:val="000000"/>
          <w:sz w:val="24"/>
          <w:szCs w:val="24"/>
        </w:rPr>
        <w:t>The Supplier shall review the BCDR Plan:</w:t>
      </w:r>
    </w:p>
    <w:p w14:paraId="05005A28"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3" w:name="_26in1rg" w:colFirst="0" w:colLast="0"/>
      <w:bookmarkEnd w:id="13"/>
      <w:r>
        <w:rPr>
          <w:color w:val="000000"/>
          <w:sz w:val="24"/>
          <w:szCs w:val="24"/>
        </w:rPr>
        <w:t>on a regular basis and as a minimum once every six (6) Months;</w:t>
      </w:r>
    </w:p>
    <w:p w14:paraId="05005A29"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4" w:name="_lnxbz9" w:colFirst="0" w:colLast="0"/>
      <w:bookmarkEnd w:id="14"/>
      <w:r>
        <w:rPr>
          <w:color w:val="000000"/>
          <w:sz w:val="24"/>
          <w:szCs w:val="24"/>
        </w:rPr>
        <w:t>within three (3) calendar Months of the BCDR Plan (or any part) having been invoked pursuant to Paragraph 7; and</w:t>
      </w:r>
    </w:p>
    <w:p w14:paraId="05005A2A"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bookmarkStart w:id="15" w:name="_35nkun2" w:colFirst="0" w:colLast="0"/>
      <w:bookmarkEnd w:id="15"/>
      <w:r>
        <w:rPr>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5005A2B"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16" w:name="_1ksv4uv" w:colFirst="0" w:colLast="0"/>
      <w:bookmarkEnd w:id="16"/>
      <w:r>
        <w:rPr>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05005A2C"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17" w:name="_44sinio" w:colFirst="0" w:colLast="0"/>
      <w:bookmarkEnd w:id="17"/>
      <w:r>
        <w:rPr>
          <w:color w:val="000000"/>
          <w:sz w:val="24"/>
          <w:szCs w:val="24"/>
        </w:rPr>
        <w:t xml:space="preserve">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for addressing any changes in the risk profile and its proposals for amendments to the BCDR Plan.</w:t>
      </w:r>
    </w:p>
    <w:p w14:paraId="05005A2D"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18" w:name="_2jxsxqh" w:colFirst="0" w:colLast="0"/>
      <w:bookmarkEnd w:id="18"/>
      <w:r>
        <w:rPr>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05005A2E"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w:t>
      </w:r>
      <w:r>
        <w:rPr>
          <w:color w:val="000000"/>
          <w:sz w:val="24"/>
          <w:szCs w:val="24"/>
        </w:rPr>
        <w:lastRenderedPageBreak/>
        <w:t>shown that the changes are required because of a material change to the risk profile of the Deliverables.</w:t>
      </w:r>
    </w:p>
    <w:p w14:paraId="05005A2F" w14:textId="77777777" w:rsidR="004647BD" w:rsidRDefault="00221D25">
      <w:pPr>
        <w:keepNext/>
        <w:numPr>
          <w:ilvl w:val="0"/>
          <w:numId w:val="1"/>
        </w:numPr>
        <w:pBdr>
          <w:top w:val="nil"/>
          <w:left w:val="nil"/>
          <w:bottom w:val="nil"/>
          <w:right w:val="nil"/>
          <w:between w:val="nil"/>
        </w:pBdr>
        <w:tabs>
          <w:tab w:val="left" w:pos="0"/>
        </w:tabs>
        <w:spacing w:before="240"/>
        <w:ind w:left="504"/>
        <w:jc w:val="left"/>
        <w:rPr>
          <w:rFonts w:ascii="Arial Bold" w:eastAsia="Arial Bold" w:hAnsi="Arial Bold" w:cs="Arial Bold"/>
          <w:b/>
          <w:sz w:val="24"/>
          <w:szCs w:val="24"/>
        </w:rPr>
      </w:pPr>
      <w:bookmarkStart w:id="19" w:name="_z337ya" w:colFirst="0" w:colLast="0"/>
      <w:bookmarkEnd w:id="19"/>
      <w:r>
        <w:rPr>
          <w:rFonts w:ascii="Arial Bold" w:eastAsia="Arial Bold" w:hAnsi="Arial Bold" w:cs="Arial Bold"/>
          <w:b/>
          <w:color w:val="000000"/>
          <w:sz w:val="24"/>
          <w:szCs w:val="24"/>
        </w:rPr>
        <w:t>Testing the BCDR Plan</w:t>
      </w:r>
    </w:p>
    <w:p w14:paraId="05005A30"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bookmarkStart w:id="20" w:name="_3j2qqm3" w:colFirst="0" w:colLast="0"/>
      <w:bookmarkEnd w:id="20"/>
      <w:r>
        <w:rPr>
          <w:color w:val="000000"/>
          <w:sz w:val="24"/>
          <w:szCs w:val="24"/>
        </w:rPr>
        <w:t xml:space="preserve">The Supplier shall test the BCDR Plan: </w:t>
      </w:r>
    </w:p>
    <w:p w14:paraId="05005A31"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regularly and in any event not less than once in every Contract Year;</w:t>
      </w:r>
    </w:p>
    <w:p w14:paraId="05005A32"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in the event of any major reconfiguration of the Deliverables</w:t>
      </w:r>
    </w:p>
    <w:p w14:paraId="05005A33"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 xml:space="preserve">at any time where the Buyer considers it necessary (acting in its sole discretion).  </w:t>
      </w:r>
    </w:p>
    <w:p w14:paraId="05005A34"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21" w:name="_1y810tw" w:colFirst="0" w:colLast="0"/>
      <w:bookmarkEnd w:id="21"/>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05005A35"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05005A36"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05005A37" w14:textId="77777777" w:rsidR="004647BD" w:rsidRDefault="00221D25">
      <w:pPr>
        <w:keepNext/>
        <w:numPr>
          <w:ilvl w:val="1"/>
          <w:numId w:val="1"/>
        </w:numPr>
        <w:pBdr>
          <w:top w:val="nil"/>
          <w:left w:val="nil"/>
          <w:bottom w:val="nil"/>
          <w:right w:val="nil"/>
          <w:between w:val="nil"/>
        </w:pBdr>
        <w:spacing w:before="120" w:after="120"/>
        <w:jc w:val="left"/>
        <w:rPr>
          <w:sz w:val="24"/>
          <w:szCs w:val="24"/>
        </w:rPr>
      </w:pPr>
      <w:r>
        <w:rPr>
          <w:color w:val="000000"/>
          <w:sz w:val="24"/>
          <w:szCs w:val="24"/>
        </w:rPr>
        <w:t>The Supplier shall, within twenty (20) Working Days of the conclusion of each test, provide to the Buyer a report setting out:</w:t>
      </w:r>
    </w:p>
    <w:p w14:paraId="05005A38"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outcome of the test;</w:t>
      </w:r>
    </w:p>
    <w:p w14:paraId="05005A39"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any failures in the BCDR Plan (including the BCDR Plan's procedures) revealed by the test; and</w:t>
      </w:r>
    </w:p>
    <w:p w14:paraId="05005A3A" w14:textId="77777777" w:rsidR="004647BD" w:rsidRDefault="00221D25">
      <w:pPr>
        <w:numPr>
          <w:ilvl w:val="2"/>
          <w:numId w:val="1"/>
        </w:numPr>
        <w:pBdr>
          <w:top w:val="nil"/>
          <w:left w:val="nil"/>
          <w:bottom w:val="nil"/>
          <w:right w:val="nil"/>
          <w:between w:val="nil"/>
        </w:pBdr>
        <w:tabs>
          <w:tab w:val="left" w:pos="1985"/>
          <w:tab w:val="left" w:pos="2127"/>
        </w:tabs>
        <w:spacing w:before="120" w:after="120"/>
        <w:jc w:val="left"/>
        <w:rPr>
          <w:sz w:val="24"/>
          <w:szCs w:val="24"/>
        </w:rPr>
      </w:pPr>
      <w:r>
        <w:rPr>
          <w:color w:val="000000"/>
          <w:sz w:val="24"/>
          <w:szCs w:val="24"/>
        </w:rPr>
        <w:t>the Supplier's proposals for remedying any such failures.</w:t>
      </w:r>
    </w:p>
    <w:p w14:paraId="05005A3B" w14:textId="77777777" w:rsidR="004647BD" w:rsidRDefault="00221D25">
      <w:pPr>
        <w:numPr>
          <w:ilvl w:val="1"/>
          <w:numId w:val="1"/>
        </w:numPr>
        <w:pBdr>
          <w:top w:val="nil"/>
          <w:left w:val="nil"/>
          <w:bottom w:val="nil"/>
          <w:right w:val="nil"/>
          <w:between w:val="nil"/>
        </w:pBdr>
        <w:spacing w:before="120" w:after="120"/>
        <w:jc w:val="left"/>
        <w:rPr>
          <w:sz w:val="24"/>
          <w:szCs w:val="24"/>
        </w:rPr>
      </w:pPr>
      <w:bookmarkStart w:id="22" w:name="_4i7ojhp" w:colFirst="0" w:colLast="0"/>
      <w:bookmarkEnd w:id="22"/>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05005A3C" w14:textId="77777777" w:rsidR="004647BD" w:rsidRDefault="00221D25">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sz w:val="24"/>
          <w:szCs w:val="24"/>
        </w:rPr>
      </w:pPr>
      <w:bookmarkStart w:id="23" w:name="_2xcytpi" w:colFirst="0" w:colLast="0"/>
      <w:bookmarkEnd w:id="23"/>
      <w:r>
        <w:rPr>
          <w:rFonts w:ascii="Arial Bold" w:eastAsia="Arial Bold" w:hAnsi="Arial Bold" w:cs="Arial Bold"/>
          <w:b/>
          <w:color w:val="000000"/>
          <w:sz w:val="24"/>
          <w:szCs w:val="24"/>
        </w:rPr>
        <w:t>Invoking the BCDR Plan</w:t>
      </w:r>
    </w:p>
    <w:p w14:paraId="05005A3D"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5005A3E" w14:textId="77777777" w:rsidR="004647BD" w:rsidRDefault="00221D25">
      <w:pPr>
        <w:keepNext/>
        <w:numPr>
          <w:ilvl w:val="0"/>
          <w:numId w:val="1"/>
        </w:numPr>
        <w:pBdr>
          <w:top w:val="nil"/>
          <w:left w:val="nil"/>
          <w:bottom w:val="nil"/>
          <w:right w:val="nil"/>
          <w:between w:val="nil"/>
        </w:pBdr>
        <w:tabs>
          <w:tab w:val="left" w:pos="0"/>
        </w:tabs>
        <w:spacing w:before="240"/>
        <w:ind w:left="504"/>
        <w:jc w:val="left"/>
        <w:rPr>
          <w:b/>
          <w:sz w:val="24"/>
          <w:szCs w:val="24"/>
        </w:rPr>
      </w:pPr>
      <w:r>
        <w:rPr>
          <w:b/>
          <w:smallCaps/>
          <w:color w:val="000000"/>
          <w:sz w:val="24"/>
          <w:szCs w:val="24"/>
        </w:rPr>
        <w:lastRenderedPageBreak/>
        <w:t>C</w:t>
      </w:r>
      <w:r>
        <w:rPr>
          <w:rFonts w:ascii="Arial Bold" w:eastAsia="Arial Bold" w:hAnsi="Arial Bold" w:cs="Arial Bold"/>
          <w:b/>
          <w:color w:val="000000"/>
          <w:sz w:val="24"/>
          <w:szCs w:val="24"/>
        </w:rPr>
        <w:t>ircumstances beyond your control</w:t>
      </w:r>
    </w:p>
    <w:p w14:paraId="05005A3F" w14:textId="77777777" w:rsidR="004647BD" w:rsidRDefault="00221D25">
      <w:pPr>
        <w:numPr>
          <w:ilvl w:val="1"/>
          <w:numId w:val="1"/>
        </w:numPr>
        <w:pBdr>
          <w:top w:val="nil"/>
          <w:left w:val="nil"/>
          <w:bottom w:val="nil"/>
          <w:right w:val="nil"/>
          <w:between w:val="nil"/>
        </w:pBdr>
        <w:spacing w:before="120" w:after="120"/>
        <w:jc w:val="left"/>
        <w:rPr>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sectPr w:rsidR="004647BD">
      <w:headerReference w:type="default" r:id="rId10"/>
      <w:footerReference w:type="defaul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05A42" w14:textId="77777777" w:rsidR="00221D25" w:rsidRDefault="00221D25">
      <w:pPr>
        <w:spacing w:after="0"/>
      </w:pPr>
      <w:r>
        <w:separator/>
      </w:r>
    </w:p>
  </w:endnote>
  <w:endnote w:type="continuationSeparator" w:id="0">
    <w:p w14:paraId="05005A43" w14:textId="77777777" w:rsidR="00221D25" w:rsidRDefault="00221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5A48" w14:textId="77777777" w:rsidR="004647BD" w:rsidRDefault="004647BD" w:rsidP="00BD0F03">
    <w:pPr>
      <w:tabs>
        <w:tab w:val="center" w:pos="4513"/>
        <w:tab w:val="right" w:pos="9026"/>
      </w:tabs>
      <w:spacing w:after="0"/>
      <w:ind w:left="1020"/>
      <w:rPr>
        <w:rFonts w:ascii="Calibri" w:eastAsia="Calibri" w:hAnsi="Calibri" w:cs="Calibri"/>
        <w:color w:val="A6A6A6"/>
      </w:rPr>
    </w:pPr>
  </w:p>
  <w:p w14:paraId="05005A49" w14:textId="77777777" w:rsidR="004647BD" w:rsidRDefault="00221D25" w:rsidP="00BD0F03">
    <w:pPr>
      <w:pBdr>
        <w:top w:val="nil"/>
        <w:left w:val="nil"/>
        <w:bottom w:val="nil"/>
        <w:right w:val="nil"/>
        <w:between w:val="nil"/>
      </w:pBdr>
      <w:tabs>
        <w:tab w:val="center" w:pos="4513"/>
        <w:tab w:val="right" w:pos="9026"/>
      </w:tabs>
      <w:spacing w:after="0"/>
      <w:ind w:left="1020" w:hanging="1418"/>
      <w:rPr>
        <w:color w:val="000000"/>
        <w:sz w:val="20"/>
        <w:szCs w:val="20"/>
      </w:rPr>
    </w:pPr>
    <w:r>
      <w:rPr>
        <w:color w:val="000000"/>
        <w:sz w:val="20"/>
        <w:szCs w:val="20"/>
      </w:rPr>
      <w:t>Framework Ref: RM6170 Print Management Services</w:t>
    </w:r>
  </w:p>
  <w:p w14:paraId="05005A4A" w14:textId="2456DFE6" w:rsidR="004647BD" w:rsidRDefault="00221D25" w:rsidP="00BD0F03">
    <w:pPr>
      <w:pBdr>
        <w:top w:val="nil"/>
        <w:left w:val="nil"/>
        <w:bottom w:val="nil"/>
        <w:right w:val="nil"/>
        <w:between w:val="nil"/>
      </w:pBdr>
      <w:tabs>
        <w:tab w:val="center" w:pos="4513"/>
        <w:tab w:val="right" w:pos="9026"/>
      </w:tabs>
      <w:spacing w:after="0"/>
      <w:ind w:left="1020" w:hanging="1418"/>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4F4218">
      <w:rPr>
        <w:noProof/>
        <w:color w:val="000000"/>
        <w:sz w:val="20"/>
        <w:szCs w:val="20"/>
      </w:rPr>
      <w:t>7</w:t>
    </w:r>
    <w:r>
      <w:rPr>
        <w:color w:val="000000"/>
        <w:sz w:val="20"/>
        <w:szCs w:val="20"/>
      </w:rPr>
      <w:fldChar w:fldCharType="end"/>
    </w:r>
  </w:p>
  <w:p w14:paraId="05005A4B" w14:textId="77777777" w:rsidR="004647BD" w:rsidRDefault="00221D25" w:rsidP="00BD0F03">
    <w:pPr>
      <w:pBdr>
        <w:top w:val="nil"/>
        <w:left w:val="nil"/>
        <w:bottom w:val="nil"/>
        <w:right w:val="nil"/>
        <w:between w:val="nil"/>
      </w:pBdr>
      <w:tabs>
        <w:tab w:val="center" w:pos="4513"/>
        <w:tab w:val="right" w:pos="9026"/>
      </w:tabs>
      <w:spacing w:after="0"/>
      <w:ind w:left="1020" w:hanging="1418"/>
      <w:rPr>
        <w:color w:val="A6A6A6"/>
        <w:sz w:val="20"/>
        <w:szCs w:val="20"/>
      </w:rPr>
    </w:pPr>
    <w:r>
      <w:rPr>
        <w:color w:val="000000"/>
        <w:sz w:val="20"/>
        <w:szCs w:val="20"/>
      </w:rPr>
      <w:t>Model Version: v3.2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5A4C" w14:textId="77777777"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Framework Ref: RM</w:t>
    </w:r>
    <w:r>
      <w:rPr>
        <w:color w:val="000000"/>
        <w:sz w:val="20"/>
        <w:szCs w:val="20"/>
      </w:rPr>
      <w:tab/>
      <w:t xml:space="preserve">                                           </w:t>
    </w:r>
  </w:p>
  <w:p w14:paraId="05005A4D" w14:textId="77777777"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05005A4E" w14:textId="77777777" w:rsidR="004647BD" w:rsidRDefault="00221D25">
    <w:pPr>
      <w:pBdr>
        <w:top w:val="nil"/>
        <w:left w:val="nil"/>
        <w:bottom w:val="nil"/>
        <w:right w:val="nil"/>
        <w:between w:val="nil"/>
      </w:pBdr>
      <w:tabs>
        <w:tab w:val="center" w:pos="4513"/>
        <w:tab w:val="right" w:pos="9026"/>
      </w:tabs>
      <w:spacing w:after="0"/>
      <w:ind w:left="0" w:hanging="1418"/>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5A40" w14:textId="77777777" w:rsidR="00221D25" w:rsidRDefault="00221D25">
      <w:pPr>
        <w:spacing w:after="0"/>
      </w:pPr>
      <w:r>
        <w:separator/>
      </w:r>
    </w:p>
  </w:footnote>
  <w:footnote w:type="continuationSeparator" w:id="0">
    <w:p w14:paraId="05005A41" w14:textId="77777777" w:rsidR="00221D25" w:rsidRDefault="00221D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05A44" w14:textId="77777777" w:rsidR="004647BD" w:rsidRDefault="00221D25">
    <w:pPr>
      <w:tabs>
        <w:tab w:val="center" w:pos="4513"/>
        <w:tab w:val="right" w:pos="9026"/>
      </w:tabs>
      <w:spacing w:after="0"/>
      <w:ind w:left="0"/>
      <w:jc w:val="left"/>
      <w:rPr>
        <w:sz w:val="20"/>
        <w:szCs w:val="20"/>
      </w:rPr>
    </w:pPr>
    <w:r>
      <w:rPr>
        <w:b/>
        <w:sz w:val="20"/>
        <w:szCs w:val="20"/>
      </w:rPr>
      <w:t>Call-Off Schedule 8 (Business Continuity and Disaster Recovery)</w:t>
    </w:r>
  </w:p>
  <w:p w14:paraId="05005A45" w14:textId="77777777" w:rsidR="004647BD" w:rsidRDefault="00221D25">
    <w:pPr>
      <w:tabs>
        <w:tab w:val="center" w:pos="4513"/>
        <w:tab w:val="right" w:pos="9026"/>
      </w:tabs>
      <w:spacing w:after="0"/>
      <w:ind w:left="0"/>
      <w:jc w:val="left"/>
      <w:rPr>
        <w:sz w:val="20"/>
        <w:szCs w:val="20"/>
      </w:rPr>
    </w:pPr>
    <w:r>
      <w:rPr>
        <w:sz w:val="20"/>
        <w:szCs w:val="20"/>
      </w:rPr>
      <w:t>Call-Off Ref:</w:t>
    </w:r>
  </w:p>
  <w:p w14:paraId="05005A46" w14:textId="77777777" w:rsidR="004647BD" w:rsidRDefault="00221D25">
    <w:pPr>
      <w:tabs>
        <w:tab w:val="center" w:pos="4513"/>
        <w:tab w:val="right" w:pos="9026"/>
      </w:tabs>
      <w:spacing w:after="0"/>
      <w:ind w:left="0"/>
      <w:jc w:val="left"/>
      <w:rPr>
        <w:sz w:val="20"/>
        <w:szCs w:val="20"/>
      </w:rPr>
    </w:pPr>
    <w:r>
      <w:rPr>
        <w:sz w:val="20"/>
        <w:szCs w:val="20"/>
      </w:rPr>
      <w:t>Crown Copyright 2018</w:t>
    </w:r>
  </w:p>
  <w:p w14:paraId="05005A47" w14:textId="77777777" w:rsidR="004647BD" w:rsidRDefault="004647BD">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73673"/>
    <w:multiLevelType w:val="multilevel"/>
    <w:tmpl w:val="1E16B4B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5DCC200A"/>
    <w:multiLevelType w:val="multilevel"/>
    <w:tmpl w:val="A7A02E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BD"/>
    <w:rsid w:val="00221D25"/>
    <w:rsid w:val="004647BD"/>
    <w:rsid w:val="004F4218"/>
    <w:rsid w:val="00BD0F03"/>
    <w:rsid w:val="00D9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0059CE"/>
  <w15:docId w15:val="{17F5B6EB-9984-4193-BD6D-D1D7EF97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D0F03"/>
    <w:pPr>
      <w:tabs>
        <w:tab w:val="center" w:pos="4513"/>
        <w:tab w:val="right" w:pos="9026"/>
      </w:tabs>
      <w:spacing w:after="0"/>
    </w:pPr>
  </w:style>
  <w:style w:type="character" w:customStyle="1" w:styleId="HeaderChar">
    <w:name w:val="Header Char"/>
    <w:basedOn w:val="DefaultParagraphFont"/>
    <w:link w:val="Header"/>
    <w:uiPriority w:val="99"/>
    <w:rsid w:val="00BD0F03"/>
  </w:style>
  <w:style w:type="paragraph" w:styleId="Footer">
    <w:name w:val="footer"/>
    <w:basedOn w:val="Normal"/>
    <w:link w:val="FooterChar"/>
    <w:uiPriority w:val="99"/>
    <w:unhideWhenUsed/>
    <w:rsid w:val="00BD0F03"/>
    <w:pPr>
      <w:tabs>
        <w:tab w:val="center" w:pos="4513"/>
        <w:tab w:val="right" w:pos="9026"/>
      </w:tabs>
      <w:spacing w:after="0"/>
    </w:pPr>
  </w:style>
  <w:style w:type="character" w:customStyle="1" w:styleId="FooterChar">
    <w:name w:val="Footer Char"/>
    <w:basedOn w:val="DefaultParagraphFont"/>
    <w:link w:val="Footer"/>
    <w:uiPriority w:val="99"/>
    <w:rsid w:val="00B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eam xmlns="129a655d-6a1f-4e18-ad57-eb64d152aa81" xsi:nil="true"/>
    <Document_x0020_Type xmlns="129a655d-6a1f-4e18-ad57-eb64d152aa81" xsi:nil="true"/>
    <_dlc_DocId xmlns="46363eb8-99d4-4ef9-bbae-00f92cfa606c">VDEDJ6RVWHKZ-17869644-127182</_dlc_DocId>
    <_dlc_DocIdUrl xmlns="46363eb8-99d4-4ef9-bbae-00f92cfa606c">
      <Url>https://dwpgovuk.sharepoint.com/sites/SRO-119/_layouts/15/DocIdRedir.aspx?ID=VDEDJ6RVWHKZ-17869644-127182</Url>
      <Description>VDEDJ6RVWHKZ-17869644-127182</Description>
    </_dlc_DocIdUrl>
    <FilingReference xmlns="129a655d-6a1f-4e18-ad57-eb64d152a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E3B540-87F1-40D6-8706-BC6AE6C13AA7}">
  <ds:schemaRefs>
    <ds:schemaRef ds:uri="http://schemas.microsoft.com/office/2006/documentManagement/types"/>
    <ds:schemaRef ds:uri="http://purl.org/dc/elements/1.1/"/>
    <ds:schemaRef ds:uri="http://www.w3.org/XML/1998/namespace"/>
    <ds:schemaRef ds:uri="4658bd6f-a019-480d-a5b1-8a1c075a2b64"/>
    <ds:schemaRef ds:uri="http://purl.org/dc/terms/"/>
    <ds:schemaRef ds:uri="22a11c5e-3a43-4cef-8abb-a8a5faff1375"/>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FAD02C2-DE7D-472D-A54C-830B2433FC5E}">
  <ds:schemaRefs>
    <ds:schemaRef ds:uri="http://schemas.microsoft.com/sharepoint/v3/contenttype/forms"/>
  </ds:schemaRefs>
</ds:datastoreItem>
</file>

<file path=customXml/itemProps3.xml><?xml version="1.0" encoding="utf-8"?>
<ds:datastoreItem xmlns:ds="http://schemas.openxmlformats.org/officeDocument/2006/customXml" ds:itemID="{ED6AF7A9-C141-43BF-BA70-6013151B5E4D}"/>
</file>

<file path=customXml/itemProps4.xml><?xml version="1.0" encoding="utf-8"?>
<ds:datastoreItem xmlns:ds="http://schemas.openxmlformats.org/officeDocument/2006/customXml" ds:itemID="{70362B0D-F761-4F6B-BAF8-1DF9453476AB}"/>
</file>

<file path=docProps/app.xml><?xml version="1.0" encoding="utf-8"?>
<Properties xmlns="http://schemas.openxmlformats.org/officeDocument/2006/extended-properties" xmlns:vt="http://schemas.openxmlformats.org/officeDocument/2006/docPropsVTypes">
  <Template>Normal</Template>
  <TotalTime>0</TotalTime>
  <Pages>7</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Michelle CD DWP COMMERCIAL DIRECTORATE</dc:creator>
  <cp:lastModifiedBy>Tate Michelle CD DWP COMMERCIAL DIRECTORATE</cp:lastModifiedBy>
  <cp:revision>2</cp:revision>
  <dcterms:created xsi:type="dcterms:W3CDTF">2021-07-26T15:51:00Z</dcterms:created>
  <dcterms:modified xsi:type="dcterms:W3CDTF">2021-07-26T15:51:00Z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0x01010020B235032CB6254FB34029CBCBBEEB1D</vt:lpwstr>
  </property>
  <property fmtid="{D5CDD505-2E9C-101B-9397-08002B2CF9AE}" pid="3" name="_dlc_DocIdItemGuid">
    <vt:lpwstr>639707e8-5dc7-4b59-a99c-c4914b5c482a</vt:lpwstr>
  </property>
</Properties>
</file>