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C3DD1" w14:textId="5AD33848" w:rsidR="00DC2897" w:rsidRDefault="00DC2897" w:rsidP="00DC2897">
      <w:pPr>
        <w:pStyle w:val="GPSTITLES"/>
        <w:jc w:val="left"/>
        <w:rPr>
          <w:rFonts w:ascii="Arial" w:hAnsi="Arial"/>
          <w:caps w:val="0"/>
        </w:rPr>
      </w:pPr>
      <w:r>
        <w:rPr>
          <w:noProof/>
          <w:lang w:eastAsia="en-GB"/>
        </w:rPr>
        <w:drawing>
          <wp:inline distT="0" distB="0" distL="0" distR="0" wp14:anchorId="1FB16051" wp14:editId="40C18334">
            <wp:extent cx="1647825" cy="1371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7825" cy="1371600"/>
                    </a:xfrm>
                    <a:prstGeom prst="rect">
                      <a:avLst/>
                    </a:prstGeom>
                    <a:noFill/>
                    <a:ln>
                      <a:noFill/>
                    </a:ln>
                  </pic:spPr>
                </pic:pic>
              </a:graphicData>
            </a:graphic>
          </wp:inline>
        </w:drawing>
      </w:r>
    </w:p>
    <w:p w14:paraId="2B5C29E8" w14:textId="77777777" w:rsidR="00DC2897" w:rsidRDefault="00DC2897" w:rsidP="00DC2897">
      <w:pPr>
        <w:pStyle w:val="GPSTITLES"/>
        <w:jc w:val="left"/>
        <w:rPr>
          <w:rFonts w:ascii="Arial" w:hAnsi="Arial"/>
          <w:caps w:val="0"/>
        </w:rPr>
      </w:pPr>
    </w:p>
    <w:p w14:paraId="09C07EDA" w14:textId="77777777" w:rsidR="00DC2897" w:rsidRDefault="00DC2897" w:rsidP="00DC2897">
      <w:pPr>
        <w:pStyle w:val="GPSTITLES"/>
        <w:jc w:val="left"/>
        <w:rPr>
          <w:rFonts w:ascii="Arial" w:hAnsi="Arial"/>
          <w:caps w:val="0"/>
        </w:rPr>
      </w:pPr>
    </w:p>
    <w:p w14:paraId="38CF354E" w14:textId="5529A60E" w:rsidR="00DC2897" w:rsidRDefault="00DC2897" w:rsidP="00DC2897">
      <w:pPr>
        <w:jc w:val="center"/>
        <w:rPr>
          <w:sz w:val="18"/>
          <w:szCs w:val="18"/>
          <w:shd w:val="clear" w:color="auto" w:fill="E3F3FF"/>
        </w:rPr>
      </w:pPr>
      <w:r>
        <w:rPr>
          <w:b/>
          <w:sz w:val="32"/>
          <w:szCs w:val="32"/>
        </w:rPr>
        <w:t xml:space="preserve">Provision of </w:t>
      </w:r>
      <w:r w:rsidR="00705B76">
        <w:rPr>
          <w:b/>
          <w:sz w:val="32"/>
          <w:szCs w:val="32"/>
        </w:rPr>
        <w:t xml:space="preserve">Consultancy for </w:t>
      </w:r>
      <w:r w:rsidR="005E0CDF">
        <w:rPr>
          <w:b/>
          <w:sz w:val="32"/>
          <w:szCs w:val="32"/>
        </w:rPr>
        <w:t>Test and Trace Programme</w:t>
      </w:r>
    </w:p>
    <w:p w14:paraId="003CCF73" w14:textId="77777777" w:rsidR="00DC2897" w:rsidRDefault="00DC2897" w:rsidP="00DC2897">
      <w:pPr>
        <w:jc w:val="center"/>
        <w:rPr>
          <w:b/>
          <w:sz w:val="32"/>
          <w:szCs w:val="32"/>
        </w:rPr>
      </w:pPr>
      <w:r>
        <w:rPr>
          <w:b/>
          <w:sz w:val="32"/>
          <w:szCs w:val="32"/>
        </w:rPr>
        <w:t>To</w:t>
      </w:r>
    </w:p>
    <w:p w14:paraId="37EF27A6" w14:textId="12CAD932" w:rsidR="00DC2897" w:rsidRDefault="00DC2897" w:rsidP="00DC2897">
      <w:pPr>
        <w:jc w:val="center"/>
        <w:rPr>
          <w:b/>
          <w:sz w:val="32"/>
          <w:szCs w:val="32"/>
        </w:rPr>
      </w:pPr>
      <w:r w:rsidRPr="00DC2897">
        <w:rPr>
          <w:b/>
          <w:sz w:val="32"/>
          <w:szCs w:val="32"/>
        </w:rPr>
        <w:t>Department of</w:t>
      </w:r>
      <w:r>
        <w:rPr>
          <w:b/>
          <w:sz w:val="32"/>
          <w:szCs w:val="32"/>
        </w:rPr>
        <w:t xml:space="preserve"> Health and Social Care</w:t>
      </w:r>
    </w:p>
    <w:p w14:paraId="6CD0DFF9" w14:textId="77777777" w:rsidR="00DC2897" w:rsidRDefault="00DC2897" w:rsidP="00DC2897">
      <w:pPr>
        <w:jc w:val="center"/>
        <w:rPr>
          <w:b/>
          <w:sz w:val="32"/>
          <w:szCs w:val="32"/>
        </w:rPr>
      </w:pPr>
    </w:p>
    <w:p w14:paraId="242D456D" w14:textId="77777777" w:rsidR="00DC2897" w:rsidRDefault="00DC2897" w:rsidP="00DC2897">
      <w:pPr>
        <w:jc w:val="center"/>
        <w:rPr>
          <w:b/>
          <w:sz w:val="32"/>
          <w:szCs w:val="32"/>
        </w:rPr>
      </w:pPr>
      <w:r>
        <w:rPr>
          <w:b/>
          <w:sz w:val="32"/>
          <w:szCs w:val="32"/>
        </w:rPr>
        <w:t>From</w:t>
      </w:r>
    </w:p>
    <w:p w14:paraId="77CD24B6" w14:textId="77777777" w:rsidR="00DC2897" w:rsidRDefault="00DC2897" w:rsidP="00DC2897">
      <w:pPr>
        <w:rPr>
          <w:b/>
          <w:sz w:val="32"/>
          <w:szCs w:val="32"/>
        </w:rPr>
      </w:pPr>
      <w:r>
        <w:rPr>
          <w:b/>
          <w:sz w:val="32"/>
          <w:szCs w:val="32"/>
        </w:rPr>
        <w:t xml:space="preserve">           </w:t>
      </w:r>
    </w:p>
    <w:p w14:paraId="14064A37" w14:textId="3F40837A" w:rsidR="00DC2897" w:rsidRDefault="005E0CDF" w:rsidP="00DC2897">
      <w:pPr>
        <w:jc w:val="center"/>
        <w:rPr>
          <w:b/>
          <w:sz w:val="32"/>
          <w:szCs w:val="32"/>
        </w:rPr>
      </w:pPr>
      <w:r>
        <w:rPr>
          <w:b/>
          <w:sz w:val="32"/>
          <w:szCs w:val="32"/>
        </w:rPr>
        <w:t>AKESO</w:t>
      </w:r>
    </w:p>
    <w:p w14:paraId="5059C944" w14:textId="77777777" w:rsidR="00DC2897" w:rsidRDefault="00DC2897" w:rsidP="00DC2897">
      <w:pPr>
        <w:jc w:val="center"/>
        <w:rPr>
          <w:b/>
          <w:sz w:val="32"/>
          <w:szCs w:val="32"/>
        </w:rPr>
      </w:pPr>
    </w:p>
    <w:p w14:paraId="1F8B12C4" w14:textId="111421C9" w:rsidR="00DC2897" w:rsidRDefault="00DC2897" w:rsidP="00DC2897">
      <w:pPr>
        <w:rPr>
          <w:b/>
          <w:sz w:val="32"/>
          <w:szCs w:val="32"/>
          <w:highlight w:val="white"/>
        </w:rPr>
      </w:pPr>
      <w:r>
        <w:rPr>
          <w:b/>
          <w:sz w:val="32"/>
          <w:szCs w:val="32"/>
        </w:rPr>
        <w:t xml:space="preserve">          Contract Reference: </w:t>
      </w:r>
      <w:r w:rsidR="005E0CDF">
        <w:rPr>
          <w:b/>
          <w:sz w:val="32"/>
          <w:szCs w:val="32"/>
        </w:rPr>
        <w:t>CCCC21A67</w:t>
      </w:r>
    </w:p>
    <w:p w14:paraId="0A621501" w14:textId="37ADEBBE" w:rsidR="001A5332" w:rsidRDefault="00DC2897" w:rsidP="00BA0D1E">
      <w:pPr>
        <w:ind w:left="0"/>
        <w:jc w:val="center"/>
        <w:rPr>
          <w:b/>
        </w:rPr>
      </w:pPr>
      <w:r>
        <w:rPr>
          <w:caps/>
        </w:rPr>
        <w:br w:type="page"/>
      </w:r>
    </w:p>
    <w:p w14:paraId="029AB8F6" w14:textId="77777777" w:rsidR="00DC2897" w:rsidRDefault="00DC2897">
      <w:pPr>
        <w:overflowPunct/>
        <w:autoSpaceDE/>
        <w:autoSpaceDN/>
        <w:adjustRightInd/>
        <w:spacing w:after="0"/>
        <w:ind w:left="0"/>
        <w:jc w:val="left"/>
        <w:textAlignment w:val="auto"/>
        <w:rPr>
          <w:b/>
        </w:rPr>
      </w:pPr>
    </w:p>
    <w:p w14:paraId="15AC43A5" w14:textId="7FA57AB9"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519FB1D7"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4F5C4B3A" w14:textId="36A49494" w:rsidR="004E05DC" w:rsidRDefault="00F770DB">
      <w:pPr>
        <w:pStyle w:val="GPSTITLES"/>
        <w:rPr>
          <w:rFonts w:ascii="Arial" w:hAnsi="Arial"/>
        </w:rPr>
      </w:pPr>
      <w:r w:rsidRPr="00B91478">
        <w:rPr>
          <w:rFonts w:ascii="Arial" w:hAnsi="Arial"/>
        </w:rPr>
        <w:t>PART 1 – CALL OFF ORDER FORM</w:t>
      </w:r>
    </w:p>
    <w:p w14:paraId="25AFA819" w14:textId="77777777" w:rsidR="004E05DC" w:rsidRPr="00B91478" w:rsidRDefault="00F770DB">
      <w:pPr>
        <w:pStyle w:val="ORDERFORML1SECTIONTITLE"/>
        <w:spacing w:before="0" w:after="0"/>
        <w:rPr>
          <w:rFonts w:cs="Arial"/>
        </w:rPr>
      </w:pPr>
      <w:r w:rsidRPr="00B91478">
        <w:rPr>
          <w:rFonts w:cs="Arial"/>
        </w:rPr>
        <w:t>SECTION A</w:t>
      </w:r>
    </w:p>
    <w:p w14:paraId="5ED09D9F" w14:textId="77777777" w:rsidR="004E05DC" w:rsidRPr="00B91478" w:rsidRDefault="004E05DC">
      <w:pPr>
        <w:pStyle w:val="ORDERFORML1SECTIONTITLE"/>
        <w:spacing w:before="0" w:after="0"/>
        <w:rPr>
          <w:rFonts w:cs="Arial"/>
        </w:rPr>
      </w:pPr>
    </w:p>
    <w:p w14:paraId="043BD51A" w14:textId="7865D695"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provision of </w:t>
      </w:r>
      <w:r w:rsidR="00F02150">
        <w:t>Complex &amp; Transformation Consultancy Services</w:t>
      </w:r>
      <w:r w:rsidR="00B02A10">
        <w:t xml:space="preserve"> dated </w:t>
      </w:r>
      <w:r w:rsidR="00B02A10" w:rsidRPr="00B02A10">
        <w:rPr>
          <w:b/>
          <w:color w:val="000000"/>
        </w:rPr>
        <w:t>04 September 2018</w:t>
      </w:r>
      <w:r w:rsidRPr="00B91478">
        <w:t xml:space="preserve">. </w:t>
      </w:r>
    </w:p>
    <w:p w14:paraId="066AEEFC"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088"/>
      </w:tblGrid>
      <w:tr w:rsidR="00C24592" w:rsidRPr="00B91478" w14:paraId="5702F89A" w14:textId="77777777" w:rsidTr="00662BAE">
        <w:tc>
          <w:tcPr>
            <w:tcW w:w="1730" w:type="dxa"/>
            <w:shd w:val="clear" w:color="auto" w:fill="auto"/>
          </w:tcPr>
          <w:p w14:paraId="2322E185" w14:textId="77777777" w:rsidR="00C24592" w:rsidRPr="00B91478" w:rsidRDefault="00C24592">
            <w:pPr>
              <w:spacing w:after="0"/>
              <w:ind w:left="0"/>
              <w:jc w:val="left"/>
            </w:pPr>
            <w:r w:rsidRPr="00B91478">
              <w:t>Order Number</w:t>
            </w:r>
          </w:p>
        </w:tc>
        <w:tc>
          <w:tcPr>
            <w:tcW w:w="7088" w:type="dxa"/>
            <w:shd w:val="clear" w:color="auto" w:fill="auto"/>
          </w:tcPr>
          <w:p w14:paraId="3509BE8B" w14:textId="77777777" w:rsidR="00C24592" w:rsidRPr="00662BAE" w:rsidRDefault="00C24592">
            <w:pPr>
              <w:spacing w:after="0"/>
              <w:ind w:left="0"/>
              <w:jc w:val="left"/>
              <w:rPr>
                <w:bCs/>
              </w:rPr>
            </w:pPr>
            <w:r w:rsidRPr="00662BAE">
              <w:rPr>
                <w:bCs/>
              </w:rPr>
              <w:t>To be confirmed, following Contract Award</w:t>
            </w:r>
          </w:p>
          <w:p w14:paraId="0C32768C" w14:textId="5515812F" w:rsidR="00B86992" w:rsidRPr="00662BAE" w:rsidRDefault="00B86992">
            <w:pPr>
              <w:spacing w:after="0"/>
              <w:ind w:left="0"/>
              <w:jc w:val="left"/>
              <w:rPr>
                <w:bCs/>
              </w:rPr>
            </w:pPr>
          </w:p>
        </w:tc>
      </w:tr>
      <w:tr w:rsidR="00C24592" w:rsidRPr="00B91478" w14:paraId="403BB9AF" w14:textId="77777777" w:rsidTr="00662BAE">
        <w:trPr>
          <w:trHeight w:val="1675"/>
        </w:trPr>
        <w:tc>
          <w:tcPr>
            <w:tcW w:w="1730" w:type="dxa"/>
            <w:shd w:val="clear" w:color="auto" w:fill="auto"/>
          </w:tcPr>
          <w:p w14:paraId="2807FDD8" w14:textId="77777777" w:rsidR="00C24592" w:rsidRPr="00B91478" w:rsidRDefault="00C24592">
            <w:pPr>
              <w:spacing w:after="0"/>
              <w:ind w:left="0"/>
              <w:jc w:val="left"/>
            </w:pPr>
            <w:r w:rsidRPr="00B91478">
              <w:t>From</w:t>
            </w:r>
          </w:p>
        </w:tc>
        <w:tc>
          <w:tcPr>
            <w:tcW w:w="7088" w:type="dxa"/>
            <w:shd w:val="clear" w:color="auto" w:fill="auto"/>
          </w:tcPr>
          <w:p w14:paraId="55A20F66" w14:textId="572B760F" w:rsidR="00C24592" w:rsidRPr="00662BAE" w:rsidRDefault="00C24592">
            <w:pPr>
              <w:spacing w:after="0"/>
              <w:ind w:left="0"/>
              <w:jc w:val="left"/>
              <w:rPr>
                <w:bCs/>
              </w:rPr>
            </w:pPr>
            <w:r w:rsidRPr="00662BAE">
              <w:rPr>
                <w:bCs/>
              </w:rPr>
              <w:t xml:space="preserve">Secretary of State for Health and Social Care acting as part of the Crown through the Department of Health &amp; Social Care of 39 Victoria </w:t>
            </w:r>
            <w:r w:rsidR="009F480B" w:rsidRPr="00662BAE">
              <w:rPr>
                <w:bCs/>
              </w:rPr>
              <w:t>Street</w:t>
            </w:r>
            <w:r w:rsidRPr="00662BAE">
              <w:rPr>
                <w:bCs/>
              </w:rPr>
              <w:t>, London, SW1H 0EU</w:t>
            </w:r>
          </w:p>
          <w:p w14:paraId="044A0F1A" w14:textId="77777777" w:rsidR="00C24592" w:rsidRPr="00B91478" w:rsidRDefault="00C24592">
            <w:pPr>
              <w:spacing w:after="0"/>
              <w:ind w:left="0"/>
              <w:jc w:val="left"/>
              <w:rPr>
                <w:b/>
              </w:rPr>
            </w:pPr>
          </w:p>
          <w:p w14:paraId="3602FF8F" w14:textId="09B70C4B" w:rsidR="00C24592" w:rsidRDefault="00C24592">
            <w:pPr>
              <w:spacing w:after="0"/>
              <w:ind w:left="0"/>
              <w:jc w:val="left"/>
              <w:rPr>
                <w:b/>
              </w:rPr>
            </w:pPr>
            <w:r w:rsidRPr="00B91478">
              <w:rPr>
                <w:b/>
              </w:rPr>
              <w:t>"CUSTOMER"</w:t>
            </w:r>
          </w:p>
          <w:p w14:paraId="4535A448" w14:textId="07C23B50" w:rsidR="000731CD" w:rsidRPr="00B91478" w:rsidRDefault="000731CD">
            <w:pPr>
              <w:spacing w:after="0"/>
              <w:ind w:left="0"/>
              <w:jc w:val="left"/>
              <w:rPr>
                <w:b/>
              </w:rPr>
            </w:pPr>
          </w:p>
        </w:tc>
      </w:tr>
      <w:tr w:rsidR="00C24592" w:rsidRPr="00B91478" w14:paraId="7BD8D56C" w14:textId="77777777" w:rsidTr="00662BAE">
        <w:tc>
          <w:tcPr>
            <w:tcW w:w="1730" w:type="dxa"/>
            <w:shd w:val="clear" w:color="auto" w:fill="auto"/>
          </w:tcPr>
          <w:p w14:paraId="4E4F3801" w14:textId="77777777" w:rsidR="00C24592" w:rsidRPr="00B91478" w:rsidRDefault="00C24592">
            <w:pPr>
              <w:spacing w:after="0"/>
              <w:ind w:left="0"/>
              <w:jc w:val="left"/>
            </w:pPr>
            <w:r w:rsidRPr="00B91478">
              <w:t>To</w:t>
            </w:r>
          </w:p>
        </w:tc>
        <w:tc>
          <w:tcPr>
            <w:tcW w:w="7088" w:type="dxa"/>
            <w:shd w:val="clear" w:color="auto" w:fill="auto"/>
          </w:tcPr>
          <w:p w14:paraId="733F6AA7" w14:textId="582D8D88" w:rsidR="0007314C" w:rsidRDefault="006A1FE0" w:rsidP="0007314C">
            <w:pPr>
              <w:pStyle w:val="CommentText"/>
              <w:ind w:left="0"/>
            </w:pPr>
            <w:r w:rsidRPr="006A1FE0">
              <w:rPr>
                <w:bCs/>
              </w:rPr>
              <w:t xml:space="preserve">AKESO and COMPANY </w:t>
            </w:r>
            <w:proofErr w:type="spellStart"/>
            <w:r w:rsidRPr="006A1FE0">
              <w:rPr>
                <w:bCs/>
              </w:rPr>
              <w:t>Company</w:t>
            </w:r>
            <w:proofErr w:type="spellEnd"/>
            <w:r w:rsidR="00F40D21">
              <w:rPr>
                <w:bCs/>
              </w:rPr>
              <w:t xml:space="preserve"> Limited</w:t>
            </w:r>
            <w:r w:rsidRPr="006A1FE0">
              <w:rPr>
                <w:bCs/>
              </w:rPr>
              <w:t xml:space="preserve"> Registration number 08382731</w:t>
            </w:r>
            <w:r w:rsidR="00C24592" w:rsidRPr="006A1FE0">
              <w:rPr>
                <w:bCs/>
              </w:rPr>
              <w:t xml:space="preserve"> of </w:t>
            </w:r>
            <w:r w:rsidR="0007314C">
              <w:t xml:space="preserve">21 Bloomsbury Way, Holborn, </w:t>
            </w:r>
            <w:r w:rsidR="00554E70">
              <w:t xml:space="preserve">London </w:t>
            </w:r>
            <w:r w:rsidR="0007314C">
              <w:t>WC1A 2TH</w:t>
            </w:r>
          </w:p>
          <w:p w14:paraId="0849B7AF" w14:textId="4623BF04" w:rsidR="006A1FE0" w:rsidRPr="006A1FE0" w:rsidRDefault="006A1FE0" w:rsidP="006A1FE0">
            <w:pPr>
              <w:pStyle w:val="Heading1"/>
              <w:numPr>
                <w:ilvl w:val="0"/>
                <w:numId w:val="0"/>
              </w:numPr>
              <w:shd w:val="clear" w:color="auto" w:fill="FFFFFF"/>
              <w:spacing w:before="60" w:after="0"/>
              <w:textAlignment w:val="baseline"/>
              <w:rPr>
                <w:rFonts w:eastAsia="Times New Roman" w:cs="Arial"/>
                <w:b w:val="0"/>
                <w:bCs/>
                <w:lang w:eastAsia="en-US"/>
              </w:rPr>
            </w:pPr>
          </w:p>
          <w:p w14:paraId="50245880" w14:textId="0A7EC4C8" w:rsidR="00C24592" w:rsidRPr="006A1FE0" w:rsidRDefault="006A1FE0" w:rsidP="006A1FE0">
            <w:pPr>
              <w:spacing w:after="0"/>
              <w:ind w:left="0"/>
              <w:jc w:val="left"/>
              <w:rPr>
                <w:bCs/>
              </w:rPr>
            </w:pPr>
            <w:r w:rsidRPr="006A1FE0">
              <w:rPr>
                <w:bCs/>
              </w:rPr>
              <w:t xml:space="preserve"> </w:t>
            </w:r>
          </w:p>
          <w:p w14:paraId="24BDBA5D" w14:textId="77777777" w:rsidR="00C24592" w:rsidRPr="006A1FE0" w:rsidRDefault="00C24592">
            <w:pPr>
              <w:spacing w:after="0"/>
              <w:ind w:left="0"/>
              <w:jc w:val="left"/>
              <w:rPr>
                <w:bCs/>
              </w:rPr>
            </w:pPr>
          </w:p>
          <w:p w14:paraId="0458B010" w14:textId="49F0FE2C" w:rsidR="00C24592" w:rsidRPr="006A1FE0" w:rsidRDefault="00C24592">
            <w:pPr>
              <w:spacing w:after="0"/>
              <w:ind w:left="0"/>
              <w:jc w:val="left"/>
              <w:rPr>
                <w:b/>
                <w:bCs/>
              </w:rPr>
            </w:pPr>
            <w:r w:rsidRPr="006A1FE0">
              <w:rPr>
                <w:b/>
                <w:bCs/>
              </w:rPr>
              <w:t>"SUPPLIER"</w:t>
            </w:r>
          </w:p>
          <w:p w14:paraId="1D64140C" w14:textId="7B010D29" w:rsidR="000731CD" w:rsidRPr="006A1FE0" w:rsidRDefault="000731CD">
            <w:pPr>
              <w:spacing w:after="0"/>
              <w:ind w:left="0"/>
              <w:jc w:val="left"/>
              <w:rPr>
                <w:bCs/>
              </w:rPr>
            </w:pPr>
          </w:p>
        </w:tc>
      </w:tr>
      <w:tr w:rsidR="00C24592" w:rsidRPr="00B91478" w14:paraId="4CE953D5" w14:textId="77777777" w:rsidTr="00662BAE">
        <w:tc>
          <w:tcPr>
            <w:tcW w:w="1730" w:type="dxa"/>
            <w:shd w:val="clear" w:color="auto" w:fill="auto"/>
          </w:tcPr>
          <w:p w14:paraId="6BDC539F" w14:textId="13BD171B" w:rsidR="00C24592" w:rsidRPr="00B91478" w:rsidRDefault="00C24592">
            <w:pPr>
              <w:spacing w:after="0"/>
              <w:ind w:left="0"/>
              <w:jc w:val="left"/>
            </w:pPr>
            <w:r>
              <w:t xml:space="preserve">Date </w:t>
            </w:r>
          </w:p>
        </w:tc>
        <w:tc>
          <w:tcPr>
            <w:tcW w:w="7088" w:type="dxa"/>
            <w:shd w:val="clear" w:color="auto" w:fill="auto"/>
          </w:tcPr>
          <w:p w14:paraId="39830888" w14:textId="2E435D03" w:rsidR="00C24592" w:rsidRDefault="002B2E7F" w:rsidP="00B02A10">
            <w:pPr>
              <w:spacing w:after="0"/>
              <w:ind w:left="0"/>
              <w:jc w:val="left"/>
              <w:rPr>
                <w:b/>
              </w:rPr>
            </w:pPr>
            <w:r>
              <w:rPr>
                <w:b/>
              </w:rPr>
              <w:t xml:space="preserve">30 March </w:t>
            </w:r>
            <w:r w:rsidR="005E0CDF">
              <w:rPr>
                <w:b/>
              </w:rPr>
              <w:t>2021</w:t>
            </w:r>
          </w:p>
          <w:p w14:paraId="1B3066A4" w14:textId="77777777" w:rsidR="00C24592" w:rsidRPr="00B91478" w:rsidRDefault="00C24592" w:rsidP="00B02A10">
            <w:pPr>
              <w:spacing w:after="0"/>
              <w:ind w:left="0"/>
              <w:jc w:val="left"/>
              <w:rPr>
                <w:b/>
              </w:rPr>
            </w:pPr>
          </w:p>
          <w:p w14:paraId="7E80E23C" w14:textId="14999ACE" w:rsidR="00C24592" w:rsidRPr="00B91478" w:rsidRDefault="00C24592" w:rsidP="00B02A10">
            <w:pPr>
              <w:spacing w:after="0"/>
              <w:ind w:left="0"/>
              <w:jc w:val="left"/>
              <w:rPr>
                <w:b/>
                <w:highlight w:val="yellow"/>
              </w:rPr>
            </w:pP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F02150" w:rsidRPr="00B91478" w14:paraId="6525B5BF" w14:textId="77777777" w:rsidTr="00F02150">
        <w:tc>
          <w:tcPr>
            <w:tcW w:w="567" w:type="dxa"/>
          </w:tcPr>
          <w:p w14:paraId="7F884F55" w14:textId="77777777" w:rsidR="00F02150" w:rsidRPr="00B91478" w:rsidRDefault="00F02150">
            <w:pPr>
              <w:pStyle w:val="ORDERFORML1NONBOLDNONNUMBERTEXT"/>
              <w:numPr>
                <w:ilvl w:val="1"/>
                <w:numId w:val="64"/>
              </w:numPr>
              <w:spacing w:before="0" w:after="0"/>
              <w:rPr>
                <w:rFonts w:cs="Arial"/>
                <w:b/>
              </w:rPr>
            </w:pPr>
          </w:p>
        </w:tc>
        <w:tc>
          <w:tcPr>
            <w:tcW w:w="8392" w:type="dxa"/>
            <w:shd w:val="clear" w:color="auto" w:fill="auto"/>
          </w:tcPr>
          <w:p w14:paraId="05D96D80" w14:textId="73905508" w:rsidR="006A1FE0" w:rsidRDefault="009C2129" w:rsidP="006A1FE0">
            <w:pPr>
              <w:spacing w:after="0"/>
              <w:ind w:left="0" w:right="936"/>
              <w:jc w:val="left"/>
              <w:rPr>
                <w:b/>
              </w:rPr>
            </w:pPr>
            <w:r>
              <w:rPr>
                <w:rFonts w:eastAsia="STZhongsong"/>
                <w:b/>
                <w:lang w:eastAsia="zh-CN"/>
              </w:rPr>
              <w:t xml:space="preserve">Call Off </w:t>
            </w:r>
            <w:r w:rsidR="00F02150" w:rsidRPr="00B91478">
              <w:rPr>
                <w:rFonts w:eastAsia="STZhongsong"/>
                <w:b/>
                <w:lang w:eastAsia="zh-CN"/>
              </w:rPr>
              <w:t>Commencement Date</w:t>
            </w:r>
            <w:r w:rsidR="00F02150" w:rsidRPr="00B91478">
              <w:rPr>
                <w:rFonts w:eastAsia="STZhongsong"/>
                <w:lang w:eastAsia="zh-CN"/>
              </w:rPr>
              <w:t xml:space="preserve">: </w:t>
            </w:r>
            <w:r w:rsidR="006A1FE0">
              <w:t>1 April 2021</w:t>
            </w:r>
          </w:p>
          <w:p w14:paraId="7C773470" w14:textId="01CDFC4C" w:rsidR="00F02150" w:rsidRPr="00B91478" w:rsidRDefault="00F02150">
            <w:pPr>
              <w:overflowPunct/>
              <w:autoSpaceDE/>
              <w:autoSpaceDN/>
              <w:adjustRightInd/>
              <w:spacing w:after="0"/>
              <w:ind w:left="0" w:right="936"/>
              <w:jc w:val="left"/>
              <w:textAlignment w:val="auto"/>
              <w:rPr>
                <w:rFonts w:eastAsia="Calibri"/>
                <w:color w:val="C00000"/>
              </w:rPr>
            </w:pPr>
          </w:p>
        </w:tc>
      </w:tr>
      <w:tr w:rsidR="00F02150" w:rsidRPr="00B91478" w14:paraId="445F7B0C" w14:textId="77777777" w:rsidTr="00F02150">
        <w:tc>
          <w:tcPr>
            <w:tcW w:w="567" w:type="dxa"/>
          </w:tcPr>
          <w:p w14:paraId="72BA4E3B" w14:textId="77777777" w:rsidR="00F02150" w:rsidRPr="00B91478" w:rsidRDefault="00F02150">
            <w:pPr>
              <w:pStyle w:val="11table"/>
              <w:rPr>
                <w:rFonts w:ascii="Arial" w:hAnsi="Arial" w:cs="Arial"/>
              </w:rPr>
            </w:pPr>
            <w:r w:rsidRPr="00B91478">
              <w:rPr>
                <w:rFonts w:ascii="Arial" w:hAnsi="Arial" w:cs="Arial"/>
              </w:rPr>
              <w:t xml:space="preserve"> </w:t>
            </w:r>
          </w:p>
          <w:p w14:paraId="70581236" w14:textId="77777777" w:rsidR="00F02150" w:rsidRPr="00B91478" w:rsidRDefault="00F02150">
            <w:pPr>
              <w:overflowPunct/>
              <w:autoSpaceDE/>
              <w:autoSpaceDN/>
              <w:spacing w:after="0"/>
              <w:ind w:left="360"/>
              <w:jc w:val="left"/>
              <w:textAlignment w:val="auto"/>
              <w:rPr>
                <w:rFonts w:eastAsia="STZhongsong"/>
                <w:b/>
                <w:lang w:eastAsia="zh-CN"/>
              </w:rPr>
            </w:pPr>
          </w:p>
        </w:tc>
        <w:tc>
          <w:tcPr>
            <w:tcW w:w="8392" w:type="dxa"/>
            <w:shd w:val="clear" w:color="auto" w:fill="auto"/>
          </w:tcPr>
          <w:p w14:paraId="7DBF874B" w14:textId="572406CE" w:rsidR="00F02150" w:rsidRPr="00B91478" w:rsidRDefault="006A6022">
            <w:pPr>
              <w:numPr>
                <w:ilvl w:val="1"/>
                <w:numId w:val="0"/>
              </w:numPr>
              <w:overflowPunct/>
              <w:autoSpaceDE/>
              <w:autoSpaceDN/>
              <w:spacing w:after="0"/>
              <w:jc w:val="left"/>
              <w:textAlignment w:val="auto"/>
              <w:rPr>
                <w:rFonts w:eastAsia="STZhongsong"/>
                <w:lang w:eastAsia="zh-CN"/>
              </w:rPr>
            </w:pPr>
            <w:r>
              <w:rPr>
                <w:rFonts w:eastAsia="STZhongsong"/>
                <w:b/>
                <w:lang w:eastAsia="zh-CN"/>
              </w:rPr>
              <w:t xml:space="preserve">Call Off </w:t>
            </w:r>
            <w:r w:rsidR="00F02150" w:rsidRPr="00B91478">
              <w:rPr>
                <w:rFonts w:eastAsia="STZhongsong"/>
                <w:b/>
                <w:lang w:eastAsia="zh-CN"/>
              </w:rPr>
              <w:t>Expiry Date</w:t>
            </w:r>
            <w:r w:rsidR="00F02150" w:rsidRPr="00B91478">
              <w:rPr>
                <w:rFonts w:eastAsia="STZhongsong"/>
                <w:lang w:eastAsia="zh-CN"/>
              </w:rPr>
              <w:t>:</w:t>
            </w:r>
          </w:p>
          <w:p w14:paraId="37B634D1" w14:textId="77777777" w:rsidR="00F02150" w:rsidRPr="00B91478" w:rsidRDefault="00F02150">
            <w:pPr>
              <w:numPr>
                <w:ilvl w:val="1"/>
                <w:numId w:val="0"/>
              </w:numPr>
              <w:overflowPunct/>
              <w:autoSpaceDE/>
              <w:autoSpaceDN/>
              <w:spacing w:after="0"/>
              <w:jc w:val="left"/>
              <w:textAlignment w:val="auto"/>
              <w:rPr>
                <w:rFonts w:eastAsia="STZhongsong"/>
                <w:lang w:eastAsia="zh-CN"/>
              </w:rPr>
            </w:pPr>
          </w:p>
          <w:p w14:paraId="3DDB9F1C" w14:textId="6606A51C" w:rsidR="00F02150" w:rsidRPr="00B91478" w:rsidRDefault="006A1FE0" w:rsidP="00BB4A0B">
            <w:pPr>
              <w:overflowPunct/>
              <w:autoSpaceDE/>
              <w:autoSpaceDN/>
              <w:spacing w:after="0"/>
              <w:ind w:left="0"/>
              <w:textAlignment w:val="auto"/>
              <w:rPr>
                <w:rFonts w:eastAsia="STZhongsong"/>
                <w:b/>
                <w:lang w:eastAsia="zh-CN"/>
              </w:rPr>
            </w:pPr>
            <w:r>
              <w:t>End date of Initial Period: 3</w:t>
            </w:r>
            <w:r w:rsidR="00E95F5D">
              <w:t>0</w:t>
            </w:r>
            <w:r>
              <w:t xml:space="preserve"> September 2021</w:t>
            </w:r>
          </w:p>
          <w:p w14:paraId="506BE5A8" w14:textId="05F712BD" w:rsidR="00F02150" w:rsidRPr="00B91478" w:rsidRDefault="00F02150" w:rsidP="00F02150">
            <w:pPr>
              <w:overflowPunct/>
              <w:autoSpaceDE/>
              <w:autoSpaceDN/>
              <w:spacing w:after="0"/>
              <w:ind w:left="0"/>
              <w:textAlignment w:val="auto"/>
              <w:rPr>
                <w:rFonts w:eastAsia="STZhongsong"/>
                <w:lang w:eastAsia="zh-CN"/>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214"/>
      </w:tblGrid>
      <w:tr w:rsidR="00172A22" w:rsidRPr="00B91478" w14:paraId="557BDC08" w14:textId="77777777" w:rsidTr="000731CD">
        <w:trPr>
          <w:trHeight w:val="8209"/>
        </w:trPr>
        <w:tc>
          <w:tcPr>
            <w:tcW w:w="704" w:type="dxa"/>
          </w:tcPr>
          <w:p w14:paraId="5A64A6E3" w14:textId="77777777" w:rsidR="00172A22" w:rsidRPr="00B91478" w:rsidRDefault="00172A22">
            <w:pPr>
              <w:pStyle w:val="11table"/>
              <w:numPr>
                <w:ilvl w:val="0"/>
                <w:numId w:val="0"/>
              </w:numPr>
              <w:ind w:left="360" w:hanging="360"/>
              <w:rPr>
                <w:rFonts w:ascii="Arial" w:hAnsi="Arial" w:cs="Arial"/>
              </w:rPr>
            </w:pPr>
            <w:r w:rsidRPr="00B91478">
              <w:rPr>
                <w:rFonts w:ascii="Arial" w:hAnsi="Arial" w:cs="Arial"/>
              </w:rPr>
              <w:lastRenderedPageBreak/>
              <w:t xml:space="preserve">2.1.  </w:t>
            </w:r>
          </w:p>
        </w:tc>
        <w:tc>
          <w:tcPr>
            <w:tcW w:w="9214" w:type="dxa"/>
            <w:shd w:val="clear" w:color="auto" w:fill="auto"/>
          </w:tcPr>
          <w:p w14:paraId="62632901" w14:textId="77777777" w:rsidR="00172A22" w:rsidRPr="00B91478" w:rsidRDefault="00172A22">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12903B4" w14:textId="77777777" w:rsidR="00172A22" w:rsidRPr="00B91478" w:rsidRDefault="00172A22">
            <w:pPr>
              <w:numPr>
                <w:ilvl w:val="1"/>
                <w:numId w:val="0"/>
              </w:numPr>
              <w:overflowPunct/>
              <w:autoSpaceDE/>
              <w:autoSpaceDN/>
              <w:spacing w:after="0"/>
              <w:jc w:val="left"/>
              <w:textAlignment w:val="auto"/>
              <w:rPr>
                <w:rFonts w:eastAsia="STZhongsong"/>
                <w:lang w:eastAsia="zh-CN"/>
              </w:rPr>
            </w:pPr>
          </w:p>
          <w:p w14:paraId="2DD5D01D" w14:textId="73CC4D09" w:rsidR="00D410A1" w:rsidRPr="00D410A1" w:rsidRDefault="000731CD">
            <w:pPr>
              <w:numPr>
                <w:ilvl w:val="1"/>
                <w:numId w:val="0"/>
              </w:numPr>
              <w:overflowPunct/>
              <w:autoSpaceDE/>
              <w:autoSpaceDN/>
              <w:spacing w:after="0"/>
              <w:jc w:val="left"/>
              <w:textAlignment w:val="auto"/>
              <w:rPr>
                <w:rFonts w:eastAsia="STZhongsong"/>
                <w:lang w:eastAsia="zh-CN"/>
              </w:rPr>
            </w:pPr>
            <w:r>
              <w:rPr>
                <w:rFonts w:eastAsia="STZhongsong"/>
                <w:lang w:eastAsia="zh-CN"/>
              </w:rPr>
              <w:t>As may be further set out i</w:t>
            </w:r>
            <w:r w:rsidR="00D410A1" w:rsidRPr="00D410A1">
              <w:rPr>
                <w:rFonts w:eastAsia="STZhongsong"/>
                <w:lang w:eastAsia="zh-CN"/>
              </w:rPr>
              <w:t>n Call Off Schedule 2 (Services).</w:t>
            </w:r>
          </w:p>
          <w:p w14:paraId="464DD545" w14:textId="77777777" w:rsidR="00D410A1" w:rsidRDefault="00D410A1">
            <w:pPr>
              <w:numPr>
                <w:ilvl w:val="1"/>
                <w:numId w:val="0"/>
              </w:numPr>
              <w:overflowPunct/>
              <w:autoSpaceDE/>
              <w:autoSpaceDN/>
              <w:spacing w:after="0"/>
              <w:jc w:val="left"/>
              <w:textAlignment w:val="auto"/>
              <w:rPr>
                <w:rFonts w:eastAsia="STZhongsong"/>
                <w:i/>
                <w:iCs/>
                <w:lang w:eastAsia="zh-CN"/>
              </w:rPr>
            </w:pPr>
          </w:p>
          <w:p w14:paraId="2C29D896" w14:textId="1729D441" w:rsidR="009E291D" w:rsidRPr="00730F3E" w:rsidRDefault="009E291D" w:rsidP="00730F3E">
            <w:pPr>
              <w:ind w:left="0"/>
            </w:pPr>
            <w:r w:rsidRPr="00730F3E">
              <w:t xml:space="preserve">The Services will form </w:t>
            </w:r>
            <w:r w:rsidR="00D50C28" w:rsidRPr="00730F3E">
              <w:t>part</w:t>
            </w:r>
            <w:r w:rsidRPr="00730F3E">
              <w:t xml:space="preserve"> of a large and complex programme to shape and deliver mass population testing across the UK. This will involve multiple workstreams and deliverables. MCF2 Lot </w:t>
            </w:r>
            <w:r w:rsidR="00B1147D">
              <w:t>1</w:t>
            </w:r>
            <w:r w:rsidRPr="00730F3E">
              <w:t xml:space="preserve"> has been </w:t>
            </w:r>
            <w:r w:rsidRPr="00B1147D">
              <w:t xml:space="preserve">chosen </w:t>
            </w:r>
            <w:r w:rsidR="007A1F85" w:rsidRPr="00B1147D">
              <w:t>[</w:t>
            </w:r>
            <w:r w:rsidRPr="00B1147D">
              <w:t>for mass testing</w:t>
            </w:r>
            <w:r w:rsidR="007A1F85" w:rsidRPr="00B1147D">
              <w:t>]</w:t>
            </w:r>
            <w:r w:rsidRPr="00B1147D">
              <w:t xml:space="preserve"> as</w:t>
            </w:r>
            <w:r w:rsidRPr="00730F3E">
              <w:t xml:space="preserve"> it is deemed complex, multi-disciplinary, transformational and large scale with multiple workstreams and interdependencies.  </w:t>
            </w:r>
          </w:p>
          <w:p w14:paraId="6E2FB0C2" w14:textId="4216513C" w:rsidR="009E291D" w:rsidRPr="00730F3E" w:rsidRDefault="009E291D" w:rsidP="00730F3E">
            <w:pPr>
              <w:ind w:left="0"/>
            </w:pPr>
            <w:r w:rsidRPr="00730F3E">
              <w:t>The Supplier shall co-ordinate and report across the breadth of the specified work package and the wider Test and Trace programme of work, ensuring interdependencies are considered at the work package and programme levels.</w:t>
            </w:r>
          </w:p>
          <w:p w14:paraId="59CC44D0" w14:textId="514B97CB" w:rsidR="00D410A1" w:rsidRDefault="00D410A1" w:rsidP="00D410A1">
            <w:pPr>
              <w:numPr>
                <w:ilvl w:val="1"/>
                <w:numId w:val="0"/>
              </w:numPr>
              <w:overflowPunct/>
              <w:autoSpaceDE/>
              <w:autoSpaceDN/>
              <w:spacing w:after="0"/>
              <w:jc w:val="left"/>
              <w:textAlignment w:val="auto"/>
              <w:rPr>
                <w:rFonts w:eastAsia="STZhongsong"/>
                <w:lang w:eastAsia="zh-CN"/>
              </w:rPr>
            </w:pPr>
            <w:r w:rsidRPr="00AB3AB1">
              <w:rPr>
                <w:rFonts w:eastAsia="STZhongsong"/>
                <w:lang w:eastAsia="zh-CN"/>
              </w:rPr>
              <w:t xml:space="preserve">In addition to the Services </w:t>
            </w:r>
            <w:r w:rsidR="000731CD">
              <w:rPr>
                <w:rFonts w:eastAsia="STZhongsong"/>
                <w:lang w:eastAsia="zh-CN"/>
              </w:rPr>
              <w:t>set out</w:t>
            </w:r>
            <w:r w:rsidRPr="00AB3AB1">
              <w:rPr>
                <w:rFonts w:eastAsia="STZhongsong"/>
                <w:lang w:eastAsia="zh-CN"/>
              </w:rPr>
              <w:t xml:space="preserve"> in this section</w:t>
            </w:r>
            <w:r w:rsidR="00E64C7C">
              <w:rPr>
                <w:rFonts w:eastAsia="STZhongsong"/>
                <w:lang w:eastAsia="zh-CN"/>
              </w:rPr>
              <w:t xml:space="preserve"> 2.1</w:t>
            </w:r>
            <w:r w:rsidRPr="00AB3AB1">
              <w:rPr>
                <w:rFonts w:eastAsia="STZhongsong"/>
                <w:lang w:eastAsia="zh-CN"/>
              </w:rPr>
              <w:t xml:space="preserve"> </w:t>
            </w:r>
            <w:r>
              <w:rPr>
                <w:rFonts w:eastAsia="STZhongsong"/>
                <w:lang w:eastAsia="zh-CN"/>
              </w:rPr>
              <w:t xml:space="preserve">and </w:t>
            </w:r>
            <w:r w:rsidRPr="00AB3AB1">
              <w:rPr>
                <w:rFonts w:eastAsia="STZhongsong"/>
                <w:lang w:eastAsia="zh-CN"/>
              </w:rPr>
              <w:t xml:space="preserve">Call Off Schedule 2, the </w:t>
            </w:r>
            <w:r>
              <w:rPr>
                <w:rFonts w:eastAsia="STZhongsong"/>
                <w:lang w:eastAsia="zh-CN"/>
              </w:rPr>
              <w:t>S</w:t>
            </w:r>
            <w:r w:rsidRPr="00AB3AB1">
              <w:rPr>
                <w:rFonts w:eastAsia="STZhongsong"/>
                <w:lang w:eastAsia="zh-CN"/>
              </w:rPr>
              <w:t>upplier is also required to deliver, as part of the Services, the Key Performance Indicators listed below and detailed in Annex 1</w:t>
            </w:r>
            <w:r>
              <w:rPr>
                <w:rFonts w:eastAsia="STZhongsong"/>
                <w:lang w:eastAsia="zh-CN"/>
              </w:rPr>
              <w:t xml:space="preserve"> to this Call Off Order Form:</w:t>
            </w:r>
          </w:p>
          <w:p w14:paraId="0C78D368" w14:textId="7B5EEC24" w:rsidR="00D410A1" w:rsidRDefault="00D410A1" w:rsidP="00D410A1">
            <w:pPr>
              <w:pStyle w:val="ListParagraph"/>
              <w:numPr>
                <w:ilvl w:val="0"/>
                <w:numId w:val="99"/>
              </w:numPr>
              <w:overflowPunct/>
              <w:autoSpaceDE/>
              <w:autoSpaceDN/>
              <w:spacing w:after="120"/>
              <w:ind w:left="331" w:hanging="331"/>
              <w:textAlignment w:val="auto"/>
              <w:rPr>
                <w:iCs/>
              </w:rPr>
            </w:pPr>
            <w:r>
              <w:rPr>
                <w:iCs/>
              </w:rPr>
              <w:t xml:space="preserve">99% of timesheet reports completed and submitted to the Buyer within five (5) Working Days of </w:t>
            </w:r>
            <w:r w:rsidR="0007314C">
              <w:rPr>
                <w:iCs/>
              </w:rPr>
              <w:t>monthly</w:t>
            </w:r>
            <w:r>
              <w:rPr>
                <w:iCs/>
              </w:rPr>
              <w:t xml:space="preserve"> end detailing all billable work completed in the preceding </w:t>
            </w:r>
            <w:r w:rsidR="0007314C">
              <w:rPr>
                <w:iCs/>
              </w:rPr>
              <w:t>monthly.</w:t>
            </w:r>
          </w:p>
          <w:p w14:paraId="1252E938" w14:textId="77777777" w:rsidR="00D410A1" w:rsidRDefault="00D410A1" w:rsidP="00D410A1">
            <w:pPr>
              <w:pStyle w:val="ListParagraph"/>
              <w:numPr>
                <w:ilvl w:val="0"/>
                <w:numId w:val="99"/>
              </w:numPr>
              <w:overflowPunct/>
              <w:autoSpaceDE/>
              <w:autoSpaceDN/>
              <w:spacing w:after="120"/>
              <w:ind w:left="331" w:hanging="331"/>
              <w:textAlignment w:val="auto"/>
              <w:rPr>
                <w:iCs/>
              </w:rPr>
            </w:pPr>
            <w:r>
              <w:rPr>
                <w:iCs/>
              </w:rPr>
              <w:t>99% minimum accuracy across total invoices received (direct match between invoiced amounts and accompanying timesheets).</w:t>
            </w:r>
          </w:p>
          <w:p w14:paraId="38756A14" w14:textId="781A60E2" w:rsidR="009E291D" w:rsidRDefault="009E291D" w:rsidP="009E291D">
            <w:pPr>
              <w:ind w:left="0"/>
              <w:rPr>
                <w:color w:val="FF0000"/>
                <w:sz w:val="20"/>
                <w:szCs w:val="20"/>
              </w:rPr>
            </w:pPr>
          </w:p>
          <w:p w14:paraId="0469F98D" w14:textId="77777777" w:rsidR="002C7BBA" w:rsidRPr="001D7D82" w:rsidRDefault="002C7BBA" w:rsidP="002C7BBA">
            <w:pPr>
              <w:pStyle w:val="Default"/>
              <w:rPr>
                <w:rFonts w:asciiTheme="minorHAnsi" w:hAnsiTheme="minorHAnsi" w:cstheme="minorHAnsi"/>
                <w:i/>
                <w:iCs/>
                <w:sz w:val="22"/>
                <w:szCs w:val="22"/>
              </w:rPr>
            </w:pPr>
            <w:r w:rsidRPr="001D7D82">
              <w:rPr>
                <w:rFonts w:asciiTheme="minorHAnsi" w:hAnsiTheme="minorHAnsi" w:cstheme="minorHAnsi"/>
                <w:i/>
                <w:iCs/>
                <w:sz w:val="22"/>
                <w:szCs w:val="22"/>
              </w:rPr>
              <w:t xml:space="preserve">The </w:t>
            </w:r>
            <w:proofErr w:type="spellStart"/>
            <w:r w:rsidRPr="001D7D82">
              <w:rPr>
                <w:rFonts w:asciiTheme="minorHAnsi" w:hAnsiTheme="minorHAnsi" w:cstheme="minorHAnsi"/>
                <w:i/>
                <w:iCs/>
                <w:sz w:val="22"/>
                <w:szCs w:val="22"/>
              </w:rPr>
              <w:t>Akeso</w:t>
            </w:r>
            <w:proofErr w:type="spellEnd"/>
            <w:r w:rsidRPr="001D7D82">
              <w:rPr>
                <w:rFonts w:asciiTheme="minorHAnsi" w:hAnsiTheme="minorHAnsi" w:cstheme="minorHAnsi"/>
                <w:i/>
                <w:iCs/>
                <w:sz w:val="22"/>
                <w:szCs w:val="22"/>
              </w:rPr>
              <w:t xml:space="preserve"> Consultants are integrated within the Test Kit Supplies Team and their objectives and deliverables are aligned to the key milestones being fed through from the overarching Test &amp; Trace programme deliverables.</w:t>
            </w:r>
          </w:p>
          <w:p w14:paraId="70974D84" w14:textId="77777777" w:rsidR="002C7BBA" w:rsidRPr="001D7D82" w:rsidRDefault="002C7BBA" w:rsidP="002C7BBA">
            <w:pPr>
              <w:pStyle w:val="Default"/>
              <w:rPr>
                <w:rFonts w:asciiTheme="minorHAnsi" w:hAnsiTheme="minorHAnsi" w:cstheme="minorHAnsi"/>
                <w:i/>
                <w:iCs/>
                <w:sz w:val="22"/>
                <w:szCs w:val="22"/>
              </w:rPr>
            </w:pPr>
          </w:p>
          <w:p w14:paraId="7785C31A" w14:textId="77777777" w:rsidR="002C7BBA" w:rsidRPr="001D7D82" w:rsidRDefault="002C7BBA" w:rsidP="002C7BBA">
            <w:pPr>
              <w:pStyle w:val="Default"/>
              <w:rPr>
                <w:rFonts w:asciiTheme="minorHAnsi" w:hAnsiTheme="minorHAnsi" w:cstheme="minorHAnsi"/>
                <w:i/>
                <w:iCs/>
                <w:sz w:val="22"/>
                <w:szCs w:val="22"/>
              </w:rPr>
            </w:pPr>
            <w:r w:rsidRPr="001D7D82">
              <w:rPr>
                <w:rFonts w:asciiTheme="minorHAnsi" w:hAnsiTheme="minorHAnsi" w:cstheme="minorHAnsi"/>
                <w:i/>
                <w:iCs/>
                <w:sz w:val="22"/>
                <w:szCs w:val="22"/>
              </w:rPr>
              <w:t xml:space="preserve">The consultants hold a number of key leadership positions across the Test Kit Supplies team and are integral to managing the successful delivery of the team’s objectives. The </w:t>
            </w:r>
            <w:proofErr w:type="spellStart"/>
            <w:r w:rsidRPr="001D7D82">
              <w:rPr>
                <w:rFonts w:asciiTheme="minorHAnsi" w:hAnsiTheme="minorHAnsi" w:cstheme="minorHAnsi"/>
                <w:i/>
                <w:iCs/>
                <w:sz w:val="22"/>
                <w:szCs w:val="22"/>
              </w:rPr>
              <w:t>Akeso</w:t>
            </w:r>
            <w:proofErr w:type="spellEnd"/>
            <w:r w:rsidRPr="001D7D82">
              <w:rPr>
                <w:rFonts w:asciiTheme="minorHAnsi" w:hAnsiTheme="minorHAnsi" w:cstheme="minorHAnsi"/>
                <w:i/>
                <w:iCs/>
                <w:sz w:val="22"/>
                <w:szCs w:val="22"/>
              </w:rPr>
              <w:t xml:space="preserve"> consultants play an important role in the Operations team in particular, managing important relationships with suppliers and coordinating with the commercial team to ensure that supplies are in place to meet demand. </w:t>
            </w:r>
            <w:proofErr w:type="spellStart"/>
            <w:r w:rsidRPr="001D7D82">
              <w:rPr>
                <w:rFonts w:asciiTheme="minorHAnsi" w:hAnsiTheme="minorHAnsi" w:cstheme="minorHAnsi"/>
                <w:i/>
                <w:iCs/>
                <w:sz w:val="22"/>
                <w:szCs w:val="22"/>
              </w:rPr>
              <w:t>Akeso</w:t>
            </w:r>
            <w:proofErr w:type="spellEnd"/>
            <w:r w:rsidRPr="001D7D82">
              <w:rPr>
                <w:rFonts w:asciiTheme="minorHAnsi" w:hAnsiTheme="minorHAnsi" w:cstheme="minorHAnsi"/>
                <w:i/>
                <w:iCs/>
                <w:sz w:val="22"/>
                <w:szCs w:val="22"/>
              </w:rPr>
              <w:t xml:space="preserve"> resources are highlighted in light blue within the overall team structure below.</w:t>
            </w:r>
          </w:p>
          <w:p w14:paraId="06D14794" w14:textId="52AFD819" w:rsidR="002C7BBA" w:rsidRDefault="001D7E2D" w:rsidP="002C7BBA">
            <w:pPr>
              <w:spacing w:after="0"/>
              <w:rPr>
                <w:rFonts w:ascii="Calibri" w:eastAsia="Calibri" w:hAnsi="Calibri" w:cs="Calibri"/>
                <w:i/>
                <w:color w:val="000000"/>
                <w:lang w:eastAsia="en-GB"/>
              </w:rPr>
            </w:pPr>
            <w:r>
              <w:rPr>
                <w:rFonts w:cstheme="minorHAnsi"/>
                <w:noProof/>
                <w:sz w:val="20"/>
                <w:szCs w:val="20"/>
                <w:lang w:eastAsia="en-GB"/>
              </w:rPr>
              <w:t>REDACTED TEXT</w:t>
            </w:r>
          </w:p>
          <w:p w14:paraId="25B3A713" w14:textId="77777777" w:rsidR="002C7BBA" w:rsidRDefault="002C7BBA" w:rsidP="002C7BBA">
            <w:pPr>
              <w:spacing w:after="0"/>
              <w:rPr>
                <w:rFonts w:ascii="Calibri" w:eastAsia="Calibri" w:hAnsi="Calibri" w:cs="Calibri"/>
                <w:i/>
                <w:color w:val="000000"/>
                <w:lang w:eastAsia="en-GB"/>
              </w:rPr>
            </w:pPr>
          </w:p>
          <w:p w14:paraId="781D411E" w14:textId="77777777" w:rsidR="002C7BBA" w:rsidRPr="001D7D82" w:rsidRDefault="002C7BBA" w:rsidP="002C7BBA">
            <w:pPr>
              <w:pStyle w:val="Default"/>
              <w:rPr>
                <w:rFonts w:asciiTheme="minorHAnsi" w:hAnsiTheme="minorHAnsi" w:cstheme="minorHAnsi"/>
                <w:sz w:val="22"/>
                <w:szCs w:val="22"/>
              </w:rPr>
            </w:pPr>
            <w:proofErr w:type="spellStart"/>
            <w:r w:rsidRPr="001D7D82">
              <w:rPr>
                <w:rFonts w:asciiTheme="minorHAnsi" w:hAnsiTheme="minorHAnsi" w:cstheme="minorHAnsi"/>
                <w:i/>
                <w:iCs/>
                <w:sz w:val="22"/>
                <w:szCs w:val="22"/>
              </w:rPr>
              <w:t>Akeso</w:t>
            </w:r>
            <w:proofErr w:type="spellEnd"/>
            <w:r w:rsidRPr="001D7D82">
              <w:rPr>
                <w:rFonts w:asciiTheme="minorHAnsi" w:hAnsiTheme="minorHAnsi" w:cstheme="minorHAnsi"/>
                <w:i/>
                <w:iCs/>
                <w:sz w:val="22"/>
                <w:szCs w:val="22"/>
              </w:rPr>
              <w:t xml:space="preserve"> has set out a proposal demonstrating the areas that the team will focus their support over this next period in line with the programme’s requirements. The </w:t>
            </w:r>
            <w:proofErr w:type="gramStart"/>
            <w:r w:rsidRPr="001D7D82">
              <w:rPr>
                <w:rFonts w:asciiTheme="minorHAnsi" w:hAnsiTheme="minorHAnsi" w:cstheme="minorHAnsi"/>
                <w:i/>
                <w:iCs/>
                <w:sz w:val="22"/>
                <w:szCs w:val="22"/>
              </w:rPr>
              <w:t>high level</w:t>
            </w:r>
            <w:proofErr w:type="gramEnd"/>
            <w:r w:rsidRPr="001D7D82">
              <w:rPr>
                <w:rFonts w:asciiTheme="minorHAnsi" w:hAnsiTheme="minorHAnsi" w:cstheme="minorHAnsi"/>
                <w:i/>
                <w:iCs/>
                <w:sz w:val="22"/>
                <w:szCs w:val="22"/>
              </w:rPr>
              <w:t xml:space="preserve"> view is provided below</w:t>
            </w:r>
            <w:r w:rsidRPr="001D7D82">
              <w:rPr>
                <w:rFonts w:asciiTheme="minorHAnsi" w:hAnsiTheme="minorHAnsi" w:cstheme="minorHAnsi"/>
                <w:sz w:val="22"/>
                <w:szCs w:val="22"/>
              </w:rPr>
              <w:t xml:space="preserve">. </w:t>
            </w:r>
          </w:p>
          <w:p w14:paraId="1558051A" w14:textId="77777777" w:rsidR="002C7BBA" w:rsidRDefault="002C7BBA" w:rsidP="002C7BBA">
            <w:pPr>
              <w:spacing w:after="0"/>
              <w:rPr>
                <w:rFonts w:ascii="Calibri" w:eastAsia="Calibri" w:hAnsi="Calibri" w:cs="Calibri"/>
                <w:i/>
                <w:color w:val="000000"/>
                <w:lang w:eastAsia="en-GB"/>
              </w:rPr>
            </w:pPr>
            <w:r>
              <w:rPr>
                <w:rFonts w:cstheme="minorHAnsi"/>
                <w:noProof/>
                <w:sz w:val="20"/>
                <w:szCs w:val="20"/>
                <w:lang w:eastAsia="en-GB"/>
              </w:rPr>
              <w:drawing>
                <wp:inline distT="0" distB="0" distL="0" distR="0" wp14:anchorId="56A6983F" wp14:editId="502B98FB">
                  <wp:extent cx="3841380" cy="2153920"/>
                  <wp:effectExtent l="0" t="0" r="698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47341" cy="2157263"/>
                          </a:xfrm>
                          <a:prstGeom prst="rect">
                            <a:avLst/>
                          </a:prstGeom>
                          <a:noFill/>
                        </pic:spPr>
                      </pic:pic>
                    </a:graphicData>
                  </a:graphic>
                </wp:inline>
              </w:drawing>
            </w:r>
          </w:p>
          <w:p w14:paraId="6CC86AD1" w14:textId="77777777" w:rsidR="002C7BBA" w:rsidRPr="001D7D82" w:rsidRDefault="002C7BBA" w:rsidP="002C7BBA">
            <w:pPr>
              <w:pStyle w:val="Default"/>
              <w:rPr>
                <w:rFonts w:asciiTheme="minorHAnsi" w:hAnsiTheme="minorHAnsi" w:cstheme="minorHAnsi"/>
                <w:i/>
                <w:iCs/>
                <w:sz w:val="22"/>
                <w:szCs w:val="22"/>
              </w:rPr>
            </w:pPr>
            <w:r w:rsidRPr="001D7D82">
              <w:rPr>
                <w:rFonts w:asciiTheme="minorHAnsi" w:hAnsiTheme="minorHAnsi" w:cstheme="minorHAnsi"/>
                <w:i/>
                <w:iCs/>
                <w:sz w:val="22"/>
                <w:szCs w:val="22"/>
              </w:rPr>
              <w:t>For further context, examples of the activities completed by the team include:</w:t>
            </w:r>
          </w:p>
          <w:p w14:paraId="5FB6D2DA" w14:textId="77777777" w:rsidR="002C7BBA" w:rsidRPr="001D7D82" w:rsidRDefault="002C7BBA" w:rsidP="002C7BBA">
            <w:pPr>
              <w:pStyle w:val="Default"/>
              <w:numPr>
                <w:ilvl w:val="0"/>
                <w:numId w:val="104"/>
              </w:numPr>
              <w:adjustRightInd w:val="0"/>
              <w:rPr>
                <w:rFonts w:asciiTheme="minorHAnsi" w:hAnsiTheme="minorHAnsi" w:cstheme="minorHAnsi"/>
                <w:i/>
                <w:iCs/>
                <w:sz w:val="22"/>
                <w:szCs w:val="22"/>
              </w:rPr>
            </w:pPr>
            <w:r w:rsidRPr="001D7D82">
              <w:rPr>
                <w:rFonts w:asciiTheme="minorHAnsi" w:hAnsiTheme="minorHAnsi" w:cstheme="minorHAnsi"/>
                <w:i/>
                <w:iCs/>
                <w:sz w:val="22"/>
                <w:szCs w:val="22"/>
              </w:rPr>
              <w:lastRenderedPageBreak/>
              <w:t>Manage the Operations team to ensure that supply meets demand, for example by running and supporting the S&amp;OP process</w:t>
            </w:r>
          </w:p>
          <w:p w14:paraId="03C3EA03" w14:textId="77777777" w:rsidR="002C7BBA" w:rsidRPr="001D7D82" w:rsidRDefault="002C7BBA" w:rsidP="002C7BBA">
            <w:pPr>
              <w:pStyle w:val="Default"/>
              <w:numPr>
                <w:ilvl w:val="0"/>
                <w:numId w:val="104"/>
              </w:numPr>
              <w:adjustRightInd w:val="0"/>
              <w:rPr>
                <w:rFonts w:asciiTheme="minorHAnsi" w:hAnsiTheme="minorHAnsi" w:cstheme="minorHAnsi"/>
                <w:i/>
                <w:iCs/>
                <w:sz w:val="22"/>
                <w:szCs w:val="22"/>
              </w:rPr>
            </w:pPr>
            <w:r w:rsidRPr="001D7D82">
              <w:rPr>
                <w:rFonts w:asciiTheme="minorHAnsi" w:hAnsiTheme="minorHAnsi" w:cstheme="minorHAnsi"/>
                <w:i/>
                <w:iCs/>
                <w:sz w:val="22"/>
                <w:szCs w:val="22"/>
              </w:rPr>
              <w:t>Build and maintain strong relationships with key suppliers to the programme</w:t>
            </w:r>
          </w:p>
          <w:p w14:paraId="0DF52F63" w14:textId="77777777" w:rsidR="002C7BBA" w:rsidRPr="001D7D82" w:rsidRDefault="002C7BBA" w:rsidP="002C7BBA">
            <w:pPr>
              <w:pStyle w:val="Default"/>
              <w:numPr>
                <w:ilvl w:val="0"/>
                <w:numId w:val="104"/>
              </w:numPr>
              <w:adjustRightInd w:val="0"/>
              <w:rPr>
                <w:rFonts w:asciiTheme="minorHAnsi" w:hAnsiTheme="minorHAnsi" w:cstheme="minorHAnsi"/>
                <w:i/>
                <w:iCs/>
                <w:sz w:val="22"/>
                <w:szCs w:val="22"/>
              </w:rPr>
            </w:pPr>
            <w:r w:rsidRPr="001D7D82">
              <w:rPr>
                <w:rFonts w:asciiTheme="minorHAnsi" w:hAnsiTheme="minorHAnsi" w:cstheme="minorHAnsi"/>
                <w:i/>
                <w:iCs/>
                <w:sz w:val="22"/>
                <w:szCs w:val="22"/>
              </w:rPr>
              <w:t>Liaise with the Commercial Team to put in place and manage supply contracts</w:t>
            </w:r>
          </w:p>
          <w:p w14:paraId="1227A895" w14:textId="77777777" w:rsidR="002C7BBA" w:rsidRPr="001D7D82" w:rsidRDefault="002C7BBA" w:rsidP="002C7BBA">
            <w:pPr>
              <w:pStyle w:val="Default"/>
              <w:numPr>
                <w:ilvl w:val="0"/>
                <w:numId w:val="104"/>
              </w:numPr>
              <w:adjustRightInd w:val="0"/>
              <w:rPr>
                <w:rFonts w:asciiTheme="minorHAnsi" w:hAnsiTheme="minorHAnsi" w:cstheme="minorHAnsi"/>
                <w:i/>
                <w:iCs/>
                <w:sz w:val="22"/>
                <w:szCs w:val="22"/>
              </w:rPr>
            </w:pPr>
            <w:r w:rsidRPr="001D7D82">
              <w:rPr>
                <w:rFonts w:asciiTheme="minorHAnsi" w:hAnsiTheme="minorHAnsi" w:cstheme="minorHAnsi"/>
                <w:i/>
                <w:iCs/>
                <w:sz w:val="22"/>
                <w:szCs w:val="22"/>
              </w:rPr>
              <w:t>Operate the allocations process for distributing supplies to Pillar 1 and Pillar 2 customers</w:t>
            </w:r>
          </w:p>
          <w:p w14:paraId="167B17C6" w14:textId="77777777" w:rsidR="002C7BBA" w:rsidRPr="001D7D82" w:rsidRDefault="002C7BBA" w:rsidP="002C7BBA">
            <w:pPr>
              <w:pStyle w:val="Default"/>
              <w:numPr>
                <w:ilvl w:val="0"/>
                <w:numId w:val="104"/>
              </w:numPr>
              <w:adjustRightInd w:val="0"/>
              <w:rPr>
                <w:rFonts w:asciiTheme="minorHAnsi" w:hAnsiTheme="minorHAnsi" w:cstheme="minorHAnsi"/>
                <w:i/>
                <w:iCs/>
                <w:sz w:val="22"/>
                <w:szCs w:val="22"/>
              </w:rPr>
            </w:pPr>
            <w:r w:rsidRPr="001D7D82">
              <w:rPr>
                <w:rFonts w:asciiTheme="minorHAnsi" w:hAnsiTheme="minorHAnsi" w:cstheme="minorHAnsi"/>
                <w:i/>
                <w:iCs/>
                <w:sz w:val="22"/>
                <w:szCs w:val="22"/>
              </w:rPr>
              <w:t>Manage key stakeholder relationships within the programme</w:t>
            </w:r>
          </w:p>
          <w:p w14:paraId="0B4BD0E3" w14:textId="77777777" w:rsidR="002C7BBA" w:rsidRPr="001D7D82" w:rsidRDefault="002C7BBA" w:rsidP="002C7BBA">
            <w:pPr>
              <w:pStyle w:val="Default"/>
              <w:numPr>
                <w:ilvl w:val="0"/>
                <w:numId w:val="104"/>
              </w:numPr>
              <w:adjustRightInd w:val="0"/>
              <w:rPr>
                <w:rFonts w:asciiTheme="minorHAnsi" w:hAnsiTheme="minorHAnsi" w:cstheme="minorHAnsi"/>
                <w:i/>
                <w:iCs/>
                <w:sz w:val="22"/>
                <w:szCs w:val="22"/>
              </w:rPr>
            </w:pPr>
            <w:r w:rsidRPr="001D7D82">
              <w:rPr>
                <w:rFonts w:asciiTheme="minorHAnsi" w:hAnsiTheme="minorHAnsi" w:cstheme="minorHAnsi"/>
                <w:i/>
                <w:iCs/>
                <w:sz w:val="22"/>
                <w:szCs w:val="22"/>
              </w:rPr>
              <w:t>Develop organisational structures and work with HR / recruitment partners to ensure appropriate resources are in place</w:t>
            </w:r>
          </w:p>
          <w:p w14:paraId="769952A7" w14:textId="77777777" w:rsidR="002C7BBA" w:rsidRPr="001D7D82" w:rsidRDefault="002C7BBA" w:rsidP="002C7BBA">
            <w:pPr>
              <w:pStyle w:val="Default"/>
              <w:numPr>
                <w:ilvl w:val="0"/>
                <w:numId w:val="104"/>
              </w:numPr>
              <w:adjustRightInd w:val="0"/>
              <w:rPr>
                <w:rFonts w:asciiTheme="minorHAnsi" w:hAnsiTheme="minorHAnsi" w:cstheme="minorHAnsi"/>
                <w:i/>
                <w:iCs/>
                <w:sz w:val="22"/>
                <w:szCs w:val="22"/>
              </w:rPr>
            </w:pPr>
            <w:r w:rsidRPr="001D7D82">
              <w:rPr>
                <w:rFonts w:asciiTheme="minorHAnsi" w:hAnsiTheme="minorHAnsi" w:cstheme="minorHAnsi"/>
                <w:i/>
                <w:iCs/>
                <w:sz w:val="22"/>
                <w:szCs w:val="22"/>
              </w:rPr>
              <w:t>Manage key projects for the team, including process improvement initiatives and projects set out in strategy documents</w:t>
            </w:r>
          </w:p>
          <w:p w14:paraId="2703B9E3" w14:textId="77777777" w:rsidR="002C7BBA" w:rsidRDefault="002C7BBA" w:rsidP="009E291D">
            <w:pPr>
              <w:ind w:left="0"/>
              <w:rPr>
                <w:color w:val="FF0000"/>
                <w:sz w:val="20"/>
                <w:szCs w:val="20"/>
              </w:rPr>
            </w:pPr>
          </w:p>
          <w:p w14:paraId="6D7FB8ED" w14:textId="518E2331" w:rsidR="002740F1" w:rsidRPr="00172A22" w:rsidRDefault="002740F1">
            <w:pPr>
              <w:numPr>
                <w:ilvl w:val="1"/>
                <w:numId w:val="0"/>
              </w:numPr>
              <w:overflowPunct/>
              <w:autoSpaceDE/>
              <w:autoSpaceDN/>
              <w:spacing w:after="0"/>
              <w:jc w:val="left"/>
              <w:textAlignment w:val="auto"/>
              <w:rPr>
                <w:rFonts w:eastAsia="STZhongsong"/>
                <w:b/>
                <w:i/>
                <w:iCs/>
                <w:lang w:eastAsia="zh-CN"/>
              </w:rPr>
            </w:pP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172"/>
      </w:tblGrid>
      <w:tr w:rsidR="00172A22" w:rsidRPr="00730F3E" w14:paraId="7BEDE618" w14:textId="77777777" w:rsidTr="000731CD">
        <w:trPr>
          <w:trHeight w:val="70"/>
        </w:trPr>
        <w:tc>
          <w:tcPr>
            <w:tcW w:w="738" w:type="dxa"/>
          </w:tcPr>
          <w:p w14:paraId="3C400C1B" w14:textId="77777777" w:rsidR="00172A22" w:rsidRPr="0011796B" w:rsidRDefault="00172A22">
            <w:pPr>
              <w:ind w:left="0"/>
              <w:rPr>
                <w:b/>
              </w:rPr>
            </w:pPr>
            <w:r w:rsidRPr="0011796B">
              <w:rPr>
                <w:b/>
              </w:rPr>
              <w:t xml:space="preserve">3.1. </w:t>
            </w:r>
          </w:p>
        </w:tc>
        <w:tc>
          <w:tcPr>
            <w:tcW w:w="9172" w:type="dxa"/>
            <w:shd w:val="clear" w:color="auto" w:fill="auto"/>
          </w:tcPr>
          <w:p w14:paraId="001D3BE2" w14:textId="180A3391" w:rsidR="00172A22" w:rsidRPr="00982D63" w:rsidRDefault="00172A22">
            <w:pPr>
              <w:ind w:left="0"/>
            </w:pPr>
            <w:r w:rsidRPr="00982D63">
              <w:rPr>
                <w:b/>
              </w:rPr>
              <w:t>Project Plan</w:t>
            </w:r>
            <w:r w:rsidRPr="00982D63">
              <w:t xml:space="preserve">:  </w:t>
            </w:r>
          </w:p>
          <w:p w14:paraId="3CDD773E" w14:textId="18DF6B67" w:rsidR="00D410A1" w:rsidRDefault="00730F3E" w:rsidP="00D410A1">
            <w:pPr>
              <w:ind w:left="0"/>
            </w:pPr>
            <w:r>
              <w:t xml:space="preserve">The </w:t>
            </w:r>
            <w:r w:rsidR="00D410A1">
              <w:t xml:space="preserve">Supplier shall provide the Customer with a draft Project Plan for Approval </w:t>
            </w:r>
            <w:r w:rsidR="00D410A1" w:rsidRPr="00E95F5D">
              <w:t>within [</w:t>
            </w:r>
            <w:r w:rsidR="002F0DD4" w:rsidRPr="00E95F5D">
              <w:t>10</w:t>
            </w:r>
            <w:r w:rsidR="00D410A1" w:rsidRPr="00E95F5D">
              <w:t>]</w:t>
            </w:r>
            <w:r w:rsidR="00D410A1">
              <w:t xml:space="preserve"> Working Days from the Call Off Commencement Date]</w:t>
            </w:r>
          </w:p>
          <w:p w14:paraId="17345FE4" w14:textId="77777777" w:rsidR="00D410A1" w:rsidRDefault="00D410A1" w:rsidP="00D410A1">
            <w:pPr>
              <w:ind w:left="0"/>
            </w:pPr>
            <w:r>
              <w:t>This Call-Off Contract will include the following Project Plan, exit and offboarding plans and milestones:</w:t>
            </w:r>
          </w:p>
          <w:p w14:paraId="13F0CCA2" w14:textId="75DC734C" w:rsidR="00D410A1" w:rsidRPr="00982D63" w:rsidRDefault="00D410A1" w:rsidP="00D410A1">
            <w:pPr>
              <w:ind w:left="0"/>
            </w:pPr>
          </w:p>
        </w:tc>
      </w:tr>
      <w:tr w:rsidR="00D410A1" w:rsidRPr="00730F3E" w14:paraId="6A021251" w14:textId="77777777" w:rsidTr="000731CD">
        <w:tc>
          <w:tcPr>
            <w:tcW w:w="9910" w:type="dxa"/>
            <w:gridSpan w:val="2"/>
          </w:tcPr>
          <w:tbl>
            <w:tblPr>
              <w:tblStyle w:val="TableGrid"/>
              <w:tblW w:w="0" w:type="auto"/>
              <w:tblLook w:val="04A0" w:firstRow="1" w:lastRow="0" w:firstColumn="1" w:lastColumn="0" w:noHBand="0" w:noVBand="1"/>
            </w:tblPr>
            <w:tblGrid>
              <w:gridCol w:w="1439"/>
              <w:gridCol w:w="1450"/>
              <w:gridCol w:w="1039"/>
              <w:gridCol w:w="1684"/>
              <w:gridCol w:w="1750"/>
              <w:gridCol w:w="1161"/>
              <w:gridCol w:w="1161"/>
            </w:tblGrid>
            <w:tr w:rsidR="00D410A1" w:rsidRPr="00D410A1" w14:paraId="66CB4C4D" w14:textId="77777777" w:rsidTr="00D410A1">
              <w:trPr>
                <w:trHeight w:val="670"/>
              </w:trPr>
              <w:tc>
                <w:tcPr>
                  <w:tcW w:w="0" w:type="auto"/>
                </w:tcPr>
                <w:p w14:paraId="5384D251" w14:textId="77777777" w:rsidR="00D410A1" w:rsidRPr="00D410A1" w:rsidRDefault="00D410A1" w:rsidP="00D410A1">
                  <w:pPr>
                    <w:ind w:left="0"/>
                    <w:jc w:val="left"/>
                    <w:rPr>
                      <w:b/>
                      <w:sz w:val="20"/>
                    </w:rPr>
                  </w:pPr>
                  <w:r w:rsidRPr="00D410A1">
                    <w:rPr>
                      <w:b/>
                      <w:sz w:val="20"/>
                    </w:rPr>
                    <w:t>Milestone</w:t>
                  </w:r>
                </w:p>
              </w:tc>
              <w:tc>
                <w:tcPr>
                  <w:tcW w:w="1450" w:type="dxa"/>
                </w:tcPr>
                <w:p w14:paraId="29854E62" w14:textId="77777777" w:rsidR="00D410A1" w:rsidRPr="00D410A1" w:rsidRDefault="00D410A1" w:rsidP="00D410A1">
                  <w:pPr>
                    <w:ind w:left="0"/>
                    <w:jc w:val="left"/>
                    <w:rPr>
                      <w:b/>
                      <w:sz w:val="20"/>
                    </w:rPr>
                  </w:pPr>
                  <w:r w:rsidRPr="00D410A1">
                    <w:rPr>
                      <w:b/>
                      <w:sz w:val="20"/>
                    </w:rPr>
                    <w:t>Deliverables</w:t>
                  </w:r>
                </w:p>
              </w:tc>
              <w:tc>
                <w:tcPr>
                  <w:tcW w:w="1103" w:type="dxa"/>
                </w:tcPr>
                <w:p w14:paraId="7A1CE116" w14:textId="77777777" w:rsidR="00D410A1" w:rsidRPr="00D410A1" w:rsidRDefault="00D410A1" w:rsidP="00D410A1">
                  <w:pPr>
                    <w:ind w:left="0"/>
                    <w:jc w:val="left"/>
                    <w:rPr>
                      <w:b/>
                      <w:sz w:val="20"/>
                    </w:rPr>
                  </w:pPr>
                  <w:r w:rsidRPr="00D410A1">
                    <w:rPr>
                      <w:b/>
                      <w:sz w:val="20"/>
                    </w:rPr>
                    <w:t>Duration</w:t>
                  </w:r>
                </w:p>
              </w:tc>
              <w:tc>
                <w:tcPr>
                  <w:tcW w:w="0" w:type="auto"/>
                </w:tcPr>
                <w:p w14:paraId="40F400E1" w14:textId="77777777" w:rsidR="00D410A1" w:rsidRPr="00D410A1" w:rsidRDefault="00D410A1" w:rsidP="00D410A1">
                  <w:pPr>
                    <w:ind w:left="0"/>
                    <w:jc w:val="left"/>
                    <w:rPr>
                      <w:b/>
                      <w:sz w:val="20"/>
                    </w:rPr>
                  </w:pPr>
                  <w:r w:rsidRPr="00D410A1">
                    <w:rPr>
                      <w:b/>
                      <w:sz w:val="20"/>
                    </w:rPr>
                    <w:t>Milestone Date</w:t>
                  </w:r>
                </w:p>
              </w:tc>
              <w:tc>
                <w:tcPr>
                  <w:tcW w:w="1750" w:type="dxa"/>
                </w:tcPr>
                <w:p w14:paraId="6BD28330" w14:textId="77777777" w:rsidR="00D410A1" w:rsidRPr="00D410A1" w:rsidRDefault="00D410A1" w:rsidP="00D410A1">
                  <w:pPr>
                    <w:ind w:left="0"/>
                    <w:jc w:val="left"/>
                    <w:rPr>
                      <w:b/>
                      <w:sz w:val="20"/>
                    </w:rPr>
                  </w:pPr>
                  <w:r w:rsidRPr="00D410A1">
                    <w:rPr>
                      <w:b/>
                      <w:sz w:val="20"/>
                    </w:rPr>
                    <w:t>Customer Responsibilities</w:t>
                  </w:r>
                </w:p>
              </w:tc>
              <w:tc>
                <w:tcPr>
                  <w:tcW w:w="1161" w:type="dxa"/>
                </w:tcPr>
                <w:p w14:paraId="05FFC546" w14:textId="77777777" w:rsidR="00D410A1" w:rsidRPr="00D410A1" w:rsidRDefault="00D410A1" w:rsidP="00D410A1">
                  <w:pPr>
                    <w:ind w:left="0"/>
                    <w:jc w:val="left"/>
                    <w:rPr>
                      <w:b/>
                      <w:sz w:val="20"/>
                    </w:rPr>
                  </w:pPr>
                  <w:r w:rsidRPr="00D410A1">
                    <w:rPr>
                      <w:b/>
                      <w:sz w:val="20"/>
                    </w:rPr>
                    <w:t>Milestone Payments</w:t>
                  </w:r>
                </w:p>
              </w:tc>
              <w:tc>
                <w:tcPr>
                  <w:tcW w:w="1106" w:type="dxa"/>
                </w:tcPr>
                <w:p w14:paraId="403FB338" w14:textId="77777777" w:rsidR="00D410A1" w:rsidRPr="00D410A1" w:rsidRDefault="00D410A1" w:rsidP="00D410A1">
                  <w:pPr>
                    <w:ind w:left="0"/>
                    <w:jc w:val="left"/>
                    <w:rPr>
                      <w:b/>
                      <w:sz w:val="20"/>
                    </w:rPr>
                  </w:pPr>
                  <w:r w:rsidRPr="00D410A1">
                    <w:rPr>
                      <w:b/>
                      <w:sz w:val="20"/>
                    </w:rPr>
                    <w:t>Delay Payments</w:t>
                  </w:r>
                </w:p>
              </w:tc>
            </w:tr>
            <w:tr w:rsidR="00D410A1" w:rsidRPr="00532A43" w:rsidDel="007976AA" w14:paraId="384806F0" w14:textId="77777777" w:rsidTr="00D410A1">
              <w:trPr>
                <w:trHeight w:val="2565"/>
              </w:trPr>
              <w:tc>
                <w:tcPr>
                  <w:tcW w:w="0" w:type="auto"/>
                </w:tcPr>
                <w:p w14:paraId="203B0176" w14:textId="77777777" w:rsidR="00D410A1" w:rsidRPr="00532A43" w:rsidRDefault="00D410A1" w:rsidP="00D410A1">
                  <w:pPr>
                    <w:ind w:left="0"/>
                    <w:rPr>
                      <w:sz w:val="20"/>
                    </w:rPr>
                  </w:pPr>
                  <w:r>
                    <w:rPr>
                      <w:sz w:val="20"/>
                      <w:szCs w:val="20"/>
                    </w:rPr>
                    <w:lastRenderedPageBreak/>
                    <w:t>Project Plan Delivered</w:t>
                  </w:r>
                </w:p>
              </w:tc>
              <w:tc>
                <w:tcPr>
                  <w:tcW w:w="1450" w:type="dxa"/>
                </w:tcPr>
                <w:p w14:paraId="12B3DD64" w14:textId="77777777" w:rsidR="00D410A1" w:rsidRDefault="00D410A1" w:rsidP="00D410A1">
                  <w:pPr>
                    <w:suppressAutoHyphens/>
                    <w:overflowPunct/>
                    <w:autoSpaceDE/>
                    <w:adjustRightInd/>
                    <w:spacing w:after="0" w:line="276" w:lineRule="auto"/>
                    <w:ind w:left="0"/>
                    <w:jc w:val="left"/>
                    <w:rPr>
                      <w:sz w:val="20"/>
                      <w:szCs w:val="20"/>
                    </w:rPr>
                  </w:pPr>
                  <w:r>
                    <w:rPr>
                      <w:sz w:val="20"/>
                      <w:szCs w:val="20"/>
                    </w:rPr>
                    <w:t xml:space="preserve">An Approved Project Plan per work package (to include all Deliverables and Milestones) </w:t>
                  </w:r>
                </w:p>
                <w:p w14:paraId="194110C9" w14:textId="77777777" w:rsidR="00D410A1" w:rsidRDefault="00D410A1" w:rsidP="00D410A1">
                  <w:pPr>
                    <w:suppressAutoHyphens/>
                    <w:overflowPunct/>
                    <w:autoSpaceDE/>
                    <w:adjustRightInd/>
                    <w:spacing w:after="0" w:line="276" w:lineRule="auto"/>
                    <w:ind w:left="0"/>
                    <w:jc w:val="left"/>
                    <w:rPr>
                      <w:sz w:val="20"/>
                      <w:szCs w:val="20"/>
                    </w:rPr>
                  </w:pPr>
                </w:p>
                <w:p w14:paraId="702D9F1F" w14:textId="77777777" w:rsidR="00D410A1" w:rsidRPr="00532A43" w:rsidRDefault="00D410A1" w:rsidP="00D410A1">
                  <w:pPr>
                    <w:suppressAutoHyphens/>
                    <w:overflowPunct/>
                    <w:autoSpaceDE/>
                    <w:adjustRightInd/>
                    <w:spacing w:after="0" w:line="276" w:lineRule="auto"/>
                    <w:ind w:left="0"/>
                    <w:jc w:val="left"/>
                    <w:rPr>
                      <w:sz w:val="20"/>
                    </w:rPr>
                  </w:pPr>
                </w:p>
              </w:tc>
              <w:tc>
                <w:tcPr>
                  <w:tcW w:w="1103" w:type="dxa"/>
                </w:tcPr>
                <w:p w14:paraId="213E59A1" w14:textId="77777777" w:rsidR="00D410A1" w:rsidRPr="00532A43" w:rsidDel="007976AA" w:rsidRDefault="00D410A1" w:rsidP="00D410A1">
                  <w:pPr>
                    <w:ind w:left="0"/>
                    <w:jc w:val="center"/>
                    <w:rPr>
                      <w:sz w:val="20"/>
                      <w:highlight w:val="yellow"/>
                    </w:rPr>
                  </w:pPr>
                </w:p>
              </w:tc>
              <w:tc>
                <w:tcPr>
                  <w:tcW w:w="0" w:type="auto"/>
                </w:tcPr>
                <w:p w14:paraId="70014895" w14:textId="77777777" w:rsidR="00D410A1" w:rsidRPr="00D760A0" w:rsidDel="007976AA" w:rsidRDefault="00D410A1" w:rsidP="00D410A1">
                  <w:pPr>
                    <w:ind w:left="0"/>
                    <w:jc w:val="center"/>
                    <w:rPr>
                      <w:sz w:val="20"/>
                    </w:rPr>
                  </w:pPr>
                  <w:r w:rsidRPr="00D760A0">
                    <w:rPr>
                      <w:sz w:val="20"/>
                      <w:szCs w:val="20"/>
                    </w:rPr>
                    <w:t>Within ten (10) Working Days of Call Off Contract Commencement</w:t>
                  </w:r>
                </w:p>
              </w:tc>
              <w:tc>
                <w:tcPr>
                  <w:tcW w:w="1750" w:type="dxa"/>
                </w:tcPr>
                <w:p w14:paraId="7C4A66D3" w14:textId="77777777" w:rsidR="00D410A1" w:rsidRPr="00D760A0" w:rsidDel="007976AA" w:rsidRDefault="00D410A1" w:rsidP="00D410A1">
                  <w:pPr>
                    <w:ind w:left="0"/>
                    <w:jc w:val="center"/>
                    <w:rPr>
                      <w:sz w:val="20"/>
                    </w:rPr>
                  </w:pPr>
                </w:p>
              </w:tc>
              <w:tc>
                <w:tcPr>
                  <w:tcW w:w="1161" w:type="dxa"/>
                </w:tcPr>
                <w:p w14:paraId="4D579FAB" w14:textId="225A4D77" w:rsidR="00D410A1" w:rsidRPr="00D760A0" w:rsidDel="007976AA" w:rsidRDefault="00D760A0" w:rsidP="00D410A1">
                  <w:pPr>
                    <w:ind w:left="0"/>
                    <w:jc w:val="center"/>
                    <w:rPr>
                      <w:sz w:val="20"/>
                    </w:rPr>
                  </w:pPr>
                  <w:r w:rsidRPr="00D760A0">
                    <w:rPr>
                      <w:sz w:val="20"/>
                      <w:szCs w:val="20"/>
                    </w:rPr>
                    <w:t xml:space="preserve">N/A </w:t>
                  </w:r>
                </w:p>
              </w:tc>
              <w:tc>
                <w:tcPr>
                  <w:tcW w:w="1106" w:type="dxa"/>
                </w:tcPr>
                <w:p w14:paraId="35953611" w14:textId="77777777" w:rsidR="00D410A1" w:rsidRPr="00532A43" w:rsidDel="007976AA" w:rsidRDefault="00D410A1" w:rsidP="00D410A1">
                  <w:pPr>
                    <w:ind w:left="0"/>
                    <w:jc w:val="center"/>
                    <w:rPr>
                      <w:sz w:val="20"/>
                      <w:highlight w:val="yellow"/>
                    </w:rPr>
                  </w:pPr>
                </w:p>
              </w:tc>
            </w:tr>
            <w:tr w:rsidR="00D410A1" w:rsidRPr="00EE2AA6" w:rsidDel="007976AA" w14:paraId="1C8A16F3" w14:textId="77777777" w:rsidTr="00D410A1">
              <w:trPr>
                <w:trHeight w:val="3600"/>
              </w:trPr>
              <w:tc>
                <w:tcPr>
                  <w:tcW w:w="0" w:type="auto"/>
                </w:tcPr>
                <w:p w14:paraId="3E3EFA15" w14:textId="77777777" w:rsidR="00D410A1" w:rsidRPr="00EE2AA6" w:rsidDel="007976AA" w:rsidRDefault="00D410A1" w:rsidP="00D410A1">
                  <w:pPr>
                    <w:ind w:left="0"/>
                    <w:rPr>
                      <w:sz w:val="20"/>
                      <w:szCs w:val="20"/>
                    </w:rPr>
                  </w:pPr>
                  <w:r>
                    <w:rPr>
                      <w:sz w:val="20"/>
                      <w:szCs w:val="20"/>
                    </w:rPr>
                    <w:t>Knowledge Transfer Complete</w:t>
                  </w:r>
                </w:p>
              </w:tc>
              <w:tc>
                <w:tcPr>
                  <w:tcW w:w="1450" w:type="dxa"/>
                </w:tcPr>
                <w:p w14:paraId="110CC9C1" w14:textId="77777777" w:rsidR="00D410A1" w:rsidRPr="00FA6C40" w:rsidDel="007976AA" w:rsidRDefault="00D410A1" w:rsidP="00D410A1">
                  <w:pPr>
                    <w:suppressAutoHyphens/>
                    <w:overflowPunct/>
                    <w:autoSpaceDE/>
                    <w:adjustRightInd/>
                    <w:spacing w:after="0" w:line="276" w:lineRule="auto"/>
                    <w:ind w:left="0"/>
                    <w:jc w:val="left"/>
                    <w:rPr>
                      <w:sz w:val="20"/>
                      <w:szCs w:val="20"/>
                    </w:rPr>
                  </w:pPr>
                  <w:r>
                    <w:rPr>
                      <w:sz w:val="20"/>
                      <w:szCs w:val="20"/>
                    </w:rPr>
                    <w:t>A knowledge transfer plan in accordance with paragraph 13 of Call Off Schedule 9 (Exit Management) as varied by section 8.4 of this Order Form</w:t>
                  </w:r>
                </w:p>
              </w:tc>
              <w:tc>
                <w:tcPr>
                  <w:tcW w:w="1103" w:type="dxa"/>
                </w:tcPr>
                <w:p w14:paraId="32A4A796" w14:textId="77777777" w:rsidR="00D410A1" w:rsidRPr="00EE2AA6" w:rsidDel="007976AA" w:rsidRDefault="00D410A1" w:rsidP="00D410A1">
                  <w:pPr>
                    <w:ind w:left="0"/>
                    <w:jc w:val="center"/>
                    <w:rPr>
                      <w:sz w:val="20"/>
                      <w:szCs w:val="20"/>
                      <w:highlight w:val="yellow"/>
                    </w:rPr>
                  </w:pPr>
                </w:p>
              </w:tc>
              <w:tc>
                <w:tcPr>
                  <w:tcW w:w="0" w:type="auto"/>
                </w:tcPr>
                <w:p w14:paraId="71BE015A" w14:textId="5BA55227" w:rsidR="00D410A1" w:rsidRPr="00D760A0" w:rsidDel="007976AA" w:rsidRDefault="00561CC2" w:rsidP="00D410A1">
                  <w:pPr>
                    <w:ind w:left="0"/>
                    <w:jc w:val="center"/>
                    <w:rPr>
                      <w:sz w:val="20"/>
                      <w:szCs w:val="20"/>
                    </w:rPr>
                  </w:pPr>
                  <w:r>
                    <w:rPr>
                      <w:sz w:val="20"/>
                      <w:szCs w:val="20"/>
                    </w:rPr>
                    <w:t>Knowledge Transfer Plan to be written within ten</w:t>
                  </w:r>
                  <w:r w:rsidRPr="00D760A0">
                    <w:rPr>
                      <w:sz w:val="20"/>
                      <w:szCs w:val="20"/>
                    </w:rPr>
                    <w:t xml:space="preserve"> (</w:t>
                  </w:r>
                  <w:r>
                    <w:rPr>
                      <w:sz w:val="20"/>
                      <w:szCs w:val="20"/>
                    </w:rPr>
                    <w:t>1</w:t>
                  </w:r>
                  <w:r w:rsidRPr="00D760A0">
                    <w:rPr>
                      <w:sz w:val="20"/>
                      <w:szCs w:val="20"/>
                    </w:rPr>
                    <w:t xml:space="preserve">0) Working Days of </w:t>
                  </w:r>
                  <w:r>
                    <w:rPr>
                      <w:sz w:val="20"/>
                      <w:szCs w:val="20"/>
                    </w:rPr>
                    <w:t>confirmed Resource Roll</w:t>
                  </w:r>
                  <w:r w:rsidRPr="00D760A0">
                    <w:rPr>
                      <w:sz w:val="20"/>
                      <w:szCs w:val="20"/>
                    </w:rPr>
                    <w:t xml:space="preserve"> Off</w:t>
                  </w:r>
                  <w:r>
                    <w:rPr>
                      <w:sz w:val="20"/>
                      <w:szCs w:val="20"/>
                    </w:rPr>
                    <w:t>. Resource Roll Off will be confirmed in line with two (2) monthly project check points</w:t>
                  </w:r>
                </w:p>
              </w:tc>
              <w:tc>
                <w:tcPr>
                  <w:tcW w:w="1750" w:type="dxa"/>
                </w:tcPr>
                <w:p w14:paraId="2146CE10" w14:textId="77777777" w:rsidR="00D410A1" w:rsidRPr="00D760A0" w:rsidDel="007976AA" w:rsidRDefault="00D410A1" w:rsidP="00D410A1">
                  <w:pPr>
                    <w:ind w:left="0"/>
                    <w:jc w:val="center"/>
                    <w:rPr>
                      <w:sz w:val="20"/>
                      <w:szCs w:val="20"/>
                    </w:rPr>
                  </w:pPr>
                </w:p>
              </w:tc>
              <w:tc>
                <w:tcPr>
                  <w:tcW w:w="1161" w:type="dxa"/>
                </w:tcPr>
                <w:p w14:paraId="345BF2BC" w14:textId="1C71A4DB" w:rsidR="00D410A1" w:rsidRPr="00D760A0" w:rsidDel="007976AA" w:rsidRDefault="00D760A0" w:rsidP="00D410A1">
                  <w:pPr>
                    <w:ind w:left="0"/>
                    <w:jc w:val="center"/>
                    <w:rPr>
                      <w:sz w:val="20"/>
                      <w:szCs w:val="20"/>
                    </w:rPr>
                  </w:pPr>
                  <w:r w:rsidRPr="00D760A0">
                    <w:rPr>
                      <w:sz w:val="20"/>
                      <w:szCs w:val="20"/>
                    </w:rPr>
                    <w:t xml:space="preserve">N/A </w:t>
                  </w:r>
                </w:p>
              </w:tc>
              <w:tc>
                <w:tcPr>
                  <w:tcW w:w="1106" w:type="dxa"/>
                </w:tcPr>
                <w:p w14:paraId="467BF59B" w14:textId="77777777" w:rsidR="00D410A1" w:rsidRPr="00EE2AA6" w:rsidDel="007976AA" w:rsidRDefault="00D410A1" w:rsidP="00D410A1">
                  <w:pPr>
                    <w:ind w:left="0"/>
                    <w:jc w:val="center"/>
                    <w:rPr>
                      <w:sz w:val="20"/>
                      <w:szCs w:val="20"/>
                      <w:highlight w:val="yellow"/>
                    </w:rPr>
                  </w:pPr>
                </w:p>
              </w:tc>
            </w:tr>
            <w:tr w:rsidR="00D410A1" w:rsidRPr="00EE2AA6" w14:paraId="6811AF31" w14:textId="77777777" w:rsidTr="00D410A1">
              <w:trPr>
                <w:trHeight w:val="903"/>
              </w:trPr>
              <w:tc>
                <w:tcPr>
                  <w:tcW w:w="0" w:type="auto"/>
                </w:tcPr>
                <w:p w14:paraId="789F215F" w14:textId="77777777" w:rsidR="00D410A1" w:rsidRPr="00D760A0" w:rsidRDefault="00D410A1" w:rsidP="00D410A1">
                  <w:pPr>
                    <w:spacing w:before="240"/>
                    <w:ind w:left="0"/>
                    <w:rPr>
                      <w:sz w:val="20"/>
                      <w:szCs w:val="20"/>
                    </w:rPr>
                  </w:pPr>
                  <w:r w:rsidRPr="00D760A0">
                    <w:rPr>
                      <w:sz w:val="20"/>
                      <w:szCs w:val="20"/>
                    </w:rPr>
                    <w:t>Transparency Reports</w:t>
                  </w:r>
                </w:p>
              </w:tc>
              <w:tc>
                <w:tcPr>
                  <w:tcW w:w="1450" w:type="dxa"/>
                </w:tcPr>
                <w:p w14:paraId="0BD02317" w14:textId="6CC99234" w:rsidR="00D410A1" w:rsidRPr="00D760A0" w:rsidRDefault="00C912F6" w:rsidP="00D760A0">
                  <w:pPr>
                    <w:ind w:left="0"/>
                    <w:rPr>
                      <w:sz w:val="20"/>
                      <w:szCs w:val="20"/>
                    </w:rPr>
                  </w:pPr>
                  <w:r w:rsidRPr="00D760A0">
                    <w:rPr>
                      <w:sz w:val="20"/>
                      <w:szCs w:val="20"/>
                    </w:rPr>
                    <w:t>As set out in section 10.10 below</w:t>
                  </w:r>
                </w:p>
              </w:tc>
              <w:tc>
                <w:tcPr>
                  <w:tcW w:w="1103" w:type="dxa"/>
                </w:tcPr>
                <w:p w14:paraId="4ADEDA49" w14:textId="77777777" w:rsidR="00D410A1" w:rsidRPr="00D760A0" w:rsidRDefault="00D410A1" w:rsidP="00D410A1">
                  <w:pPr>
                    <w:ind w:left="0"/>
                    <w:jc w:val="center"/>
                    <w:rPr>
                      <w:sz w:val="20"/>
                      <w:szCs w:val="20"/>
                    </w:rPr>
                  </w:pPr>
                </w:p>
              </w:tc>
              <w:tc>
                <w:tcPr>
                  <w:tcW w:w="0" w:type="auto"/>
                </w:tcPr>
                <w:p w14:paraId="6268ED72" w14:textId="72D72F76" w:rsidR="00D410A1" w:rsidRPr="00D760A0" w:rsidRDefault="00C912F6" w:rsidP="00D760A0">
                  <w:pPr>
                    <w:ind w:left="0"/>
                    <w:jc w:val="center"/>
                    <w:rPr>
                      <w:sz w:val="20"/>
                      <w:szCs w:val="20"/>
                    </w:rPr>
                  </w:pPr>
                  <w:r w:rsidRPr="00D760A0">
                    <w:rPr>
                      <w:sz w:val="20"/>
                      <w:szCs w:val="20"/>
                    </w:rPr>
                    <w:t>As set out in section 10.10 below</w:t>
                  </w:r>
                </w:p>
              </w:tc>
              <w:tc>
                <w:tcPr>
                  <w:tcW w:w="1750" w:type="dxa"/>
                </w:tcPr>
                <w:p w14:paraId="6E6A20D4" w14:textId="77777777" w:rsidR="00D410A1" w:rsidRPr="00EE2AA6" w:rsidRDefault="00D410A1" w:rsidP="00D410A1">
                  <w:pPr>
                    <w:ind w:left="0"/>
                    <w:jc w:val="center"/>
                    <w:rPr>
                      <w:sz w:val="20"/>
                      <w:szCs w:val="20"/>
                      <w:highlight w:val="yellow"/>
                    </w:rPr>
                  </w:pPr>
                </w:p>
              </w:tc>
              <w:tc>
                <w:tcPr>
                  <w:tcW w:w="1161" w:type="dxa"/>
                </w:tcPr>
                <w:p w14:paraId="787A4CDD" w14:textId="77777777" w:rsidR="00D410A1" w:rsidRPr="00EE2AA6" w:rsidRDefault="00D410A1" w:rsidP="00D410A1">
                  <w:pPr>
                    <w:ind w:left="0"/>
                    <w:jc w:val="center"/>
                    <w:rPr>
                      <w:sz w:val="20"/>
                      <w:szCs w:val="20"/>
                      <w:highlight w:val="yellow"/>
                    </w:rPr>
                  </w:pPr>
                </w:p>
              </w:tc>
              <w:tc>
                <w:tcPr>
                  <w:tcW w:w="1106" w:type="dxa"/>
                </w:tcPr>
                <w:p w14:paraId="06E3B133" w14:textId="77777777" w:rsidR="00D410A1" w:rsidRPr="00EE2AA6" w:rsidRDefault="00D410A1" w:rsidP="00D410A1">
                  <w:pPr>
                    <w:ind w:left="0"/>
                    <w:jc w:val="center"/>
                    <w:rPr>
                      <w:sz w:val="20"/>
                      <w:szCs w:val="20"/>
                      <w:highlight w:val="yellow"/>
                    </w:rPr>
                  </w:pPr>
                </w:p>
              </w:tc>
            </w:tr>
            <w:tr w:rsidR="00D410A1" w:rsidRPr="00EE2AA6" w14:paraId="23A230A7" w14:textId="77777777" w:rsidTr="00D410A1">
              <w:trPr>
                <w:trHeight w:val="481"/>
              </w:trPr>
              <w:tc>
                <w:tcPr>
                  <w:tcW w:w="0" w:type="auto"/>
                </w:tcPr>
                <w:p w14:paraId="097AD773" w14:textId="77777777" w:rsidR="00D410A1" w:rsidRPr="00EE2AA6" w:rsidRDefault="00D410A1" w:rsidP="00D410A1">
                  <w:pPr>
                    <w:ind w:left="0"/>
                    <w:jc w:val="center"/>
                    <w:rPr>
                      <w:sz w:val="20"/>
                      <w:szCs w:val="20"/>
                    </w:rPr>
                  </w:pPr>
                </w:p>
              </w:tc>
              <w:tc>
                <w:tcPr>
                  <w:tcW w:w="1450" w:type="dxa"/>
                </w:tcPr>
                <w:p w14:paraId="48A818CA" w14:textId="77777777" w:rsidR="00D410A1" w:rsidRPr="008C57C7" w:rsidRDefault="00D410A1" w:rsidP="00D410A1">
                  <w:pPr>
                    <w:suppressAutoHyphens/>
                    <w:overflowPunct/>
                    <w:autoSpaceDE/>
                    <w:adjustRightInd/>
                    <w:spacing w:before="240" w:after="0" w:line="276" w:lineRule="auto"/>
                    <w:ind w:left="0"/>
                    <w:jc w:val="left"/>
                    <w:rPr>
                      <w:sz w:val="20"/>
                      <w:szCs w:val="20"/>
                    </w:rPr>
                  </w:pPr>
                </w:p>
              </w:tc>
              <w:tc>
                <w:tcPr>
                  <w:tcW w:w="1103" w:type="dxa"/>
                </w:tcPr>
                <w:p w14:paraId="73CBD831" w14:textId="77777777" w:rsidR="00D410A1" w:rsidRPr="00EE2AA6" w:rsidRDefault="00D410A1" w:rsidP="00D410A1">
                  <w:pPr>
                    <w:ind w:left="0"/>
                    <w:jc w:val="center"/>
                    <w:rPr>
                      <w:sz w:val="20"/>
                      <w:szCs w:val="20"/>
                    </w:rPr>
                  </w:pPr>
                </w:p>
              </w:tc>
              <w:tc>
                <w:tcPr>
                  <w:tcW w:w="0" w:type="auto"/>
                </w:tcPr>
                <w:p w14:paraId="6E31D5B2" w14:textId="77777777" w:rsidR="00D410A1" w:rsidRPr="00EE2AA6" w:rsidRDefault="00D410A1" w:rsidP="00D410A1">
                  <w:pPr>
                    <w:ind w:left="0"/>
                    <w:jc w:val="center"/>
                    <w:rPr>
                      <w:sz w:val="20"/>
                      <w:szCs w:val="20"/>
                    </w:rPr>
                  </w:pPr>
                </w:p>
              </w:tc>
              <w:tc>
                <w:tcPr>
                  <w:tcW w:w="1750" w:type="dxa"/>
                </w:tcPr>
                <w:p w14:paraId="08DFFE49" w14:textId="77777777" w:rsidR="00D410A1" w:rsidRPr="00EE2AA6" w:rsidRDefault="00D410A1" w:rsidP="00D410A1">
                  <w:pPr>
                    <w:ind w:left="0"/>
                    <w:jc w:val="center"/>
                    <w:rPr>
                      <w:sz w:val="20"/>
                      <w:szCs w:val="20"/>
                    </w:rPr>
                  </w:pPr>
                </w:p>
              </w:tc>
              <w:tc>
                <w:tcPr>
                  <w:tcW w:w="1161" w:type="dxa"/>
                </w:tcPr>
                <w:p w14:paraId="142AEA4C" w14:textId="77777777" w:rsidR="00D410A1" w:rsidRPr="00EE2AA6" w:rsidRDefault="00D410A1" w:rsidP="00D410A1">
                  <w:pPr>
                    <w:ind w:left="0"/>
                    <w:jc w:val="center"/>
                    <w:rPr>
                      <w:sz w:val="20"/>
                      <w:szCs w:val="20"/>
                    </w:rPr>
                  </w:pPr>
                </w:p>
              </w:tc>
              <w:tc>
                <w:tcPr>
                  <w:tcW w:w="1106" w:type="dxa"/>
                </w:tcPr>
                <w:p w14:paraId="4D6B2CCA" w14:textId="77777777" w:rsidR="00D410A1" w:rsidRPr="00EE2AA6" w:rsidRDefault="00D410A1" w:rsidP="00D410A1">
                  <w:pPr>
                    <w:ind w:left="0"/>
                    <w:jc w:val="center"/>
                    <w:rPr>
                      <w:sz w:val="20"/>
                      <w:szCs w:val="20"/>
                    </w:rPr>
                  </w:pPr>
                </w:p>
              </w:tc>
            </w:tr>
            <w:tr w:rsidR="00D410A1" w:rsidRPr="00EE2AA6" w14:paraId="36DC05BB" w14:textId="77777777" w:rsidTr="00D410A1">
              <w:trPr>
                <w:trHeight w:val="481"/>
              </w:trPr>
              <w:tc>
                <w:tcPr>
                  <w:tcW w:w="0" w:type="auto"/>
                </w:tcPr>
                <w:p w14:paraId="20314665" w14:textId="77777777" w:rsidR="00D410A1" w:rsidRPr="00EE2AA6" w:rsidRDefault="00D410A1" w:rsidP="00D410A1">
                  <w:pPr>
                    <w:suppressAutoHyphens/>
                    <w:overflowPunct/>
                    <w:autoSpaceDE/>
                    <w:adjustRightInd/>
                    <w:spacing w:before="240" w:after="0" w:line="276" w:lineRule="auto"/>
                    <w:ind w:left="0"/>
                    <w:jc w:val="left"/>
                    <w:rPr>
                      <w:sz w:val="20"/>
                      <w:szCs w:val="20"/>
                    </w:rPr>
                  </w:pPr>
                </w:p>
              </w:tc>
              <w:tc>
                <w:tcPr>
                  <w:tcW w:w="1450" w:type="dxa"/>
                </w:tcPr>
                <w:p w14:paraId="1D664E5C" w14:textId="77777777" w:rsidR="00D410A1" w:rsidRPr="006978CC" w:rsidRDefault="00D410A1" w:rsidP="00D410A1">
                  <w:pPr>
                    <w:pStyle w:val="ListParagraph"/>
                    <w:jc w:val="left"/>
                    <w:rPr>
                      <w:rStyle w:val="CommentReference"/>
                      <w:sz w:val="20"/>
                      <w:szCs w:val="20"/>
                    </w:rPr>
                  </w:pPr>
                </w:p>
              </w:tc>
              <w:tc>
                <w:tcPr>
                  <w:tcW w:w="1103" w:type="dxa"/>
                </w:tcPr>
                <w:p w14:paraId="78D8E5B4" w14:textId="77777777" w:rsidR="00D410A1" w:rsidRPr="00EE2AA6" w:rsidRDefault="00D410A1" w:rsidP="00D410A1">
                  <w:pPr>
                    <w:ind w:left="0"/>
                    <w:jc w:val="center"/>
                    <w:rPr>
                      <w:sz w:val="20"/>
                      <w:szCs w:val="20"/>
                      <w:highlight w:val="yellow"/>
                    </w:rPr>
                  </w:pPr>
                </w:p>
              </w:tc>
              <w:tc>
                <w:tcPr>
                  <w:tcW w:w="0" w:type="auto"/>
                </w:tcPr>
                <w:p w14:paraId="33F112C4" w14:textId="77777777" w:rsidR="00D410A1" w:rsidRPr="00EE2AA6" w:rsidRDefault="00D410A1" w:rsidP="00D410A1">
                  <w:pPr>
                    <w:ind w:left="0"/>
                    <w:jc w:val="center"/>
                    <w:rPr>
                      <w:sz w:val="20"/>
                      <w:szCs w:val="20"/>
                      <w:highlight w:val="yellow"/>
                    </w:rPr>
                  </w:pPr>
                </w:p>
              </w:tc>
              <w:tc>
                <w:tcPr>
                  <w:tcW w:w="1750" w:type="dxa"/>
                </w:tcPr>
                <w:p w14:paraId="4269C417" w14:textId="77777777" w:rsidR="00D410A1" w:rsidRPr="00EE2AA6" w:rsidRDefault="00D410A1" w:rsidP="00D410A1">
                  <w:pPr>
                    <w:ind w:left="0"/>
                    <w:jc w:val="center"/>
                    <w:rPr>
                      <w:sz w:val="20"/>
                      <w:szCs w:val="20"/>
                      <w:highlight w:val="yellow"/>
                    </w:rPr>
                  </w:pPr>
                </w:p>
              </w:tc>
              <w:tc>
                <w:tcPr>
                  <w:tcW w:w="1161" w:type="dxa"/>
                </w:tcPr>
                <w:p w14:paraId="6E948CDB" w14:textId="77777777" w:rsidR="00D410A1" w:rsidRPr="00EE2AA6" w:rsidRDefault="00D410A1" w:rsidP="00D410A1">
                  <w:pPr>
                    <w:ind w:left="0"/>
                    <w:jc w:val="center"/>
                    <w:rPr>
                      <w:sz w:val="20"/>
                      <w:szCs w:val="20"/>
                      <w:highlight w:val="yellow"/>
                    </w:rPr>
                  </w:pPr>
                </w:p>
              </w:tc>
              <w:tc>
                <w:tcPr>
                  <w:tcW w:w="1106" w:type="dxa"/>
                </w:tcPr>
                <w:p w14:paraId="53EC99FB" w14:textId="77777777" w:rsidR="00D410A1" w:rsidRPr="00EE2AA6" w:rsidRDefault="00D410A1" w:rsidP="00D410A1">
                  <w:pPr>
                    <w:ind w:left="0"/>
                    <w:jc w:val="center"/>
                    <w:rPr>
                      <w:sz w:val="20"/>
                      <w:szCs w:val="20"/>
                      <w:highlight w:val="yellow"/>
                    </w:rPr>
                  </w:pPr>
                </w:p>
              </w:tc>
            </w:tr>
          </w:tbl>
          <w:p w14:paraId="48FE9760" w14:textId="77777777" w:rsidR="00D410A1" w:rsidRPr="00982D63" w:rsidRDefault="00D410A1">
            <w:pPr>
              <w:ind w:left="0"/>
              <w:rPr>
                <w:b/>
              </w:rPr>
            </w:pPr>
          </w:p>
        </w:tc>
      </w:tr>
    </w:tbl>
    <w:p w14:paraId="529869C7" w14:textId="77777777" w:rsidR="004E05DC" w:rsidRPr="00730F3E" w:rsidRDefault="004E05DC">
      <w:pPr>
        <w:pStyle w:val="ORDERFORML1PraraNo"/>
        <w:numPr>
          <w:ilvl w:val="0"/>
          <w:numId w:val="0"/>
        </w:numPr>
        <w:ind w:left="426"/>
        <w:rPr>
          <w:rFonts w:ascii="Arial" w:hAnsi="Arial" w:cs="Arial"/>
        </w:rPr>
      </w:pPr>
    </w:p>
    <w:p w14:paraId="3C1ED76D" w14:textId="77777777" w:rsidR="00B91478" w:rsidRPr="00730F3E" w:rsidRDefault="00B91478">
      <w:pPr>
        <w:pStyle w:val="ORDERFORML1PraraNo"/>
        <w:numPr>
          <w:ilvl w:val="0"/>
          <w:numId w:val="0"/>
        </w:numPr>
        <w:ind w:left="426"/>
        <w:rPr>
          <w:rFonts w:ascii="Arial" w:hAnsi="Arial" w:cs="Arial"/>
        </w:rPr>
      </w:pPr>
    </w:p>
    <w:p w14:paraId="223A324C" w14:textId="77777777" w:rsidR="004E05DC" w:rsidRPr="00730F3E" w:rsidRDefault="00F770DB">
      <w:pPr>
        <w:pStyle w:val="ORDERFORML1PraraNo"/>
        <w:rPr>
          <w:rFonts w:ascii="Arial" w:hAnsi="Arial" w:cs="Arial"/>
        </w:rPr>
      </w:pPr>
      <w:r w:rsidRPr="00730F3E">
        <w:rPr>
          <w:rFonts w:ascii="Arial" w:hAnsi="Arial" w:cs="Arial"/>
        </w:rPr>
        <w:t>contract performance</w:t>
      </w:r>
    </w:p>
    <w:p w14:paraId="2DA86474" w14:textId="77777777" w:rsidR="004E05DC" w:rsidRPr="00730F3E" w:rsidRDefault="004E05DC">
      <w:pPr>
        <w:pStyle w:val="ORDERFORML1PraraNo"/>
        <w:numPr>
          <w:ilvl w:val="0"/>
          <w:numId w:val="0"/>
        </w:numPr>
        <w:ind w:left="426" w:hanging="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214"/>
      </w:tblGrid>
      <w:tr w:rsidR="00B5520B" w:rsidRPr="00B91478" w14:paraId="016BBA4A" w14:textId="77777777" w:rsidTr="00172A22">
        <w:tc>
          <w:tcPr>
            <w:tcW w:w="596" w:type="dxa"/>
          </w:tcPr>
          <w:p w14:paraId="30227DA0" w14:textId="77777777" w:rsidR="00B5520B" w:rsidRPr="00730F3E" w:rsidRDefault="00B5520B">
            <w:pPr>
              <w:numPr>
                <w:ilvl w:val="1"/>
                <w:numId w:val="0"/>
              </w:numPr>
              <w:overflowPunct/>
              <w:autoSpaceDE/>
              <w:autoSpaceDN/>
              <w:spacing w:after="120"/>
              <w:jc w:val="left"/>
              <w:textAlignment w:val="auto"/>
              <w:rPr>
                <w:rFonts w:eastAsia="STZhongsong"/>
                <w:b/>
                <w:lang w:eastAsia="zh-CN"/>
              </w:rPr>
            </w:pPr>
            <w:r w:rsidRPr="00730F3E">
              <w:rPr>
                <w:rFonts w:eastAsia="STZhongsong"/>
                <w:b/>
                <w:lang w:eastAsia="zh-CN"/>
              </w:rPr>
              <w:t xml:space="preserve">4.1. </w:t>
            </w:r>
          </w:p>
        </w:tc>
        <w:tc>
          <w:tcPr>
            <w:tcW w:w="9214" w:type="dxa"/>
            <w:shd w:val="clear" w:color="auto" w:fill="auto"/>
          </w:tcPr>
          <w:p w14:paraId="6F2590BC" w14:textId="4E70FBDB" w:rsidR="00B5520B" w:rsidRPr="00B91478" w:rsidRDefault="00B5520B" w:rsidP="00E95F5D">
            <w:pPr>
              <w:numPr>
                <w:ilvl w:val="1"/>
                <w:numId w:val="0"/>
              </w:numPr>
              <w:overflowPunct/>
              <w:autoSpaceDE/>
              <w:autoSpaceDN/>
              <w:spacing w:after="120"/>
              <w:jc w:val="left"/>
              <w:textAlignment w:val="auto"/>
              <w:rPr>
                <w:rFonts w:eastAsia="STZhongsong"/>
                <w:lang w:eastAsia="zh-CN"/>
              </w:rPr>
            </w:pPr>
            <w:r w:rsidRPr="00730F3E">
              <w:rPr>
                <w:rFonts w:eastAsia="STZhongsong"/>
                <w:b/>
                <w:lang w:eastAsia="zh-CN"/>
              </w:rPr>
              <w:t>Standards</w:t>
            </w:r>
            <w:r w:rsidRPr="00730F3E">
              <w:rPr>
                <w:rFonts w:eastAsia="STZhongsong"/>
                <w:lang w:eastAsia="zh-CN"/>
              </w:rPr>
              <w:t>:</w:t>
            </w:r>
            <w:r w:rsidRPr="00730F3E">
              <w:rPr>
                <w:rFonts w:eastAsia="STZhongsong"/>
                <w:b/>
                <w:lang w:eastAsia="zh-CN"/>
              </w:rPr>
              <w:t xml:space="preserve"> </w:t>
            </w:r>
            <w:r w:rsidR="00E95F5D">
              <w:t>In Clause 11 of the Call Off Terms</w:t>
            </w:r>
          </w:p>
        </w:tc>
      </w:tr>
      <w:tr w:rsidR="00B5520B" w:rsidRPr="00B91478" w14:paraId="59C74AF2" w14:textId="77777777" w:rsidTr="00172A22">
        <w:tc>
          <w:tcPr>
            <w:tcW w:w="596" w:type="dxa"/>
          </w:tcPr>
          <w:p w14:paraId="1CD66C2C"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214" w:type="dxa"/>
            <w:shd w:val="clear" w:color="auto" w:fill="auto"/>
          </w:tcPr>
          <w:p w14:paraId="69008BCE"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B5520B" w:rsidRPr="00B91478" w:rsidRDefault="00B5520B" w:rsidP="00BB4A0B">
            <w:pPr>
              <w:numPr>
                <w:ilvl w:val="1"/>
                <w:numId w:val="0"/>
              </w:numPr>
              <w:overflowPunct/>
              <w:autoSpaceDE/>
              <w:autoSpaceDN/>
              <w:spacing w:after="120"/>
              <w:jc w:val="left"/>
              <w:textAlignment w:val="auto"/>
            </w:pPr>
            <w:r w:rsidRPr="00B91478">
              <w:t>Not applied</w:t>
            </w:r>
          </w:p>
        </w:tc>
      </w:tr>
      <w:tr w:rsidR="00B5520B" w:rsidRPr="00B91478" w14:paraId="4A58D05F" w14:textId="77777777" w:rsidTr="00172A22">
        <w:tc>
          <w:tcPr>
            <w:tcW w:w="596" w:type="dxa"/>
          </w:tcPr>
          <w:p w14:paraId="4D930D9D"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214" w:type="dxa"/>
            <w:shd w:val="clear" w:color="auto" w:fill="auto"/>
          </w:tcPr>
          <w:p w14:paraId="1D7E28DD"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B5520B" w:rsidRPr="00B91478" w:rsidRDefault="00B5520B" w:rsidP="00B02A10">
            <w:pPr>
              <w:ind w:left="0"/>
              <w:rPr>
                <w:rFonts w:eastAsia="STZhongsong"/>
                <w:lang w:eastAsia="zh-CN"/>
              </w:rPr>
            </w:pPr>
            <w:r w:rsidRPr="00B91478">
              <w:t>Not applied</w:t>
            </w:r>
          </w:p>
        </w:tc>
      </w:tr>
      <w:tr w:rsidR="00B5520B" w:rsidRPr="00B91478" w14:paraId="5C65B622" w14:textId="77777777" w:rsidTr="00172A22">
        <w:tc>
          <w:tcPr>
            <w:tcW w:w="596" w:type="dxa"/>
          </w:tcPr>
          <w:p w14:paraId="4C3EAEAB"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214" w:type="dxa"/>
            <w:shd w:val="clear" w:color="auto" w:fill="auto"/>
          </w:tcPr>
          <w:p w14:paraId="1BBFAE04"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0967D24E" w:rsidR="00B5520B" w:rsidRPr="00754676" w:rsidRDefault="0091668D">
            <w:pPr>
              <w:numPr>
                <w:ilvl w:val="1"/>
                <w:numId w:val="0"/>
              </w:numPr>
              <w:overflowPunct/>
              <w:autoSpaceDE/>
              <w:autoSpaceDN/>
              <w:spacing w:after="120"/>
              <w:jc w:val="left"/>
              <w:textAlignment w:val="auto"/>
              <w:rPr>
                <w:rFonts w:eastAsia="STZhongsong"/>
                <w:bCs/>
                <w:lang w:eastAsia="zh-CN"/>
              </w:rPr>
            </w:pPr>
            <w:r w:rsidRPr="00F65018">
              <w:rPr>
                <w:rFonts w:eastAsia="STZhongsong"/>
                <w:lang w:eastAsia="zh-CN"/>
              </w:rPr>
              <w:t>The Supplier shall provide w</w:t>
            </w:r>
            <w:r w:rsidR="001572E1" w:rsidRPr="00F65018">
              <w:rPr>
                <w:rFonts w:eastAsia="STZhongsong"/>
                <w:lang w:eastAsia="zh-CN"/>
              </w:rPr>
              <w:t xml:space="preserve">eekly timesheet reports </w:t>
            </w:r>
            <w:r w:rsidR="0011796B" w:rsidRPr="00F65018">
              <w:rPr>
                <w:rFonts w:eastAsia="STZhongsong"/>
                <w:lang w:eastAsia="zh-CN"/>
              </w:rPr>
              <w:t xml:space="preserve">in a format to be determined by the Customer </w:t>
            </w:r>
            <w:r w:rsidR="001572E1" w:rsidRPr="00F65018">
              <w:rPr>
                <w:rFonts w:eastAsia="STZhongsong"/>
                <w:lang w:eastAsia="zh-CN"/>
              </w:rPr>
              <w:t xml:space="preserve">showing time spent </w:t>
            </w:r>
            <w:r w:rsidRPr="00F65018">
              <w:rPr>
                <w:rFonts w:eastAsia="STZhongsong"/>
                <w:lang w:eastAsia="zh-CN"/>
              </w:rPr>
              <w:t xml:space="preserve">by </w:t>
            </w:r>
            <w:r w:rsidR="0011796B" w:rsidRPr="00F65018">
              <w:rPr>
                <w:rFonts w:eastAsia="STZhongsong"/>
                <w:lang w:eastAsia="zh-CN"/>
              </w:rPr>
              <w:t xml:space="preserve">each member of </w:t>
            </w:r>
            <w:r w:rsidRPr="00F65018">
              <w:rPr>
                <w:rFonts w:eastAsia="STZhongsong"/>
                <w:lang w:eastAsia="zh-CN"/>
              </w:rPr>
              <w:t>Supplier Personnel</w:t>
            </w:r>
            <w:r w:rsidR="0011796B" w:rsidRPr="00F65018">
              <w:rPr>
                <w:rFonts w:eastAsia="STZhongsong"/>
                <w:lang w:eastAsia="zh-CN"/>
              </w:rPr>
              <w:t xml:space="preserve"> against agreed budgets </w:t>
            </w:r>
          </w:p>
        </w:tc>
      </w:tr>
      <w:tr w:rsidR="00B5520B" w:rsidRPr="00B91478" w14:paraId="0B21EE94" w14:textId="77777777" w:rsidTr="00172A22">
        <w:tc>
          <w:tcPr>
            <w:tcW w:w="596" w:type="dxa"/>
          </w:tcPr>
          <w:p w14:paraId="450910F1"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214" w:type="dxa"/>
            <w:shd w:val="clear" w:color="auto" w:fill="auto"/>
          </w:tcPr>
          <w:p w14:paraId="07DBB82F" w14:textId="77777777" w:rsidR="00B5520B" w:rsidRPr="00B91478" w:rsidRDefault="00B5520B"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1B26A765" w14:textId="25FAE9DB" w:rsidR="00B5520B" w:rsidRPr="00B91478" w:rsidRDefault="00B5520B" w:rsidP="002047E1">
            <w:pPr>
              <w:numPr>
                <w:ilvl w:val="1"/>
                <w:numId w:val="0"/>
              </w:numPr>
              <w:overflowPunct/>
              <w:autoSpaceDE/>
              <w:autoSpaceDN/>
              <w:spacing w:after="120"/>
              <w:textAlignment w:val="auto"/>
              <w:rPr>
                <w:rFonts w:eastAsia="STZhongsong"/>
                <w:b/>
                <w:lang w:eastAsia="zh-CN"/>
              </w:rPr>
            </w:pPr>
            <w:r w:rsidRPr="00F65018">
              <w:lastRenderedPageBreak/>
              <w:t>The period of ten (10) Working Days in Clause 39.2.1(a) shall be amended to five (5) Working Days</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214"/>
      </w:tblGrid>
      <w:tr w:rsidR="0005252A" w:rsidRPr="00B91478" w14:paraId="67C5D3D0" w14:textId="77777777" w:rsidTr="00172A22">
        <w:trPr>
          <w:trHeight w:val="1229"/>
        </w:trPr>
        <w:tc>
          <w:tcPr>
            <w:tcW w:w="596" w:type="dxa"/>
          </w:tcPr>
          <w:p w14:paraId="73D2EBFF" w14:textId="77777777" w:rsidR="0005252A" w:rsidRPr="00B91478" w:rsidRDefault="0005252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214" w:type="dxa"/>
            <w:shd w:val="clear" w:color="auto" w:fill="auto"/>
          </w:tcPr>
          <w:p w14:paraId="7DB4819B" w14:textId="16B80A75" w:rsidR="0005252A" w:rsidRDefault="0005252A">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2D75DBBC" w14:textId="696B1280" w:rsidR="00A03615" w:rsidRPr="00AD6F15" w:rsidRDefault="001D7E2D">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r w:rsidR="00A03615" w:rsidRPr="00AD6F15">
              <w:rPr>
                <w:rFonts w:eastAsia="STZhongsong"/>
                <w:lang w:eastAsia="zh-CN"/>
              </w:rPr>
              <w:t xml:space="preserve"> - Customer Contract Lead</w:t>
            </w:r>
          </w:p>
          <w:p w14:paraId="10DD0DC6" w14:textId="726FC803" w:rsidR="0005252A" w:rsidRPr="00B91478" w:rsidRDefault="001D7E2D" w:rsidP="00B1147D">
            <w:pPr>
              <w:numPr>
                <w:ilvl w:val="1"/>
                <w:numId w:val="0"/>
              </w:numPr>
              <w:overflowPunct/>
              <w:autoSpaceDE/>
              <w:autoSpaceDN/>
              <w:spacing w:after="120"/>
              <w:jc w:val="left"/>
              <w:textAlignment w:val="auto"/>
              <w:rPr>
                <w:rFonts w:eastAsia="STZhongsong"/>
                <w:b/>
                <w:lang w:eastAsia="zh-CN"/>
              </w:rPr>
            </w:pPr>
            <w:r>
              <w:rPr>
                <w:rFonts w:eastAsia="STZhongsong"/>
                <w:lang w:eastAsia="zh-CN"/>
              </w:rPr>
              <w:t>REDACTED TEXT</w:t>
            </w:r>
            <w:r w:rsidR="0005252A" w:rsidRPr="00AD6F15">
              <w:rPr>
                <w:rFonts w:eastAsia="STZhongsong"/>
                <w:lang w:eastAsia="zh-CN"/>
              </w:rPr>
              <w:t xml:space="preserve"> – Supplier </w:t>
            </w:r>
            <w:r w:rsidR="00B1147D">
              <w:rPr>
                <w:rFonts w:eastAsia="STZhongsong"/>
                <w:lang w:eastAsia="zh-CN"/>
              </w:rPr>
              <w:t>Contract L</w:t>
            </w:r>
            <w:r w:rsidR="0005252A" w:rsidRPr="00AD6F15">
              <w:rPr>
                <w:rFonts w:eastAsia="STZhongsong"/>
                <w:lang w:eastAsia="zh-CN"/>
              </w:rPr>
              <w:t>ead</w:t>
            </w:r>
            <w:r w:rsidR="0005252A" w:rsidRPr="00AD6F15">
              <w:rPr>
                <w:rFonts w:eastAsia="STZhongsong"/>
                <w:lang w:eastAsia="zh-CN"/>
              </w:rPr>
              <w:tab/>
            </w:r>
          </w:p>
        </w:tc>
      </w:tr>
      <w:tr w:rsidR="0005252A" w:rsidRPr="00B91478" w14:paraId="0FF6582D" w14:textId="77777777" w:rsidTr="00172A22">
        <w:trPr>
          <w:trHeight w:val="902"/>
        </w:trPr>
        <w:tc>
          <w:tcPr>
            <w:tcW w:w="596" w:type="dxa"/>
            <w:tcBorders>
              <w:top w:val="single" w:sz="4" w:space="0" w:color="auto"/>
              <w:left w:val="single" w:sz="4" w:space="0" w:color="auto"/>
              <w:bottom w:val="single" w:sz="4" w:space="0" w:color="auto"/>
              <w:right w:val="single" w:sz="4" w:space="0" w:color="auto"/>
            </w:tcBorders>
          </w:tcPr>
          <w:p w14:paraId="2B5BB8B1" w14:textId="77777777" w:rsidR="0005252A" w:rsidRPr="00B91478" w:rsidRDefault="0005252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05252A" w:rsidRPr="00B91478" w:rsidRDefault="0005252A"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4D54581C" w14:textId="77777777" w:rsidR="0005252A" w:rsidRPr="004E0AA8" w:rsidRDefault="00CA1B3D">
            <w:pPr>
              <w:numPr>
                <w:ilvl w:val="1"/>
                <w:numId w:val="0"/>
              </w:numPr>
              <w:overflowPunct/>
              <w:autoSpaceDE/>
              <w:autoSpaceDN/>
              <w:spacing w:after="120"/>
              <w:jc w:val="left"/>
              <w:textAlignment w:val="auto"/>
              <w:rPr>
                <w:rFonts w:eastAsia="STZhongsong"/>
                <w:bCs/>
                <w:lang w:eastAsia="zh-CN"/>
              </w:rPr>
            </w:pPr>
            <w:r w:rsidRPr="004E0AA8">
              <w:rPr>
                <w:rFonts w:eastAsia="STZhongsong"/>
                <w:bCs/>
                <w:lang w:eastAsia="zh-CN"/>
              </w:rPr>
              <w:t>Applied as per clause 28.2.</w:t>
            </w:r>
          </w:p>
          <w:p w14:paraId="31751354" w14:textId="70BC8443" w:rsidR="00CA1B3D" w:rsidRDefault="00CA1B3D" w:rsidP="00CA1B3D">
            <w:pPr>
              <w:pStyle w:val="Heading3"/>
              <w:rPr>
                <w:rFonts w:eastAsia="Times New Roman"/>
              </w:rPr>
            </w:pPr>
            <w:bookmarkStart w:id="1" w:name="_Ref21460500"/>
            <w:r w:rsidRPr="004E0AA8">
              <w:rPr>
                <w:rFonts w:eastAsia="Times New Roman"/>
              </w:rPr>
              <w:t xml:space="preserve">The Supplier shall ensure that the checks specified in HMG Baseline Personnel Security Standard have been carried out in respect of any of </w:t>
            </w:r>
            <w:r w:rsidR="00642F6F" w:rsidRPr="004E0AA8">
              <w:rPr>
                <w:rFonts w:eastAsia="Times New Roman"/>
              </w:rPr>
              <w:t>Supplier Personnel</w:t>
            </w:r>
            <w:r w:rsidRPr="004E0AA8">
              <w:rPr>
                <w:rFonts w:eastAsia="Times New Roman"/>
              </w:rPr>
              <w:t xml:space="preserve"> assigned to access </w:t>
            </w:r>
            <w:r w:rsidR="00642F6F" w:rsidRPr="004E0AA8">
              <w:rPr>
                <w:rFonts w:eastAsia="Times New Roman"/>
              </w:rPr>
              <w:t xml:space="preserve">the Customer </w:t>
            </w:r>
            <w:r w:rsidRPr="004E0AA8">
              <w:rPr>
                <w:rFonts w:eastAsia="Times New Roman"/>
              </w:rPr>
              <w:t xml:space="preserve">Premises, </w:t>
            </w:r>
            <w:r w:rsidR="00642F6F" w:rsidRPr="004E0AA8">
              <w:rPr>
                <w:rFonts w:eastAsia="Times New Roman"/>
              </w:rPr>
              <w:t>Customer</w:t>
            </w:r>
            <w:r w:rsidRPr="004E0AA8">
              <w:rPr>
                <w:rFonts w:eastAsia="Times New Roman"/>
              </w:rPr>
              <w:t xml:space="preserve"> Property, </w:t>
            </w:r>
            <w:r w:rsidR="00642F6F" w:rsidRPr="004E0AA8">
              <w:rPr>
                <w:rFonts w:eastAsia="Times New Roman"/>
              </w:rPr>
              <w:t>Customer</w:t>
            </w:r>
            <w:r w:rsidRPr="004E0AA8">
              <w:rPr>
                <w:rFonts w:eastAsia="Times New Roman"/>
              </w:rPr>
              <w:t xml:space="preserve"> Data or any other property or information belonging to the </w:t>
            </w:r>
            <w:r w:rsidR="00642F6F" w:rsidRPr="004E0AA8">
              <w:rPr>
                <w:rFonts w:eastAsia="Times New Roman"/>
              </w:rPr>
              <w:t>Customer</w:t>
            </w:r>
            <w:r w:rsidRPr="004E0AA8">
              <w:rPr>
                <w:rFonts w:eastAsia="Times New Roman"/>
              </w:rPr>
              <w:t xml:space="preserve">, and </w:t>
            </w:r>
            <w:r w:rsidR="00642F6F" w:rsidRPr="004E0AA8">
              <w:rPr>
                <w:rFonts w:eastAsia="Times New Roman"/>
              </w:rPr>
              <w:t xml:space="preserve">that </w:t>
            </w:r>
            <w:r w:rsidRPr="004E0AA8">
              <w:rPr>
                <w:rFonts w:eastAsia="Times New Roman"/>
              </w:rPr>
              <w:t>the results of those checks were satisfactory.</w:t>
            </w:r>
            <w:bookmarkEnd w:id="1"/>
            <w:r w:rsidR="00642F6F" w:rsidRPr="004E0AA8">
              <w:rPr>
                <w:rFonts w:eastAsia="Times New Roman"/>
              </w:rPr>
              <w:t xml:space="preserve"> The Supplier shall document full and accurate records of HMG Baseline Personnel Security Standard checks.</w:t>
            </w:r>
          </w:p>
          <w:p w14:paraId="78F1A122" w14:textId="77777777" w:rsidR="004E0AA8" w:rsidRDefault="004E0AA8" w:rsidP="004E0AA8">
            <w:pPr>
              <w:pStyle w:val="Default"/>
              <w:spacing w:after="134"/>
              <w:rPr>
                <w:sz w:val="22"/>
                <w:szCs w:val="22"/>
              </w:rPr>
            </w:pPr>
            <w:r>
              <w:rPr>
                <w:sz w:val="22"/>
                <w:szCs w:val="22"/>
              </w:rPr>
              <w:t xml:space="preserve">This sub-clause 28.2 shall apply if the Customer has specified Relevant Convictions in the Call Off Order Form. </w:t>
            </w:r>
          </w:p>
          <w:p w14:paraId="68BF99E6" w14:textId="77777777" w:rsidR="004E0AA8" w:rsidRDefault="004E0AA8" w:rsidP="004E0AA8">
            <w:pPr>
              <w:pStyle w:val="Default"/>
              <w:spacing w:after="134"/>
              <w:rPr>
                <w:sz w:val="22"/>
                <w:szCs w:val="22"/>
              </w:rPr>
            </w:pPr>
            <w:r>
              <w:rPr>
                <w:sz w:val="22"/>
                <w:szCs w:val="22"/>
              </w:rPr>
              <w:t xml:space="preserve">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 </w:t>
            </w:r>
          </w:p>
          <w:p w14:paraId="197FF2D6" w14:textId="75315FEC" w:rsidR="004E0AA8" w:rsidRPr="004E0AA8" w:rsidRDefault="004E0AA8" w:rsidP="004E0AA8">
            <w:pPr>
              <w:pStyle w:val="Default"/>
              <w:rPr>
                <w:sz w:val="22"/>
                <w:szCs w:val="22"/>
              </w:rPr>
            </w:pPr>
            <w:r w:rsidRPr="004E0AA8">
              <w:rPr>
                <w:sz w:val="22"/>
                <w:szCs w:val="22"/>
              </w:rPr>
              <w:t xml:space="preserve">Notwithstanding Clause 28.2.2,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 </w:t>
            </w:r>
          </w:p>
          <w:p w14:paraId="68676684" w14:textId="77777777" w:rsidR="004E0AA8" w:rsidRPr="004E0AA8" w:rsidRDefault="004E0AA8" w:rsidP="004E0AA8">
            <w:pPr>
              <w:pStyle w:val="Default"/>
              <w:numPr>
                <w:ilvl w:val="0"/>
                <w:numId w:val="98"/>
              </w:numPr>
              <w:spacing w:after="134"/>
              <w:rPr>
                <w:sz w:val="22"/>
                <w:szCs w:val="22"/>
              </w:rPr>
            </w:pPr>
            <w:r w:rsidRPr="004E0AA8">
              <w:rPr>
                <w:sz w:val="22"/>
                <w:szCs w:val="22"/>
              </w:rPr>
              <w:t>carry out a check with the records held by the Department for Education (DfE);</w:t>
            </w:r>
          </w:p>
          <w:p w14:paraId="5FB2A496" w14:textId="77777777" w:rsidR="004E0AA8" w:rsidRPr="004E0AA8" w:rsidRDefault="004E0AA8" w:rsidP="00E96586">
            <w:pPr>
              <w:pStyle w:val="Default"/>
              <w:numPr>
                <w:ilvl w:val="0"/>
                <w:numId w:val="98"/>
              </w:numPr>
              <w:spacing w:after="134"/>
              <w:rPr>
                <w:sz w:val="22"/>
                <w:szCs w:val="22"/>
              </w:rPr>
            </w:pPr>
            <w:r w:rsidRPr="004E0AA8">
              <w:rPr>
                <w:sz w:val="22"/>
                <w:szCs w:val="22"/>
              </w:rPr>
              <w:t xml:space="preserve">conduct thorough questioning regarding any Relevant Convictions; and </w:t>
            </w:r>
          </w:p>
          <w:p w14:paraId="580BCAD0" w14:textId="3CAA5784" w:rsidR="00CA1B3D" w:rsidRPr="00CA1B3D" w:rsidRDefault="004E0AA8" w:rsidP="004E0AA8">
            <w:pPr>
              <w:pStyle w:val="Default"/>
              <w:numPr>
                <w:ilvl w:val="0"/>
                <w:numId w:val="98"/>
              </w:numPr>
              <w:spacing w:after="134"/>
              <w:rPr>
                <w:rFonts w:eastAsia="STZhongsong"/>
                <w:bCs/>
                <w:lang w:eastAsia="zh-CN"/>
              </w:rPr>
            </w:pPr>
            <w:r w:rsidRPr="004E0AA8">
              <w:rPr>
                <w:sz w:val="22"/>
                <w:szCs w:val="22"/>
              </w:rPr>
              <w:t>ensure a police check is completed and such other checks as may be carried out through the Disclosure and Barring Service (DBS), and the Supplier shall not (and shall ensure that any Sub-Contractor shall not) engage or continue to employ in the provision of the Services any person who has a Relevant Conviction or an inappropriate record.</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9430"/>
      </w:tblGrid>
      <w:tr w:rsidR="00B5520B" w:rsidRPr="00B91478" w14:paraId="25AA48BB" w14:textId="77777777" w:rsidTr="0013569C">
        <w:tc>
          <w:tcPr>
            <w:tcW w:w="522" w:type="dxa"/>
          </w:tcPr>
          <w:p w14:paraId="58E752B1"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430" w:type="dxa"/>
            <w:shd w:val="clear" w:color="auto" w:fill="auto"/>
          </w:tcPr>
          <w:p w14:paraId="3D5C3CE0" w14:textId="77777777" w:rsidR="00B5520B" w:rsidRPr="00B91478" w:rsidRDefault="00B5520B" w:rsidP="0013569C">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4A35A1F8" w14:textId="77777777" w:rsidR="00A06B3F" w:rsidRDefault="00754676" w:rsidP="0013569C">
            <w:pPr>
              <w:numPr>
                <w:ilvl w:val="1"/>
                <w:numId w:val="0"/>
              </w:numPr>
              <w:overflowPunct/>
              <w:autoSpaceDE/>
              <w:autoSpaceDN/>
              <w:spacing w:after="120"/>
              <w:jc w:val="left"/>
              <w:textAlignment w:val="auto"/>
              <w:rPr>
                <w:rFonts w:eastAsia="STZhongsong"/>
                <w:lang w:eastAsia="zh-CN"/>
              </w:rPr>
            </w:pPr>
            <w:r w:rsidRPr="00A06B3F">
              <w:rPr>
                <w:rFonts w:eastAsia="STZhongsong"/>
                <w:lang w:eastAsia="zh-CN"/>
              </w:rPr>
              <w:t>Table of grades &amp; rates</w:t>
            </w:r>
            <w:r w:rsidR="00A06B3F" w:rsidRPr="00A06B3F">
              <w:rPr>
                <w:rFonts w:eastAsia="STZhongsong"/>
                <w:lang w:eastAsia="zh-CN"/>
              </w:rPr>
              <w:t>:</w:t>
            </w:r>
            <w:r w:rsidR="00A06B3F">
              <w:rPr>
                <w:rFonts w:eastAsia="STZhongsong"/>
                <w:lang w:eastAsia="zh-CN"/>
              </w:rPr>
              <w:t xml:space="preserve"> </w:t>
            </w:r>
          </w:p>
          <w:p w14:paraId="6760181A" w14:textId="5EA084B8" w:rsidR="00754676" w:rsidRPr="00B91478" w:rsidRDefault="00554E70" w:rsidP="0013569C">
            <w:pPr>
              <w:numPr>
                <w:ilvl w:val="1"/>
                <w:numId w:val="0"/>
              </w:numPr>
              <w:overflowPunct/>
              <w:autoSpaceDE/>
              <w:autoSpaceDN/>
              <w:spacing w:after="120"/>
              <w:jc w:val="left"/>
              <w:textAlignment w:val="auto"/>
              <w:rPr>
                <w:rFonts w:eastAsia="STZhongsong"/>
                <w:lang w:eastAsia="zh-CN"/>
              </w:rPr>
            </w:pPr>
            <w:bookmarkStart w:id="2" w:name="_gjdgxs" w:colFirst="0" w:colLast="0"/>
            <w:bookmarkEnd w:id="2"/>
            <w:r>
              <w:rPr>
                <w:rFonts w:eastAsia="STZhongsong"/>
                <w:lang w:eastAsia="zh-CN"/>
              </w:rPr>
              <w:t>REDACTED TEXT</w:t>
            </w:r>
          </w:p>
        </w:tc>
      </w:tr>
      <w:tr w:rsidR="00B5520B" w:rsidRPr="00B91478" w14:paraId="1B702A76" w14:textId="77777777" w:rsidTr="0013569C">
        <w:tc>
          <w:tcPr>
            <w:tcW w:w="522" w:type="dxa"/>
          </w:tcPr>
          <w:p w14:paraId="10B4EC6D"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430" w:type="dxa"/>
            <w:shd w:val="clear" w:color="auto" w:fill="auto"/>
          </w:tcPr>
          <w:p w14:paraId="07DED7CF" w14:textId="77777777" w:rsidR="00B5520B" w:rsidRPr="00B91478" w:rsidRDefault="00B552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13D5C386" w14:textId="631DF44E" w:rsidR="00B5520B" w:rsidRPr="00AD60E6" w:rsidRDefault="002B2D19" w:rsidP="00BB4A0B">
            <w:pPr>
              <w:numPr>
                <w:ilvl w:val="1"/>
                <w:numId w:val="0"/>
              </w:numPr>
              <w:overflowPunct/>
              <w:autoSpaceDE/>
              <w:autoSpaceDN/>
              <w:spacing w:after="120"/>
              <w:textAlignment w:val="auto"/>
              <w:rPr>
                <w:rFonts w:eastAsia="STZhongsong"/>
                <w:lang w:eastAsia="zh-CN"/>
              </w:rPr>
            </w:pPr>
            <w:r w:rsidRPr="00AD60E6">
              <w:rPr>
                <w:rFonts w:eastAsia="STZhongsong"/>
                <w:lang w:eastAsia="zh-CN"/>
              </w:rPr>
              <w:t>Monthly in arrears</w:t>
            </w:r>
          </w:p>
          <w:p w14:paraId="0814E9E6" w14:textId="77777777" w:rsidR="00E96586" w:rsidRPr="00FA6C40" w:rsidRDefault="00E96586" w:rsidP="00E96586">
            <w:pPr>
              <w:numPr>
                <w:ilvl w:val="1"/>
                <w:numId w:val="0"/>
              </w:numPr>
              <w:overflowPunct/>
              <w:autoSpaceDE/>
              <w:autoSpaceDN/>
              <w:spacing w:after="120"/>
              <w:textAlignment w:val="auto"/>
              <w:rPr>
                <w:rFonts w:eastAsia="STZhongsong"/>
                <w:bCs/>
                <w:lang w:eastAsia="zh-CN"/>
              </w:rPr>
            </w:pPr>
            <w:r w:rsidRPr="00FA6C40">
              <w:rPr>
                <w:rFonts w:eastAsia="STZhongsong"/>
                <w:bCs/>
                <w:lang w:eastAsia="zh-CN"/>
              </w:rPr>
              <w:lastRenderedPageBreak/>
              <w:t>Submitted invoices must be accompanied by supporting information including:</w:t>
            </w:r>
          </w:p>
          <w:p w14:paraId="255DD162" w14:textId="77777777" w:rsidR="00E96586" w:rsidRDefault="00E96586" w:rsidP="00E96586">
            <w:pPr>
              <w:pStyle w:val="ListParagraph"/>
              <w:numPr>
                <w:ilvl w:val="0"/>
                <w:numId w:val="100"/>
              </w:numPr>
              <w:overflowPunct/>
              <w:autoSpaceDE/>
              <w:autoSpaceDN/>
              <w:spacing w:after="120"/>
              <w:textAlignment w:val="auto"/>
              <w:rPr>
                <w:rFonts w:eastAsia="STZhongsong"/>
                <w:bCs/>
                <w:lang w:eastAsia="zh-CN"/>
              </w:rPr>
            </w:pPr>
            <w:r w:rsidRPr="00FA6C40">
              <w:rPr>
                <w:rFonts w:eastAsia="STZhongsong"/>
                <w:bCs/>
                <w:lang w:eastAsia="zh-CN"/>
              </w:rPr>
              <w:t>completed timesheets</w:t>
            </w:r>
            <w:r>
              <w:rPr>
                <w:rFonts w:eastAsia="STZhongsong"/>
                <w:bCs/>
                <w:lang w:eastAsia="zh-CN"/>
              </w:rPr>
              <w:t xml:space="preserve"> for amounts set out in the relevant invoice; and </w:t>
            </w:r>
          </w:p>
          <w:p w14:paraId="1B365241" w14:textId="77777777" w:rsidR="00E96586" w:rsidRPr="000C660D" w:rsidRDefault="00E96586" w:rsidP="00E96586">
            <w:pPr>
              <w:pStyle w:val="ListParagraph"/>
              <w:numPr>
                <w:ilvl w:val="0"/>
                <w:numId w:val="100"/>
              </w:numPr>
              <w:overflowPunct/>
              <w:autoSpaceDE/>
              <w:autoSpaceDN/>
              <w:spacing w:after="120"/>
              <w:textAlignment w:val="auto"/>
              <w:rPr>
                <w:rFonts w:eastAsia="STZhongsong"/>
                <w:bCs/>
                <w:lang w:eastAsia="zh-CN"/>
              </w:rPr>
            </w:pPr>
            <w:r>
              <w:rPr>
                <w:rFonts w:eastAsia="STZhongsong"/>
                <w:bCs/>
                <w:lang w:eastAsia="zh-CN"/>
              </w:rPr>
              <w:t xml:space="preserve">such other information as the Customer (acting reasonably) may require in order to verify the invoiced amounts. </w:t>
            </w:r>
          </w:p>
          <w:p w14:paraId="0DFE3D31" w14:textId="77777777" w:rsidR="00E96586" w:rsidRDefault="00E96586" w:rsidP="00E96586">
            <w:pPr>
              <w:numPr>
                <w:ilvl w:val="1"/>
                <w:numId w:val="0"/>
              </w:numPr>
              <w:overflowPunct/>
              <w:autoSpaceDE/>
              <w:autoSpaceDN/>
              <w:spacing w:after="120"/>
              <w:textAlignment w:val="auto"/>
              <w:rPr>
                <w:rFonts w:eastAsia="STZhongsong"/>
                <w:b/>
                <w:lang w:eastAsia="zh-CN"/>
              </w:rPr>
            </w:pPr>
            <w:r w:rsidRPr="00AB3AB1">
              <w:t>The Supplier shall have processes and systems in place to ensure costs and pricing are managed appropriately during the Call Off Contract. The Supplier shall ensure that an effective mix of grades of the project team are assigned and managed during the Call Off Contract to ensure best value for money for the Customer.</w:t>
            </w:r>
            <w:r w:rsidRPr="008C57C7">
              <w:t>   </w:t>
            </w:r>
          </w:p>
          <w:p w14:paraId="6D7E2F67" w14:textId="7FEA8765" w:rsidR="00E96586" w:rsidRPr="000C0209" w:rsidRDefault="00E96586" w:rsidP="00E96586">
            <w:pPr>
              <w:spacing w:before="240"/>
              <w:ind w:left="0"/>
              <w:jc w:val="left"/>
              <w:rPr>
                <w:lang w:eastAsia="en-GB"/>
              </w:rPr>
            </w:pPr>
            <w:r w:rsidRPr="00AB3AB1">
              <w:t>Invoice payment</w:t>
            </w:r>
            <w:r w:rsidR="00AE5D91">
              <w:t>s</w:t>
            </w:r>
            <w:r w:rsidRPr="00AB3AB1">
              <w:t xml:space="preserve"> will be approved upon satisfactory delivery of the agreed Key Performance Indicator targets set out in Annex 1 to this Call Off Order Form and (in respect of the period of </w:t>
            </w:r>
            <w:r w:rsidRPr="003735C3">
              <w:t>[x</w:t>
            </w:r>
            <w:r w:rsidR="003735C3" w:rsidRPr="003735C3">
              <w:t xml:space="preserve"> </w:t>
            </w:r>
            <w:proofErr w:type="gramStart"/>
            <w:r w:rsidR="003735C3" w:rsidRPr="003735C3">
              <w:rPr>
                <w:b/>
                <w:bCs/>
                <w:iCs/>
                <w:sz w:val="20"/>
                <w:szCs w:val="20"/>
              </w:rPr>
              <w:t>To</w:t>
            </w:r>
            <w:proofErr w:type="gramEnd"/>
            <w:r w:rsidR="003735C3" w:rsidRPr="003735C3">
              <w:rPr>
                <w:b/>
                <w:bCs/>
                <w:iCs/>
                <w:sz w:val="20"/>
                <w:szCs w:val="20"/>
              </w:rPr>
              <w:t xml:space="preserve"> be agreed at Contract Award</w:t>
            </w:r>
            <w:r w:rsidRPr="00AB3AB1">
              <w:t xml:space="preserve">] weeks before the end of the </w:t>
            </w:r>
            <w:r w:rsidR="00AE5D91">
              <w:t xml:space="preserve">Call Off </w:t>
            </w:r>
            <w:r w:rsidRPr="00AB3AB1">
              <w:t xml:space="preserve">Initial Period (and any </w:t>
            </w:r>
            <w:r w:rsidR="00AE5D91">
              <w:t xml:space="preserve">Call Off </w:t>
            </w:r>
            <w:r w:rsidRPr="00AB3AB1">
              <w:t>Extension Period, where applicable) a completed knowledge transfer in accordance with section 8.4 of this Call Off Order Form.</w:t>
            </w:r>
          </w:p>
          <w:p w14:paraId="0B09DB3F" w14:textId="0ABAB44A" w:rsidR="00E96586" w:rsidRPr="00B91478" w:rsidRDefault="00E96586" w:rsidP="00E96586">
            <w:pPr>
              <w:numPr>
                <w:ilvl w:val="1"/>
                <w:numId w:val="0"/>
              </w:numPr>
              <w:overflowPunct/>
              <w:autoSpaceDE/>
              <w:autoSpaceDN/>
              <w:spacing w:after="120"/>
              <w:textAlignment w:val="auto"/>
              <w:rPr>
                <w:rFonts w:eastAsia="STZhongsong"/>
                <w:b/>
                <w:lang w:eastAsia="zh-CN"/>
              </w:rPr>
            </w:pPr>
          </w:p>
        </w:tc>
      </w:tr>
      <w:tr w:rsidR="00B5520B" w:rsidRPr="00B91478" w14:paraId="509E85CE" w14:textId="77777777" w:rsidTr="0013569C">
        <w:tc>
          <w:tcPr>
            <w:tcW w:w="522" w:type="dxa"/>
          </w:tcPr>
          <w:p w14:paraId="3919B235"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6.3</w:t>
            </w:r>
          </w:p>
        </w:tc>
        <w:tc>
          <w:tcPr>
            <w:tcW w:w="9430" w:type="dxa"/>
            <w:shd w:val="clear" w:color="auto" w:fill="auto"/>
          </w:tcPr>
          <w:p w14:paraId="29D65DB8" w14:textId="77777777" w:rsidR="00B5520B" w:rsidRPr="002B2D19" w:rsidRDefault="00B5520B">
            <w:pPr>
              <w:numPr>
                <w:ilvl w:val="1"/>
                <w:numId w:val="0"/>
              </w:numPr>
              <w:overflowPunct/>
              <w:autoSpaceDE/>
              <w:autoSpaceDN/>
              <w:spacing w:after="120"/>
              <w:jc w:val="left"/>
              <w:textAlignment w:val="auto"/>
              <w:rPr>
                <w:rFonts w:eastAsia="STZhongsong"/>
                <w:lang w:eastAsia="zh-CN"/>
              </w:rPr>
            </w:pPr>
            <w:r w:rsidRPr="002B2D19">
              <w:rPr>
                <w:rFonts w:eastAsia="STZhongsong"/>
                <w:b/>
                <w:lang w:eastAsia="zh-CN"/>
              </w:rPr>
              <w:t>Reimbursable Expenses</w:t>
            </w:r>
            <w:r w:rsidRPr="002B2D19">
              <w:rPr>
                <w:rFonts w:eastAsia="STZhongsong"/>
                <w:lang w:eastAsia="zh-CN"/>
              </w:rPr>
              <w:t xml:space="preserve">: </w:t>
            </w:r>
          </w:p>
          <w:p w14:paraId="1FD613BE" w14:textId="10F94D40" w:rsidR="00B5520B" w:rsidRPr="00B91478" w:rsidRDefault="00B5520B">
            <w:pPr>
              <w:numPr>
                <w:ilvl w:val="1"/>
                <w:numId w:val="0"/>
              </w:numPr>
              <w:overflowPunct/>
              <w:autoSpaceDE/>
              <w:autoSpaceDN/>
              <w:spacing w:after="120"/>
              <w:jc w:val="left"/>
              <w:textAlignment w:val="auto"/>
              <w:rPr>
                <w:rFonts w:eastAsia="STZhongsong"/>
                <w:lang w:eastAsia="zh-CN"/>
              </w:rPr>
            </w:pPr>
            <w:r w:rsidRPr="002B2D19">
              <w:rPr>
                <w:rFonts w:eastAsia="STZhongsong"/>
                <w:lang w:eastAsia="zh-CN"/>
              </w:rPr>
              <w:t xml:space="preserve"> </w:t>
            </w:r>
            <w:r w:rsidRPr="00542302">
              <w:rPr>
                <w:rFonts w:eastAsia="STZhongsong"/>
                <w:lang w:eastAsia="zh-CN"/>
              </w:rPr>
              <w:t>Not permitted</w:t>
            </w:r>
          </w:p>
        </w:tc>
      </w:tr>
      <w:tr w:rsidR="00B5520B" w:rsidRPr="00B91478" w14:paraId="79636B86" w14:textId="77777777" w:rsidTr="0013569C">
        <w:tc>
          <w:tcPr>
            <w:tcW w:w="522" w:type="dxa"/>
          </w:tcPr>
          <w:p w14:paraId="6C80142A"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430" w:type="dxa"/>
            <w:shd w:val="clear" w:color="auto" w:fill="auto"/>
          </w:tcPr>
          <w:p w14:paraId="0892716B" w14:textId="77777777" w:rsidR="00B5520B" w:rsidRPr="002B2D19" w:rsidRDefault="00B552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 xml:space="preserve">paragraph 7.6 of Call Off Schedule 3 (Call Off Contract Charges, </w:t>
            </w:r>
            <w:r w:rsidRPr="002B2D19">
              <w:t>Payment and Invoicing))</w:t>
            </w:r>
            <w:r w:rsidRPr="002B2D19">
              <w:rPr>
                <w:rFonts w:eastAsia="STZhongsong"/>
                <w:lang w:eastAsia="zh-CN"/>
              </w:rPr>
              <w:t>:</w:t>
            </w:r>
          </w:p>
          <w:p w14:paraId="6502BBC6" w14:textId="4CBFDE89" w:rsidR="00984D40" w:rsidRDefault="00992069" w:rsidP="00BB4A0B">
            <w:pPr>
              <w:numPr>
                <w:ilvl w:val="1"/>
                <w:numId w:val="0"/>
              </w:numPr>
              <w:overflowPunct/>
              <w:autoSpaceDE/>
              <w:autoSpaceDN/>
              <w:spacing w:after="120"/>
              <w:textAlignment w:val="auto"/>
            </w:pPr>
            <w:hyperlink r:id="rId14" w:history="1">
              <w:r w:rsidR="00984D40" w:rsidRPr="00EA2667">
                <w:rPr>
                  <w:rStyle w:val="Hyperlink"/>
                </w:rPr>
                <w:t>tandt.sbs@nhs.net</w:t>
              </w:r>
            </w:hyperlink>
          </w:p>
          <w:p w14:paraId="4EA9B06A" w14:textId="6C0DB5C2" w:rsidR="00B5520B" w:rsidRPr="003A1092" w:rsidRDefault="00B5520B" w:rsidP="00BB4A0B">
            <w:pPr>
              <w:numPr>
                <w:ilvl w:val="1"/>
                <w:numId w:val="0"/>
              </w:numPr>
              <w:overflowPunct/>
              <w:autoSpaceDE/>
              <w:autoSpaceDN/>
              <w:spacing w:after="120"/>
              <w:textAlignment w:val="auto"/>
            </w:pPr>
            <w:r w:rsidRPr="003A1092">
              <w:t>Payment and Invoicing</w:t>
            </w:r>
          </w:p>
          <w:p w14:paraId="346A0232" w14:textId="77777777" w:rsidR="00B5520B" w:rsidRPr="003A1092" w:rsidRDefault="00B5520B" w:rsidP="00BB4A0B">
            <w:pPr>
              <w:numPr>
                <w:ilvl w:val="1"/>
                <w:numId w:val="0"/>
              </w:numPr>
              <w:overflowPunct/>
              <w:autoSpaceDE/>
              <w:autoSpaceDN/>
              <w:spacing w:after="120"/>
              <w:textAlignment w:val="auto"/>
            </w:pPr>
            <w:r w:rsidRPr="003A1092">
              <w:t>39 Victoria Street</w:t>
            </w:r>
          </w:p>
          <w:p w14:paraId="2F07AC11" w14:textId="77777777" w:rsidR="00B5520B" w:rsidRPr="003A1092" w:rsidRDefault="00B5520B" w:rsidP="00BB4A0B">
            <w:pPr>
              <w:numPr>
                <w:ilvl w:val="1"/>
                <w:numId w:val="0"/>
              </w:numPr>
              <w:overflowPunct/>
              <w:autoSpaceDE/>
              <w:autoSpaceDN/>
              <w:spacing w:after="120"/>
              <w:textAlignment w:val="auto"/>
            </w:pPr>
            <w:r w:rsidRPr="003A1092">
              <w:t>Westminster</w:t>
            </w:r>
          </w:p>
          <w:p w14:paraId="204F7A76" w14:textId="77777777" w:rsidR="00B5520B" w:rsidRPr="003A1092" w:rsidRDefault="00B5520B" w:rsidP="00BB4A0B">
            <w:pPr>
              <w:numPr>
                <w:ilvl w:val="1"/>
                <w:numId w:val="0"/>
              </w:numPr>
              <w:overflowPunct/>
              <w:autoSpaceDE/>
              <w:autoSpaceDN/>
              <w:spacing w:after="120"/>
              <w:textAlignment w:val="auto"/>
            </w:pPr>
            <w:r w:rsidRPr="003A1092">
              <w:t>London</w:t>
            </w:r>
          </w:p>
          <w:p w14:paraId="7515C78C" w14:textId="7DA2AE31" w:rsidR="00B5520B" w:rsidRPr="00B91478" w:rsidRDefault="00B5520B" w:rsidP="00BB4A0B">
            <w:pPr>
              <w:numPr>
                <w:ilvl w:val="1"/>
                <w:numId w:val="0"/>
              </w:numPr>
              <w:overflowPunct/>
              <w:autoSpaceDE/>
              <w:autoSpaceDN/>
              <w:spacing w:after="120"/>
              <w:textAlignment w:val="auto"/>
              <w:rPr>
                <w:rFonts w:eastAsia="STZhongsong"/>
                <w:lang w:eastAsia="zh-CN"/>
              </w:rPr>
            </w:pPr>
            <w:r w:rsidRPr="003A1092">
              <w:t>SW1H 0EU</w:t>
            </w:r>
          </w:p>
        </w:tc>
      </w:tr>
      <w:tr w:rsidR="00B5520B" w:rsidRPr="00B91478" w14:paraId="178F82D0" w14:textId="77777777" w:rsidTr="0013569C">
        <w:tc>
          <w:tcPr>
            <w:tcW w:w="522" w:type="dxa"/>
          </w:tcPr>
          <w:p w14:paraId="7620ED36"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430" w:type="dxa"/>
            <w:shd w:val="clear" w:color="auto" w:fill="auto"/>
          </w:tcPr>
          <w:p w14:paraId="6839226E" w14:textId="517714F9" w:rsidR="00B5520B" w:rsidRPr="002B2D19" w:rsidRDefault="00B552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 xml:space="preserve">Contract </w:t>
            </w:r>
            <w:r w:rsidRPr="002B2D19">
              <w:t>Charges, Payment and Invoicing))</w:t>
            </w:r>
            <w:r w:rsidRPr="002B2D19">
              <w:rPr>
                <w:rFonts w:eastAsia="STZhongsong"/>
                <w:lang w:eastAsia="zh-CN"/>
              </w:rPr>
              <w:t>:</w:t>
            </w:r>
          </w:p>
          <w:p w14:paraId="72EAD2DD" w14:textId="4712A6DE" w:rsidR="00B5520B" w:rsidRPr="00542302" w:rsidRDefault="00B5520B" w:rsidP="00BB4A0B">
            <w:pPr>
              <w:numPr>
                <w:ilvl w:val="1"/>
                <w:numId w:val="0"/>
              </w:numPr>
              <w:overflowPunct/>
              <w:autoSpaceDE/>
              <w:autoSpaceDN/>
              <w:spacing w:after="120"/>
              <w:textAlignment w:val="auto"/>
              <w:rPr>
                <w:rFonts w:eastAsia="STZhongsong"/>
                <w:bCs/>
                <w:lang w:eastAsia="zh-CN"/>
              </w:rPr>
            </w:pPr>
            <w:r w:rsidRPr="00542302">
              <w:rPr>
                <w:bCs/>
              </w:rPr>
              <w:t xml:space="preserve">The duration of the </w:t>
            </w:r>
            <w:r w:rsidR="001C4435" w:rsidRPr="00542302">
              <w:rPr>
                <w:bCs/>
              </w:rPr>
              <w:t>Call Off C</w:t>
            </w:r>
            <w:r w:rsidRPr="00542302">
              <w:rPr>
                <w:bCs/>
              </w:rPr>
              <w:t>ontract</w:t>
            </w:r>
          </w:p>
        </w:tc>
      </w:tr>
      <w:tr w:rsidR="00B5520B" w:rsidRPr="00B91478" w14:paraId="26AECBD0" w14:textId="77777777" w:rsidTr="0013569C">
        <w:tc>
          <w:tcPr>
            <w:tcW w:w="522" w:type="dxa"/>
          </w:tcPr>
          <w:p w14:paraId="779A313D" w14:textId="77777777" w:rsidR="00B5520B" w:rsidRPr="00B91478" w:rsidRDefault="00B5520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430" w:type="dxa"/>
            <w:shd w:val="clear" w:color="auto" w:fill="auto"/>
          </w:tcPr>
          <w:p w14:paraId="715FDC88" w14:textId="634461FE" w:rsidR="00B5520B" w:rsidRPr="00B91478" w:rsidRDefault="00B5520B"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7449FF8F" w:rsidR="00B5520B" w:rsidRPr="00B91478" w:rsidRDefault="002B2D19" w:rsidP="00BB4A0B">
            <w:pPr>
              <w:numPr>
                <w:ilvl w:val="1"/>
                <w:numId w:val="0"/>
              </w:numPr>
              <w:tabs>
                <w:tab w:val="left" w:pos="2783"/>
              </w:tabs>
              <w:overflowPunct/>
              <w:autoSpaceDE/>
              <w:autoSpaceDN/>
              <w:spacing w:after="120"/>
              <w:textAlignment w:val="auto"/>
              <w:rPr>
                <w:rFonts w:eastAsia="STZhongsong"/>
                <w:lang w:eastAsia="zh-CN"/>
              </w:rPr>
            </w:pPr>
            <w:r w:rsidRPr="00542302">
              <w:rPr>
                <w:bCs/>
              </w:rPr>
              <w:t>1 January and 1 July each year</w:t>
            </w:r>
            <w:r w:rsidR="00B5520B" w:rsidRPr="002B2D19">
              <w:rPr>
                <w:rFonts w:eastAsia="STZhongsong"/>
                <w:bCs/>
                <w:lang w:eastAsia="zh-CN"/>
              </w:rPr>
              <w:tab/>
            </w:r>
          </w:p>
        </w:tc>
      </w:tr>
      <w:tr w:rsidR="00B5520B" w:rsidRPr="00B91478" w14:paraId="2C9FE932" w14:textId="77777777" w:rsidTr="0013569C">
        <w:tc>
          <w:tcPr>
            <w:tcW w:w="522" w:type="dxa"/>
          </w:tcPr>
          <w:p w14:paraId="1ACDA024" w14:textId="77777777" w:rsidR="00B5520B" w:rsidRPr="00B91478" w:rsidRDefault="00B5520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430" w:type="dxa"/>
            <w:shd w:val="clear" w:color="auto" w:fill="auto"/>
          </w:tcPr>
          <w:p w14:paraId="5D8533AF" w14:textId="206F6AE0" w:rsidR="00B5520B" w:rsidRPr="002B2D19" w:rsidRDefault="00B5520B"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w:t>
            </w:r>
            <w:r w:rsidRPr="002B2D19">
              <w:t>Schedule 3 (Call Off Contract Charges, Payment and Invoicing))</w:t>
            </w:r>
            <w:r w:rsidRPr="002B2D19">
              <w:rPr>
                <w:rFonts w:eastAsia="STZhongsong"/>
                <w:lang w:eastAsia="zh-CN"/>
              </w:rPr>
              <w:t>:</w:t>
            </w:r>
          </w:p>
          <w:p w14:paraId="5A1C99AA" w14:textId="72A3211C" w:rsidR="00B5520B" w:rsidRPr="00B91478" w:rsidRDefault="00B5520B" w:rsidP="00BB4A0B">
            <w:pPr>
              <w:numPr>
                <w:ilvl w:val="1"/>
                <w:numId w:val="0"/>
              </w:numPr>
              <w:tabs>
                <w:tab w:val="left" w:pos="2783"/>
              </w:tabs>
              <w:overflowPunct/>
              <w:autoSpaceDE/>
              <w:autoSpaceDN/>
              <w:spacing w:after="120"/>
              <w:textAlignment w:val="auto"/>
              <w:rPr>
                <w:rFonts w:eastAsia="STZhongsong"/>
                <w:lang w:eastAsia="zh-CN"/>
              </w:rPr>
            </w:pPr>
            <w:r w:rsidRPr="002B2D19">
              <w:rPr>
                <w:rFonts w:eastAsia="STZhongsong"/>
                <w:lang w:eastAsia="zh-CN"/>
              </w:rPr>
              <w:t xml:space="preserve"> </w:t>
            </w:r>
            <w:r w:rsidRPr="00542302">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245"/>
      </w:tblGrid>
      <w:tr w:rsidR="00810FF4" w:rsidRPr="00B91478" w14:paraId="5478B57F" w14:textId="77777777" w:rsidTr="00810FF4">
        <w:tc>
          <w:tcPr>
            <w:tcW w:w="565" w:type="dxa"/>
          </w:tcPr>
          <w:p w14:paraId="1856BB0E" w14:textId="77777777" w:rsidR="00810FF4" w:rsidRPr="00B91478" w:rsidRDefault="00810FF4">
            <w:pPr>
              <w:numPr>
                <w:ilvl w:val="1"/>
                <w:numId w:val="0"/>
              </w:numPr>
              <w:overflowPunct/>
              <w:autoSpaceDE/>
              <w:autoSpaceDN/>
              <w:spacing w:after="120"/>
              <w:textAlignment w:val="auto"/>
              <w:rPr>
                <w:b/>
              </w:rPr>
            </w:pPr>
            <w:r w:rsidRPr="00B91478">
              <w:rPr>
                <w:b/>
              </w:rPr>
              <w:t>7.1</w:t>
            </w:r>
          </w:p>
        </w:tc>
        <w:tc>
          <w:tcPr>
            <w:tcW w:w="9245" w:type="dxa"/>
            <w:shd w:val="clear" w:color="auto" w:fill="auto"/>
          </w:tcPr>
          <w:p w14:paraId="5252CCDF" w14:textId="77777777" w:rsidR="00810FF4" w:rsidRPr="00B91478" w:rsidRDefault="00810FF4">
            <w:pPr>
              <w:numPr>
                <w:ilvl w:val="1"/>
                <w:numId w:val="0"/>
              </w:numPr>
              <w:overflowPunct/>
              <w:autoSpaceDE/>
              <w:autoSpaceDN/>
              <w:spacing w:after="120"/>
              <w:textAlignment w:val="auto"/>
            </w:pPr>
            <w:r w:rsidRPr="00B91478">
              <w:rPr>
                <w:b/>
              </w:rPr>
              <w:t>Estimated Year 1 Call Off Contract Charges</w:t>
            </w:r>
            <w:r w:rsidRPr="00B91478">
              <w:t>:</w:t>
            </w:r>
          </w:p>
          <w:p w14:paraId="4D8A571C" w14:textId="1CB6FE19" w:rsidR="00810FF4" w:rsidRPr="00B91478" w:rsidRDefault="00810FF4" w:rsidP="00EA1166">
            <w:pPr>
              <w:keepNext/>
              <w:keepLines/>
              <w:overflowPunct/>
              <w:autoSpaceDE/>
              <w:autoSpaceDN/>
              <w:spacing w:before="240"/>
              <w:ind w:left="0"/>
              <w:textAlignment w:val="auto"/>
              <w:rPr>
                <w:rFonts w:eastAsia="STZhongsong"/>
                <w:b/>
                <w:caps/>
                <w:lang w:eastAsia="zh-CN"/>
              </w:rPr>
            </w:pPr>
            <w:r w:rsidRPr="00B91478">
              <w:t>The sum of £</w:t>
            </w:r>
            <w:r w:rsidR="00EA1166">
              <w:t>1,</w:t>
            </w:r>
            <w:r w:rsidR="00EA1166" w:rsidRPr="00EA1166">
              <w:t>089,773</w:t>
            </w:r>
            <w:r w:rsidR="00EA1166">
              <w:t>.00 ex VAT</w:t>
            </w:r>
          </w:p>
        </w:tc>
      </w:tr>
      <w:tr w:rsidR="00810FF4" w:rsidRPr="00B91478" w14:paraId="55713951" w14:textId="77777777" w:rsidTr="00810FF4">
        <w:tc>
          <w:tcPr>
            <w:tcW w:w="565" w:type="dxa"/>
          </w:tcPr>
          <w:p w14:paraId="35D7B8B5"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7.2</w:t>
            </w:r>
          </w:p>
        </w:tc>
        <w:tc>
          <w:tcPr>
            <w:tcW w:w="9245" w:type="dxa"/>
            <w:shd w:val="clear" w:color="auto" w:fill="auto"/>
          </w:tcPr>
          <w:p w14:paraId="2FD5BCFD" w14:textId="00CFF953" w:rsidR="00810FF4" w:rsidRPr="00B91478" w:rsidRDefault="00810FF4">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337954A" w14:textId="426307F7" w:rsidR="00810FF4" w:rsidRPr="00B91478" w:rsidRDefault="00E11534">
            <w:pPr>
              <w:numPr>
                <w:ilvl w:val="1"/>
                <w:numId w:val="0"/>
              </w:numPr>
              <w:overflowPunct/>
              <w:autoSpaceDE/>
              <w:autoSpaceDN/>
              <w:spacing w:after="120"/>
              <w:textAlignment w:val="auto"/>
              <w:rPr>
                <w:rFonts w:eastAsia="STZhongsong"/>
                <w:lang w:eastAsia="zh-CN"/>
              </w:rPr>
            </w:pPr>
            <w:r w:rsidRPr="00EA1166">
              <w:rPr>
                <w:rFonts w:eastAsia="STZhongsong"/>
                <w:lang w:eastAsia="zh-CN"/>
              </w:rPr>
              <w:t>As set out in Clause 37.2.1 of the Call Off Terms</w:t>
            </w:r>
          </w:p>
        </w:tc>
      </w:tr>
      <w:tr w:rsidR="00810FF4" w:rsidRPr="00B91478" w14:paraId="75F98DE5" w14:textId="77777777" w:rsidTr="00810FF4">
        <w:tc>
          <w:tcPr>
            <w:tcW w:w="565" w:type="dxa"/>
          </w:tcPr>
          <w:p w14:paraId="73B0BF73"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245" w:type="dxa"/>
            <w:shd w:val="clear" w:color="auto" w:fill="auto"/>
          </w:tcPr>
          <w:p w14:paraId="5EAD959D" w14:textId="4E14B5EA" w:rsidR="00810FF4" w:rsidRPr="00B91478" w:rsidRDefault="00810FF4">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522EE257" w14:textId="3370CD0F" w:rsidR="00923AD5" w:rsidRPr="00EA1166" w:rsidRDefault="00923AD5" w:rsidP="00923AD5">
            <w:pPr>
              <w:numPr>
                <w:ilvl w:val="1"/>
                <w:numId w:val="0"/>
              </w:numPr>
              <w:overflowPunct/>
              <w:autoSpaceDE/>
              <w:autoSpaceDN/>
              <w:spacing w:after="120"/>
              <w:textAlignment w:val="auto"/>
              <w:rPr>
                <w:rFonts w:eastAsia="STZhongsong"/>
                <w:lang w:eastAsia="zh-CN"/>
              </w:rPr>
            </w:pPr>
            <w:r w:rsidRPr="00923AD5">
              <w:rPr>
                <w:rFonts w:eastAsia="STZhongsong"/>
                <w:lang w:eastAsia="zh-CN"/>
              </w:rPr>
              <w:t>Professional Indemni</w:t>
            </w:r>
            <w:r w:rsidRPr="00EA1166">
              <w:rPr>
                <w:rFonts w:eastAsia="STZhongsong"/>
                <w:lang w:eastAsia="zh-CN"/>
              </w:rPr>
              <w:t>ty – [£5m] per claim and in the aggregate per annum</w:t>
            </w:r>
          </w:p>
          <w:p w14:paraId="6BAE02FD" w14:textId="77777777" w:rsidR="00923AD5" w:rsidRPr="00EA1166" w:rsidRDefault="00923AD5" w:rsidP="00923AD5">
            <w:pPr>
              <w:numPr>
                <w:ilvl w:val="1"/>
                <w:numId w:val="0"/>
              </w:numPr>
              <w:overflowPunct/>
              <w:autoSpaceDE/>
              <w:autoSpaceDN/>
              <w:spacing w:after="120"/>
              <w:textAlignment w:val="auto"/>
              <w:rPr>
                <w:rFonts w:eastAsia="STZhongsong"/>
                <w:lang w:eastAsia="zh-CN"/>
              </w:rPr>
            </w:pPr>
            <w:r w:rsidRPr="00EA1166">
              <w:rPr>
                <w:rFonts w:eastAsia="STZhongsong"/>
                <w:lang w:eastAsia="zh-CN"/>
              </w:rPr>
              <w:t>Employers’ liability – as required by law</w:t>
            </w:r>
          </w:p>
          <w:p w14:paraId="6A058270" w14:textId="5DD32152" w:rsidR="00810FF4" w:rsidRDefault="00923AD5">
            <w:pPr>
              <w:numPr>
                <w:ilvl w:val="1"/>
                <w:numId w:val="0"/>
              </w:numPr>
              <w:overflowPunct/>
              <w:autoSpaceDE/>
              <w:autoSpaceDN/>
              <w:spacing w:after="120"/>
              <w:textAlignment w:val="auto"/>
              <w:rPr>
                <w:rFonts w:eastAsia="STZhongsong"/>
                <w:lang w:eastAsia="zh-CN"/>
              </w:rPr>
            </w:pPr>
            <w:r w:rsidRPr="00EA1166">
              <w:rPr>
                <w:rFonts w:eastAsia="STZhongsong"/>
                <w:lang w:eastAsia="zh-CN"/>
              </w:rPr>
              <w:t xml:space="preserve">Third Party Public and Products Liability Insurance – [£5m] per </w:t>
            </w:r>
            <w:r w:rsidR="00D50C28" w:rsidRPr="00EA1166">
              <w:rPr>
                <w:rFonts w:eastAsia="STZhongsong"/>
                <w:lang w:eastAsia="zh-CN"/>
              </w:rPr>
              <w:t>occurrence</w:t>
            </w:r>
            <w:r w:rsidRPr="00EA1166">
              <w:rPr>
                <w:rFonts w:eastAsia="STZhongsong"/>
                <w:lang w:eastAsia="zh-CN"/>
              </w:rPr>
              <w:t xml:space="preserve"> and in the aggregate per annum</w:t>
            </w:r>
          </w:p>
          <w:p w14:paraId="4451852C" w14:textId="0A179671" w:rsidR="00923AD5" w:rsidRPr="00923AD5" w:rsidRDefault="00923AD5">
            <w:pPr>
              <w:numPr>
                <w:ilvl w:val="1"/>
                <w:numId w:val="0"/>
              </w:numPr>
              <w:overflowPunct/>
              <w:autoSpaceDE/>
              <w:autoSpaceDN/>
              <w:spacing w:after="120"/>
              <w:textAlignment w:val="auto"/>
              <w:rPr>
                <w:rFonts w:eastAsia="STZhongsong"/>
                <w:lang w:eastAsia="zh-CN"/>
              </w:rPr>
            </w:pP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245"/>
      </w:tblGrid>
      <w:tr w:rsidR="003B455E" w:rsidRPr="00B91478" w14:paraId="45EEC7DA" w14:textId="77777777" w:rsidTr="003B455E">
        <w:tc>
          <w:tcPr>
            <w:tcW w:w="565" w:type="dxa"/>
          </w:tcPr>
          <w:p w14:paraId="40AC2E4B" w14:textId="7777777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245" w:type="dxa"/>
            <w:shd w:val="clear" w:color="auto" w:fill="auto"/>
          </w:tcPr>
          <w:p w14:paraId="2878B9E8" w14:textId="2448AB40" w:rsidR="003B455E" w:rsidRPr="00982D63" w:rsidRDefault="003B455E">
            <w:pPr>
              <w:numPr>
                <w:ilvl w:val="1"/>
                <w:numId w:val="0"/>
              </w:numPr>
              <w:overflowPunct/>
              <w:autoSpaceDE/>
              <w:autoSpaceDN/>
              <w:spacing w:after="120"/>
              <w:textAlignment w:val="auto"/>
              <w:rPr>
                <w:rFonts w:eastAsia="STZhongsong"/>
                <w:lang w:eastAsia="zh-CN"/>
              </w:rPr>
            </w:pPr>
            <w:r w:rsidRPr="00982D63">
              <w:rPr>
                <w:rFonts w:eastAsia="STZhongsong"/>
                <w:b/>
                <w:lang w:eastAsia="zh-CN"/>
              </w:rPr>
              <w:t>Termination on material Default</w:t>
            </w:r>
            <w:r w:rsidRPr="00982D63">
              <w:rPr>
                <w:rFonts w:eastAsia="STZhongsong"/>
                <w:lang w:eastAsia="zh-CN"/>
              </w:rPr>
              <w:t xml:space="preserve"> (Clause 42.2 of the Call Off Terms)):</w:t>
            </w:r>
          </w:p>
          <w:p w14:paraId="4594391F" w14:textId="6810B865" w:rsidR="003B455E" w:rsidRPr="00F641B6" w:rsidRDefault="003B455E" w:rsidP="00397FC8">
            <w:pPr>
              <w:keepNext/>
              <w:keepLines/>
              <w:overflowPunct/>
              <w:autoSpaceDE/>
              <w:autoSpaceDN/>
              <w:spacing w:before="240"/>
              <w:ind w:left="0"/>
              <w:textAlignment w:val="auto"/>
              <w:rPr>
                <w:highlight w:val="yellow"/>
              </w:rPr>
            </w:pPr>
            <w:r w:rsidRPr="00542302">
              <w:rPr>
                <w:rFonts w:eastAsia="STZhongsong"/>
                <w:lang w:eastAsia="zh-CN"/>
              </w:rPr>
              <w:t>In Clause 42.2.1(c)</w:t>
            </w:r>
            <w:r w:rsidRPr="00542302">
              <w:t xml:space="preserve"> of the Call Off Terms</w:t>
            </w:r>
          </w:p>
        </w:tc>
      </w:tr>
      <w:tr w:rsidR="003B455E" w:rsidRPr="00B91478" w14:paraId="2D4DA8B8" w14:textId="77777777" w:rsidTr="003B455E">
        <w:tc>
          <w:tcPr>
            <w:tcW w:w="565" w:type="dxa"/>
          </w:tcPr>
          <w:p w14:paraId="7475DDE5" w14:textId="7777777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245" w:type="dxa"/>
            <w:shd w:val="clear" w:color="auto" w:fill="auto"/>
          </w:tcPr>
          <w:p w14:paraId="68CE8304" w14:textId="314F66F6" w:rsidR="003B455E" w:rsidRPr="00982D63" w:rsidRDefault="003B455E">
            <w:pPr>
              <w:numPr>
                <w:ilvl w:val="1"/>
                <w:numId w:val="0"/>
              </w:numPr>
              <w:overflowPunct/>
              <w:autoSpaceDE/>
              <w:autoSpaceDN/>
              <w:spacing w:after="120"/>
              <w:textAlignment w:val="auto"/>
              <w:rPr>
                <w:rFonts w:eastAsia="STZhongsong"/>
                <w:lang w:eastAsia="zh-CN"/>
              </w:rPr>
            </w:pPr>
            <w:r w:rsidRPr="00982D63">
              <w:rPr>
                <w:rFonts w:eastAsia="STZhongsong"/>
                <w:b/>
                <w:lang w:eastAsia="zh-CN"/>
              </w:rPr>
              <w:t>Termination without cause notice period</w:t>
            </w:r>
            <w:r w:rsidRPr="00982D63">
              <w:rPr>
                <w:rFonts w:eastAsia="STZhongsong"/>
                <w:lang w:eastAsia="zh-CN"/>
              </w:rPr>
              <w:t xml:space="preserve"> (Clause 42.7 of the Call Off Terms):</w:t>
            </w:r>
          </w:p>
          <w:p w14:paraId="3158D234" w14:textId="342FEE0D" w:rsidR="003B455E" w:rsidRPr="00982D63" w:rsidRDefault="003B455E" w:rsidP="004944BE">
            <w:pPr>
              <w:numPr>
                <w:ilvl w:val="1"/>
                <w:numId w:val="0"/>
              </w:numPr>
              <w:overflowPunct/>
              <w:autoSpaceDE/>
              <w:autoSpaceDN/>
              <w:spacing w:after="120"/>
              <w:textAlignment w:val="auto"/>
              <w:rPr>
                <w:rFonts w:eastAsia="STZhongsong"/>
                <w:lang w:eastAsia="zh-CN"/>
              </w:rPr>
            </w:pPr>
            <w:r w:rsidRPr="00542302">
              <w:rPr>
                <w:b/>
              </w:rPr>
              <w:t xml:space="preserve"> </w:t>
            </w:r>
            <w:r w:rsidRPr="00542302">
              <w:t xml:space="preserve">The period of thirty (30) Working Days in Clause 42.7 </w:t>
            </w:r>
            <w:r w:rsidRPr="00542302">
              <w:rPr>
                <w:rFonts w:eastAsia="STZhongsong"/>
                <w:lang w:eastAsia="zh-CN"/>
              </w:rPr>
              <w:t xml:space="preserve">shall be amended to </w:t>
            </w:r>
            <w:r w:rsidR="0007314C">
              <w:rPr>
                <w:rFonts w:eastAsia="STZhongsong"/>
                <w:lang w:eastAsia="zh-CN"/>
              </w:rPr>
              <w:t>ten (10</w:t>
            </w:r>
            <w:r w:rsidR="002C1A8E">
              <w:rPr>
                <w:rFonts w:eastAsia="STZhongsong"/>
                <w:lang w:eastAsia="zh-CN"/>
              </w:rPr>
              <w:t>)</w:t>
            </w:r>
            <w:r w:rsidRPr="00542302">
              <w:rPr>
                <w:rFonts w:eastAsia="STZhongsong"/>
                <w:lang w:eastAsia="zh-CN"/>
              </w:rPr>
              <w:t xml:space="preserve"> </w:t>
            </w:r>
            <w:r w:rsidR="00E11534" w:rsidRPr="00542302">
              <w:t>W</w:t>
            </w:r>
            <w:r w:rsidRPr="00542302">
              <w:t xml:space="preserve">orking </w:t>
            </w:r>
            <w:r w:rsidR="00E11534" w:rsidRPr="00542302">
              <w:t>D</w:t>
            </w:r>
            <w:r w:rsidRPr="00542302">
              <w:t>ays</w:t>
            </w:r>
          </w:p>
        </w:tc>
      </w:tr>
      <w:tr w:rsidR="003B455E" w:rsidRPr="00B91478" w14:paraId="7C78E2F3" w14:textId="77777777" w:rsidTr="003B455E">
        <w:tc>
          <w:tcPr>
            <w:tcW w:w="565" w:type="dxa"/>
          </w:tcPr>
          <w:p w14:paraId="174E531E" w14:textId="7777777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9245" w:type="dxa"/>
            <w:shd w:val="clear" w:color="auto" w:fill="auto"/>
          </w:tcPr>
          <w:p w14:paraId="32D7692F" w14:textId="77777777" w:rsidR="003B455E" w:rsidRPr="00982D63" w:rsidRDefault="003B455E">
            <w:pPr>
              <w:numPr>
                <w:ilvl w:val="1"/>
                <w:numId w:val="0"/>
              </w:numPr>
              <w:overflowPunct/>
              <w:autoSpaceDE/>
              <w:autoSpaceDN/>
              <w:spacing w:after="120"/>
              <w:textAlignment w:val="auto"/>
              <w:rPr>
                <w:rFonts w:eastAsia="STZhongsong"/>
                <w:lang w:eastAsia="zh-CN"/>
              </w:rPr>
            </w:pPr>
            <w:r w:rsidRPr="00982D63">
              <w:rPr>
                <w:rFonts w:eastAsia="STZhongsong"/>
                <w:b/>
                <w:lang w:eastAsia="zh-CN"/>
              </w:rPr>
              <w:t>Undisputed Sums Limit</w:t>
            </w:r>
            <w:r w:rsidRPr="00982D63">
              <w:rPr>
                <w:rFonts w:eastAsia="STZhongsong"/>
                <w:lang w:eastAsia="zh-CN"/>
              </w:rPr>
              <w:t>:</w:t>
            </w:r>
          </w:p>
          <w:p w14:paraId="743B1542" w14:textId="597C9BC4" w:rsidR="003B455E" w:rsidRPr="00542302" w:rsidRDefault="003B455E" w:rsidP="00DE1860">
            <w:pPr>
              <w:keepNext/>
              <w:keepLines/>
              <w:overflowPunct/>
              <w:autoSpaceDE/>
              <w:autoSpaceDN/>
              <w:spacing w:before="240"/>
              <w:ind w:left="0"/>
              <w:textAlignment w:val="auto"/>
              <w:rPr>
                <w:rFonts w:eastAsia="STZhongsong"/>
                <w:lang w:eastAsia="zh-CN"/>
              </w:rPr>
            </w:pPr>
            <w:r w:rsidRPr="00542302">
              <w:rPr>
                <w:rFonts w:eastAsia="STZhongsong"/>
                <w:lang w:eastAsia="zh-CN"/>
              </w:rPr>
              <w:t>In Clause 43.1.1</w:t>
            </w:r>
            <w:r w:rsidRPr="00542302">
              <w:t xml:space="preserve"> of the Call Off Terms</w:t>
            </w:r>
          </w:p>
        </w:tc>
      </w:tr>
      <w:tr w:rsidR="003B455E" w:rsidRPr="00B91478" w14:paraId="7CFBFB52" w14:textId="77777777" w:rsidTr="003B455E">
        <w:tc>
          <w:tcPr>
            <w:tcW w:w="565" w:type="dxa"/>
            <w:tcBorders>
              <w:top w:val="single" w:sz="4" w:space="0" w:color="auto"/>
              <w:left w:val="single" w:sz="4" w:space="0" w:color="auto"/>
              <w:bottom w:val="single" w:sz="4" w:space="0" w:color="auto"/>
              <w:right w:val="single" w:sz="4" w:space="0" w:color="auto"/>
            </w:tcBorders>
          </w:tcPr>
          <w:p w14:paraId="44A77CD6" w14:textId="20FE102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245"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3B455E" w:rsidRPr="00982D63" w:rsidRDefault="003B455E">
            <w:pPr>
              <w:numPr>
                <w:ilvl w:val="1"/>
                <w:numId w:val="0"/>
              </w:numPr>
              <w:overflowPunct/>
              <w:autoSpaceDE/>
              <w:autoSpaceDN/>
              <w:spacing w:after="120"/>
              <w:textAlignment w:val="auto"/>
              <w:rPr>
                <w:rFonts w:eastAsia="STZhongsong"/>
                <w:b/>
                <w:lang w:eastAsia="zh-CN"/>
              </w:rPr>
            </w:pPr>
            <w:r w:rsidRPr="00982D63">
              <w:rPr>
                <w:rFonts w:eastAsia="STZhongsong"/>
                <w:b/>
                <w:lang w:eastAsia="zh-CN"/>
              </w:rPr>
              <w:t xml:space="preserve">Exit Management: </w:t>
            </w:r>
          </w:p>
          <w:p w14:paraId="3F89553F" w14:textId="336B5705" w:rsidR="00E96586" w:rsidRDefault="003B455E" w:rsidP="00E96586">
            <w:pPr>
              <w:numPr>
                <w:ilvl w:val="1"/>
                <w:numId w:val="0"/>
              </w:numPr>
              <w:overflowPunct/>
              <w:autoSpaceDE/>
              <w:autoSpaceDN/>
              <w:spacing w:after="120"/>
              <w:textAlignment w:val="auto"/>
            </w:pPr>
            <w:r w:rsidRPr="00542302">
              <w:rPr>
                <w:rFonts w:eastAsia="STZhongsong"/>
                <w:lang w:eastAsia="zh-CN"/>
              </w:rPr>
              <w:t>In Call Off Schedule 9 (Exit Management)</w:t>
            </w:r>
            <w:r w:rsidR="00E96586">
              <w:t>, which</w:t>
            </w:r>
            <w:r w:rsidR="00E96586" w:rsidRPr="00564CC9">
              <w:t xml:space="preserve"> shall be amended as follows</w:t>
            </w:r>
            <w:r w:rsidR="00E96586">
              <w:t>:</w:t>
            </w:r>
            <w:r w:rsidR="00E96586" w:rsidRPr="00B91478">
              <w:t xml:space="preserve"> </w:t>
            </w:r>
          </w:p>
          <w:p w14:paraId="12982CED" w14:textId="77777777" w:rsidR="00E96586" w:rsidRDefault="00E96586" w:rsidP="00E96586">
            <w:pPr>
              <w:numPr>
                <w:ilvl w:val="1"/>
                <w:numId w:val="0"/>
              </w:numPr>
              <w:overflowPunct/>
              <w:autoSpaceDE/>
              <w:autoSpaceDN/>
              <w:spacing w:after="120"/>
              <w:textAlignment w:val="auto"/>
              <w:rPr>
                <w:bCs/>
              </w:rPr>
            </w:pPr>
            <w:r>
              <w:rPr>
                <w:bCs/>
              </w:rPr>
              <w:t>The following new paragraph 13 will be added:</w:t>
            </w:r>
          </w:p>
          <w:p w14:paraId="607F89E7" w14:textId="77777777" w:rsidR="00E93B30" w:rsidRDefault="00E96586" w:rsidP="00E93B30">
            <w:pPr>
              <w:overflowPunct/>
              <w:autoSpaceDE/>
              <w:autoSpaceDN/>
              <w:spacing w:after="120"/>
              <w:ind w:left="0"/>
              <w:textAlignment w:val="auto"/>
              <w:rPr>
                <w:bCs/>
              </w:rPr>
            </w:pPr>
            <w:bookmarkStart w:id="3" w:name="_GoBack"/>
            <w:bookmarkEnd w:id="3"/>
            <w:r>
              <w:rPr>
                <w:bCs/>
              </w:rPr>
              <w:t xml:space="preserve">13.1 </w:t>
            </w:r>
            <w:r w:rsidR="00E93B30">
              <w:rPr>
                <w:bCs/>
              </w:rPr>
              <w:t>T</w:t>
            </w:r>
            <w:r w:rsidR="00E93B30" w:rsidRPr="00064C45">
              <w:rPr>
                <w:bCs/>
              </w:rPr>
              <w:t xml:space="preserve">he Supplier will </w:t>
            </w:r>
            <w:r w:rsidR="00E93B30">
              <w:rPr>
                <w:bCs/>
              </w:rPr>
              <w:t xml:space="preserve">produce and submit to the Customer a </w:t>
            </w:r>
            <w:r w:rsidR="00E93B30" w:rsidRPr="00064C45">
              <w:rPr>
                <w:bCs/>
              </w:rPr>
              <w:t xml:space="preserve">knowledge transfer plan </w:t>
            </w:r>
            <w:r w:rsidR="00E93B30" w:rsidRPr="004F14AD">
              <w:rPr>
                <w:bCs/>
              </w:rPr>
              <w:t>to be written within ten (10) Working Days of confirmed Resource Roll Off. Resource Roll Off will be confirmed in line with two (2) monthly project check points.</w:t>
            </w:r>
            <w:r w:rsidR="00E93B30" w:rsidRPr="00064C45">
              <w:rPr>
                <w:bCs/>
              </w:rPr>
              <w:t xml:space="preserve"> Th</w:t>
            </w:r>
            <w:r w:rsidR="00E93B30">
              <w:rPr>
                <w:bCs/>
              </w:rPr>
              <w:t>e draft</w:t>
            </w:r>
            <w:r w:rsidR="00E93B30" w:rsidRPr="00064C45">
              <w:rPr>
                <w:bCs/>
              </w:rPr>
              <w:t xml:space="preserve"> </w:t>
            </w:r>
            <w:r w:rsidR="00E93B30">
              <w:rPr>
                <w:bCs/>
              </w:rPr>
              <w:t xml:space="preserve">knowledge transfer </w:t>
            </w:r>
            <w:r w:rsidR="00E93B30" w:rsidRPr="00064C45">
              <w:rPr>
                <w:bCs/>
              </w:rPr>
              <w:t xml:space="preserve">plan </w:t>
            </w:r>
            <w:r w:rsidR="00E93B30">
              <w:rPr>
                <w:bCs/>
              </w:rPr>
              <w:t>shall set out as</w:t>
            </w:r>
            <w:r w:rsidR="00E93B30" w:rsidRPr="00064C45">
              <w:rPr>
                <w:bCs/>
              </w:rPr>
              <w:t xml:space="preserve"> a minimum:</w:t>
            </w:r>
          </w:p>
          <w:p w14:paraId="6DC3D229" w14:textId="55D17B99" w:rsidR="00E96586" w:rsidRDefault="00E96586" w:rsidP="00E96586">
            <w:pPr>
              <w:numPr>
                <w:ilvl w:val="0"/>
                <w:numId w:val="101"/>
              </w:numPr>
              <w:overflowPunct/>
              <w:autoSpaceDE/>
              <w:autoSpaceDN/>
              <w:spacing w:after="120"/>
              <w:textAlignment w:val="auto"/>
              <w:rPr>
                <w:bCs/>
              </w:rPr>
            </w:pPr>
            <w:r>
              <w:t>the Supplier's proposed methodology for achieving the transfer of all relevant knowledge to the Customer and/or Replacement Supplier which might be necessary to ensure a rapid, orderly, non- disruptive transition of the Services from the Supplier to the Customer and/or its Replacement Supplier on the expiry or termination of this Call Off Contract;</w:t>
            </w:r>
          </w:p>
          <w:p w14:paraId="0C62698E" w14:textId="77777777" w:rsidR="00E96586" w:rsidRPr="00064C45" w:rsidRDefault="00E96586" w:rsidP="00E96586">
            <w:pPr>
              <w:numPr>
                <w:ilvl w:val="0"/>
                <w:numId w:val="101"/>
              </w:numPr>
              <w:overflowPunct/>
              <w:autoSpaceDE/>
              <w:autoSpaceDN/>
              <w:spacing w:after="120"/>
              <w:textAlignment w:val="auto"/>
              <w:rPr>
                <w:bCs/>
              </w:rPr>
            </w:pPr>
            <w:r>
              <w:rPr>
                <w:bCs/>
              </w:rPr>
              <w:t>a project plan for</w:t>
            </w:r>
            <w:r w:rsidRPr="00064C45">
              <w:rPr>
                <w:bCs/>
              </w:rPr>
              <w:t xml:space="preserve"> effective knowledge transfer</w:t>
            </w:r>
            <w:r>
              <w:rPr>
                <w:bCs/>
              </w:rPr>
              <w:t>, including Milestones and Deliverables;</w:t>
            </w:r>
          </w:p>
          <w:p w14:paraId="36782D66" w14:textId="58470A66" w:rsidR="00E96586" w:rsidRPr="00064C45" w:rsidRDefault="00E96586" w:rsidP="00E96586">
            <w:pPr>
              <w:numPr>
                <w:ilvl w:val="0"/>
                <w:numId w:val="101"/>
              </w:numPr>
              <w:overflowPunct/>
              <w:autoSpaceDE/>
              <w:autoSpaceDN/>
              <w:spacing w:after="120"/>
              <w:textAlignment w:val="auto"/>
              <w:rPr>
                <w:bCs/>
              </w:rPr>
            </w:pPr>
            <w:r>
              <w:rPr>
                <w:bCs/>
              </w:rPr>
              <w:t>id</w:t>
            </w:r>
            <w:r w:rsidRPr="00064C45">
              <w:rPr>
                <w:bCs/>
              </w:rPr>
              <w:t>entification of all critical processes and information that will be documented</w:t>
            </w:r>
            <w:r>
              <w:rPr>
                <w:bCs/>
              </w:rPr>
              <w:t xml:space="preserve"> and provided to the Customer and/or Replacement Supplier and the </w:t>
            </w:r>
            <w:r w:rsidR="00D50C28">
              <w:rPr>
                <w:bCs/>
              </w:rPr>
              <w:t>timescales</w:t>
            </w:r>
            <w:r>
              <w:rPr>
                <w:bCs/>
              </w:rPr>
              <w:t xml:space="preserve"> for documentation and provision; </w:t>
            </w:r>
          </w:p>
          <w:p w14:paraId="3B728077" w14:textId="77777777" w:rsidR="00E96586" w:rsidRPr="00064C45" w:rsidRDefault="00E96586" w:rsidP="00E96586">
            <w:pPr>
              <w:numPr>
                <w:ilvl w:val="0"/>
                <w:numId w:val="101"/>
              </w:numPr>
              <w:overflowPunct/>
              <w:autoSpaceDE/>
              <w:autoSpaceDN/>
              <w:spacing w:after="120"/>
              <w:textAlignment w:val="auto"/>
              <w:rPr>
                <w:bCs/>
              </w:rPr>
            </w:pPr>
            <w:r>
              <w:rPr>
                <w:bCs/>
              </w:rPr>
              <w:t xml:space="preserve">the proposed </w:t>
            </w:r>
            <w:r w:rsidRPr="00064C45">
              <w:rPr>
                <w:bCs/>
              </w:rPr>
              <w:t xml:space="preserve">format of documentation and/ or training that will be </w:t>
            </w:r>
            <w:r>
              <w:rPr>
                <w:bCs/>
              </w:rPr>
              <w:t xml:space="preserve">provided by the Supplier as part of knowledge transfer and the proposed dates for provision; and </w:t>
            </w:r>
          </w:p>
          <w:p w14:paraId="32B729FA" w14:textId="08DD2E09" w:rsidR="00E96586" w:rsidRPr="00064C45" w:rsidRDefault="007728AB" w:rsidP="00E96586">
            <w:pPr>
              <w:numPr>
                <w:ilvl w:val="0"/>
                <w:numId w:val="101"/>
              </w:numPr>
              <w:overflowPunct/>
              <w:autoSpaceDE/>
              <w:autoSpaceDN/>
              <w:spacing w:after="120"/>
              <w:textAlignment w:val="auto"/>
              <w:rPr>
                <w:bCs/>
              </w:rPr>
            </w:pPr>
            <w:r>
              <w:rPr>
                <w:bCs/>
              </w:rPr>
              <w:t>d</w:t>
            </w:r>
            <w:r w:rsidR="00E96586">
              <w:rPr>
                <w:bCs/>
              </w:rPr>
              <w:t>efinitions of an agreed</w:t>
            </w:r>
            <w:r w:rsidR="00E96586" w:rsidRPr="00064C45">
              <w:rPr>
                <w:bCs/>
              </w:rPr>
              <w:t xml:space="preserve"> acceptable standard and sign-off process (including roles and responsibilities from Supplier and </w:t>
            </w:r>
            <w:r w:rsidR="00E96586">
              <w:rPr>
                <w:bCs/>
              </w:rPr>
              <w:t>Customer</w:t>
            </w:r>
            <w:r w:rsidR="00E96586" w:rsidRPr="00064C45">
              <w:rPr>
                <w:bCs/>
              </w:rPr>
              <w:t xml:space="preserve"> teams)</w:t>
            </w:r>
          </w:p>
          <w:p w14:paraId="37D22002" w14:textId="77777777" w:rsidR="00E96586" w:rsidRDefault="00E96586" w:rsidP="00E96586">
            <w:pPr>
              <w:numPr>
                <w:ilvl w:val="1"/>
                <w:numId w:val="0"/>
              </w:numPr>
              <w:overflowPunct/>
              <w:autoSpaceDE/>
              <w:autoSpaceDN/>
              <w:spacing w:after="120"/>
              <w:textAlignment w:val="auto"/>
            </w:pPr>
            <w:r>
              <w:lastRenderedPageBreak/>
              <w:t xml:space="preserve">13.2 The Parties shall use reasonable endeavours to agree the contents of the knowledge transfer plan. If the Parties are unable to agree the contents of the Exit Plan </w:t>
            </w:r>
            <w:r w:rsidRPr="00EA1166">
              <w:t>within [ten (10)]</w:t>
            </w:r>
            <w:r>
              <w:t xml:space="preserve"> Working Days of its submission, then such Dispute shall be resolved in accordance with the Dispute Resolution Procedure. </w:t>
            </w:r>
          </w:p>
          <w:p w14:paraId="1322AB72" w14:textId="77777777" w:rsidR="00E96586" w:rsidRDefault="00E96586" w:rsidP="00E96586">
            <w:pPr>
              <w:numPr>
                <w:ilvl w:val="1"/>
                <w:numId w:val="0"/>
              </w:numPr>
              <w:overflowPunct/>
              <w:autoSpaceDE/>
              <w:autoSpaceDN/>
              <w:spacing w:after="120"/>
              <w:textAlignment w:val="auto"/>
            </w:pPr>
            <w:r>
              <w:t>13.3 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 at its own cost and expense:</w:t>
            </w:r>
          </w:p>
          <w:p w14:paraId="3417E92A" w14:textId="720A5753" w:rsidR="00E96586" w:rsidRDefault="00E96586" w:rsidP="00E96586">
            <w:pPr>
              <w:numPr>
                <w:ilvl w:val="1"/>
                <w:numId w:val="0"/>
              </w:numPr>
              <w:overflowPunct/>
              <w:autoSpaceDE/>
              <w:autoSpaceDN/>
              <w:spacing w:after="120"/>
              <w:textAlignment w:val="auto"/>
            </w:pPr>
            <w:r>
              <w:t xml:space="preserve">13.3.1 comply with all of its obligations contained in the </w:t>
            </w:r>
            <w:r w:rsidR="00870107">
              <w:t>k</w:t>
            </w:r>
            <w:r w:rsidR="00D50C28">
              <w:t>nowledge</w:t>
            </w:r>
            <w:r>
              <w:t xml:space="preserve"> </w:t>
            </w:r>
            <w:r w:rsidR="00870107">
              <w:t>t</w:t>
            </w:r>
            <w:r>
              <w:t xml:space="preserve">ransfer </w:t>
            </w:r>
            <w:r w:rsidR="00870107">
              <w:t>p</w:t>
            </w:r>
            <w:r>
              <w:t xml:space="preserve">lan and shall make </w:t>
            </w:r>
            <w:r w:rsidR="00AB7DC1">
              <w:t>the Supplier Personnel</w:t>
            </w:r>
            <w:r w:rsidR="0008498A">
              <w:t xml:space="preserve"> </w:t>
            </w:r>
            <w:r w:rsidR="00BA4ACD">
              <w:t>and the information</w:t>
            </w:r>
            <w:r w:rsidR="00303106">
              <w:t xml:space="preserve"> </w:t>
            </w:r>
            <w:r>
              <w:t xml:space="preserve">available for the purposes of knowledge transfer to the Customer and/or the Replacement Supplier. </w:t>
            </w:r>
          </w:p>
          <w:p w14:paraId="1458C54E" w14:textId="00444CD7" w:rsidR="00E96586" w:rsidRDefault="00E96586" w:rsidP="00E96586">
            <w:pPr>
              <w:numPr>
                <w:ilvl w:val="1"/>
                <w:numId w:val="0"/>
              </w:numPr>
              <w:overflowPunct/>
              <w:autoSpaceDE/>
              <w:autoSpaceDN/>
              <w:spacing w:after="120"/>
              <w:textAlignment w:val="auto"/>
              <w:rPr>
                <w:bCs/>
              </w:rPr>
            </w:pPr>
            <w:r>
              <w:rPr>
                <w:bCs/>
              </w:rPr>
              <w:t xml:space="preserve">13.3.2 provide no less </w:t>
            </w:r>
            <w:r w:rsidRPr="00EA1166">
              <w:rPr>
                <w:bCs/>
              </w:rPr>
              <w:t>than [40 hours] of dedicated</w:t>
            </w:r>
            <w:r>
              <w:rPr>
                <w:bCs/>
              </w:rPr>
              <w:t xml:space="preserve"> resource time from Supplier Personnel who were actively engaged in the provision of the Services to carry out the knowledge transfer activities set out in the knowledge transfer plan</w:t>
            </w:r>
            <w:r w:rsidRPr="00565DE9">
              <w:rPr>
                <w:bCs/>
              </w:rPr>
              <w:t xml:space="preserve">.  This cost will be absorbed by the </w:t>
            </w:r>
            <w:r w:rsidR="00870107">
              <w:rPr>
                <w:bCs/>
              </w:rPr>
              <w:t>S</w:t>
            </w:r>
            <w:r w:rsidRPr="00565DE9">
              <w:rPr>
                <w:bCs/>
              </w:rPr>
              <w:t>upplier at the time of contract expiry.</w:t>
            </w:r>
          </w:p>
          <w:p w14:paraId="11DB9B6A" w14:textId="74CEB2F7" w:rsidR="003B455E" w:rsidRPr="00982D63" w:rsidRDefault="003B455E">
            <w:pPr>
              <w:numPr>
                <w:ilvl w:val="1"/>
                <w:numId w:val="0"/>
              </w:numPr>
              <w:overflowPunct/>
              <w:autoSpaceDE/>
              <w:autoSpaceDN/>
              <w:spacing w:after="120"/>
              <w:textAlignment w:val="auto"/>
              <w:rPr>
                <w:rFonts w:eastAsia="STZhongsong"/>
                <w:b/>
                <w:lang w:eastAsia="zh-CN"/>
              </w:rPr>
            </w:pPr>
            <w:r w:rsidRPr="00982D63">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246"/>
      </w:tblGrid>
      <w:tr w:rsidR="003B455E" w:rsidRPr="00B91478" w14:paraId="79968519" w14:textId="77777777" w:rsidTr="003B455E">
        <w:tc>
          <w:tcPr>
            <w:tcW w:w="564" w:type="dxa"/>
            <w:tcBorders>
              <w:top w:val="single" w:sz="4" w:space="0" w:color="auto"/>
              <w:left w:val="single" w:sz="4" w:space="0" w:color="auto"/>
              <w:bottom w:val="single" w:sz="4" w:space="0" w:color="auto"/>
              <w:right w:val="single" w:sz="4" w:space="0" w:color="auto"/>
            </w:tcBorders>
          </w:tcPr>
          <w:p w14:paraId="6BFBD54A" w14:textId="77777777" w:rsidR="003B455E" w:rsidRPr="00B91478" w:rsidRDefault="003B455E">
            <w:pPr>
              <w:numPr>
                <w:ilvl w:val="1"/>
                <w:numId w:val="0"/>
              </w:numPr>
              <w:overflowPunct/>
              <w:autoSpaceDE/>
              <w:autoSpaceDN/>
              <w:spacing w:after="120"/>
              <w:jc w:val="left"/>
              <w:textAlignment w:val="auto"/>
              <w:rPr>
                <w:b/>
              </w:rPr>
            </w:pPr>
            <w:r w:rsidRPr="00B91478">
              <w:rPr>
                <w:b/>
              </w:rPr>
              <w:t>9.1</w:t>
            </w:r>
          </w:p>
        </w:tc>
        <w:tc>
          <w:tcPr>
            <w:tcW w:w="9246"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3B455E" w:rsidRPr="00B91478" w:rsidRDefault="003B455E"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3FBFD57F" w:rsidR="003B455E" w:rsidRPr="00542302" w:rsidRDefault="003B455E">
            <w:pPr>
              <w:numPr>
                <w:ilvl w:val="1"/>
                <w:numId w:val="0"/>
              </w:numPr>
              <w:overflowPunct/>
              <w:autoSpaceDE/>
              <w:autoSpaceDN/>
              <w:spacing w:after="120"/>
              <w:jc w:val="left"/>
              <w:textAlignment w:val="auto"/>
              <w:rPr>
                <w:rFonts w:eastAsia="STZhongsong"/>
                <w:bCs/>
                <w:lang w:eastAsia="zh-CN"/>
              </w:rPr>
            </w:pPr>
            <w:r w:rsidRPr="00542302">
              <w:rPr>
                <w:bCs/>
              </w:rPr>
              <w:t>Not applicable</w:t>
            </w:r>
          </w:p>
        </w:tc>
      </w:tr>
      <w:tr w:rsidR="003B455E" w:rsidRPr="00B91478" w14:paraId="6A7CE09E" w14:textId="77777777" w:rsidTr="003B455E">
        <w:tc>
          <w:tcPr>
            <w:tcW w:w="564" w:type="dxa"/>
            <w:tcBorders>
              <w:top w:val="single" w:sz="4" w:space="0" w:color="auto"/>
              <w:left w:val="single" w:sz="4" w:space="0" w:color="auto"/>
              <w:bottom w:val="single" w:sz="4" w:space="0" w:color="auto"/>
              <w:right w:val="single" w:sz="4" w:space="0" w:color="auto"/>
            </w:tcBorders>
          </w:tcPr>
          <w:p w14:paraId="1E7D0AAB" w14:textId="77777777" w:rsidR="003B455E" w:rsidRPr="00B91478" w:rsidRDefault="003B455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9246"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3B455E" w:rsidRPr="00B91478" w:rsidRDefault="003B455E">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02D9041D" w14:textId="77777777" w:rsidR="00E95F5D" w:rsidRDefault="00E95F5D" w:rsidP="00E95F5D">
            <w:pPr>
              <w:pBdr>
                <w:top w:val="nil"/>
                <w:left w:val="nil"/>
                <w:bottom w:val="nil"/>
                <w:right w:val="nil"/>
                <w:between w:val="nil"/>
              </w:pBdr>
              <w:spacing w:after="0"/>
              <w:ind w:left="0"/>
              <w:jc w:val="left"/>
              <w:rPr>
                <w:rFonts w:eastAsia="Arial"/>
                <w:color w:val="000000"/>
              </w:rPr>
            </w:pPr>
            <w:r>
              <w:rPr>
                <w:rFonts w:eastAsia="Arial"/>
                <w:color w:val="000000"/>
              </w:rPr>
              <w:t>The detailed costing is commercially sensitive, the overall cost may be shared</w:t>
            </w:r>
          </w:p>
          <w:p w14:paraId="5FE23564" w14:textId="4D9C5E43" w:rsidR="003B455E" w:rsidRPr="00B91478" w:rsidRDefault="003B455E">
            <w:pPr>
              <w:numPr>
                <w:ilvl w:val="1"/>
                <w:numId w:val="0"/>
              </w:numPr>
              <w:overflowPunct/>
              <w:autoSpaceDE/>
              <w:autoSpaceDN/>
              <w:spacing w:after="120"/>
              <w:jc w:val="left"/>
              <w:textAlignment w:val="auto"/>
              <w:rPr>
                <w:rFonts w:eastAsia="STZhongsong"/>
                <w:b/>
                <w:lang w:eastAsia="zh-CN"/>
              </w:rPr>
            </w:pP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9009"/>
      </w:tblGrid>
      <w:tr w:rsidR="00810FF4" w:rsidRPr="00B91478" w14:paraId="43D33619" w14:textId="77777777" w:rsidTr="00810FF4">
        <w:tc>
          <w:tcPr>
            <w:tcW w:w="767" w:type="dxa"/>
          </w:tcPr>
          <w:p w14:paraId="7D99477E"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9009" w:type="dxa"/>
            <w:shd w:val="clear" w:color="auto" w:fill="auto"/>
          </w:tcPr>
          <w:p w14:paraId="7C58B8A9" w14:textId="77777777" w:rsidR="00810FF4" w:rsidRPr="00B91478" w:rsidRDefault="00810FF4">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129A560E" w14:textId="69F72EAC" w:rsidR="00810FF4" w:rsidRPr="00F641B6" w:rsidRDefault="00810FF4" w:rsidP="00CE21B9">
            <w:pPr>
              <w:numPr>
                <w:ilvl w:val="1"/>
                <w:numId w:val="0"/>
              </w:numPr>
              <w:overflowPunct/>
              <w:autoSpaceDE/>
              <w:autoSpaceDN/>
              <w:spacing w:after="120"/>
              <w:jc w:val="left"/>
              <w:textAlignment w:val="auto"/>
              <w:rPr>
                <w:rFonts w:eastAsia="STZhongsong"/>
                <w:b/>
                <w:highlight w:val="yellow"/>
                <w:lang w:eastAsia="zh-CN"/>
              </w:rPr>
            </w:pPr>
            <w:r w:rsidRPr="00542302">
              <w:rPr>
                <w:rFonts w:eastAsia="STZhongsong"/>
                <w:lang w:eastAsia="zh-CN"/>
              </w:rPr>
              <w:t>Recital A</w:t>
            </w:r>
          </w:p>
          <w:p w14:paraId="45E18F3C" w14:textId="3D6E3C4F" w:rsidR="00810FF4" w:rsidRPr="00B91478" w:rsidRDefault="00810FF4">
            <w:pPr>
              <w:numPr>
                <w:ilvl w:val="1"/>
                <w:numId w:val="0"/>
              </w:numPr>
              <w:overflowPunct/>
              <w:autoSpaceDE/>
              <w:autoSpaceDN/>
              <w:spacing w:after="120"/>
              <w:jc w:val="left"/>
              <w:textAlignment w:val="auto"/>
              <w:rPr>
                <w:rFonts w:eastAsia="STZhongsong"/>
                <w:b/>
                <w:lang w:eastAsia="zh-CN"/>
              </w:rPr>
            </w:pPr>
          </w:p>
        </w:tc>
      </w:tr>
      <w:tr w:rsidR="00810FF4" w:rsidRPr="00B91478" w14:paraId="6517E645" w14:textId="77777777" w:rsidTr="00810FF4">
        <w:tc>
          <w:tcPr>
            <w:tcW w:w="767" w:type="dxa"/>
          </w:tcPr>
          <w:p w14:paraId="18CF27F0" w14:textId="77777777" w:rsidR="00810FF4" w:rsidRPr="00B91478" w:rsidRDefault="00810FF4">
            <w:pPr>
              <w:numPr>
                <w:ilvl w:val="1"/>
                <w:numId w:val="0"/>
              </w:numPr>
              <w:overflowPunct/>
              <w:autoSpaceDE/>
              <w:autoSpaceDN/>
              <w:spacing w:after="120"/>
              <w:textAlignment w:val="auto"/>
              <w:rPr>
                <w:b/>
              </w:rPr>
            </w:pPr>
            <w:r w:rsidRPr="00B91478">
              <w:rPr>
                <w:b/>
              </w:rPr>
              <w:t>10.2</w:t>
            </w:r>
          </w:p>
        </w:tc>
        <w:tc>
          <w:tcPr>
            <w:tcW w:w="9009" w:type="dxa"/>
            <w:shd w:val="clear" w:color="auto" w:fill="auto"/>
          </w:tcPr>
          <w:p w14:paraId="5E3BE745" w14:textId="6536AF37" w:rsidR="00810FF4" w:rsidRPr="00B91478" w:rsidRDefault="00810FF4">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0670D793" w14:textId="56EAD895" w:rsidR="00810FF4" w:rsidRPr="003B455E" w:rsidRDefault="00810FF4">
            <w:pPr>
              <w:numPr>
                <w:ilvl w:val="1"/>
                <w:numId w:val="0"/>
              </w:numPr>
              <w:overflowPunct/>
              <w:autoSpaceDE/>
              <w:autoSpaceDN/>
              <w:spacing w:after="120"/>
              <w:textAlignment w:val="auto"/>
              <w:rPr>
                <w:b/>
                <w:highlight w:val="yellow"/>
              </w:rPr>
            </w:pPr>
            <w:r w:rsidRPr="00542302">
              <w:t>Not required</w:t>
            </w:r>
          </w:p>
        </w:tc>
      </w:tr>
      <w:tr w:rsidR="00810FF4" w:rsidRPr="00B91478" w14:paraId="7DCC4D29" w14:textId="77777777" w:rsidTr="00810FF4">
        <w:tc>
          <w:tcPr>
            <w:tcW w:w="767" w:type="dxa"/>
          </w:tcPr>
          <w:p w14:paraId="60E9D409"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9009" w:type="dxa"/>
            <w:shd w:val="clear" w:color="auto" w:fill="auto"/>
          </w:tcPr>
          <w:p w14:paraId="0578377D" w14:textId="77777777" w:rsidR="00810FF4" w:rsidRPr="00B91478" w:rsidRDefault="00810FF4">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745E660E" w14:textId="4577319A" w:rsidR="00810FF4" w:rsidRPr="00542302" w:rsidRDefault="00810FF4" w:rsidP="003B455E">
            <w:pPr>
              <w:numPr>
                <w:ilvl w:val="1"/>
                <w:numId w:val="0"/>
              </w:numPr>
              <w:overflowPunct/>
              <w:autoSpaceDE/>
              <w:autoSpaceDN/>
              <w:spacing w:after="120"/>
              <w:jc w:val="left"/>
              <w:textAlignment w:val="auto"/>
              <w:rPr>
                <w:rFonts w:eastAsia="STZhongsong"/>
                <w:b/>
                <w:lang w:eastAsia="zh-CN"/>
              </w:rPr>
            </w:pPr>
            <w:r w:rsidRPr="00542302">
              <w:rPr>
                <w:rFonts w:eastAsia="STZhongsong"/>
                <w:lang w:eastAsia="zh-CN"/>
              </w:rPr>
              <w:t>Select short form security requirements</w:t>
            </w:r>
            <w:r w:rsidR="00BC2BB3">
              <w:rPr>
                <w:rFonts w:eastAsia="STZhongsong"/>
                <w:lang w:eastAsia="zh-CN"/>
              </w:rPr>
              <w:t xml:space="preserve"> </w:t>
            </w:r>
          </w:p>
          <w:p w14:paraId="647E0FD5" w14:textId="77777777" w:rsidR="00810FF4" w:rsidRPr="00B91478" w:rsidRDefault="00810FF4">
            <w:pPr>
              <w:numPr>
                <w:ilvl w:val="1"/>
                <w:numId w:val="0"/>
              </w:numPr>
              <w:overflowPunct/>
              <w:autoSpaceDE/>
              <w:autoSpaceDN/>
              <w:spacing w:after="120"/>
              <w:jc w:val="left"/>
              <w:textAlignment w:val="auto"/>
              <w:rPr>
                <w:rFonts w:eastAsia="STZhongsong"/>
                <w:b/>
                <w:highlight w:val="yellow"/>
                <w:lang w:eastAsia="zh-CN"/>
              </w:rPr>
            </w:pPr>
          </w:p>
          <w:p w14:paraId="53325C2F"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highlight w:val="yellow"/>
                <w:lang w:eastAsia="zh-CN"/>
              </w:rPr>
              <w:t xml:space="preserve"> </w:t>
            </w:r>
          </w:p>
        </w:tc>
      </w:tr>
      <w:tr w:rsidR="00810FF4" w:rsidRPr="00B91478" w14:paraId="433A9CF1" w14:textId="77777777" w:rsidTr="00810FF4">
        <w:tc>
          <w:tcPr>
            <w:tcW w:w="767" w:type="dxa"/>
          </w:tcPr>
          <w:p w14:paraId="21B91E79"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9009" w:type="dxa"/>
            <w:shd w:val="clear" w:color="auto" w:fill="auto"/>
          </w:tcPr>
          <w:p w14:paraId="55D2D61B"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6C5624F3" w14:textId="396BCFB9" w:rsidR="00810FF4" w:rsidRPr="00AD300D" w:rsidRDefault="004E0AA8" w:rsidP="003B455E">
            <w:pPr>
              <w:numPr>
                <w:ilvl w:val="1"/>
                <w:numId w:val="0"/>
              </w:numPr>
              <w:overflowPunct/>
              <w:autoSpaceDE/>
              <w:autoSpaceDN/>
              <w:spacing w:after="120"/>
              <w:jc w:val="left"/>
              <w:textAlignment w:val="auto"/>
              <w:rPr>
                <w:rFonts w:eastAsia="STZhongsong"/>
                <w:b/>
                <w:lang w:eastAsia="zh-CN"/>
              </w:rPr>
            </w:pPr>
            <w:r w:rsidRPr="00AD300D">
              <w:rPr>
                <w:rFonts w:eastAsia="STZhongsong"/>
                <w:lang w:eastAsia="zh-CN"/>
              </w:rPr>
              <w:t xml:space="preserve">As per </w:t>
            </w:r>
            <w:r w:rsidRPr="00AD300D">
              <w:rPr>
                <w:rFonts w:eastAsia="Calibri"/>
                <w:color w:val="000000"/>
                <w:lang w:eastAsia="en-GB"/>
              </w:rPr>
              <w:t>Department for Health and Social Care standard policy</w:t>
            </w:r>
          </w:p>
          <w:p w14:paraId="3FD47CAF"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p>
        </w:tc>
      </w:tr>
      <w:tr w:rsidR="00810FF4" w:rsidRPr="00B91478" w14:paraId="068657D7" w14:textId="77777777" w:rsidTr="00810FF4">
        <w:tc>
          <w:tcPr>
            <w:tcW w:w="767" w:type="dxa"/>
          </w:tcPr>
          <w:p w14:paraId="3D88F94C"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9009" w:type="dxa"/>
            <w:shd w:val="clear" w:color="auto" w:fill="auto"/>
          </w:tcPr>
          <w:p w14:paraId="4AD0ACE7" w14:textId="77777777" w:rsidR="00810FF4" w:rsidRPr="00982D63" w:rsidRDefault="00810FF4" w:rsidP="00BB4A0B">
            <w:pPr>
              <w:numPr>
                <w:ilvl w:val="1"/>
                <w:numId w:val="0"/>
              </w:numPr>
              <w:overflowPunct/>
              <w:autoSpaceDE/>
              <w:autoSpaceDN/>
              <w:spacing w:after="120"/>
              <w:textAlignment w:val="auto"/>
              <w:rPr>
                <w:rFonts w:eastAsia="STZhongsong"/>
                <w:lang w:eastAsia="zh-CN"/>
              </w:rPr>
            </w:pPr>
            <w:r w:rsidRPr="00982D63">
              <w:rPr>
                <w:rFonts w:eastAsia="STZhongsong"/>
                <w:b/>
                <w:lang w:eastAsia="zh-CN"/>
              </w:rPr>
              <w:t>Business Continuity &amp; Disaster Recovery</w:t>
            </w:r>
            <w:r w:rsidRPr="00982D63">
              <w:rPr>
                <w:rFonts w:eastAsia="STZhongsong"/>
                <w:lang w:eastAsia="zh-CN"/>
              </w:rPr>
              <w:t xml:space="preserve">: </w:t>
            </w:r>
          </w:p>
          <w:p w14:paraId="73384664" w14:textId="42E7366A" w:rsidR="00810FF4" w:rsidRPr="00982D63" w:rsidRDefault="00810FF4" w:rsidP="003B455E">
            <w:pPr>
              <w:numPr>
                <w:ilvl w:val="1"/>
                <w:numId w:val="0"/>
              </w:numPr>
              <w:overflowPunct/>
              <w:autoSpaceDE/>
              <w:autoSpaceDN/>
              <w:spacing w:after="120"/>
              <w:textAlignment w:val="auto"/>
            </w:pPr>
            <w:r w:rsidRPr="00542302">
              <w:t>In Call Off Schedule 8 (Business Continuity and Disaster Recovery)</w:t>
            </w:r>
          </w:p>
          <w:p w14:paraId="50F15A0C" w14:textId="77777777" w:rsidR="00810FF4" w:rsidRPr="00730F3E" w:rsidRDefault="00810FF4" w:rsidP="00BB4A0B">
            <w:pPr>
              <w:numPr>
                <w:ilvl w:val="1"/>
                <w:numId w:val="0"/>
              </w:numPr>
              <w:overflowPunct/>
              <w:autoSpaceDE/>
              <w:autoSpaceDN/>
              <w:spacing w:after="0"/>
              <w:textAlignment w:val="auto"/>
              <w:rPr>
                <w:b/>
              </w:rPr>
            </w:pPr>
          </w:p>
          <w:p w14:paraId="5618519B" w14:textId="77777777" w:rsidR="00810FF4" w:rsidRPr="00730F3E" w:rsidRDefault="00810FF4" w:rsidP="00BB4A0B">
            <w:pPr>
              <w:numPr>
                <w:ilvl w:val="1"/>
                <w:numId w:val="0"/>
              </w:numPr>
              <w:overflowPunct/>
              <w:autoSpaceDE/>
              <w:autoSpaceDN/>
              <w:spacing w:after="0"/>
              <w:textAlignment w:val="auto"/>
            </w:pPr>
            <w:r w:rsidRPr="00730F3E">
              <w:rPr>
                <w:b/>
              </w:rPr>
              <w:t>Disaster Period</w:t>
            </w:r>
            <w:r w:rsidRPr="00730F3E">
              <w:t>:</w:t>
            </w:r>
          </w:p>
          <w:p w14:paraId="7DFF7994" w14:textId="0D7577DE" w:rsidR="00810FF4" w:rsidRPr="00982D63" w:rsidRDefault="00810FF4" w:rsidP="00BB4A0B">
            <w:pPr>
              <w:numPr>
                <w:ilvl w:val="1"/>
                <w:numId w:val="0"/>
              </w:numPr>
              <w:overflowPunct/>
              <w:autoSpaceDE/>
              <w:autoSpaceDN/>
              <w:spacing w:after="120"/>
              <w:textAlignment w:val="auto"/>
              <w:rPr>
                <w:rFonts w:eastAsia="STZhongsong"/>
                <w:lang w:eastAsia="zh-CN"/>
              </w:rPr>
            </w:pPr>
            <w:r w:rsidRPr="00730F3E">
              <w:t xml:space="preserve">For the purpose of the definition of “Disaster” in Call Off Schedule 1 (Definitions) the “Disaster Period” shall be </w:t>
            </w:r>
            <w:r w:rsidR="00982D63" w:rsidRPr="00F65018">
              <w:rPr>
                <w:bCs/>
              </w:rPr>
              <w:t xml:space="preserve">as defined in the </w:t>
            </w:r>
            <w:r w:rsidR="00F65018" w:rsidRPr="00F65018">
              <w:rPr>
                <w:bCs/>
              </w:rPr>
              <w:t>BCDR</w:t>
            </w:r>
            <w:r w:rsidR="00982D63" w:rsidRPr="00F65018">
              <w:rPr>
                <w:bCs/>
              </w:rPr>
              <w:t xml:space="preserve"> Plan</w:t>
            </w:r>
            <w:r w:rsidR="00F65018" w:rsidRPr="00F65018">
              <w:rPr>
                <w:bCs/>
              </w:rPr>
              <w:t>.</w:t>
            </w:r>
          </w:p>
        </w:tc>
      </w:tr>
      <w:tr w:rsidR="00810FF4" w:rsidRPr="00B91478" w14:paraId="3781B6C0" w14:textId="77777777" w:rsidTr="00810FF4">
        <w:tc>
          <w:tcPr>
            <w:tcW w:w="767" w:type="dxa"/>
            <w:tcBorders>
              <w:top w:val="single" w:sz="4" w:space="0" w:color="auto"/>
              <w:left w:val="single" w:sz="4" w:space="0" w:color="auto"/>
              <w:bottom w:val="single" w:sz="4" w:space="0" w:color="auto"/>
              <w:right w:val="single" w:sz="4" w:space="0" w:color="auto"/>
            </w:tcBorders>
          </w:tcPr>
          <w:p w14:paraId="6442263B" w14:textId="064CB0EE" w:rsidR="00810FF4" w:rsidRPr="00B91478" w:rsidRDefault="00810FF4">
            <w:pPr>
              <w:numPr>
                <w:ilvl w:val="1"/>
                <w:numId w:val="0"/>
              </w:numPr>
              <w:overflowPunct/>
              <w:autoSpaceDE/>
              <w:autoSpaceDN/>
              <w:spacing w:after="120"/>
              <w:textAlignment w:val="auto"/>
              <w:rPr>
                <w:rFonts w:eastAsia="STZhongsong"/>
                <w:b/>
                <w:lang w:eastAsia="zh-CN"/>
              </w:rPr>
            </w:pPr>
            <w:r>
              <w:rPr>
                <w:rFonts w:eastAsia="STZhongsong"/>
                <w:b/>
                <w:lang w:eastAsia="zh-CN"/>
              </w:rPr>
              <w:lastRenderedPageBreak/>
              <w:t>10.7</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810FF4" w:rsidRPr="00B91478" w:rsidRDefault="00810FF4">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810FF4" w:rsidRPr="00B91478" w14:paraId="1F2C0BC2" w14:textId="77777777" w:rsidTr="00810FF4">
        <w:tc>
          <w:tcPr>
            <w:tcW w:w="767" w:type="dxa"/>
            <w:tcBorders>
              <w:top w:val="single" w:sz="4" w:space="0" w:color="auto"/>
              <w:left w:val="single" w:sz="4" w:space="0" w:color="auto"/>
              <w:bottom w:val="single" w:sz="4" w:space="0" w:color="auto"/>
              <w:right w:val="single" w:sz="4" w:space="0" w:color="auto"/>
            </w:tcBorders>
          </w:tcPr>
          <w:p w14:paraId="0BB11D9B"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4C9675A" w14:textId="6B74AA9D" w:rsidR="00810FF4" w:rsidRPr="00D4376C" w:rsidRDefault="00810FF4">
            <w:pPr>
              <w:numPr>
                <w:ilvl w:val="1"/>
                <w:numId w:val="0"/>
              </w:numPr>
              <w:overflowPunct/>
              <w:autoSpaceDE/>
              <w:autoSpaceDN/>
              <w:spacing w:after="120"/>
              <w:textAlignment w:val="auto"/>
              <w:rPr>
                <w:rFonts w:eastAsia="STZhongsong"/>
                <w:lang w:eastAsia="zh-CN"/>
              </w:rPr>
            </w:pPr>
            <w:r w:rsidRPr="00D4376C">
              <w:rPr>
                <w:rFonts w:eastAsia="STZhongsong"/>
                <w:b/>
                <w:lang w:eastAsia="zh-CN"/>
              </w:rPr>
              <w:t>Protection of Customer Data</w:t>
            </w:r>
            <w:r w:rsidRPr="00D4376C">
              <w:rPr>
                <w:rFonts w:eastAsia="STZhongsong"/>
                <w:lang w:eastAsia="zh-CN"/>
              </w:rPr>
              <w:t xml:space="preserve"> (Clause 35.2.3 of the Call Off Terms):</w:t>
            </w:r>
          </w:p>
          <w:p w14:paraId="5D8EA955" w14:textId="16C9D090" w:rsidR="00810FF4" w:rsidRPr="00D4376C" w:rsidRDefault="00D4376C">
            <w:pPr>
              <w:numPr>
                <w:ilvl w:val="1"/>
                <w:numId w:val="0"/>
              </w:numPr>
              <w:overflowPunct/>
              <w:autoSpaceDE/>
              <w:autoSpaceDN/>
              <w:spacing w:after="120"/>
              <w:textAlignment w:val="auto"/>
              <w:rPr>
                <w:rFonts w:eastAsia="STZhongsong"/>
                <w:bCs/>
                <w:lang w:eastAsia="zh-CN"/>
              </w:rPr>
            </w:pPr>
            <w:r w:rsidRPr="004E0AA8">
              <w:rPr>
                <w:rFonts w:eastAsia="STZhongsong"/>
                <w:bCs/>
                <w:lang w:eastAsia="zh-CN"/>
              </w:rPr>
              <w:t>Not Applicable</w:t>
            </w:r>
          </w:p>
        </w:tc>
      </w:tr>
      <w:tr w:rsidR="00810FF4" w:rsidRPr="00B91478" w14:paraId="5A0C2F03" w14:textId="77777777" w:rsidTr="00810FF4">
        <w:tc>
          <w:tcPr>
            <w:tcW w:w="767" w:type="dxa"/>
            <w:tcBorders>
              <w:top w:val="single" w:sz="4" w:space="0" w:color="auto"/>
              <w:left w:val="single" w:sz="4" w:space="0" w:color="auto"/>
              <w:bottom w:val="single" w:sz="4" w:space="0" w:color="auto"/>
              <w:right w:val="single" w:sz="4" w:space="0" w:color="auto"/>
            </w:tcBorders>
          </w:tcPr>
          <w:p w14:paraId="77CBD9C7"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810FF4" w:rsidRPr="00B91478" w:rsidRDefault="00810FF4">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04C74038" w14:textId="77777777" w:rsidR="00810FF4" w:rsidRDefault="00810FF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Customer’s postal address and email address: </w:t>
            </w:r>
          </w:p>
          <w:p w14:paraId="657A519F" w14:textId="2D782A65" w:rsidR="00810FF4" w:rsidRPr="00D4376C" w:rsidRDefault="00810FF4">
            <w:pPr>
              <w:numPr>
                <w:ilvl w:val="1"/>
                <w:numId w:val="0"/>
              </w:numPr>
              <w:overflowPunct/>
              <w:autoSpaceDE/>
              <w:autoSpaceDN/>
              <w:spacing w:after="120"/>
              <w:textAlignment w:val="auto"/>
              <w:rPr>
                <w:rFonts w:eastAsia="STZhongsong"/>
                <w:b/>
                <w:lang w:eastAsia="zh-CN"/>
              </w:rPr>
            </w:pPr>
            <w:r w:rsidRPr="00D4376C">
              <w:rPr>
                <w:rFonts w:eastAsia="STZhongsong"/>
                <w:b/>
                <w:lang w:eastAsia="zh-CN"/>
              </w:rPr>
              <w:t>Department of Health and Social Care,</w:t>
            </w:r>
          </w:p>
          <w:p w14:paraId="7C523820" w14:textId="77777777" w:rsidR="00810FF4" w:rsidRPr="00D4376C" w:rsidRDefault="00810FF4">
            <w:pPr>
              <w:numPr>
                <w:ilvl w:val="1"/>
                <w:numId w:val="0"/>
              </w:numPr>
              <w:overflowPunct/>
              <w:autoSpaceDE/>
              <w:autoSpaceDN/>
              <w:spacing w:after="120"/>
              <w:textAlignment w:val="auto"/>
              <w:rPr>
                <w:rFonts w:eastAsia="STZhongsong"/>
                <w:b/>
                <w:lang w:eastAsia="zh-CN"/>
              </w:rPr>
            </w:pPr>
            <w:r w:rsidRPr="00D4376C">
              <w:rPr>
                <w:rFonts w:eastAsia="STZhongsong"/>
                <w:b/>
                <w:lang w:eastAsia="zh-CN"/>
              </w:rPr>
              <w:t>39 Victoria Street,</w:t>
            </w:r>
          </w:p>
          <w:p w14:paraId="2818CB0C" w14:textId="77777777" w:rsidR="00810FF4" w:rsidRPr="00D4376C" w:rsidRDefault="00810FF4">
            <w:pPr>
              <w:numPr>
                <w:ilvl w:val="1"/>
                <w:numId w:val="0"/>
              </w:numPr>
              <w:overflowPunct/>
              <w:autoSpaceDE/>
              <w:autoSpaceDN/>
              <w:spacing w:after="120"/>
              <w:textAlignment w:val="auto"/>
              <w:rPr>
                <w:rFonts w:eastAsia="STZhongsong"/>
                <w:b/>
                <w:lang w:eastAsia="zh-CN"/>
              </w:rPr>
            </w:pPr>
            <w:r w:rsidRPr="00D4376C">
              <w:rPr>
                <w:rFonts w:eastAsia="STZhongsong"/>
                <w:b/>
                <w:lang w:eastAsia="zh-CN"/>
              </w:rPr>
              <w:t>Westminster,</w:t>
            </w:r>
          </w:p>
          <w:p w14:paraId="0EB27656" w14:textId="77777777" w:rsidR="00810FF4" w:rsidRPr="00D4376C" w:rsidRDefault="00810FF4">
            <w:pPr>
              <w:numPr>
                <w:ilvl w:val="1"/>
                <w:numId w:val="0"/>
              </w:numPr>
              <w:overflowPunct/>
              <w:autoSpaceDE/>
              <w:autoSpaceDN/>
              <w:spacing w:after="120"/>
              <w:textAlignment w:val="auto"/>
              <w:rPr>
                <w:rFonts w:eastAsia="STZhongsong"/>
                <w:b/>
                <w:lang w:eastAsia="zh-CN"/>
              </w:rPr>
            </w:pPr>
            <w:r w:rsidRPr="00D4376C">
              <w:rPr>
                <w:rFonts w:eastAsia="STZhongsong"/>
                <w:b/>
                <w:lang w:eastAsia="zh-CN"/>
              </w:rPr>
              <w:t>London,</w:t>
            </w:r>
          </w:p>
          <w:p w14:paraId="4BBD520E" w14:textId="757529CB" w:rsidR="00810FF4" w:rsidRPr="00B91478" w:rsidRDefault="00810FF4">
            <w:pPr>
              <w:numPr>
                <w:ilvl w:val="1"/>
                <w:numId w:val="0"/>
              </w:numPr>
              <w:overflowPunct/>
              <w:autoSpaceDE/>
              <w:autoSpaceDN/>
              <w:spacing w:after="120"/>
              <w:textAlignment w:val="auto"/>
              <w:rPr>
                <w:rFonts w:eastAsia="STZhongsong"/>
                <w:lang w:eastAsia="zh-CN"/>
              </w:rPr>
            </w:pPr>
            <w:r w:rsidRPr="00D4376C">
              <w:rPr>
                <w:rFonts w:eastAsia="STZhongsong"/>
                <w:b/>
                <w:lang w:eastAsia="zh-CN"/>
              </w:rPr>
              <w:t>SW1H 0EU</w:t>
            </w:r>
          </w:p>
          <w:p w14:paraId="1520C2E0" w14:textId="4FB650BA" w:rsidR="00AD300D" w:rsidRDefault="00810FF4" w:rsidP="00B02A10">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Supplier’s postal address and email address: </w:t>
            </w:r>
          </w:p>
          <w:p w14:paraId="2043D660" w14:textId="7A4789B1" w:rsidR="00AD60E6" w:rsidRPr="00FE4A33" w:rsidRDefault="00FE4A33" w:rsidP="00B02A10">
            <w:pPr>
              <w:numPr>
                <w:ilvl w:val="1"/>
                <w:numId w:val="0"/>
              </w:numPr>
              <w:overflowPunct/>
              <w:autoSpaceDE/>
              <w:autoSpaceDN/>
              <w:spacing w:after="120"/>
              <w:textAlignment w:val="auto"/>
              <w:rPr>
                <w:rFonts w:eastAsia="STZhongsong"/>
                <w:b/>
                <w:lang w:eastAsia="zh-CN"/>
              </w:rPr>
            </w:pPr>
            <w:r w:rsidRPr="00FE4A33">
              <w:rPr>
                <w:rFonts w:eastAsia="STZhongsong"/>
                <w:b/>
                <w:lang w:eastAsia="zh-CN"/>
              </w:rPr>
              <w:t>AKESO &amp; COMPANY LIMITED</w:t>
            </w:r>
          </w:p>
          <w:p w14:paraId="50C42FE6" w14:textId="77777777" w:rsidR="00554E70" w:rsidRPr="00554E70" w:rsidRDefault="00554E70" w:rsidP="00B02A10">
            <w:pPr>
              <w:numPr>
                <w:ilvl w:val="1"/>
                <w:numId w:val="0"/>
              </w:numPr>
              <w:overflowPunct/>
              <w:autoSpaceDE/>
              <w:autoSpaceDN/>
              <w:spacing w:after="120"/>
              <w:textAlignment w:val="auto"/>
              <w:rPr>
                <w:rFonts w:eastAsia="STZhongsong"/>
                <w:b/>
                <w:lang w:eastAsia="zh-CN"/>
              </w:rPr>
            </w:pPr>
            <w:r w:rsidRPr="00554E70">
              <w:rPr>
                <w:rFonts w:eastAsia="STZhongsong"/>
                <w:b/>
                <w:lang w:eastAsia="zh-CN"/>
              </w:rPr>
              <w:t xml:space="preserve">21 Bloomsbury Way, </w:t>
            </w:r>
          </w:p>
          <w:p w14:paraId="51A138C9" w14:textId="77777777" w:rsidR="00554E70" w:rsidRPr="00554E70" w:rsidRDefault="00554E70" w:rsidP="00B02A10">
            <w:pPr>
              <w:numPr>
                <w:ilvl w:val="1"/>
                <w:numId w:val="0"/>
              </w:numPr>
              <w:overflowPunct/>
              <w:autoSpaceDE/>
              <w:autoSpaceDN/>
              <w:spacing w:after="120"/>
              <w:textAlignment w:val="auto"/>
              <w:rPr>
                <w:rFonts w:eastAsia="STZhongsong"/>
                <w:b/>
                <w:lang w:eastAsia="zh-CN"/>
              </w:rPr>
            </w:pPr>
            <w:r w:rsidRPr="00554E70">
              <w:rPr>
                <w:rFonts w:eastAsia="STZhongsong"/>
                <w:b/>
                <w:lang w:eastAsia="zh-CN"/>
              </w:rPr>
              <w:t xml:space="preserve">Holborn, </w:t>
            </w:r>
          </w:p>
          <w:p w14:paraId="44274FD2" w14:textId="77777777" w:rsidR="00554E70" w:rsidRPr="00554E70" w:rsidRDefault="00554E70" w:rsidP="00B02A10">
            <w:pPr>
              <w:numPr>
                <w:ilvl w:val="1"/>
                <w:numId w:val="0"/>
              </w:numPr>
              <w:overflowPunct/>
              <w:autoSpaceDE/>
              <w:autoSpaceDN/>
              <w:spacing w:after="120"/>
              <w:textAlignment w:val="auto"/>
              <w:rPr>
                <w:rFonts w:eastAsia="STZhongsong"/>
                <w:b/>
                <w:lang w:eastAsia="zh-CN"/>
              </w:rPr>
            </w:pPr>
            <w:r w:rsidRPr="00554E70">
              <w:rPr>
                <w:rFonts w:eastAsia="STZhongsong"/>
                <w:b/>
                <w:lang w:eastAsia="zh-CN"/>
              </w:rPr>
              <w:t xml:space="preserve">London </w:t>
            </w:r>
          </w:p>
          <w:p w14:paraId="1518267C" w14:textId="310C6910" w:rsidR="00810FF4" w:rsidRPr="00B91478" w:rsidRDefault="00554E70" w:rsidP="00B02A10">
            <w:pPr>
              <w:numPr>
                <w:ilvl w:val="1"/>
                <w:numId w:val="0"/>
              </w:numPr>
              <w:overflowPunct/>
              <w:autoSpaceDE/>
              <w:autoSpaceDN/>
              <w:spacing w:after="120"/>
              <w:textAlignment w:val="auto"/>
              <w:rPr>
                <w:rFonts w:eastAsia="STZhongsong"/>
                <w:b/>
                <w:lang w:eastAsia="zh-CN"/>
              </w:rPr>
            </w:pPr>
            <w:r w:rsidRPr="00554E70">
              <w:rPr>
                <w:rFonts w:eastAsia="STZhongsong"/>
                <w:b/>
                <w:lang w:eastAsia="zh-CN"/>
              </w:rPr>
              <w:t>WC1A 2TH</w:t>
            </w:r>
          </w:p>
        </w:tc>
      </w:tr>
      <w:tr w:rsidR="00810FF4" w:rsidRPr="00B91478" w14:paraId="3580F4D1" w14:textId="77777777" w:rsidTr="00810FF4">
        <w:tc>
          <w:tcPr>
            <w:tcW w:w="767" w:type="dxa"/>
            <w:tcBorders>
              <w:top w:val="single" w:sz="4" w:space="0" w:color="auto"/>
              <w:left w:val="single" w:sz="4" w:space="0" w:color="auto"/>
              <w:bottom w:val="single" w:sz="4" w:space="0" w:color="auto"/>
              <w:right w:val="single" w:sz="4" w:space="0" w:color="auto"/>
            </w:tcBorders>
          </w:tcPr>
          <w:p w14:paraId="20746A0C"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7293960B" w14:textId="1E343348" w:rsidR="00810FF4" w:rsidRDefault="00E96586" w:rsidP="00FB2B54">
            <w:pPr>
              <w:numPr>
                <w:ilvl w:val="1"/>
                <w:numId w:val="0"/>
              </w:numPr>
              <w:overflowPunct/>
              <w:autoSpaceDE/>
              <w:autoSpaceDN/>
              <w:spacing w:after="120"/>
              <w:textAlignment w:val="auto"/>
              <w:rPr>
                <w:rFonts w:eastAsia="STZhongsong"/>
                <w:lang w:eastAsia="zh-CN"/>
              </w:rPr>
            </w:pPr>
            <w:r>
              <w:rPr>
                <w:rFonts w:eastAsia="STZhongsong"/>
                <w:lang w:eastAsia="zh-CN"/>
              </w:rPr>
              <w:t xml:space="preserve">As set out in the table below (and </w:t>
            </w:r>
            <w:r w:rsidR="00810FF4" w:rsidRPr="00B91478">
              <w:rPr>
                <w:rFonts w:eastAsia="STZhongsong"/>
                <w:lang w:eastAsia="zh-CN"/>
              </w:rPr>
              <w:t xml:space="preserve">Call Off Schedule </w:t>
            </w:r>
            <w:r w:rsidR="00810FF4">
              <w:rPr>
                <w:rFonts w:eastAsia="STZhongsong"/>
                <w:lang w:eastAsia="zh-CN"/>
              </w:rPr>
              <w:t>13</w:t>
            </w:r>
            <w:r w:rsidR="00810FF4" w:rsidRPr="00B91478">
              <w:rPr>
                <w:rFonts w:eastAsia="STZhongsong"/>
                <w:lang w:eastAsia="zh-CN"/>
              </w:rPr>
              <w:t xml:space="preserve"> (Transparency Reports)</w:t>
            </w:r>
            <w:r>
              <w:rPr>
                <w:rFonts w:eastAsia="STZhongsong"/>
                <w:lang w:eastAsia="zh-CN"/>
              </w:rPr>
              <w:t>):</w:t>
            </w:r>
          </w:p>
          <w:p w14:paraId="568BAB22" w14:textId="53A01471" w:rsidR="00810FF4" w:rsidRDefault="00810FF4" w:rsidP="00FB2B54">
            <w:pPr>
              <w:numPr>
                <w:ilvl w:val="1"/>
                <w:numId w:val="0"/>
              </w:numPr>
              <w:overflowPunct/>
              <w:autoSpaceDE/>
              <w:autoSpaceDN/>
              <w:spacing w:after="120"/>
              <w:textAlignment w:val="auto"/>
              <w:rPr>
                <w:rFonts w:eastAsia="STZhongsong"/>
                <w:lang w:eastAsia="zh-CN"/>
              </w:rPr>
            </w:pPr>
          </w:p>
          <w:tbl>
            <w:tblPr>
              <w:tblStyle w:val="TableGrid"/>
              <w:tblW w:w="8466" w:type="dxa"/>
              <w:tblLayout w:type="fixed"/>
              <w:tblLook w:val="04A0" w:firstRow="1" w:lastRow="0" w:firstColumn="1" w:lastColumn="0" w:noHBand="0" w:noVBand="1"/>
            </w:tblPr>
            <w:tblGrid>
              <w:gridCol w:w="1875"/>
              <w:gridCol w:w="3118"/>
              <w:gridCol w:w="1276"/>
              <w:gridCol w:w="2197"/>
            </w:tblGrid>
            <w:tr w:rsidR="00E96586" w:rsidRPr="00CA72CB" w14:paraId="5913A294" w14:textId="77777777" w:rsidTr="000731CD">
              <w:tc>
                <w:tcPr>
                  <w:tcW w:w="1875" w:type="dxa"/>
                </w:tcPr>
                <w:p w14:paraId="47312E30" w14:textId="77777777" w:rsidR="00E96586" w:rsidRPr="00CA72CB" w:rsidRDefault="00E96586" w:rsidP="00E96586">
                  <w:pPr>
                    <w:numPr>
                      <w:ilvl w:val="1"/>
                      <w:numId w:val="0"/>
                    </w:numPr>
                    <w:overflowPunct/>
                    <w:autoSpaceDE/>
                    <w:autoSpaceDN/>
                    <w:spacing w:after="120"/>
                    <w:jc w:val="center"/>
                    <w:textAlignment w:val="auto"/>
                    <w:rPr>
                      <w:b/>
                    </w:rPr>
                  </w:pPr>
                  <w:r w:rsidRPr="00CA72CB">
                    <w:rPr>
                      <w:b/>
                    </w:rPr>
                    <w:t>TITLE</w:t>
                  </w:r>
                </w:p>
              </w:tc>
              <w:tc>
                <w:tcPr>
                  <w:tcW w:w="3118" w:type="dxa"/>
                </w:tcPr>
                <w:p w14:paraId="44C5C46C" w14:textId="77777777" w:rsidR="00E96586" w:rsidRPr="00CA72CB" w:rsidRDefault="00E96586" w:rsidP="00E96586">
                  <w:pPr>
                    <w:numPr>
                      <w:ilvl w:val="1"/>
                      <w:numId w:val="0"/>
                    </w:numPr>
                    <w:overflowPunct/>
                    <w:autoSpaceDE/>
                    <w:autoSpaceDN/>
                    <w:spacing w:after="120"/>
                    <w:jc w:val="center"/>
                    <w:textAlignment w:val="auto"/>
                    <w:rPr>
                      <w:b/>
                    </w:rPr>
                  </w:pPr>
                  <w:r w:rsidRPr="00CA72CB">
                    <w:rPr>
                      <w:b/>
                    </w:rPr>
                    <w:t>CONTENT</w:t>
                  </w:r>
                </w:p>
              </w:tc>
              <w:tc>
                <w:tcPr>
                  <w:tcW w:w="1276" w:type="dxa"/>
                </w:tcPr>
                <w:p w14:paraId="720D4D08" w14:textId="77777777" w:rsidR="00E96586" w:rsidRPr="00CA72CB" w:rsidRDefault="00E96586" w:rsidP="00E96586">
                  <w:pPr>
                    <w:numPr>
                      <w:ilvl w:val="1"/>
                      <w:numId w:val="0"/>
                    </w:numPr>
                    <w:overflowPunct/>
                    <w:autoSpaceDE/>
                    <w:autoSpaceDN/>
                    <w:spacing w:after="120"/>
                    <w:jc w:val="center"/>
                    <w:textAlignment w:val="auto"/>
                    <w:rPr>
                      <w:b/>
                    </w:rPr>
                  </w:pPr>
                  <w:r w:rsidRPr="00CA72CB">
                    <w:rPr>
                      <w:b/>
                    </w:rPr>
                    <w:t>FORMAT</w:t>
                  </w:r>
                </w:p>
              </w:tc>
              <w:tc>
                <w:tcPr>
                  <w:tcW w:w="2197" w:type="dxa"/>
                </w:tcPr>
                <w:p w14:paraId="03511808" w14:textId="77777777" w:rsidR="00E96586" w:rsidRPr="00CA72CB" w:rsidRDefault="00E96586" w:rsidP="00E96586">
                  <w:pPr>
                    <w:numPr>
                      <w:ilvl w:val="1"/>
                      <w:numId w:val="0"/>
                    </w:numPr>
                    <w:overflowPunct/>
                    <w:autoSpaceDE/>
                    <w:autoSpaceDN/>
                    <w:spacing w:after="120"/>
                    <w:jc w:val="center"/>
                    <w:textAlignment w:val="auto"/>
                    <w:rPr>
                      <w:b/>
                    </w:rPr>
                  </w:pPr>
                  <w:r w:rsidRPr="00CA72CB">
                    <w:rPr>
                      <w:b/>
                    </w:rPr>
                    <w:t>FREQUENCY</w:t>
                  </w:r>
                </w:p>
              </w:tc>
            </w:tr>
            <w:tr w:rsidR="00E96586" w:rsidRPr="00B77BD6" w14:paraId="62EE1376" w14:textId="77777777" w:rsidTr="000731CD">
              <w:tc>
                <w:tcPr>
                  <w:tcW w:w="1875" w:type="dxa"/>
                </w:tcPr>
                <w:p w14:paraId="6150E008" w14:textId="77777777" w:rsidR="00E96586" w:rsidRPr="00564CC9" w:rsidDel="00CA72CB" w:rsidRDefault="00E96586" w:rsidP="00E96586">
                  <w:pPr>
                    <w:numPr>
                      <w:ilvl w:val="1"/>
                      <w:numId w:val="0"/>
                    </w:numPr>
                    <w:overflowPunct/>
                    <w:autoSpaceDE/>
                    <w:autoSpaceDN/>
                    <w:spacing w:after="120"/>
                    <w:jc w:val="left"/>
                    <w:textAlignment w:val="auto"/>
                  </w:pPr>
                  <w:r w:rsidRPr="00CA72CB">
                    <w:rPr>
                      <w:iCs/>
                    </w:rPr>
                    <w:t xml:space="preserve">Project Progress </w:t>
                  </w:r>
                  <w:r>
                    <w:rPr>
                      <w:iCs/>
                    </w:rPr>
                    <w:t xml:space="preserve">&amp; </w:t>
                  </w:r>
                  <w:r w:rsidRPr="008C57C7">
                    <w:rPr>
                      <w:iCs/>
                    </w:rPr>
                    <w:t>Deliverables</w:t>
                  </w:r>
                  <w:r>
                    <w:rPr>
                      <w:iCs/>
                    </w:rPr>
                    <w:t xml:space="preserve"> </w:t>
                  </w:r>
                  <w:r w:rsidRPr="00CA72CB">
                    <w:rPr>
                      <w:iCs/>
                    </w:rPr>
                    <w:t>Report</w:t>
                  </w:r>
                </w:p>
              </w:tc>
              <w:tc>
                <w:tcPr>
                  <w:tcW w:w="3118" w:type="dxa"/>
                </w:tcPr>
                <w:p w14:paraId="76AF82B2" w14:textId="77777777" w:rsidR="00E96586" w:rsidRDefault="00E96586" w:rsidP="00E96586">
                  <w:pPr>
                    <w:pStyle w:val="ListParagraph"/>
                    <w:numPr>
                      <w:ilvl w:val="0"/>
                      <w:numId w:val="102"/>
                    </w:numPr>
                    <w:overflowPunct/>
                    <w:autoSpaceDE/>
                    <w:autoSpaceDN/>
                    <w:spacing w:after="120"/>
                    <w:jc w:val="left"/>
                    <w:textAlignment w:val="auto"/>
                    <w:rPr>
                      <w:iCs/>
                    </w:rPr>
                  </w:pPr>
                  <w:r>
                    <w:rPr>
                      <w:iCs/>
                    </w:rPr>
                    <w:t>A summary of resource utilised: activities completed and cost assigned in the week completed;</w:t>
                  </w:r>
                </w:p>
                <w:p w14:paraId="4635E72B" w14:textId="77777777" w:rsidR="00E96586" w:rsidRDefault="00E96586" w:rsidP="00E96586">
                  <w:pPr>
                    <w:pStyle w:val="ListParagraph"/>
                    <w:numPr>
                      <w:ilvl w:val="0"/>
                      <w:numId w:val="102"/>
                    </w:numPr>
                    <w:overflowPunct/>
                    <w:autoSpaceDE/>
                    <w:autoSpaceDN/>
                    <w:spacing w:after="120"/>
                    <w:jc w:val="left"/>
                    <w:textAlignment w:val="auto"/>
                    <w:rPr>
                      <w:iCs/>
                    </w:rPr>
                  </w:pPr>
                  <w:r>
                    <w:rPr>
                      <w:iCs/>
                    </w:rPr>
                    <w:t xml:space="preserve">A rolling two (2) week forecast of resource required </w:t>
                  </w:r>
                </w:p>
                <w:p w14:paraId="1CF223E1" w14:textId="77777777" w:rsidR="00E96586" w:rsidRDefault="00E96586" w:rsidP="00E96586">
                  <w:pPr>
                    <w:pStyle w:val="ListParagraph"/>
                    <w:numPr>
                      <w:ilvl w:val="0"/>
                      <w:numId w:val="102"/>
                    </w:numPr>
                    <w:overflowPunct/>
                    <w:autoSpaceDE/>
                    <w:autoSpaceDN/>
                    <w:spacing w:after="120"/>
                    <w:jc w:val="left"/>
                    <w:textAlignment w:val="auto"/>
                    <w:rPr>
                      <w:iCs/>
                    </w:rPr>
                  </w:pPr>
                  <w:r>
                    <w:rPr>
                      <w:iCs/>
                    </w:rPr>
                    <w:t>Overview of all open and closed actions</w:t>
                  </w:r>
                </w:p>
                <w:p w14:paraId="10573E9D" w14:textId="77777777" w:rsidR="00E96586" w:rsidRDefault="00E96586" w:rsidP="00E96586">
                  <w:pPr>
                    <w:pStyle w:val="ListParagraph"/>
                    <w:numPr>
                      <w:ilvl w:val="0"/>
                      <w:numId w:val="102"/>
                    </w:numPr>
                    <w:overflowPunct/>
                    <w:autoSpaceDE/>
                    <w:autoSpaceDN/>
                    <w:spacing w:after="120"/>
                    <w:jc w:val="left"/>
                    <w:textAlignment w:val="auto"/>
                    <w:rPr>
                      <w:iCs/>
                    </w:rPr>
                  </w:pPr>
                  <w:r>
                    <w:rPr>
                      <w:iCs/>
                    </w:rPr>
                    <w:t>Overview of open and closed risks and issues</w:t>
                  </w:r>
                </w:p>
                <w:p w14:paraId="7E09D8A2" w14:textId="77777777" w:rsidR="00E96586" w:rsidRDefault="00E96586" w:rsidP="00E96586">
                  <w:pPr>
                    <w:pStyle w:val="ListParagraph"/>
                    <w:numPr>
                      <w:ilvl w:val="0"/>
                      <w:numId w:val="102"/>
                    </w:numPr>
                    <w:overflowPunct/>
                    <w:autoSpaceDE/>
                    <w:autoSpaceDN/>
                    <w:spacing w:after="120"/>
                    <w:jc w:val="left"/>
                    <w:textAlignment w:val="auto"/>
                    <w:rPr>
                      <w:iCs/>
                    </w:rPr>
                  </w:pPr>
                  <w:r>
                    <w:rPr>
                      <w:iCs/>
                    </w:rPr>
                    <w:t>Deliverables provided and Milestones completed/achieved in the relevant week</w:t>
                  </w:r>
                </w:p>
                <w:p w14:paraId="5AC8C99E" w14:textId="77777777" w:rsidR="00E96586" w:rsidRPr="00564CC9" w:rsidDel="00CA72CB" w:rsidRDefault="00E96586" w:rsidP="00E96586">
                  <w:pPr>
                    <w:pStyle w:val="ListParagraph"/>
                    <w:numPr>
                      <w:ilvl w:val="0"/>
                      <w:numId w:val="102"/>
                    </w:numPr>
                    <w:overflowPunct/>
                    <w:autoSpaceDE/>
                    <w:autoSpaceDN/>
                    <w:spacing w:after="120"/>
                    <w:jc w:val="left"/>
                    <w:textAlignment w:val="auto"/>
                  </w:pPr>
                  <w:r>
                    <w:rPr>
                      <w:iCs/>
                    </w:rPr>
                    <w:lastRenderedPageBreak/>
                    <w:t>Anticipated delays to delivery of Milestones and Deliverables</w:t>
                  </w:r>
                </w:p>
              </w:tc>
              <w:tc>
                <w:tcPr>
                  <w:tcW w:w="1276" w:type="dxa"/>
                </w:tcPr>
                <w:p w14:paraId="63EB9B85" w14:textId="69F1DABE" w:rsidR="00E96586" w:rsidRPr="00CA72CB" w:rsidDel="00CA72CB" w:rsidRDefault="00AD300D" w:rsidP="00E96586">
                  <w:pPr>
                    <w:ind w:left="0"/>
                    <w:jc w:val="center"/>
                    <w:rPr>
                      <w:iCs/>
                    </w:rPr>
                  </w:pPr>
                  <w:r>
                    <w:rPr>
                      <w:iCs/>
                    </w:rPr>
                    <w:lastRenderedPageBreak/>
                    <w:t>Excel or Word</w:t>
                  </w:r>
                </w:p>
              </w:tc>
              <w:tc>
                <w:tcPr>
                  <w:tcW w:w="2197" w:type="dxa"/>
                </w:tcPr>
                <w:p w14:paraId="60BA3773" w14:textId="46C2EF12" w:rsidR="00E96586" w:rsidRPr="00CA72CB" w:rsidDel="00CA72CB" w:rsidRDefault="0007314C" w:rsidP="00E96586">
                  <w:pPr>
                    <w:ind w:left="0"/>
                    <w:jc w:val="center"/>
                    <w:rPr>
                      <w:iCs/>
                    </w:rPr>
                  </w:pPr>
                  <w:r>
                    <w:rPr>
                      <w:iCs/>
                    </w:rPr>
                    <w:t>Fortnightly</w:t>
                  </w:r>
                </w:p>
              </w:tc>
            </w:tr>
            <w:tr w:rsidR="00E96586" w:rsidRPr="00B77BD6" w14:paraId="70874DB8" w14:textId="77777777" w:rsidTr="000731CD">
              <w:tc>
                <w:tcPr>
                  <w:tcW w:w="1875" w:type="dxa"/>
                </w:tcPr>
                <w:p w14:paraId="626D8A27" w14:textId="77777777" w:rsidR="00E96586" w:rsidRPr="00564CC9" w:rsidDel="00CA72CB" w:rsidRDefault="00E96586" w:rsidP="00E96586">
                  <w:pPr>
                    <w:numPr>
                      <w:ilvl w:val="1"/>
                      <w:numId w:val="0"/>
                    </w:numPr>
                    <w:overflowPunct/>
                    <w:autoSpaceDE/>
                    <w:autoSpaceDN/>
                    <w:spacing w:after="120"/>
                    <w:jc w:val="left"/>
                    <w:textAlignment w:val="auto"/>
                  </w:pPr>
                  <w:r>
                    <w:rPr>
                      <w:iCs/>
                    </w:rPr>
                    <w:t xml:space="preserve">KPI </w:t>
                  </w:r>
                  <w:r w:rsidRPr="00564CC9">
                    <w:t>Performance</w:t>
                  </w:r>
                  <w:r>
                    <w:rPr>
                      <w:iCs/>
                    </w:rPr>
                    <w:t xml:space="preserve"> Report</w:t>
                  </w:r>
                </w:p>
              </w:tc>
              <w:tc>
                <w:tcPr>
                  <w:tcW w:w="3118" w:type="dxa"/>
                </w:tcPr>
                <w:p w14:paraId="1F59F6C7" w14:textId="05E487E5" w:rsidR="00E96586" w:rsidRPr="00DB41B9" w:rsidDel="00CA72CB" w:rsidRDefault="00E96586" w:rsidP="00E96586">
                  <w:pPr>
                    <w:pStyle w:val="ListParagraph"/>
                    <w:numPr>
                      <w:ilvl w:val="0"/>
                      <w:numId w:val="99"/>
                    </w:numPr>
                    <w:overflowPunct/>
                    <w:autoSpaceDE/>
                    <w:autoSpaceDN/>
                    <w:spacing w:after="120"/>
                    <w:ind w:left="331" w:hanging="331"/>
                    <w:textAlignment w:val="auto"/>
                    <w:rPr>
                      <w:iCs/>
                    </w:rPr>
                  </w:pPr>
                  <w:r>
                    <w:rPr>
                      <w:iCs/>
                    </w:rPr>
                    <w:t>Outlining the Supplier’s performance against the key performance indicators referred to in section 2.1</w:t>
                  </w:r>
                  <w:r w:rsidR="00E64C7C">
                    <w:rPr>
                      <w:iCs/>
                    </w:rPr>
                    <w:t xml:space="preserve"> above</w:t>
                  </w:r>
                </w:p>
              </w:tc>
              <w:tc>
                <w:tcPr>
                  <w:tcW w:w="1276" w:type="dxa"/>
                </w:tcPr>
                <w:p w14:paraId="595CE664" w14:textId="77777777" w:rsidR="00E96586" w:rsidRPr="00CA72CB" w:rsidDel="00CA72CB" w:rsidRDefault="00E96586" w:rsidP="00E96586">
                  <w:pPr>
                    <w:ind w:left="0"/>
                    <w:jc w:val="center"/>
                    <w:rPr>
                      <w:iCs/>
                    </w:rPr>
                  </w:pPr>
                </w:p>
              </w:tc>
              <w:tc>
                <w:tcPr>
                  <w:tcW w:w="2197" w:type="dxa"/>
                </w:tcPr>
                <w:p w14:paraId="5BFF69B6" w14:textId="74E20790" w:rsidR="00E96586" w:rsidRPr="00CA72CB" w:rsidDel="00CA72CB" w:rsidRDefault="0007314C" w:rsidP="00EA1166">
                  <w:pPr>
                    <w:ind w:left="0"/>
                    <w:jc w:val="center"/>
                    <w:rPr>
                      <w:iCs/>
                    </w:rPr>
                  </w:pPr>
                  <w:r>
                    <w:rPr>
                      <w:iCs/>
                    </w:rPr>
                    <w:t>Fortnightly</w:t>
                  </w:r>
                </w:p>
              </w:tc>
            </w:tr>
          </w:tbl>
          <w:p w14:paraId="1BBA6BFC" w14:textId="5039DACC" w:rsidR="00E96586" w:rsidRPr="00B91478" w:rsidRDefault="00E96586" w:rsidP="00FB2B54">
            <w:pPr>
              <w:numPr>
                <w:ilvl w:val="1"/>
                <w:numId w:val="0"/>
              </w:numPr>
              <w:overflowPunct/>
              <w:autoSpaceDE/>
              <w:autoSpaceDN/>
              <w:spacing w:after="120"/>
              <w:textAlignment w:val="auto"/>
              <w:rPr>
                <w:rFonts w:eastAsia="STZhongsong"/>
                <w:lang w:eastAsia="zh-CN"/>
              </w:rPr>
            </w:pPr>
          </w:p>
        </w:tc>
      </w:tr>
      <w:tr w:rsidR="00810FF4" w:rsidRPr="00B91478" w14:paraId="30A66646" w14:textId="77777777" w:rsidTr="00810FF4">
        <w:tc>
          <w:tcPr>
            <w:tcW w:w="767" w:type="dxa"/>
            <w:tcBorders>
              <w:top w:val="single" w:sz="4" w:space="0" w:color="auto"/>
              <w:left w:val="single" w:sz="4" w:space="0" w:color="auto"/>
              <w:bottom w:val="single" w:sz="4" w:space="0" w:color="auto"/>
              <w:right w:val="single" w:sz="4" w:space="0" w:color="auto"/>
            </w:tcBorders>
          </w:tcPr>
          <w:p w14:paraId="703563A4"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10.11</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810FF4" w:rsidRPr="00B91478" w:rsidRDefault="00810FF4"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6B7CD9A5" w14:textId="0EA4C388" w:rsidR="00810FF4" w:rsidRPr="00810FF4" w:rsidRDefault="00810FF4">
            <w:pPr>
              <w:numPr>
                <w:ilvl w:val="1"/>
                <w:numId w:val="0"/>
              </w:numPr>
              <w:overflowPunct/>
              <w:autoSpaceDE/>
              <w:autoSpaceDN/>
              <w:spacing w:after="120"/>
              <w:jc w:val="left"/>
              <w:textAlignment w:val="auto"/>
              <w:rPr>
                <w:rFonts w:eastAsia="STZhongsong"/>
                <w:bCs/>
                <w:lang w:eastAsia="zh-CN"/>
              </w:rPr>
            </w:pPr>
            <w:r w:rsidRPr="00EA1166">
              <w:rPr>
                <w:rFonts w:eastAsia="STZhongsong"/>
                <w:bCs/>
                <w:lang w:eastAsia="zh-CN"/>
              </w:rPr>
              <w:t>Not applicable</w:t>
            </w:r>
          </w:p>
        </w:tc>
      </w:tr>
      <w:tr w:rsidR="00810FF4" w:rsidRPr="00B91478" w14:paraId="1A1C7C47" w14:textId="77777777" w:rsidTr="00810FF4">
        <w:tc>
          <w:tcPr>
            <w:tcW w:w="767" w:type="dxa"/>
            <w:tcBorders>
              <w:top w:val="single" w:sz="4" w:space="0" w:color="auto"/>
              <w:left w:val="single" w:sz="4" w:space="0" w:color="auto"/>
              <w:bottom w:val="single" w:sz="4" w:space="0" w:color="auto"/>
              <w:right w:val="single" w:sz="4" w:space="0" w:color="auto"/>
            </w:tcBorders>
          </w:tcPr>
          <w:p w14:paraId="7AAE6378"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810FF4" w:rsidRPr="00B91478" w:rsidRDefault="00810FF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A6713D2" w14:textId="79EBC3C6" w:rsidR="00810FF4" w:rsidRPr="00B91478" w:rsidRDefault="00810FF4">
            <w:pPr>
              <w:numPr>
                <w:ilvl w:val="1"/>
                <w:numId w:val="0"/>
              </w:numPr>
              <w:overflowPunct/>
              <w:autoSpaceDE/>
              <w:autoSpaceDN/>
              <w:spacing w:after="120"/>
              <w:jc w:val="left"/>
              <w:textAlignment w:val="auto"/>
              <w:rPr>
                <w:rFonts w:eastAsia="STZhongsong"/>
                <w:lang w:eastAsia="zh-CN"/>
              </w:rPr>
            </w:pPr>
            <w:r>
              <w:rPr>
                <w:rFonts w:eastAsia="STZhongsong"/>
                <w:lang w:eastAsia="zh-CN"/>
              </w:rPr>
              <w:t>In Schedule 16</w:t>
            </w:r>
            <w:r w:rsidRPr="00B91478">
              <w:rPr>
                <w:rFonts w:eastAsia="STZhongsong"/>
                <w:lang w:eastAsia="zh-CN"/>
              </w:rPr>
              <w:t xml:space="preserve"> (Call Off Tender)</w:t>
            </w:r>
          </w:p>
          <w:p w14:paraId="5F7058D2"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p>
        </w:tc>
      </w:tr>
      <w:tr w:rsidR="00810FF4" w:rsidRPr="00B91478" w14:paraId="72D6CB9F"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810FF4" w:rsidRPr="00B91478" w:rsidRDefault="00810FF4"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26A247F" w14:textId="10C0D597" w:rsidR="00810FF4" w:rsidRPr="00B91478" w:rsidRDefault="00982D63">
            <w:pPr>
              <w:numPr>
                <w:ilvl w:val="1"/>
                <w:numId w:val="0"/>
              </w:numPr>
              <w:overflowPunct/>
              <w:autoSpaceDE/>
              <w:autoSpaceDN/>
              <w:spacing w:after="120"/>
              <w:jc w:val="left"/>
              <w:textAlignment w:val="auto"/>
              <w:rPr>
                <w:rFonts w:eastAsia="STZhongsong"/>
                <w:b/>
                <w:lang w:eastAsia="zh-CN"/>
              </w:rPr>
            </w:pPr>
            <w:r w:rsidRPr="00542302">
              <w:rPr>
                <w:rFonts w:eastAsia="STZhongsong"/>
                <w:bCs/>
                <w:lang w:eastAsia="zh-CN"/>
              </w:rPr>
              <w:t>Not applicable</w:t>
            </w:r>
          </w:p>
        </w:tc>
      </w:tr>
      <w:tr w:rsidR="00810FF4" w:rsidRPr="00B91478" w14:paraId="3C819062"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2730CC4" w14:textId="77777777" w:rsidR="00810FF4" w:rsidRDefault="00810FF4"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p w14:paraId="0999AE1B" w14:textId="2C7C704F" w:rsidR="00810FF4" w:rsidRPr="00B91478" w:rsidRDefault="00810FF4" w:rsidP="00BB4A0B">
            <w:pPr>
              <w:numPr>
                <w:ilvl w:val="1"/>
                <w:numId w:val="0"/>
              </w:numPr>
              <w:overflowPunct/>
              <w:autoSpaceDE/>
              <w:autoSpaceDN/>
              <w:spacing w:after="120"/>
              <w:textAlignment w:val="auto"/>
              <w:rPr>
                <w:rFonts w:eastAsia="STZhongsong"/>
                <w:lang w:eastAsia="zh-CN"/>
              </w:rPr>
            </w:pPr>
          </w:p>
        </w:tc>
      </w:tr>
      <w:tr w:rsidR="00810FF4" w:rsidRPr="00B91478" w14:paraId="18937FE2"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810FF4" w:rsidRPr="00B91478" w:rsidRDefault="00810FF4">
            <w:pPr>
              <w:numPr>
                <w:ilvl w:val="1"/>
                <w:numId w:val="0"/>
              </w:numPr>
              <w:overflowPunct/>
              <w:autoSpaceDE/>
              <w:autoSpaceDN/>
              <w:spacing w:after="120"/>
              <w:jc w:val="left"/>
              <w:textAlignment w:val="auto"/>
              <w:rPr>
                <w:rFonts w:eastAsia="STZhongsong"/>
                <w:b/>
                <w:lang w:eastAsia="zh-CN"/>
              </w:rPr>
            </w:pPr>
            <w:bookmarkStart w:id="4" w:name="_Hlk51588303"/>
            <w:r>
              <w:rPr>
                <w:rFonts w:eastAsia="STZhongsong"/>
                <w:b/>
                <w:lang w:eastAsia="zh-CN"/>
              </w:rPr>
              <w:t>10.15</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810FF4" w:rsidRDefault="00810FF4">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5D85D15C" w14:textId="77777777" w:rsidR="00810FF4" w:rsidRDefault="00810FF4">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p w14:paraId="116B1679" w14:textId="77777777" w:rsidR="00810FF4" w:rsidRDefault="00810FF4">
            <w:pPr>
              <w:numPr>
                <w:ilvl w:val="1"/>
                <w:numId w:val="0"/>
              </w:numPr>
              <w:overflowPunct/>
              <w:autoSpaceDE/>
              <w:autoSpaceDN/>
              <w:spacing w:after="120"/>
              <w:jc w:val="left"/>
              <w:textAlignment w:val="auto"/>
              <w:rPr>
                <w:rFonts w:eastAsia="STZhongsong"/>
                <w:lang w:eastAsia="zh-CN"/>
              </w:rPr>
            </w:pPr>
          </w:p>
          <w:p w14:paraId="3E3F8396" w14:textId="16FBEEFA" w:rsidR="00810FF4" w:rsidRDefault="00810FF4">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Name: </w:t>
            </w:r>
            <w:r w:rsidR="00554E70">
              <w:rPr>
                <w:rFonts w:eastAsia="STZhongsong"/>
                <w:lang w:eastAsia="zh-CN"/>
              </w:rPr>
              <w:t>REDACTED TEXT</w:t>
            </w:r>
          </w:p>
          <w:p w14:paraId="5CBFCC90" w14:textId="26162B57" w:rsidR="00810FF4" w:rsidRDefault="00810FF4" w:rsidP="00F641B6">
            <w:pPr>
              <w:numPr>
                <w:ilvl w:val="1"/>
                <w:numId w:val="0"/>
              </w:numPr>
              <w:overflowPunct/>
              <w:autoSpaceDE/>
              <w:autoSpaceDN/>
              <w:spacing w:after="120"/>
              <w:jc w:val="left"/>
              <w:textAlignment w:val="auto"/>
            </w:pPr>
            <w:r>
              <w:rPr>
                <w:rFonts w:eastAsia="STZhongsong"/>
                <w:lang w:eastAsia="zh-CN"/>
              </w:rPr>
              <w:t xml:space="preserve">Email: </w:t>
            </w:r>
            <w:r>
              <w:t xml:space="preserve">Data.protection@DHSC.gov.uk </w:t>
            </w:r>
          </w:p>
          <w:p w14:paraId="60B6E8DE" w14:textId="77777777" w:rsidR="00810FF4" w:rsidRDefault="00810FF4">
            <w:pPr>
              <w:numPr>
                <w:ilvl w:val="1"/>
                <w:numId w:val="0"/>
              </w:numPr>
              <w:overflowPunct/>
              <w:autoSpaceDE/>
              <w:autoSpaceDN/>
              <w:spacing w:after="120"/>
              <w:jc w:val="left"/>
              <w:textAlignment w:val="auto"/>
              <w:rPr>
                <w:rFonts w:eastAsia="STZhongsong"/>
                <w:lang w:eastAsia="zh-CN"/>
              </w:rPr>
            </w:pPr>
          </w:p>
          <w:p w14:paraId="1AF7D164" w14:textId="77777777" w:rsidR="00AD60E6" w:rsidRDefault="00AD60E6" w:rsidP="00AD60E6">
            <w:pPr>
              <w:keepNext/>
              <w:spacing w:before="240" w:line="312" w:lineRule="auto"/>
              <w:ind w:left="0"/>
            </w:pPr>
            <w:r>
              <w:t>The contact details of the Suppliers Data Protection Officer are:</w:t>
            </w:r>
          </w:p>
          <w:p w14:paraId="3028A280" w14:textId="455051D6" w:rsidR="00AD60E6" w:rsidRDefault="00554E70" w:rsidP="00AD60E6">
            <w:pPr>
              <w:spacing w:after="120"/>
              <w:ind w:left="0"/>
              <w:jc w:val="left"/>
            </w:pPr>
            <w:r>
              <w:t>REDACTED TEXT</w:t>
            </w:r>
          </w:p>
          <w:p w14:paraId="01FCB531" w14:textId="7FC3F0BF" w:rsidR="00810FF4" w:rsidRPr="002440C8" w:rsidRDefault="00810FF4">
            <w:pPr>
              <w:numPr>
                <w:ilvl w:val="1"/>
                <w:numId w:val="0"/>
              </w:numPr>
              <w:overflowPunct/>
              <w:autoSpaceDE/>
              <w:autoSpaceDN/>
              <w:spacing w:after="120"/>
              <w:jc w:val="left"/>
              <w:textAlignment w:val="auto"/>
              <w:rPr>
                <w:rFonts w:eastAsia="STZhongsong"/>
                <w:lang w:eastAsia="zh-CN"/>
              </w:rPr>
            </w:pPr>
          </w:p>
        </w:tc>
      </w:tr>
      <w:tr w:rsidR="00810FF4" w:rsidRPr="00B91478" w14:paraId="525C7B7D" w14:textId="77777777" w:rsidTr="002B2D19">
        <w:tc>
          <w:tcPr>
            <w:tcW w:w="97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tbl>
            <w:tblPr>
              <w:tblStyle w:val="TableGrid"/>
              <w:tblW w:w="8813" w:type="dxa"/>
              <w:tblInd w:w="27" w:type="dxa"/>
              <w:tblLayout w:type="fixed"/>
              <w:tblLook w:val="04A0" w:firstRow="1" w:lastRow="0" w:firstColumn="1" w:lastColumn="0" w:noHBand="0" w:noVBand="1"/>
            </w:tblPr>
            <w:tblGrid>
              <w:gridCol w:w="4393"/>
              <w:gridCol w:w="4420"/>
            </w:tblGrid>
            <w:tr w:rsidR="00810FF4" w14:paraId="2EEB5AE9" w14:textId="77777777" w:rsidTr="00810FF4">
              <w:tc>
                <w:tcPr>
                  <w:tcW w:w="4393" w:type="dxa"/>
                  <w:vAlign w:val="center"/>
                </w:tcPr>
                <w:p w14:paraId="0EB76F14" w14:textId="77777777" w:rsidR="00810FF4" w:rsidRDefault="00810FF4" w:rsidP="00810FF4">
                  <w:pPr>
                    <w:numPr>
                      <w:ilvl w:val="1"/>
                      <w:numId w:val="0"/>
                    </w:numPr>
                    <w:overflowPunct/>
                    <w:autoSpaceDE/>
                    <w:autoSpaceDN/>
                    <w:spacing w:after="120"/>
                    <w:jc w:val="left"/>
                    <w:textAlignment w:val="auto"/>
                    <w:rPr>
                      <w:i/>
                      <w:highlight w:val="yellow"/>
                    </w:rPr>
                  </w:pPr>
                  <w:r w:rsidRPr="008537E1">
                    <w:rPr>
                      <w:rFonts w:eastAsia="Calibri"/>
                      <w:b/>
                      <w:lang w:val="en-US"/>
                    </w:rPr>
                    <w:t>Contract Reference:</w:t>
                  </w:r>
                </w:p>
              </w:tc>
              <w:tc>
                <w:tcPr>
                  <w:tcW w:w="4420" w:type="dxa"/>
                  <w:vAlign w:val="center"/>
                </w:tcPr>
                <w:p w14:paraId="2E2CFAE1" w14:textId="5E41BCE2" w:rsidR="00810FF4" w:rsidRPr="005E0CDF" w:rsidRDefault="005E0CDF" w:rsidP="00810FF4">
                  <w:pPr>
                    <w:numPr>
                      <w:ilvl w:val="1"/>
                      <w:numId w:val="0"/>
                    </w:numPr>
                    <w:overflowPunct/>
                    <w:autoSpaceDE/>
                    <w:autoSpaceDN/>
                    <w:spacing w:after="120"/>
                    <w:jc w:val="left"/>
                    <w:textAlignment w:val="auto"/>
                    <w:rPr>
                      <w:i/>
                    </w:rPr>
                  </w:pPr>
                  <w:r w:rsidRPr="005E0CDF">
                    <w:rPr>
                      <w:i/>
                    </w:rPr>
                    <w:t>CCCC21A67</w:t>
                  </w:r>
                </w:p>
              </w:tc>
            </w:tr>
            <w:tr w:rsidR="00810FF4" w14:paraId="29A3884F" w14:textId="77777777" w:rsidTr="00810FF4">
              <w:tc>
                <w:tcPr>
                  <w:tcW w:w="4393" w:type="dxa"/>
                  <w:vAlign w:val="center"/>
                </w:tcPr>
                <w:p w14:paraId="160B7450" w14:textId="77777777" w:rsidR="00810FF4" w:rsidRDefault="00810FF4" w:rsidP="00810FF4">
                  <w:pPr>
                    <w:numPr>
                      <w:ilvl w:val="1"/>
                      <w:numId w:val="0"/>
                    </w:numPr>
                    <w:overflowPunct/>
                    <w:autoSpaceDE/>
                    <w:autoSpaceDN/>
                    <w:spacing w:after="120"/>
                    <w:jc w:val="left"/>
                    <w:textAlignment w:val="auto"/>
                    <w:rPr>
                      <w:i/>
                      <w:highlight w:val="yellow"/>
                    </w:rPr>
                  </w:pPr>
                  <w:r w:rsidRPr="008537E1">
                    <w:rPr>
                      <w:rFonts w:eastAsia="Calibri"/>
                      <w:b/>
                      <w:lang w:val="en-US"/>
                    </w:rPr>
                    <w:t xml:space="preserve">Date: </w:t>
                  </w:r>
                </w:p>
              </w:tc>
              <w:tc>
                <w:tcPr>
                  <w:tcW w:w="4420" w:type="dxa"/>
                  <w:vAlign w:val="center"/>
                </w:tcPr>
                <w:p w14:paraId="5079E878" w14:textId="721D61E6" w:rsidR="00810FF4" w:rsidRPr="005E0CDF" w:rsidRDefault="005E0CDF" w:rsidP="00810FF4">
                  <w:pPr>
                    <w:numPr>
                      <w:ilvl w:val="1"/>
                      <w:numId w:val="0"/>
                    </w:numPr>
                    <w:overflowPunct/>
                    <w:autoSpaceDE/>
                    <w:autoSpaceDN/>
                    <w:spacing w:after="120"/>
                    <w:jc w:val="left"/>
                    <w:textAlignment w:val="auto"/>
                    <w:rPr>
                      <w:i/>
                    </w:rPr>
                  </w:pPr>
                  <w:r w:rsidRPr="005E0CDF">
                    <w:rPr>
                      <w:rFonts w:eastAsia="Calibri"/>
                      <w:b/>
                      <w:lang w:val="en-US"/>
                    </w:rPr>
                    <w:t>01/04/2021</w:t>
                  </w:r>
                </w:p>
              </w:tc>
            </w:tr>
            <w:tr w:rsidR="00810FF4" w14:paraId="0C5A4083" w14:textId="77777777" w:rsidTr="00810FF4">
              <w:tc>
                <w:tcPr>
                  <w:tcW w:w="4393" w:type="dxa"/>
                  <w:vAlign w:val="center"/>
                </w:tcPr>
                <w:p w14:paraId="01B10164"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b/>
                      <w:lang w:val="en-US"/>
                    </w:rPr>
                    <w:t xml:space="preserve">Description </w:t>
                  </w:r>
                  <w:proofErr w:type="gramStart"/>
                  <w:r w:rsidRPr="00810FF4">
                    <w:rPr>
                      <w:rFonts w:eastAsia="Calibri"/>
                      <w:b/>
                      <w:lang w:val="en-US"/>
                    </w:rPr>
                    <w:t>Of</w:t>
                  </w:r>
                  <w:proofErr w:type="gramEnd"/>
                  <w:r w:rsidRPr="00810FF4">
                    <w:rPr>
                      <w:rFonts w:eastAsia="Calibri"/>
                      <w:b/>
                      <w:lang w:val="en-US"/>
                    </w:rPr>
                    <w:t xml:space="preserve"> </w:t>
                  </w:r>
                  <w:proofErr w:type="spellStart"/>
                  <w:r w:rsidRPr="00810FF4">
                    <w:rPr>
                      <w:rFonts w:eastAsia="Calibri"/>
                      <w:b/>
                      <w:lang w:val="en-US"/>
                    </w:rPr>
                    <w:t>Authorised</w:t>
                  </w:r>
                  <w:proofErr w:type="spellEnd"/>
                  <w:r w:rsidRPr="00810FF4">
                    <w:rPr>
                      <w:rFonts w:eastAsia="Calibri"/>
                      <w:b/>
                      <w:lang w:val="en-US"/>
                    </w:rPr>
                    <w:t xml:space="preserve"> Processing</w:t>
                  </w:r>
                </w:p>
              </w:tc>
              <w:tc>
                <w:tcPr>
                  <w:tcW w:w="4420" w:type="dxa"/>
                  <w:vAlign w:val="center"/>
                </w:tcPr>
                <w:p w14:paraId="7E8EFFC3"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b/>
                      <w:lang w:val="en-US"/>
                    </w:rPr>
                    <w:t>Details</w:t>
                  </w:r>
                </w:p>
              </w:tc>
            </w:tr>
            <w:tr w:rsidR="00810FF4" w14:paraId="0E0F2341" w14:textId="77777777" w:rsidTr="00810FF4">
              <w:tc>
                <w:tcPr>
                  <w:tcW w:w="4393" w:type="dxa"/>
                </w:tcPr>
                <w:p w14:paraId="7D69A925"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t>Identity of the Controller and Processor</w:t>
                  </w:r>
                </w:p>
              </w:tc>
              <w:tc>
                <w:tcPr>
                  <w:tcW w:w="4420" w:type="dxa"/>
                </w:tcPr>
                <w:p w14:paraId="598ADC30" w14:textId="7CF28552" w:rsidR="00810FF4" w:rsidRPr="009B7BA2" w:rsidRDefault="00D4376C" w:rsidP="00D4376C">
                  <w:pPr>
                    <w:numPr>
                      <w:ilvl w:val="1"/>
                      <w:numId w:val="0"/>
                    </w:numPr>
                    <w:overflowPunct/>
                    <w:autoSpaceDE/>
                    <w:autoSpaceDN/>
                    <w:spacing w:after="120"/>
                    <w:jc w:val="left"/>
                    <w:textAlignment w:val="auto"/>
                    <w:rPr>
                      <w:i/>
                    </w:rPr>
                  </w:pPr>
                  <w:r w:rsidRPr="009B7BA2">
                    <w:rPr>
                      <w:rFonts w:eastAsia="Calibri"/>
                    </w:rPr>
                    <w:t xml:space="preserve">The Parties acknowledge that for the purposes of the Data Protection Legislation the Customer is the Data Controller and the Supplier is the Data Processor of Personal Data under this </w:t>
                  </w:r>
                  <w:r w:rsidR="00BB7D10" w:rsidRPr="009B7BA2">
                    <w:rPr>
                      <w:rFonts w:eastAsia="Calibri"/>
                      <w:lang w:val="en-US"/>
                    </w:rPr>
                    <w:t>Call Off Contract Agreement</w:t>
                  </w:r>
                  <w:r w:rsidRPr="009B7BA2">
                    <w:rPr>
                      <w:rFonts w:eastAsia="Calibri"/>
                    </w:rPr>
                    <w:t>.</w:t>
                  </w:r>
                </w:p>
              </w:tc>
            </w:tr>
            <w:tr w:rsidR="00810FF4" w14:paraId="27290920" w14:textId="77777777" w:rsidTr="00810FF4">
              <w:tc>
                <w:tcPr>
                  <w:tcW w:w="4393" w:type="dxa"/>
                </w:tcPr>
                <w:p w14:paraId="75C81D12"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lastRenderedPageBreak/>
                    <w:t>Use of Personal Data</w:t>
                  </w:r>
                </w:p>
              </w:tc>
              <w:tc>
                <w:tcPr>
                  <w:tcW w:w="4420" w:type="dxa"/>
                </w:tcPr>
                <w:p w14:paraId="19103F0A" w14:textId="05E48484" w:rsidR="00810FF4" w:rsidRPr="009B7BA2" w:rsidRDefault="00D4376C" w:rsidP="00810FF4">
                  <w:pPr>
                    <w:numPr>
                      <w:ilvl w:val="1"/>
                      <w:numId w:val="0"/>
                    </w:numPr>
                    <w:overflowPunct/>
                    <w:autoSpaceDE/>
                    <w:autoSpaceDN/>
                    <w:spacing w:after="120"/>
                    <w:jc w:val="left"/>
                    <w:textAlignment w:val="auto"/>
                    <w:rPr>
                      <w:i/>
                    </w:rPr>
                  </w:pPr>
                  <w:r w:rsidRPr="009B7BA2">
                    <w:rPr>
                      <w:rFonts w:eastAsia="Calibri"/>
                      <w:lang w:val="en-US"/>
                    </w:rPr>
                    <w:t xml:space="preserve">Managing the obligations under the Call Off Contract Agreement, including delivery of the Services.  </w:t>
                  </w:r>
                </w:p>
              </w:tc>
            </w:tr>
            <w:tr w:rsidR="00810FF4" w14:paraId="14043CD6" w14:textId="77777777" w:rsidTr="00810FF4">
              <w:tc>
                <w:tcPr>
                  <w:tcW w:w="4393" w:type="dxa"/>
                </w:tcPr>
                <w:p w14:paraId="6C4FDB40"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t>Duration of the processing</w:t>
                  </w:r>
                </w:p>
              </w:tc>
              <w:tc>
                <w:tcPr>
                  <w:tcW w:w="4420" w:type="dxa"/>
                </w:tcPr>
                <w:p w14:paraId="4E9B2328" w14:textId="6B5CD557" w:rsidR="00810FF4" w:rsidRPr="009B7BA2" w:rsidRDefault="00810FF4" w:rsidP="00810FF4">
                  <w:pPr>
                    <w:numPr>
                      <w:ilvl w:val="1"/>
                      <w:numId w:val="0"/>
                    </w:numPr>
                    <w:overflowPunct/>
                    <w:autoSpaceDE/>
                    <w:autoSpaceDN/>
                    <w:spacing w:after="120"/>
                    <w:jc w:val="left"/>
                    <w:textAlignment w:val="auto"/>
                    <w:rPr>
                      <w:i/>
                    </w:rPr>
                  </w:pPr>
                  <w:r w:rsidRPr="009B7BA2">
                    <w:rPr>
                      <w:rFonts w:eastAsia="Calibri"/>
                      <w:lang w:val="en-US"/>
                    </w:rPr>
                    <w:t xml:space="preserve">For the duration of the </w:t>
                  </w:r>
                  <w:r w:rsidR="00BB7D10" w:rsidRPr="009B7BA2">
                    <w:rPr>
                      <w:rFonts w:eastAsia="Calibri"/>
                      <w:lang w:val="en-US"/>
                    </w:rPr>
                    <w:t>Call Off Contract Agreement.</w:t>
                  </w:r>
                </w:p>
              </w:tc>
            </w:tr>
            <w:tr w:rsidR="00810FF4" w14:paraId="4D33CD8F" w14:textId="77777777" w:rsidTr="00810FF4">
              <w:tc>
                <w:tcPr>
                  <w:tcW w:w="4393" w:type="dxa"/>
                </w:tcPr>
                <w:p w14:paraId="019EAB5F"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t>Nature and purposes of the processing</w:t>
                  </w:r>
                </w:p>
              </w:tc>
              <w:tc>
                <w:tcPr>
                  <w:tcW w:w="4420" w:type="dxa"/>
                </w:tcPr>
                <w:p w14:paraId="3F2115E2" w14:textId="09495DC3" w:rsidR="00810FF4" w:rsidRPr="00EA1166" w:rsidRDefault="00D4376C" w:rsidP="00810FF4">
                  <w:pPr>
                    <w:numPr>
                      <w:ilvl w:val="1"/>
                      <w:numId w:val="0"/>
                    </w:numPr>
                    <w:overflowPunct/>
                    <w:autoSpaceDE/>
                    <w:autoSpaceDN/>
                    <w:spacing w:after="120"/>
                    <w:jc w:val="left"/>
                    <w:textAlignment w:val="auto"/>
                    <w:rPr>
                      <w:i/>
                    </w:rPr>
                  </w:pPr>
                  <w:r w:rsidRPr="00EA1166">
                    <w:rPr>
                      <w:iCs/>
                    </w:rPr>
                    <w:t>As necessary for the Supplier to deliver the Services, in particular by using the Personal Data specified below to contact and discuss relevant matters with employees and contractors of the Customer.</w:t>
                  </w:r>
                </w:p>
              </w:tc>
            </w:tr>
            <w:tr w:rsidR="00810FF4" w14:paraId="1D6A6B65" w14:textId="77777777" w:rsidTr="00810FF4">
              <w:tc>
                <w:tcPr>
                  <w:tcW w:w="4393" w:type="dxa"/>
                </w:tcPr>
                <w:p w14:paraId="5761C535"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t>Type of Personal Data</w:t>
                  </w:r>
                </w:p>
              </w:tc>
              <w:tc>
                <w:tcPr>
                  <w:tcW w:w="4420" w:type="dxa"/>
                </w:tcPr>
                <w:p w14:paraId="5CD76F6C" w14:textId="77777777" w:rsidR="00810FF4" w:rsidRPr="009B7BA2" w:rsidRDefault="00810FF4" w:rsidP="00810FF4">
                  <w:pPr>
                    <w:spacing w:line="312" w:lineRule="auto"/>
                    <w:ind w:left="117"/>
                    <w:jc w:val="left"/>
                  </w:pPr>
                  <w:r w:rsidRPr="009B7BA2">
                    <w:t>Full name</w:t>
                  </w:r>
                </w:p>
                <w:p w14:paraId="4FDA7506" w14:textId="43AF371A" w:rsidR="00810FF4" w:rsidRPr="009B7BA2" w:rsidRDefault="00810FF4" w:rsidP="00810FF4">
                  <w:pPr>
                    <w:spacing w:line="312" w:lineRule="auto"/>
                    <w:ind w:left="117"/>
                    <w:jc w:val="left"/>
                  </w:pPr>
                  <w:r w:rsidRPr="009B7BA2">
                    <w:t>Wor</w:t>
                  </w:r>
                  <w:r w:rsidR="00D02199">
                    <w:t>k</w:t>
                  </w:r>
                  <w:r w:rsidRPr="009B7BA2">
                    <w:t>place address</w:t>
                  </w:r>
                </w:p>
                <w:p w14:paraId="0AC84B83" w14:textId="77777777" w:rsidR="00810FF4" w:rsidRPr="009B7BA2" w:rsidRDefault="00810FF4" w:rsidP="00810FF4">
                  <w:pPr>
                    <w:spacing w:line="312" w:lineRule="auto"/>
                    <w:ind w:left="117"/>
                    <w:jc w:val="left"/>
                  </w:pPr>
                  <w:r w:rsidRPr="009B7BA2">
                    <w:t xml:space="preserve">Workplace Phone Number </w:t>
                  </w:r>
                </w:p>
                <w:p w14:paraId="0F4D337F" w14:textId="09BB1024" w:rsidR="00810FF4" w:rsidRPr="009B7BA2" w:rsidRDefault="00810FF4" w:rsidP="00D4376C">
                  <w:pPr>
                    <w:spacing w:line="312" w:lineRule="auto"/>
                    <w:ind w:left="117"/>
                    <w:jc w:val="left"/>
                    <w:rPr>
                      <w:rFonts w:eastAsia="Calibri"/>
                      <w:b/>
                      <w:lang w:val="en-US"/>
                    </w:rPr>
                  </w:pPr>
                  <w:r w:rsidRPr="009B7BA2">
                    <w:t xml:space="preserve">Workplace email address </w:t>
                  </w:r>
                </w:p>
                <w:tbl>
                  <w:tblPr>
                    <w:tblW w:w="6240" w:type="dxa"/>
                    <w:tblLayout w:type="fixed"/>
                    <w:tblLook w:val="04A0" w:firstRow="1" w:lastRow="0" w:firstColumn="1" w:lastColumn="0" w:noHBand="0" w:noVBand="1"/>
                  </w:tblPr>
                  <w:tblGrid>
                    <w:gridCol w:w="6240"/>
                  </w:tblGrid>
                  <w:tr w:rsidR="00810FF4" w:rsidRPr="009B7BA2" w14:paraId="0C5D0196" w14:textId="77777777" w:rsidTr="002B2D19">
                    <w:trPr>
                      <w:trHeight w:val="300"/>
                    </w:trPr>
                    <w:tc>
                      <w:tcPr>
                        <w:tcW w:w="6240" w:type="dxa"/>
                        <w:tcBorders>
                          <w:top w:val="nil"/>
                          <w:left w:val="nil"/>
                          <w:bottom w:val="nil"/>
                          <w:right w:val="nil"/>
                        </w:tcBorders>
                        <w:shd w:val="clear" w:color="auto" w:fill="auto"/>
                        <w:noWrap/>
                        <w:vAlign w:val="bottom"/>
                        <w:hideMark/>
                      </w:tcPr>
                      <w:p w14:paraId="2F6AEC87" w14:textId="77777777" w:rsidR="00810FF4" w:rsidRDefault="00810FF4" w:rsidP="00810FF4">
                        <w:pPr>
                          <w:spacing w:line="312" w:lineRule="auto"/>
                          <w:ind w:left="0"/>
                          <w:jc w:val="left"/>
                        </w:pPr>
                        <w:r w:rsidRPr="009B7BA2">
                          <w:t>Job title or role</w:t>
                        </w:r>
                      </w:p>
                      <w:p w14:paraId="6B1B2B67" w14:textId="564F9624" w:rsidR="00D02199" w:rsidRPr="009B7BA2" w:rsidRDefault="00D02199" w:rsidP="00AD60E6">
                        <w:pPr>
                          <w:spacing w:line="312" w:lineRule="auto"/>
                          <w:ind w:left="0"/>
                          <w:jc w:val="left"/>
                        </w:pPr>
                      </w:p>
                    </w:tc>
                  </w:tr>
                </w:tbl>
                <w:p w14:paraId="5C159ED2" w14:textId="77777777" w:rsidR="00810FF4" w:rsidRPr="009B7BA2" w:rsidRDefault="00810FF4" w:rsidP="00810FF4">
                  <w:pPr>
                    <w:numPr>
                      <w:ilvl w:val="1"/>
                      <w:numId w:val="0"/>
                    </w:numPr>
                    <w:overflowPunct/>
                    <w:autoSpaceDE/>
                    <w:autoSpaceDN/>
                    <w:spacing w:after="120"/>
                    <w:jc w:val="left"/>
                    <w:textAlignment w:val="auto"/>
                    <w:rPr>
                      <w:i/>
                    </w:rPr>
                  </w:pPr>
                </w:p>
              </w:tc>
            </w:tr>
            <w:tr w:rsidR="00810FF4" w14:paraId="3B2FB5E5" w14:textId="77777777" w:rsidTr="00810FF4">
              <w:tc>
                <w:tcPr>
                  <w:tcW w:w="4393" w:type="dxa"/>
                </w:tcPr>
                <w:p w14:paraId="16A6CE92" w14:textId="77777777" w:rsidR="00810FF4" w:rsidRPr="008537E1" w:rsidRDefault="00810FF4" w:rsidP="00810FF4">
                  <w:pPr>
                    <w:numPr>
                      <w:ilvl w:val="1"/>
                      <w:numId w:val="0"/>
                    </w:numPr>
                    <w:overflowPunct/>
                    <w:autoSpaceDE/>
                    <w:autoSpaceDN/>
                    <w:spacing w:after="120"/>
                    <w:jc w:val="left"/>
                    <w:textAlignment w:val="auto"/>
                    <w:rPr>
                      <w:rFonts w:eastAsia="Calibri"/>
                      <w:lang w:val="en-US"/>
                    </w:rPr>
                  </w:pPr>
                  <w:r w:rsidRPr="008537E1">
                    <w:rPr>
                      <w:rFonts w:eastAsia="Calibri"/>
                      <w:lang w:val="en-US"/>
                    </w:rPr>
                    <w:t>Categories of Data Subject</w:t>
                  </w:r>
                </w:p>
              </w:tc>
              <w:tc>
                <w:tcPr>
                  <w:tcW w:w="4420" w:type="dxa"/>
                </w:tcPr>
                <w:p w14:paraId="184F7874" w14:textId="3D697E06" w:rsidR="00810FF4" w:rsidRPr="009B7BA2" w:rsidRDefault="00D4376C" w:rsidP="00D4376C">
                  <w:pPr>
                    <w:spacing w:line="312" w:lineRule="auto"/>
                    <w:ind w:left="0"/>
                    <w:jc w:val="left"/>
                  </w:pPr>
                  <w:r w:rsidRPr="009B7BA2">
                    <w:t xml:space="preserve">Employees and contractors of the Customer.  </w:t>
                  </w:r>
                </w:p>
              </w:tc>
            </w:tr>
          </w:tbl>
          <w:p w14:paraId="6FF08D66" w14:textId="77777777" w:rsidR="00810FF4" w:rsidRDefault="00810FF4">
            <w:pPr>
              <w:numPr>
                <w:ilvl w:val="1"/>
                <w:numId w:val="0"/>
              </w:numPr>
              <w:overflowPunct/>
              <w:autoSpaceDE/>
              <w:autoSpaceDN/>
              <w:spacing w:after="120"/>
              <w:jc w:val="left"/>
              <w:textAlignment w:val="auto"/>
              <w:rPr>
                <w:rFonts w:eastAsia="STZhongsong"/>
                <w:b/>
                <w:lang w:eastAsia="zh-CN"/>
              </w:rPr>
            </w:pPr>
          </w:p>
        </w:tc>
      </w:tr>
      <w:bookmarkEnd w:id="4"/>
      <w:tr w:rsidR="00810FF4" w:rsidRPr="00CB44F1" w14:paraId="0C0E5186"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810FF4" w:rsidRPr="00CB44F1" w:rsidRDefault="00810FF4" w:rsidP="00CB44F1">
            <w:pPr>
              <w:ind w:left="0"/>
              <w:rPr>
                <w:b/>
              </w:rPr>
            </w:pPr>
            <w:r>
              <w:rPr>
                <w:b/>
              </w:rPr>
              <w:lastRenderedPageBreak/>
              <w:t>10.16</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061BC2E8" w14:textId="210AD483" w:rsidR="00810FF4" w:rsidRPr="00CB44F1" w:rsidRDefault="00810FF4" w:rsidP="00CB44F1">
            <w:pPr>
              <w:ind w:left="0"/>
              <w:rPr>
                <w:b/>
              </w:rPr>
            </w:pPr>
            <w:r w:rsidRPr="00CB44F1">
              <w:rPr>
                <w:b/>
              </w:rPr>
              <w:t>MOD DEFCONs and DEFFORM</w:t>
            </w:r>
          </w:p>
          <w:p w14:paraId="3544E5FE" w14:textId="77777777" w:rsidR="00810FF4" w:rsidRDefault="00810FF4" w:rsidP="00CB44F1">
            <w:pPr>
              <w:ind w:left="0"/>
            </w:pPr>
            <w:r>
              <w:t>Call Off Schedule 15</w:t>
            </w:r>
          </w:p>
          <w:p w14:paraId="7210ECE2" w14:textId="4AE25A57" w:rsidR="00810FF4" w:rsidRPr="00CB44F1" w:rsidRDefault="00810FF4" w:rsidP="00CB44F1">
            <w:pPr>
              <w:ind w:left="0"/>
            </w:pPr>
            <w:r w:rsidRPr="00F65018">
              <w:t>Not applicable</w:t>
            </w:r>
          </w:p>
        </w:tc>
      </w:tr>
    </w:tbl>
    <w:p w14:paraId="518CD758" w14:textId="2D18939A" w:rsidR="004E05DC" w:rsidRPr="00B91478" w:rsidRDefault="00F770DB">
      <w:pPr>
        <w:ind w:left="0"/>
        <w:rPr>
          <w:b/>
        </w:rPr>
      </w:pPr>
      <w:r w:rsidRPr="00B91478">
        <w:rPr>
          <w:b/>
        </w:rPr>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lastRenderedPageBreak/>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61E57E95" w:rsidR="004E05DC" w:rsidRPr="00B91478" w:rsidRDefault="00554E70">
            <w:pPr>
              <w:pStyle w:val="MarginText"/>
              <w:rPr>
                <w:rFonts w:cs="Arial"/>
                <w:sz w:val="22"/>
                <w:szCs w:val="22"/>
              </w:rPr>
            </w:pPr>
            <w:r>
              <w:rPr>
                <w:rFonts w:cs="Arial"/>
                <w:sz w:val="22"/>
                <w:szCs w:val="22"/>
              </w:rPr>
              <w:t>REDACTED TEXT</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5D0CBEF7" w:rsidR="004E05DC" w:rsidRPr="00B91478" w:rsidRDefault="00554E70">
            <w:pPr>
              <w:pStyle w:val="MarginText"/>
              <w:rPr>
                <w:rFonts w:cs="Arial"/>
                <w:sz w:val="22"/>
                <w:szCs w:val="22"/>
              </w:rPr>
            </w:pPr>
            <w:r>
              <w:rPr>
                <w:rFonts w:cs="Arial"/>
                <w:sz w:val="22"/>
                <w:szCs w:val="22"/>
              </w:rPr>
              <w:t>REDACTED TEXT</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5ABDF368" w:rsidR="004E05DC" w:rsidRPr="00B91478" w:rsidRDefault="00554E70">
            <w:pPr>
              <w:pStyle w:val="MarginText"/>
              <w:rPr>
                <w:rFonts w:cs="Arial"/>
                <w:sz w:val="22"/>
                <w:szCs w:val="22"/>
              </w:rPr>
            </w:pPr>
            <w:r>
              <w:rPr>
                <w:rFonts w:cs="Arial"/>
                <w:sz w:val="22"/>
                <w:szCs w:val="22"/>
              </w:rPr>
              <w:t>REDACTED TEXT</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49F88C63" w:rsidR="004E05DC" w:rsidRPr="00B91478" w:rsidRDefault="00554E70">
            <w:pPr>
              <w:pStyle w:val="MarginText"/>
              <w:rPr>
                <w:rFonts w:cs="Arial"/>
                <w:sz w:val="22"/>
                <w:szCs w:val="22"/>
              </w:rPr>
            </w:pPr>
            <w:r>
              <w:rPr>
                <w:rFonts w:cs="Arial"/>
                <w:sz w:val="22"/>
                <w:szCs w:val="22"/>
              </w:rPr>
              <w:t>REDACTED TEXT</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688D2A46" w:rsidR="004E05DC" w:rsidRPr="00B91478" w:rsidRDefault="00554E70">
            <w:pPr>
              <w:pStyle w:val="MarginText"/>
              <w:rPr>
                <w:rFonts w:cs="Arial"/>
                <w:sz w:val="22"/>
                <w:szCs w:val="22"/>
              </w:rPr>
            </w:pPr>
            <w:r>
              <w:rPr>
                <w:rFonts w:cs="Arial"/>
                <w:sz w:val="22"/>
                <w:szCs w:val="22"/>
              </w:rPr>
              <w:t>REDACTED TEXT</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0B8E7619" w:rsidR="004E05DC" w:rsidRPr="00B91478" w:rsidRDefault="00554E70">
            <w:pPr>
              <w:pStyle w:val="MarginText"/>
              <w:rPr>
                <w:rFonts w:cs="Arial"/>
                <w:sz w:val="22"/>
                <w:szCs w:val="22"/>
              </w:rPr>
            </w:pPr>
            <w:r>
              <w:rPr>
                <w:rFonts w:cs="Arial"/>
                <w:sz w:val="22"/>
                <w:szCs w:val="22"/>
              </w:rPr>
              <w:t>REDACTED TEXT</w:t>
            </w:r>
          </w:p>
        </w:tc>
      </w:tr>
    </w:tbl>
    <w:p w14:paraId="0D5F80B7" w14:textId="270B510C" w:rsidR="00F763AE" w:rsidRDefault="00F763AE" w:rsidP="00F763AE">
      <w:pPr>
        <w:pStyle w:val="TOC1"/>
      </w:pPr>
    </w:p>
    <w:p w14:paraId="7831093B" w14:textId="0C3C0E67" w:rsidR="000731CD" w:rsidRDefault="000731CD">
      <w:pPr>
        <w:overflowPunct/>
        <w:autoSpaceDE/>
        <w:autoSpaceDN/>
        <w:adjustRightInd/>
        <w:spacing w:after="0"/>
        <w:ind w:left="0"/>
        <w:jc w:val="left"/>
        <w:textAlignment w:val="auto"/>
        <w:rPr>
          <w:lang w:eastAsia="en-GB"/>
        </w:rPr>
      </w:pPr>
      <w:r>
        <w:rPr>
          <w:lang w:eastAsia="en-GB"/>
        </w:rPr>
        <w:br w:type="page"/>
      </w:r>
    </w:p>
    <w:p w14:paraId="0688A881" w14:textId="1561702D" w:rsidR="000731CD" w:rsidRDefault="000731CD" w:rsidP="000731CD">
      <w:pPr>
        <w:pStyle w:val="TOC1"/>
      </w:pPr>
      <w:r>
        <w:lastRenderedPageBreak/>
        <w:t>Annex 1 –  Details of key performance indicators which are required to be delivered by Supplier as part of the Services listed in Section 2.1</w:t>
      </w:r>
      <w:r w:rsidRPr="00774FF9">
        <w:t xml:space="preserve"> </w:t>
      </w:r>
      <w:r>
        <w:t>of this Call Off Order Form</w:t>
      </w:r>
    </w:p>
    <w:p w14:paraId="43B50626" w14:textId="77777777" w:rsidR="000731CD" w:rsidRDefault="000731CD" w:rsidP="000731CD">
      <w:pPr>
        <w:rPr>
          <w:lang w:eastAsia="en-GB"/>
        </w:rPr>
      </w:pPr>
    </w:p>
    <w:p w14:paraId="12B9BCDE" w14:textId="77777777" w:rsidR="000731CD" w:rsidRPr="008B2B5B" w:rsidRDefault="000731CD" w:rsidP="000731CD">
      <w:pPr>
        <w:ind w:left="0"/>
        <w:jc w:val="left"/>
        <w:rPr>
          <w:b/>
          <w:bCs/>
          <w:sz w:val="20"/>
          <w:szCs w:val="20"/>
        </w:rPr>
      </w:pPr>
      <w:r w:rsidRPr="008B2B5B">
        <w:rPr>
          <w:b/>
          <w:bCs/>
          <w:sz w:val="20"/>
          <w:szCs w:val="20"/>
        </w:rPr>
        <w:t xml:space="preserve">Key </w:t>
      </w:r>
      <w:r>
        <w:rPr>
          <w:b/>
          <w:bCs/>
          <w:sz w:val="20"/>
          <w:szCs w:val="20"/>
        </w:rPr>
        <w:t>p</w:t>
      </w:r>
      <w:r w:rsidRPr="008B2B5B">
        <w:rPr>
          <w:b/>
          <w:bCs/>
          <w:sz w:val="20"/>
          <w:szCs w:val="20"/>
        </w:rPr>
        <w:t xml:space="preserve">erformance </w:t>
      </w:r>
      <w:r>
        <w:rPr>
          <w:b/>
          <w:bCs/>
          <w:sz w:val="20"/>
          <w:szCs w:val="20"/>
        </w:rPr>
        <w:t>i</w:t>
      </w:r>
      <w:r w:rsidRPr="008B2B5B">
        <w:rPr>
          <w:b/>
          <w:bCs/>
          <w:sz w:val="20"/>
          <w:szCs w:val="20"/>
        </w:rPr>
        <w:t>ndicators</w:t>
      </w:r>
    </w:p>
    <w:p w14:paraId="7A8F5B0D" w14:textId="77777777" w:rsidR="000731CD" w:rsidRPr="003C4C3D" w:rsidRDefault="000731CD" w:rsidP="000731CD">
      <w:pPr>
        <w:pStyle w:val="ListParagraph"/>
        <w:numPr>
          <w:ilvl w:val="0"/>
          <w:numId w:val="103"/>
        </w:numPr>
        <w:rPr>
          <w:sz w:val="20"/>
          <w:szCs w:val="20"/>
        </w:rPr>
      </w:pPr>
      <w:r w:rsidRPr="003C4C3D">
        <w:rPr>
          <w:sz w:val="20"/>
          <w:szCs w:val="20"/>
        </w:rPr>
        <w:t>From the Commencement Date and during the Call Off Contract Term, the Supplier shall meet or exceed the following key performance indicators:</w:t>
      </w:r>
    </w:p>
    <w:tbl>
      <w:tblPr>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1421"/>
        <w:gridCol w:w="2130"/>
        <w:gridCol w:w="1139"/>
        <w:gridCol w:w="1704"/>
        <w:gridCol w:w="1707"/>
      </w:tblGrid>
      <w:tr w:rsidR="000731CD" w:rsidRPr="008B2B5B" w14:paraId="06735682" w14:textId="77777777" w:rsidTr="009A7CCA">
        <w:trPr>
          <w:tblHeader/>
        </w:trPr>
        <w:tc>
          <w:tcPr>
            <w:tcW w:w="326" w:type="pct"/>
            <w:tcBorders>
              <w:bottom w:val="single" w:sz="4" w:space="0" w:color="auto"/>
            </w:tcBorders>
            <w:shd w:val="clear" w:color="auto" w:fill="D9D9D9"/>
          </w:tcPr>
          <w:p w14:paraId="68A4E9B9" w14:textId="77777777" w:rsidR="000731CD" w:rsidRPr="008B2B5B" w:rsidRDefault="000731CD" w:rsidP="009A7CCA">
            <w:pPr>
              <w:pStyle w:val="Table-Text"/>
              <w:rPr>
                <w:rFonts w:ascii="Arial" w:hAnsi="Arial" w:cs="Arial"/>
                <w:b/>
                <w:sz w:val="16"/>
                <w:szCs w:val="16"/>
              </w:rPr>
            </w:pPr>
            <w:r w:rsidRPr="008B2B5B">
              <w:rPr>
                <w:rFonts w:ascii="Arial" w:hAnsi="Arial" w:cs="Arial"/>
                <w:b/>
                <w:sz w:val="16"/>
                <w:szCs w:val="16"/>
              </w:rPr>
              <w:t>No.</w:t>
            </w:r>
          </w:p>
        </w:tc>
        <w:tc>
          <w:tcPr>
            <w:tcW w:w="820" w:type="pct"/>
            <w:tcBorders>
              <w:bottom w:val="single" w:sz="4" w:space="0" w:color="auto"/>
            </w:tcBorders>
            <w:shd w:val="clear" w:color="auto" w:fill="D9D9D9"/>
          </w:tcPr>
          <w:p w14:paraId="19A73C8B" w14:textId="77777777" w:rsidR="000731CD" w:rsidRPr="008B2B5B" w:rsidRDefault="000731CD" w:rsidP="009A7CCA">
            <w:pPr>
              <w:pStyle w:val="Table-Text"/>
              <w:rPr>
                <w:rFonts w:ascii="Arial" w:hAnsi="Arial" w:cs="Arial"/>
                <w:b/>
                <w:sz w:val="16"/>
                <w:szCs w:val="16"/>
              </w:rPr>
            </w:pPr>
            <w:r w:rsidRPr="008B2B5B">
              <w:rPr>
                <w:rFonts w:ascii="Arial" w:hAnsi="Arial" w:cs="Arial"/>
                <w:b/>
                <w:sz w:val="16"/>
                <w:szCs w:val="16"/>
              </w:rPr>
              <w:t>Subsidiary Performance Indicator Title</w:t>
            </w:r>
          </w:p>
        </w:tc>
        <w:tc>
          <w:tcPr>
            <w:tcW w:w="1229" w:type="pct"/>
            <w:tcBorders>
              <w:bottom w:val="single" w:sz="4" w:space="0" w:color="auto"/>
            </w:tcBorders>
            <w:shd w:val="clear" w:color="auto" w:fill="D9D9D9"/>
          </w:tcPr>
          <w:p w14:paraId="3FCA6E46" w14:textId="77777777" w:rsidR="000731CD" w:rsidRPr="008B2B5B" w:rsidRDefault="000731CD" w:rsidP="009A7CCA">
            <w:pPr>
              <w:pStyle w:val="Table-Text"/>
              <w:rPr>
                <w:rFonts w:ascii="Arial" w:hAnsi="Arial" w:cs="Arial"/>
                <w:b/>
                <w:sz w:val="16"/>
                <w:szCs w:val="16"/>
              </w:rPr>
            </w:pPr>
            <w:r w:rsidRPr="008B2B5B">
              <w:rPr>
                <w:rFonts w:ascii="Arial" w:hAnsi="Arial" w:cs="Arial"/>
                <w:b/>
                <w:sz w:val="16"/>
                <w:szCs w:val="16"/>
              </w:rPr>
              <w:t>Definition</w:t>
            </w:r>
          </w:p>
        </w:tc>
        <w:tc>
          <w:tcPr>
            <w:tcW w:w="657" w:type="pct"/>
            <w:tcBorders>
              <w:bottom w:val="single" w:sz="4" w:space="0" w:color="auto"/>
            </w:tcBorders>
            <w:shd w:val="clear" w:color="auto" w:fill="D9D9D9"/>
          </w:tcPr>
          <w:p w14:paraId="53F53BBC" w14:textId="77777777" w:rsidR="000731CD" w:rsidRPr="008B2B5B" w:rsidDel="003A0FED" w:rsidRDefault="000731CD" w:rsidP="009A7CCA">
            <w:pPr>
              <w:pStyle w:val="Table-Text"/>
              <w:rPr>
                <w:rFonts w:ascii="Arial" w:hAnsi="Arial" w:cs="Arial"/>
                <w:b/>
                <w:sz w:val="16"/>
                <w:szCs w:val="16"/>
              </w:rPr>
            </w:pPr>
            <w:r w:rsidRPr="008B2B5B">
              <w:rPr>
                <w:rFonts w:ascii="Arial" w:hAnsi="Arial" w:cs="Arial"/>
                <w:b/>
                <w:sz w:val="16"/>
                <w:szCs w:val="16"/>
              </w:rPr>
              <w:t>Formula</w:t>
            </w:r>
          </w:p>
        </w:tc>
        <w:tc>
          <w:tcPr>
            <w:tcW w:w="983" w:type="pct"/>
            <w:tcBorders>
              <w:bottom w:val="single" w:sz="4" w:space="0" w:color="auto"/>
            </w:tcBorders>
            <w:shd w:val="clear" w:color="auto" w:fill="D9D9D9"/>
          </w:tcPr>
          <w:p w14:paraId="02018001" w14:textId="77777777" w:rsidR="000731CD" w:rsidRPr="008B2B5B" w:rsidDel="003A0FED" w:rsidRDefault="000731CD" w:rsidP="009A7CCA">
            <w:pPr>
              <w:pStyle w:val="Table-Text"/>
              <w:rPr>
                <w:rFonts w:ascii="Arial" w:hAnsi="Arial" w:cs="Arial"/>
                <w:b/>
                <w:sz w:val="16"/>
                <w:szCs w:val="16"/>
              </w:rPr>
            </w:pPr>
            <w:r w:rsidRPr="008B2B5B">
              <w:rPr>
                <w:rFonts w:ascii="Arial" w:hAnsi="Arial" w:cs="Arial"/>
                <w:b/>
                <w:sz w:val="16"/>
                <w:szCs w:val="16"/>
              </w:rPr>
              <w:t>A</w:t>
            </w:r>
          </w:p>
        </w:tc>
        <w:tc>
          <w:tcPr>
            <w:tcW w:w="985" w:type="pct"/>
            <w:tcBorders>
              <w:bottom w:val="single" w:sz="4" w:space="0" w:color="auto"/>
            </w:tcBorders>
            <w:shd w:val="clear" w:color="auto" w:fill="D9D9D9"/>
          </w:tcPr>
          <w:p w14:paraId="0E985EA3" w14:textId="77777777" w:rsidR="000731CD" w:rsidRPr="008B2B5B" w:rsidDel="003A0FED" w:rsidRDefault="000731CD" w:rsidP="009A7CCA">
            <w:pPr>
              <w:pStyle w:val="Table-Text"/>
              <w:rPr>
                <w:rFonts w:ascii="Arial" w:hAnsi="Arial" w:cs="Arial"/>
                <w:b/>
                <w:sz w:val="16"/>
                <w:szCs w:val="16"/>
              </w:rPr>
            </w:pPr>
            <w:r w:rsidRPr="008B2B5B">
              <w:rPr>
                <w:rFonts w:ascii="Arial" w:hAnsi="Arial" w:cs="Arial"/>
                <w:b/>
                <w:sz w:val="16"/>
                <w:szCs w:val="16"/>
              </w:rPr>
              <w:t>B</w:t>
            </w:r>
          </w:p>
        </w:tc>
      </w:tr>
      <w:tr w:rsidR="000731CD" w:rsidRPr="008B2B5B" w14:paraId="5B16587A" w14:textId="77777777" w:rsidTr="009A7CCA">
        <w:trPr>
          <w:trHeight w:val="880"/>
        </w:trPr>
        <w:tc>
          <w:tcPr>
            <w:tcW w:w="326" w:type="pct"/>
            <w:tcBorders>
              <w:top w:val="nil"/>
              <w:bottom w:val="single" w:sz="4" w:space="0" w:color="auto"/>
            </w:tcBorders>
          </w:tcPr>
          <w:p w14:paraId="11CA61B1" w14:textId="77777777" w:rsidR="000731CD" w:rsidRPr="008B2B5B" w:rsidRDefault="000731CD" w:rsidP="009A7CCA">
            <w:pPr>
              <w:pStyle w:val="Table-Text"/>
              <w:rPr>
                <w:rFonts w:ascii="Arial" w:hAnsi="Arial" w:cs="Arial"/>
                <w:sz w:val="16"/>
                <w:szCs w:val="16"/>
              </w:rPr>
            </w:pPr>
            <w:r w:rsidRPr="008B2B5B">
              <w:rPr>
                <w:rFonts w:ascii="Arial" w:hAnsi="Arial" w:cs="Arial"/>
                <w:sz w:val="16"/>
                <w:szCs w:val="16"/>
              </w:rPr>
              <w:t>1</w:t>
            </w:r>
          </w:p>
        </w:tc>
        <w:tc>
          <w:tcPr>
            <w:tcW w:w="820" w:type="pct"/>
            <w:tcBorders>
              <w:top w:val="nil"/>
              <w:bottom w:val="single" w:sz="4" w:space="0" w:color="auto"/>
            </w:tcBorders>
          </w:tcPr>
          <w:p w14:paraId="1C127A13" w14:textId="77777777" w:rsidR="000731CD" w:rsidRPr="008B2B5B" w:rsidRDefault="000731CD" w:rsidP="009A7CCA">
            <w:pPr>
              <w:pStyle w:val="MarginText"/>
              <w:spacing w:before="120"/>
              <w:rPr>
                <w:rFonts w:cs="Arial"/>
                <w:sz w:val="16"/>
                <w:szCs w:val="16"/>
              </w:rPr>
            </w:pPr>
            <w:r>
              <w:rPr>
                <w:rFonts w:cs="Arial"/>
                <w:sz w:val="16"/>
                <w:szCs w:val="16"/>
              </w:rPr>
              <w:t xml:space="preserve">On Time Timesheet Submission </w:t>
            </w:r>
          </w:p>
        </w:tc>
        <w:tc>
          <w:tcPr>
            <w:tcW w:w="1229" w:type="pct"/>
            <w:tcBorders>
              <w:bottom w:val="single" w:sz="4" w:space="0" w:color="auto"/>
            </w:tcBorders>
          </w:tcPr>
          <w:p w14:paraId="0BE1FC47" w14:textId="77777777" w:rsidR="000731CD" w:rsidRDefault="000731CD" w:rsidP="009A7CCA">
            <w:pPr>
              <w:pStyle w:val="Table-Text"/>
              <w:rPr>
                <w:rFonts w:ascii="Arial" w:hAnsi="Arial" w:cs="Arial"/>
                <w:sz w:val="16"/>
                <w:szCs w:val="16"/>
              </w:rPr>
            </w:pPr>
            <w:r w:rsidRPr="008B2B5B">
              <w:rPr>
                <w:rFonts w:ascii="Arial" w:hAnsi="Arial" w:cs="Arial"/>
                <w:sz w:val="16"/>
                <w:szCs w:val="16"/>
              </w:rPr>
              <w:t>9</w:t>
            </w:r>
            <w:r>
              <w:rPr>
                <w:rFonts w:ascii="Arial" w:hAnsi="Arial" w:cs="Arial"/>
                <w:sz w:val="16"/>
                <w:szCs w:val="16"/>
              </w:rPr>
              <w:t>9</w:t>
            </w:r>
            <w:r w:rsidRPr="008B2B5B">
              <w:rPr>
                <w:rFonts w:ascii="Arial" w:hAnsi="Arial" w:cs="Arial"/>
                <w:sz w:val="16"/>
                <w:szCs w:val="16"/>
              </w:rPr>
              <w:t>% of all timesheets</w:t>
            </w:r>
            <w:r>
              <w:rPr>
                <w:rFonts w:ascii="Arial" w:hAnsi="Arial" w:cs="Arial"/>
                <w:sz w:val="16"/>
                <w:szCs w:val="16"/>
              </w:rPr>
              <w:t xml:space="preserve"> </w:t>
            </w:r>
            <w:r w:rsidRPr="008B2B5B">
              <w:rPr>
                <w:rFonts w:ascii="Arial" w:hAnsi="Arial" w:cs="Arial"/>
                <w:sz w:val="16"/>
                <w:szCs w:val="16"/>
              </w:rPr>
              <w:t xml:space="preserve">detailing all billable work completed </w:t>
            </w:r>
            <w:r>
              <w:rPr>
                <w:rFonts w:ascii="Arial" w:hAnsi="Arial" w:cs="Arial"/>
                <w:sz w:val="16"/>
                <w:szCs w:val="16"/>
              </w:rPr>
              <w:t xml:space="preserve">in the relevant KPI Measurement Period </w:t>
            </w:r>
            <w:r w:rsidRPr="008B2B5B">
              <w:rPr>
                <w:rFonts w:ascii="Arial" w:hAnsi="Arial" w:cs="Arial"/>
                <w:sz w:val="16"/>
                <w:szCs w:val="16"/>
              </w:rPr>
              <w:t xml:space="preserve">are completed and issued </w:t>
            </w:r>
            <w:r>
              <w:rPr>
                <w:rFonts w:ascii="Arial" w:hAnsi="Arial" w:cs="Arial"/>
                <w:sz w:val="16"/>
                <w:szCs w:val="16"/>
              </w:rPr>
              <w:t xml:space="preserve">to the Customer </w:t>
            </w:r>
            <w:proofErr w:type="gramStart"/>
            <w:r>
              <w:rPr>
                <w:rFonts w:ascii="Arial" w:hAnsi="Arial" w:cs="Arial"/>
                <w:sz w:val="16"/>
                <w:szCs w:val="16"/>
              </w:rPr>
              <w:t>On</w:t>
            </w:r>
            <w:proofErr w:type="gramEnd"/>
            <w:r>
              <w:rPr>
                <w:rFonts w:ascii="Arial" w:hAnsi="Arial" w:cs="Arial"/>
                <w:sz w:val="16"/>
                <w:szCs w:val="16"/>
              </w:rPr>
              <w:t xml:space="preserve"> Time</w:t>
            </w:r>
          </w:p>
          <w:p w14:paraId="7797ED4E" w14:textId="77777777" w:rsidR="000731CD" w:rsidRPr="008B2B5B" w:rsidRDefault="000731CD" w:rsidP="009A7CCA">
            <w:pPr>
              <w:pStyle w:val="Table-Text"/>
              <w:rPr>
                <w:rFonts w:ascii="Arial" w:hAnsi="Arial" w:cs="Arial"/>
                <w:sz w:val="16"/>
                <w:szCs w:val="16"/>
              </w:rPr>
            </w:pPr>
            <w:r>
              <w:rPr>
                <w:rFonts w:ascii="Arial" w:hAnsi="Arial" w:cs="Arial"/>
                <w:sz w:val="16"/>
                <w:szCs w:val="16"/>
              </w:rPr>
              <w:t>Where “</w:t>
            </w:r>
            <w:r w:rsidRPr="001955AD">
              <w:rPr>
                <w:rFonts w:ascii="Arial" w:hAnsi="Arial" w:cs="Arial"/>
                <w:b/>
                <w:bCs/>
                <w:sz w:val="16"/>
                <w:szCs w:val="16"/>
              </w:rPr>
              <w:t>On Time</w:t>
            </w:r>
            <w:r>
              <w:rPr>
                <w:rFonts w:ascii="Arial" w:hAnsi="Arial" w:cs="Arial"/>
                <w:sz w:val="16"/>
                <w:szCs w:val="16"/>
              </w:rPr>
              <w:t xml:space="preserve">” means </w:t>
            </w:r>
            <w:r w:rsidRPr="008B2B5B">
              <w:rPr>
                <w:rFonts w:ascii="Arial" w:hAnsi="Arial" w:cs="Arial"/>
                <w:sz w:val="16"/>
                <w:szCs w:val="16"/>
              </w:rPr>
              <w:t xml:space="preserve">within </w:t>
            </w:r>
            <w:r>
              <w:rPr>
                <w:rFonts w:ascii="Arial" w:hAnsi="Arial" w:cs="Arial"/>
                <w:sz w:val="16"/>
                <w:szCs w:val="16"/>
              </w:rPr>
              <w:t>five (</w:t>
            </w:r>
            <w:r w:rsidRPr="008B2B5B">
              <w:rPr>
                <w:rFonts w:ascii="Arial" w:hAnsi="Arial" w:cs="Arial"/>
                <w:sz w:val="16"/>
                <w:szCs w:val="16"/>
              </w:rPr>
              <w:t>5</w:t>
            </w:r>
            <w:r>
              <w:rPr>
                <w:rFonts w:ascii="Arial" w:hAnsi="Arial" w:cs="Arial"/>
                <w:sz w:val="16"/>
                <w:szCs w:val="16"/>
              </w:rPr>
              <w:t>)</w:t>
            </w:r>
            <w:r w:rsidRPr="008B2B5B">
              <w:rPr>
                <w:rFonts w:ascii="Arial" w:hAnsi="Arial" w:cs="Arial"/>
                <w:sz w:val="16"/>
                <w:szCs w:val="16"/>
              </w:rPr>
              <w:t xml:space="preserve"> </w:t>
            </w:r>
            <w:r>
              <w:rPr>
                <w:rFonts w:ascii="Arial" w:hAnsi="Arial" w:cs="Arial"/>
                <w:sz w:val="16"/>
                <w:szCs w:val="16"/>
              </w:rPr>
              <w:t>W</w:t>
            </w:r>
            <w:r w:rsidRPr="008B2B5B">
              <w:rPr>
                <w:rFonts w:ascii="Arial" w:hAnsi="Arial" w:cs="Arial"/>
                <w:sz w:val="16"/>
                <w:szCs w:val="16"/>
              </w:rPr>
              <w:t xml:space="preserve">orking </w:t>
            </w:r>
            <w:r>
              <w:rPr>
                <w:rFonts w:ascii="Arial" w:hAnsi="Arial" w:cs="Arial"/>
                <w:sz w:val="16"/>
                <w:szCs w:val="16"/>
              </w:rPr>
              <w:t>D</w:t>
            </w:r>
            <w:r w:rsidRPr="008B2B5B">
              <w:rPr>
                <w:rFonts w:ascii="Arial" w:hAnsi="Arial" w:cs="Arial"/>
                <w:sz w:val="16"/>
                <w:szCs w:val="16"/>
              </w:rPr>
              <w:t>ays of</w:t>
            </w:r>
            <w:r>
              <w:rPr>
                <w:rFonts w:ascii="Arial" w:hAnsi="Arial" w:cs="Arial"/>
                <w:sz w:val="16"/>
                <w:szCs w:val="16"/>
              </w:rPr>
              <w:t xml:space="preserve"> the end of the relevant KPI Measurement Period </w:t>
            </w:r>
            <w:r w:rsidRPr="008B2B5B">
              <w:rPr>
                <w:rFonts w:ascii="Arial" w:hAnsi="Arial" w:cs="Arial"/>
                <w:sz w:val="16"/>
                <w:szCs w:val="16"/>
              </w:rPr>
              <w:t xml:space="preserve"> </w:t>
            </w:r>
          </w:p>
        </w:tc>
        <w:tc>
          <w:tcPr>
            <w:tcW w:w="657" w:type="pct"/>
            <w:tcBorders>
              <w:bottom w:val="single" w:sz="4" w:space="0" w:color="auto"/>
            </w:tcBorders>
          </w:tcPr>
          <w:p w14:paraId="1A77CE69" w14:textId="77777777" w:rsidR="000731CD" w:rsidRPr="008B2B5B" w:rsidRDefault="000731CD" w:rsidP="009A7CCA">
            <w:pPr>
              <w:pStyle w:val="Table-Text"/>
              <w:rPr>
                <w:rFonts w:ascii="Arial" w:hAnsi="Arial" w:cs="Arial"/>
                <w:sz w:val="16"/>
                <w:szCs w:val="16"/>
              </w:rPr>
            </w:pPr>
            <w:r>
              <w:rPr>
                <w:rFonts w:ascii="Arial" w:hAnsi="Arial" w:cs="Arial"/>
                <w:sz w:val="16"/>
                <w:szCs w:val="16"/>
              </w:rPr>
              <w:t>(A/</w:t>
            </w:r>
            <w:proofErr w:type="gramStart"/>
            <w:r>
              <w:rPr>
                <w:rFonts w:ascii="Arial" w:hAnsi="Arial" w:cs="Arial"/>
                <w:sz w:val="16"/>
                <w:szCs w:val="16"/>
              </w:rPr>
              <w:t>B)x</w:t>
            </w:r>
            <w:proofErr w:type="gramEnd"/>
            <w:r>
              <w:rPr>
                <w:rFonts w:ascii="Arial" w:hAnsi="Arial" w:cs="Arial"/>
                <w:sz w:val="16"/>
                <w:szCs w:val="16"/>
              </w:rPr>
              <w:t>100</w:t>
            </w:r>
          </w:p>
        </w:tc>
        <w:tc>
          <w:tcPr>
            <w:tcW w:w="983" w:type="pct"/>
            <w:tcBorders>
              <w:bottom w:val="single" w:sz="4" w:space="0" w:color="auto"/>
            </w:tcBorders>
          </w:tcPr>
          <w:p w14:paraId="01365C67" w14:textId="77777777" w:rsidR="000731CD" w:rsidRPr="008B2B5B" w:rsidRDefault="000731CD" w:rsidP="009A7CCA">
            <w:pPr>
              <w:pStyle w:val="Table-Text"/>
              <w:rPr>
                <w:rFonts w:ascii="Arial" w:hAnsi="Arial" w:cs="Arial"/>
                <w:sz w:val="16"/>
                <w:szCs w:val="16"/>
              </w:rPr>
            </w:pPr>
            <w:r>
              <w:rPr>
                <w:rFonts w:ascii="Arial" w:hAnsi="Arial" w:cs="Arial"/>
                <w:sz w:val="16"/>
                <w:szCs w:val="16"/>
              </w:rPr>
              <w:t>Number of completed timesheets submitted On Time in the relevant KPI Measurement Period</w:t>
            </w:r>
          </w:p>
        </w:tc>
        <w:tc>
          <w:tcPr>
            <w:tcW w:w="985" w:type="pct"/>
            <w:tcBorders>
              <w:bottom w:val="single" w:sz="4" w:space="0" w:color="auto"/>
            </w:tcBorders>
          </w:tcPr>
          <w:p w14:paraId="1D838F1F" w14:textId="77777777" w:rsidR="000731CD" w:rsidRPr="008B2B5B" w:rsidRDefault="000731CD" w:rsidP="009A7CCA">
            <w:pPr>
              <w:pStyle w:val="Table-Text"/>
              <w:rPr>
                <w:rFonts w:ascii="Arial" w:hAnsi="Arial" w:cs="Arial"/>
                <w:sz w:val="16"/>
                <w:szCs w:val="16"/>
              </w:rPr>
            </w:pPr>
            <w:r>
              <w:rPr>
                <w:rFonts w:ascii="Arial" w:hAnsi="Arial" w:cs="Arial"/>
                <w:sz w:val="16"/>
                <w:szCs w:val="16"/>
              </w:rPr>
              <w:t>Total number of completed timesheets submitted in the relevant KPI Measurement Period</w:t>
            </w:r>
          </w:p>
        </w:tc>
      </w:tr>
      <w:tr w:rsidR="000731CD" w:rsidRPr="008B2B5B" w14:paraId="4028619A" w14:textId="77777777" w:rsidTr="009A7CCA">
        <w:tc>
          <w:tcPr>
            <w:tcW w:w="326" w:type="pct"/>
            <w:tcBorders>
              <w:top w:val="single" w:sz="4" w:space="0" w:color="auto"/>
              <w:bottom w:val="single" w:sz="4" w:space="0" w:color="auto"/>
            </w:tcBorders>
          </w:tcPr>
          <w:p w14:paraId="034D18DA" w14:textId="77777777" w:rsidR="000731CD" w:rsidRPr="008B2B5B" w:rsidRDefault="000731CD" w:rsidP="009A7CCA">
            <w:pPr>
              <w:pStyle w:val="Table-Text"/>
              <w:rPr>
                <w:rFonts w:ascii="Arial" w:hAnsi="Arial" w:cs="Arial"/>
                <w:sz w:val="16"/>
                <w:szCs w:val="16"/>
              </w:rPr>
            </w:pPr>
            <w:r w:rsidRPr="008B2B5B">
              <w:rPr>
                <w:rFonts w:ascii="Arial" w:hAnsi="Arial" w:cs="Arial"/>
                <w:sz w:val="16"/>
                <w:szCs w:val="16"/>
              </w:rPr>
              <w:t>2</w:t>
            </w:r>
          </w:p>
        </w:tc>
        <w:tc>
          <w:tcPr>
            <w:tcW w:w="820" w:type="pct"/>
            <w:tcBorders>
              <w:top w:val="single" w:sz="4" w:space="0" w:color="auto"/>
              <w:bottom w:val="single" w:sz="4" w:space="0" w:color="auto"/>
            </w:tcBorders>
          </w:tcPr>
          <w:p w14:paraId="3FBF1ACB" w14:textId="77777777" w:rsidR="000731CD" w:rsidRPr="008B2B5B" w:rsidRDefault="000731CD" w:rsidP="009A7CCA">
            <w:pPr>
              <w:pStyle w:val="Table-Text"/>
              <w:rPr>
                <w:rFonts w:ascii="Arial" w:hAnsi="Arial" w:cs="Arial"/>
                <w:sz w:val="16"/>
                <w:szCs w:val="16"/>
              </w:rPr>
            </w:pPr>
            <w:r>
              <w:rPr>
                <w:rFonts w:ascii="Arial" w:hAnsi="Arial" w:cs="Arial"/>
                <w:sz w:val="16"/>
                <w:szCs w:val="16"/>
              </w:rPr>
              <w:t>Invoice Accuracy</w:t>
            </w:r>
          </w:p>
        </w:tc>
        <w:tc>
          <w:tcPr>
            <w:tcW w:w="1229" w:type="pct"/>
            <w:tcBorders>
              <w:top w:val="single" w:sz="4" w:space="0" w:color="auto"/>
              <w:bottom w:val="single" w:sz="4" w:space="0" w:color="auto"/>
            </w:tcBorders>
          </w:tcPr>
          <w:p w14:paraId="2173AF0C" w14:textId="77777777" w:rsidR="000731CD" w:rsidRDefault="000731CD" w:rsidP="009A7CCA">
            <w:pPr>
              <w:pStyle w:val="Table-Text"/>
              <w:rPr>
                <w:rFonts w:ascii="Arial" w:hAnsi="Arial" w:cs="Arial"/>
                <w:sz w:val="16"/>
                <w:szCs w:val="16"/>
              </w:rPr>
            </w:pPr>
            <w:r w:rsidRPr="00253A6E">
              <w:rPr>
                <w:rFonts w:ascii="Arial" w:hAnsi="Arial" w:cs="Arial"/>
                <w:sz w:val="16"/>
                <w:szCs w:val="16"/>
              </w:rPr>
              <w:t xml:space="preserve">99% </w:t>
            </w:r>
            <w:r>
              <w:rPr>
                <w:rFonts w:ascii="Arial" w:hAnsi="Arial" w:cs="Arial"/>
                <w:sz w:val="16"/>
                <w:szCs w:val="16"/>
              </w:rPr>
              <w:t>of all invoices submitted to the Customer for payment tin the relevant KPI Measurement Period are Accurate</w:t>
            </w:r>
          </w:p>
          <w:p w14:paraId="6E0F2CE8" w14:textId="77777777" w:rsidR="000731CD" w:rsidRPr="008B2B5B" w:rsidRDefault="000731CD" w:rsidP="009A7CCA">
            <w:pPr>
              <w:pStyle w:val="Table-Text"/>
              <w:rPr>
                <w:rFonts w:ascii="Arial" w:hAnsi="Arial" w:cs="Arial"/>
                <w:sz w:val="16"/>
                <w:szCs w:val="16"/>
              </w:rPr>
            </w:pPr>
            <w:r>
              <w:rPr>
                <w:rFonts w:ascii="Arial" w:hAnsi="Arial" w:cs="Arial"/>
                <w:sz w:val="16"/>
                <w:szCs w:val="16"/>
              </w:rPr>
              <w:t>Where “</w:t>
            </w:r>
            <w:r w:rsidRPr="001955AD">
              <w:rPr>
                <w:rFonts w:ascii="Arial" w:hAnsi="Arial" w:cs="Arial"/>
                <w:b/>
                <w:bCs/>
                <w:sz w:val="16"/>
                <w:szCs w:val="16"/>
              </w:rPr>
              <w:t>Accurate</w:t>
            </w:r>
            <w:r>
              <w:rPr>
                <w:rFonts w:ascii="Arial" w:hAnsi="Arial" w:cs="Arial"/>
                <w:sz w:val="16"/>
                <w:szCs w:val="16"/>
              </w:rPr>
              <w:t xml:space="preserve">” means that the amount specified in an invoice fully aligns to the supporting timesheets provided with such invoice(s). </w:t>
            </w:r>
          </w:p>
        </w:tc>
        <w:tc>
          <w:tcPr>
            <w:tcW w:w="657" w:type="pct"/>
            <w:tcBorders>
              <w:top w:val="single" w:sz="4" w:space="0" w:color="auto"/>
              <w:bottom w:val="single" w:sz="4" w:space="0" w:color="auto"/>
            </w:tcBorders>
          </w:tcPr>
          <w:p w14:paraId="573AC068" w14:textId="77777777" w:rsidR="000731CD" w:rsidRPr="008B2B5B" w:rsidRDefault="000731CD" w:rsidP="009A7CCA">
            <w:pPr>
              <w:pStyle w:val="Table-Text"/>
              <w:rPr>
                <w:rFonts w:ascii="Arial" w:hAnsi="Arial" w:cs="Arial"/>
                <w:sz w:val="16"/>
                <w:szCs w:val="16"/>
              </w:rPr>
            </w:pPr>
            <w:r>
              <w:rPr>
                <w:rFonts w:ascii="Arial" w:hAnsi="Arial" w:cs="Arial"/>
                <w:sz w:val="16"/>
                <w:szCs w:val="16"/>
              </w:rPr>
              <w:t>(A/</w:t>
            </w:r>
            <w:proofErr w:type="gramStart"/>
            <w:r>
              <w:rPr>
                <w:rFonts w:ascii="Arial" w:hAnsi="Arial" w:cs="Arial"/>
                <w:sz w:val="16"/>
                <w:szCs w:val="16"/>
              </w:rPr>
              <w:t>B)x</w:t>
            </w:r>
            <w:proofErr w:type="gramEnd"/>
            <w:r>
              <w:rPr>
                <w:rFonts w:ascii="Arial" w:hAnsi="Arial" w:cs="Arial"/>
                <w:sz w:val="16"/>
                <w:szCs w:val="16"/>
              </w:rPr>
              <w:t>100</w:t>
            </w:r>
          </w:p>
        </w:tc>
        <w:tc>
          <w:tcPr>
            <w:tcW w:w="983" w:type="pct"/>
            <w:tcBorders>
              <w:top w:val="single" w:sz="4" w:space="0" w:color="auto"/>
              <w:bottom w:val="single" w:sz="4" w:space="0" w:color="auto"/>
            </w:tcBorders>
          </w:tcPr>
          <w:p w14:paraId="03F44700" w14:textId="77777777" w:rsidR="000731CD" w:rsidRPr="008B2B5B" w:rsidRDefault="000731CD" w:rsidP="009A7CCA">
            <w:pPr>
              <w:pStyle w:val="Table-Text"/>
              <w:rPr>
                <w:rFonts w:ascii="Arial" w:hAnsi="Arial" w:cs="Arial"/>
                <w:sz w:val="16"/>
                <w:szCs w:val="16"/>
              </w:rPr>
            </w:pPr>
            <w:r>
              <w:rPr>
                <w:rFonts w:ascii="Arial" w:hAnsi="Arial" w:cs="Arial"/>
                <w:sz w:val="16"/>
                <w:szCs w:val="16"/>
              </w:rPr>
              <w:t>Number of Accurate invoices submitted in the relevant KPI Measurement Period</w:t>
            </w:r>
          </w:p>
        </w:tc>
        <w:tc>
          <w:tcPr>
            <w:tcW w:w="985" w:type="pct"/>
            <w:tcBorders>
              <w:top w:val="single" w:sz="4" w:space="0" w:color="auto"/>
              <w:bottom w:val="single" w:sz="4" w:space="0" w:color="auto"/>
            </w:tcBorders>
          </w:tcPr>
          <w:p w14:paraId="4D549015" w14:textId="77777777" w:rsidR="000731CD" w:rsidRPr="008B2B5B" w:rsidRDefault="000731CD" w:rsidP="009A7CCA">
            <w:pPr>
              <w:pStyle w:val="Table-Text"/>
              <w:rPr>
                <w:rFonts w:ascii="Arial" w:hAnsi="Arial" w:cs="Arial"/>
                <w:sz w:val="16"/>
                <w:szCs w:val="16"/>
              </w:rPr>
            </w:pPr>
            <w:r>
              <w:rPr>
                <w:rFonts w:ascii="Arial" w:hAnsi="Arial" w:cs="Arial"/>
                <w:sz w:val="16"/>
                <w:szCs w:val="16"/>
              </w:rPr>
              <w:t>Total number of invoices submitted in the relevant KPI Measurement Period</w:t>
            </w:r>
          </w:p>
        </w:tc>
      </w:tr>
    </w:tbl>
    <w:p w14:paraId="683520F7" w14:textId="77777777" w:rsidR="000731CD" w:rsidRDefault="000731CD" w:rsidP="000731CD">
      <w:pPr>
        <w:rPr>
          <w:sz w:val="20"/>
          <w:szCs w:val="20"/>
        </w:rPr>
      </w:pPr>
    </w:p>
    <w:p w14:paraId="593EA3A2" w14:textId="54270B45" w:rsidR="000731CD" w:rsidRPr="003C4C3D" w:rsidRDefault="000731CD" w:rsidP="000731CD">
      <w:pPr>
        <w:pStyle w:val="ListParagraph"/>
        <w:numPr>
          <w:ilvl w:val="0"/>
          <w:numId w:val="103"/>
        </w:numPr>
        <w:rPr>
          <w:sz w:val="20"/>
          <w:szCs w:val="20"/>
        </w:rPr>
      </w:pPr>
      <w:r w:rsidRPr="003C4C3D">
        <w:rPr>
          <w:sz w:val="20"/>
          <w:szCs w:val="20"/>
        </w:rPr>
        <w:t>The Supplier shall measure performance against the key performance indicators on a [</w:t>
      </w:r>
      <w:r w:rsidRPr="003735C3">
        <w:rPr>
          <w:b/>
          <w:bCs/>
          <w:i/>
          <w:iCs/>
          <w:sz w:val="20"/>
          <w:szCs w:val="20"/>
        </w:rPr>
        <w:t>monthly/weekly</w:t>
      </w:r>
      <w:r w:rsidR="003735C3" w:rsidRPr="003735C3">
        <w:rPr>
          <w:b/>
          <w:bCs/>
          <w:i/>
          <w:iCs/>
          <w:sz w:val="20"/>
          <w:szCs w:val="20"/>
        </w:rPr>
        <w:t xml:space="preserve"> </w:t>
      </w:r>
      <w:proofErr w:type="gramStart"/>
      <w:r w:rsidR="003735C3" w:rsidRPr="003735C3">
        <w:rPr>
          <w:b/>
          <w:bCs/>
          <w:iCs/>
          <w:sz w:val="20"/>
          <w:szCs w:val="20"/>
        </w:rPr>
        <w:t>To</w:t>
      </w:r>
      <w:proofErr w:type="gramEnd"/>
      <w:r w:rsidR="003735C3" w:rsidRPr="003735C3">
        <w:rPr>
          <w:b/>
          <w:bCs/>
          <w:iCs/>
          <w:sz w:val="20"/>
          <w:szCs w:val="20"/>
        </w:rPr>
        <w:t xml:space="preserve"> be agreed at Contract Award</w:t>
      </w:r>
      <w:r w:rsidRPr="003735C3">
        <w:rPr>
          <w:sz w:val="20"/>
          <w:szCs w:val="20"/>
        </w:rPr>
        <w:t>] basis (“</w:t>
      </w:r>
      <w:r w:rsidRPr="003735C3">
        <w:rPr>
          <w:b/>
          <w:bCs/>
          <w:sz w:val="20"/>
          <w:szCs w:val="20"/>
        </w:rPr>
        <w:t>KPI Measurement Period</w:t>
      </w:r>
      <w:r w:rsidRPr="003735C3">
        <w:rPr>
          <w:sz w:val="20"/>
          <w:szCs w:val="20"/>
        </w:rPr>
        <w:t>”). Within [</w:t>
      </w:r>
      <w:r w:rsidRPr="003735C3">
        <w:rPr>
          <w:i/>
          <w:iCs/>
          <w:sz w:val="20"/>
          <w:szCs w:val="20"/>
        </w:rPr>
        <w:t>insert number of days</w:t>
      </w:r>
      <w:r w:rsidR="003735C3" w:rsidRPr="003735C3">
        <w:rPr>
          <w:b/>
          <w:bCs/>
          <w:iCs/>
          <w:sz w:val="20"/>
          <w:szCs w:val="20"/>
        </w:rPr>
        <w:t xml:space="preserve"> </w:t>
      </w:r>
      <w:proofErr w:type="gramStart"/>
      <w:r w:rsidR="003735C3" w:rsidRPr="003735C3">
        <w:rPr>
          <w:b/>
          <w:bCs/>
          <w:iCs/>
          <w:sz w:val="20"/>
          <w:szCs w:val="20"/>
        </w:rPr>
        <w:t>To</w:t>
      </w:r>
      <w:proofErr w:type="gramEnd"/>
      <w:r w:rsidR="003735C3" w:rsidRPr="003735C3">
        <w:rPr>
          <w:b/>
          <w:bCs/>
          <w:iCs/>
          <w:sz w:val="20"/>
          <w:szCs w:val="20"/>
        </w:rPr>
        <w:t xml:space="preserve"> be agreed at Contract Award</w:t>
      </w:r>
      <w:r w:rsidRPr="003735C3">
        <w:rPr>
          <w:sz w:val="20"/>
          <w:szCs w:val="20"/>
        </w:rPr>
        <w:t>] Working Days of the end of each [</w:t>
      </w:r>
      <w:r w:rsidRPr="003735C3">
        <w:rPr>
          <w:b/>
          <w:bCs/>
          <w:i/>
          <w:iCs/>
          <w:sz w:val="20"/>
          <w:szCs w:val="20"/>
        </w:rPr>
        <w:t>week/month</w:t>
      </w:r>
      <w:r w:rsidR="003735C3" w:rsidRPr="003735C3">
        <w:rPr>
          <w:b/>
          <w:bCs/>
          <w:iCs/>
          <w:sz w:val="20"/>
          <w:szCs w:val="20"/>
        </w:rPr>
        <w:t xml:space="preserve"> To be agreed at Contract Award</w:t>
      </w:r>
      <w:r w:rsidRPr="003C4C3D">
        <w:rPr>
          <w:sz w:val="20"/>
          <w:szCs w:val="20"/>
        </w:rPr>
        <w:t>], the Supplier shall provide</w:t>
      </w:r>
      <w:bookmarkStart w:id="5" w:name="_Ref36043964"/>
      <w:r w:rsidRPr="003C4C3D">
        <w:rPr>
          <w:sz w:val="20"/>
          <w:szCs w:val="20"/>
        </w:rPr>
        <w:t xml:space="preserve"> a report to the Customer which summarises the performance by the Supplier against each of the key performance indicators (“</w:t>
      </w:r>
      <w:r w:rsidRPr="003C4C3D">
        <w:rPr>
          <w:b/>
          <w:bCs/>
          <w:sz w:val="20"/>
          <w:szCs w:val="20"/>
        </w:rPr>
        <w:t>KPI Performance Report</w:t>
      </w:r>
      <w:r w:rsidRPr="003C4C3D">
        <w:rPr>
          <w:sz w:val="20"/>
          <w:szCs w:val="20"/>
        </w:rPr>
        <w:t>”).</w:t>
      </w:r>
      <w:r w:rsidRPr="003C4C3D">
        <w:rPr>
          <w:b/>
          <w:bCs/>
          <w:sz w:val="20"/>
          <w:szCs w:val="20"/>
        </w:rPr>
        <w:t xml:space="preserve"> </w:t>
      </w:r>
      <w:bookmarkEnd w:id="5"/>
    </w:p>
    <w:p w14:paraId="53185A03" w14:textId="77777777" w:rsidR="000731CD" w:rsidRPr="003C4C3D" w:rsidRDefault="000731CD" w:rsidP="000731CD">
      <w:pPr>
        <w:pStyle w:val="ListParagraph"/>
        <w:rPr>
          <w:sz w:val="20"/>
          <w:szCs w:val="20"/>
        </w:rPr>
      </w:pPr>
    </w:p>
    <w:p w14:paraId="68420EF6" w14:textId="4CC8BD58" w:rsidR="000731CD" w:rsidRPr="000A43DC" w:rsidRDefault="000731CD" w:rsidP="000731CD">
      <w:pPr>
        <w:pStyle w:val="ListParagraph"/>
        <w:numPr>
          <w:ilvl w:val="0"/>
          <w:numId w:val="103"/>
        </w:numPr>
        <w:rPr>
          <w:b/>
          <w:bCs/>
          <w:sz w:val="20"/>
          <w:szCs w:val="20"/>
        </w:rPr>
      </w:pPr>
      <w:r>
        <w:rPr>
          <w:sz w:val="20"/>
          <w:szCs w:val="20"/>
        </w:rPr>
        <w:t xml:space="preserve">On a </w:t>
      </w:r>
      <w:r w:rsidR="0007314C">
        <w:rPr>
          <w:sz w:val="20"/>
          <w:szCs w:val="20"/>
        </w:rPr>
        <w:t>fortnightly</w:t>
      </w:r>
      <w:r>
        <w:rPr>
          <w:sz w:val="20"/>
          <w:szCs w:val="20"/>
        </w:rPr>
        <w:t xml:space="preserve"> basis the Supplier shall, at no additional cost to the Customer, provide a project report to the Customer setting out:</w:t>
      </w:r>
    </w:p>
    <w:p w14:paraId="4944E675" w14:textId="77777777" w:rsidR="000731CD" w:rsidRPr="000A43DC" w:rsidRDefault="000731CD" w:rsidP="000731CD">
      <w:pPr>
        <w:pStyle w:val="ListParagraph"/>
        <w:ind w:left="360"/>
        <w:rPr>
          <w:b/>
          <w:bCs/>
          <w:sz w:val="20"/>
          <w:szCs w:val="20"/>
        </w:rPr>
      </w:pPr>
    </w:p>
    <w:p w14:paraId="7349F057" w14:textId="77777777" w:rsidR="000731CD" w:rsidRPr="000A43DC" w:rsidRDefault="000731CD" w:rsidP="000731CD">
      <w:pPr>
        <w:pStyle w:val="ListParagraph"/>
        <w:numPr>
          <w:ilvl w:val="1"/>
          <w:numId w:val="103"/>
        </w:numPr>
        <w:rPr>
          <w:sz w:val="20"/>
          <w:szCs w:val="20"/>
        </w:rPr>
      </w:pPr>
      <w:r w:rsidRPr="000A43DC">
        <w:rPr>
          <w:sz w:val="20"/>
          <w:szCs w:val="20"/>
        </w:rPr>
        <w:t>a</w:t>
      </w:r>
      <w:r w:rsidRPr="003C4C3D">
        <w:rPr>
          <w:sz w:val="20"/>
          <w:szCs w:val="20"/>
        </w:rPr>
        <w:t xml:space="preserve"> summary of resources utilised: activit</w:t>
      </w:r>
      <w:r w:rsidRPr="000A43DC">
        <w:rPr>
          <w:sz w:val="20"/>
          <w:szCs w:val="20"/>
        </w:rPr>
        <w:t>i</w:t>
      </w:r>
      <w:r w:rsidRPr="003C4C3D">
        <w:rPr>
          <w:sz w:val="20"/>
          <w:szCs w:val="20"/>
        </w:rPr>
        <w:t>es completed and cost assigned</w:t>
      </w:r>
      <w:r w:rsidRPr="000A43DC">
        <w:rPr>
          <w:sz w:val="20"/>
          <w:szCs w:val="20"/>
        </w:rPr>
        <w:t xml:space="preserve"> in the relevant week;</w:t>
      </w:r>
    </w:p>
    <w:p w14:paraId="769631A3" w14:textId="77777777" w:rsidR="000731CD" w:rsidRPr="003C4C3D" w:rsidRDefault="000731CD" w:rsidP="000731CD">
      <w:pPr>
        <w:pStyle w:val="ListParagraph"/>
        <w:numPr>
          <w:ilvl w:val="1"/>
          <w:numId w:val="103"/>
        </w:numPr>
        <w:rPr>
          <w:sz w:val="20"/>
          <w:szCs w:val="20"/>
        </w:rPr>
      </w:pPr>
      <w:r w:rsidRPr="000A43DC">
        <w:rPr>
          <w:sz w:val="20"/>
          <w:szCs w:val="20"/>
        </w:rPr>
        <w:t>a rolling</w:t>
      </w:r>
      <w:r w:rsidRPr="003C4C3D">
        <w:rPr>
          <w:sz w:val="20"/>
          <w:szCs w:val="20"/>
        </w:rPr>
        <w:t xml:space="preserve"> forecast of resources required </w:t>
      </w:r>
      <w:r w:rsidRPr="000A43DC">
        <w:rPr>
          <w:sz w:val="20"/>
          <w:szCs w:val="20"/>
        </w:rPr>
        <w:t>forthcoming</w:t>
      </w:r>
      <w:r w:rsidRPr="003C4C3D">
        <w:rPr>
          <w:sz w:val="20"/>
          <w:szCs w:val="20"/>
        </w:rPr>
        <w:t xml:space="preserve"> </w:t>
      </w:r>
      <w:proofErr w:type="gramStart"/>
      <w:r w:rsidRPr="003C4C3D">
        <w:rPr>
          <w:sz w:val="20"/>
          <w:szCs w:val="20"/>
        </w:rPr>
        <w:t>14 day</w:t>
      </w:r>
      <w:proofErr w:type="gramEnd"/>
      <w:r w:rsidRPr="000A43DC">
        <w:rPr>
          <w:sz w:val="20"/>
          <w:szCs w:val="20"/>
        </w:rPr>
        <w:t xml:space="preserve"> period</w:t>
      </w:r>
      <w:r w:rsidRPr="003C4C3D">
        <w:rPr>
          <w:sz w:val="20"/>
          <w:szCs w:val="20"/>
        </w:rPr>
        <w:t xml:space="preserve"> to enable the </w:t>
      </w:r>
      <w:r w:rsidRPr="000A43DC">
        <w:rPr>
          <w:sz w:val="20"/>
          <w:szCs w:val="20"/>
        </w:rPr>
        <w:t>Customer</w:t>
      </w:r>
      <w:r w:rsidRPr="003C4C3D">
        <w:rPr>
          <w:sz w:val="20"/>
          <w:szCs w:val="20"/>
        </w:rPr>
        <w:t xml:space="preserve"> to approve the </w:t>
      </w:r>
      <w:r w:rsidRPr="000A43DC">
        <w:rPr>
          <w:sz w:val="20"/>
          <w:szCs w:val="20"/>
        </w:rPr>
        <w:t xml:space="preserve">anticipated </w:t>
      </w:r>
      <w:r w:rsidRPr="003C4C3D">
        <w:rPr>
          <w:sz w:val="20"/>
          <w:szCs w:val="20"/>
        </w:rPr>
        <w:t>costs</w:t>
      </w:r>
      <w:r>
        <w:rPr>
          <w:sz w:val="20"/>
          <w:szCs w:val="20"/>
        </w:rPr>
        <w:t>;</w:t>
      </w:r>
    </w:p>
    <w:p w14:paraId="7AFB3A1D" w14:textId="77777777" w:rsidR="000731CD" w:rsidRPr="003C4C3D" w:rsidRDefault="000731CD" w:rsidP="000731CD">
      <w:pPr>
        <w:pStyle w:val="ListParagraph"/>
        <w:numPr>
          <w:ilvl w:val="1"/>
          <w:numId w:val="103"/>
        </w:numPr>
        <w:rPr>
          <w:sz w:val="20"/>
          <w:szCs w:val="20"/>
        </w:rPr>
      </w:pPr>
      <w:r w:rsidRPr="003C4C3D">
        <w:rPr>
          <w:sz w:val="20"/>
          <w:szCs w:val="20"/>
        </w:rPr>
        <w:t>all open and closed Actions</w:t>
      </w:r>
      <w:r>
        <w:rPr>
          <w:sz w:val="20"/>
          <w:szCs w:val="20"/>
        </w:rPr>
        <w:t>;</w:t>
      </w:r>
    </w:p>
    <w:p w14:paraId="12F16D23" w14:textId="77777777" w:rsidR="000731CD" w:rsidRDefault="000731CD" w:rsidP="000731CD">
      <w:pPr>
        <w:pStyle w:val="ListParagraph"/>
        <w:numPr>
          <w:ilvl w:val="1"/>
          <w:numId w:val="103"/>
        </w:numPr>
        <w:rPr>
          <w:sz w:val="20"/>
          <w:szCs w:val="20"/>
        </w:rPr>
      </w:pPr>
      <w:r w:rsidRPr="003C4C3D">
        <w:rPr>
          <w:sz w:val="20"/>
          <w:szCs w:val="20"/>
        </w:rPr>
        <w:t>all open and closed Risks and Issues</w:t>
      </w:r>
      <w:r>
        <w:rPr>
          <w:sz w:val="20"/>
          <w:szCs w:val="20"/>
        </w:rPr>
        <w:t>;</w:t>
      </w:r>
    </w:p>
    <w:p w14:paraId="52F4A245" w14:textId="77777777" w:rsidR="000731CD" w:rsidRDefault="000731CD" w:rsidP="000731CD">
      <w:pPr>
        <w:pStyle w:val="ListParagraph"/>
        <w:numPr>
          <w:ilvl w:val="1"/>
          <w:numId w:val="103"/>
        </w:numPr>
        <w:rPr>
          <w:sz w:val="20"/>
          <w:szCs w:val="20"/>
        </w:rPr>
      </w:pPr>
      <w:r>
        <w:rPr>
          <w:sz w:val="20"/>
          <w:szCs w:val="20"/>
        </w:rPr>
        <w:t>Deliverables provided in the relevant week and any Deliverables scheduled to be delivered in that week which have not been delivered and the anticipated date for delivery;</w:t>
      </w:r>
    </w:p>
    <w:p w14:paraId="0E0200A5" w14:textId="77777777" w:rsidR="000731CD" w:rsidRDefault="000731CD" w:rsidP="000731CD">
      <w:pPr>
        <w:pStyle w:val="ListParagraph"/>
        <w:numPr>
          <w:ilvl w:val="1"/>
          <w:numId w:val="103"/>
        </w:numPr>
        <w:rPr>
          <w:sz w:val="20"/>
          <w:szCs w:val="20"/>
        </w:rPr>
      </w:pPr>
      <w:r>
        <w:rPr>
          <w:sz w:val="20"/>
          <w:szCs w:val="20"/>
        </w:rPr>
        <w:t>Milestones achieved in the relevant week and any Milestones scheduled to be achieved in that week which have not been achieved and the anticipated date for achievement;</w:t>
      </w:r>
    </w:p>
    <w:p w14:paraId="7DDF69AB" w14:textId="77777777" w:rsidR="000731CD" w:rsidRDefault="000731CD" w:rsidP="000731CD">
      <w:pPr>
        <w:pStyle w:val="ListParagraph"/>
        <w:numPr>
          <w:ilvl w:val="1"/>
          <w:numId w:val="103"/>
        </w:numPr>
        <w:rPr>
          <w:sz w:val="20"/>
          <w:szCs w:val="20"/>
        </w:rPr>
      </w:pPr>
      <w:r>
        <w:rPr>
          <w:sz w:val="20"/>
          <w:szCs w:val="20"/>
        </w:rPr>
        <w:t xml:space="preserve">any proposed changes to the Project Plan; </w:t>
      </w:r>
    </w:p>
    <w:p w14:paraId="7EE5BA01" w14:textId="77777777" w:rsidR="000731CD" w:rsidRDefault="000731CD" w:rsidP="000731CD">
      <w:pPr>
        <w:pStyle w:val="ListParagraph"/>
        <w:ind w:left="360"/>
        <w:rPr>
          <w:sz w:val="20"/>
          <w:szCs w:val="20"/>
        </w:rPr>
      </w:pPr>
    </w:p>
    <w:p w14:paraId="4E1DC65A" w14:textId="77777777" w:rsidR="000731CD" w:rsidRDefault="000731CD" w:rsidP="000731CD">
      <w:pPr>
        <w:pStyle w:val="ListParagraph"/>
        <w:ind w:left="360"/>
        <w:rPr>
          <w:sz w:val="20"/>
          <w:szCs w:val="20"/>
        </w:rPr>
      </w:pPr>
      <w:r>
        <w:rPr>
          <w:sz w:val="20"/>
          <w:szCs w:val="20"/>
        </w:rPr>
        <w:t>A</w:t>
      </w:r>
      <w:r w:rsidRPr="000A43DC">
        <w:rPr>
          <w:sz w:val="20"/>
          <w:szCs w:val="20"/>
        </w:rPr>
        <w:t xml:space="preserve">ny errors or omissions in the report submissions </w:t>
      </w:r>
      <w:r>
        <w:rPr>
          <w:sz w:val="20"/>
          <w:szCs w:val="20"/>
        </w:rPr>
        <w:t>identified in a report must</w:t>
      </w:r>
      <w:r w:rsidRPr="000A43DC">
        <w:rPr>
          <w:sz w:val="20"/>
          <w:szCs w:val="20"/>
        </w:rPr>
        <w:t xml:space="preserve"> be corrected </w:t>
      </w:r>
      <w:r>
        <w:rPr>
          <w:sz w:val="20"/>
          <w:szCs w:val="20"/>
        </w:rPr>
        <w:t xml:space="preserve">by the Supplier </w:t>
      </w:r>
      <w:r w:rsidRPr="000A43DC">
        <w:rPr>
          <w:sz w:val="20"/>
          <w:szCs w:val="20"/>
        </w:rPr>
        <w:t xml:space="preserve">within five </w:t>
      </w:r>
      <w:r>
        <w:rPr>
          <w:sz w:val="20"/>
          <w:szCs w:val="20"/>
        </w:rPr>
        <w:t>(5) W</w:t>
      </w:r>
      <w:r w:rsidRPr="000A43DC">
        <w:rPr>
          <w:sz w:val="20"/>
          <w:szCs w:val="20"/>
        </w:rPr>
        <w:t xml:space="preserve">orking </w:t>
      </w:r>
      <w:r>
        <w:rPr>
          <w:sz w:val="20"/>
          <w:szCs w:val="20"/>
        </w:rPr>
        <w:t>D</w:t>
      </w:r>
      <w:r w:rsidRPr="000A43DC">
        <w:rPr>
          <w:sz w:val="20"/>
          <w:szCs w:val="20"/>
        </w:rPr>
        <w:t>ays of the error</w:t>
      </w:r>
      <w:r>
        <w:rPr>
          <w:sz w:val="20"/>
          <w:szCs w:val="20"/>
        </w:rPr>
        <w:t>/omission</w:t>
      </w:r>
      <w:r w:rsidRPr="000A43DC">
        <w:rPr>
          <w:sz w:val="20"/>
          <w:szCs w:val="20"/>
        </w:rPr>
        <w:t xml:space="preserve"> being identified.</w:t>
      </w:r>
    </w:p>
    <w:p w14:paraId="674F4CA0" w14:textId="77777777" w:rsidR="000731CD" w:rsidRPr="000A43DC" w:rsidRDefault="000731CD" w:rsidP="000731CD">
      <w:pPr>
        <w:pStyle w:val="ListParagraph"/>
        <w:ind w:left="360"/>
        <w:rPr>
          <w:sz w:val="20"/>
          <w:szCs w:val="20"/>
        </w:rPr>
      </w:pPr>
    </w:p>
    <w:p w14:paraId="683B7F79" w14:textId="77777777" w:rsidR="000731CD" w:rsidRPr="000A43DC" w:rsidRDefault="000731CD" w:rsidP="000731CD">
      <w:pPr>
        <w:pStyle w:val="ListParagraph"/>
        <w:numPr>
          <w:ilvl w:val="0"/>
          <w:numId w:val="103"/>
        </w:numPr>
        <w:rPr>
          <w:sz w:val="20"/>
          <w:szCs w:val="20"/>
        </w:rPr>
      </w:pPr>
      <w:r w:rsidRPr="003C4C3D">
        <w:rPr>
          <w:sz w:val="20"/>
          <w:szCs w:val="20"/>
        </w:rPr>
        <w:t>The Supplier shall have processes and systems in place to ensure costs and pricing are managed appropriately during the Call Off Contract</w:t>
      </w:r>
      <w:r>
        <w:rPr>
          <w:sz w:val="20"/>
          <w:szCs w:val="20"/>
        </w:rPr>
        <w:t xml:space="preserve"> Term and will </w:t>
      </w:r>
      <w:r w:rsidRPr="003C4C3D">
        <w:rPr>
          <w:sz w:val="20"/>
          <w:szCs w:val="20"/>
        </w:rPr>
        <w:t>ensure that an effective mix of the grades are assigned</w:t>
      </w:r>
      <w:r>
        <w:rPr>
          <w:sz w:val="20"/>
          <w:szCs w:val="20"/>
        </w:rPr>
        <w:t xml:space="preserve"> to a project team</w:t>
      </w:r>
      <w:r w:rsidRPr="003C4C3D">
        <w:rPr>
          <w:sz w:val="20"/>
          <w:szCs w:val="20"/>
        </w:rPr>
        <w:t xml:space="preserve"> and managed during the Call Off Contract </w:t>
      </w:r>
      <w:r>
        <w:rPr>
          <w:sz w:val="20"/>
          <w:szCs w:val="20"/>
        </w:rPr>
        <w:t xml:space="preserve">Term </w:t>
      </w:r>
      <w:r w:rsidRPr="003C4C3D">
        <w:rPr>
          <w:sz w:val="20"/>
          <w:szCs w:val="20"/>
        </w:rPr>
        <w:t xml:space="preserve">to </w:t>
      </w:r>
      <w:r>
        <w:rPr>
          <w:sz w:val="20"/>
          <w:szCs w:val="20"/>
        </w:rPr>
        <w:t>deliver</w:t>
      </w:r>
      <w:r w:rsidRPr="003C4C3D">
        <w:rPr>
          <w:sz w:val="20"/>
          <w:szCs w:val="20"/>
        </w:rPr>
        <w:t xml:space="preserve"> best value for money for the Customer.</w:t>
      </w:r>
    </w:p>
    <w:p w14:paraId="77014388" w14:textId="77777777" w:rsidR="000731CD" w:rsidRPr="000731CD" w:rsidRDefault="000731CD" w:rsidP="000731CD">
      <w:pPr>
        <w:rPr>
          <w:lang w:eastAsia="en-GB"/>
        </w:rPr>
      </w:pPr>
    </w:p>
    <w:sectPr w:rsidR="000731CD" w:rsidRPr="000731CD">
      <w:headerReference w:type="even" r:id="rId15"/>
      <w:headerReference w:type="default" r:id="rId16"/>
      <w:footerReference w:type="default" r:id="rId17"/>
      <w:footerReference w:type="first" r:id="rId18"/>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48850" w14:textId="77777777" w:rsidR="00992069" w:rsidRDefault="00992069">
      <w:r>
        <w:separator/>
      </w:r>
    </w:p>
    <w:p w14:paraId="2D6E2175" w14:textId="77777777" w:rsidR="00992069" w:rsidRDefault="00992069"/>
    <w:p w14:paraId="75064869" w14:textId="77777777" w:rsidR="00992069" w:rsidRDefault="00992069"/>
    <w:p w14:paraId="0D14EC38" w14:textId="77777777" w:rsidR="00992069" w:rsidRDefault="00992069"/>
    <w:p w14:paraId="76B6CE6C" w14:textId="77777777" w:rsidR="00992069" w:rsidRDefault="00992069"/>
  </w:endnote>
  <w:endnote w:type="continuationSeparator" w:id="0">
    <w:p w14:paraId="25A31EC8" w14:textId="77777777" w:rsidR="00992069" w:rsidRDefault="00992069">
      <w:r>
        <w:continuationSeparator/>
      </w:r>
    </w:p>
    <w:p w14:paraId="7DE09FD7" w14:textId="77777777" w:rsidR="00992069" w:rsidRDefault="00992069"/>
    <w:p w14:paraId="2D60FC5C" w14:textId="77777777" w:rsidR="00992069" w:rsidRDefault="00992069"/>
    <w:p w14:paraId="7CBE15A2" w14:textId="77777777" w:rsidR="00992069" w:rsidRDefault="00992069"/>
    <w:p w14:paraId="2350DB3E" w14:textId="77777777" w:rsidR="00992069" w:rsidRDefault="00992069"/>
  </w:endnote>
  <w:endnote w:type="continuationNotice" w:id="1">
    <w:p w14:paraId="0B165A91" w14:textId="77777777" w:rsidR="00992069" w:rsidRDefault="009920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D0A1" w14:textId="77777777" w:rsidR="001D7E2D" w:rsidRPr="00D53DEB" w:rsidRDefault="001D7E2D"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1D7E2D" w:rsidRPr="00D53DEB" w:rsidRDefault="001D7E2D"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1D7E2D" w:rsidRDefault="001D7E2D"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1D7E2D" w:rsidRDefault="001D7E2D" w:rsidP="00054E54">
    <w:pPr>
      <w:pStyle w:val="Footer"/>
      <w:pBdr>
        <w:top w:val="single" w:sz="6" w:space="1" w:color="auto"/>
      </w:pBdr>
      <w:tabs>
        <w:tab w:val="right" w:pos="8647"/>
      </w:tabs>
      <w:ind w:left="0"/>
      <w:rPr>
        <w:sz w:val="16"/>
        <w:szCs w:val="16"/>
      </w:rPr>
    </w:pPr>
    <w:r>
      <w:rPr>
        <w:sz w:val="16"/>
        <w:szCs w:val="16"/>
      </w:rPr>
      <w:t>© Crown copyright 2018</w:t>
    </w:r>
  </w:p>
  <w:p w14:paraId="08DC505A" w14:textId="3D32D5E5" w:rsidR="001D7E2D" w:rsidRPr="00054E54" w:rsidRDefault="001D7E2D">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Pr>
        <w:noProof/>
        <w:sz w:val="16"/>
        <w:szCs w:val="16"/>
      </w:rPr>
      <w:t>19</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F1CE" w14:textId="77777777" w:rsidR="001D7E2D" w:rsidRDefault="001D7E2D"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1D7E2D" w:rsidRPr="004319D6" w:rsidRDefault="001D7E2D"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1D7E2D" w:rsidRDefault="001D7E2D"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1D7E2D" w:rsidRPr="009968DA" w:rsidRDefault="001D7E2D"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1D7E2D" w:rsidRDefault="001D7E2D" w:rsidP="00054E54">
    <w:pPr>
      <w:pStyle w:val="Footer"/>
      <w:pBdr>
        <w:top w:val="single" w:sz="6" w:space="1" w:color="auto"/>
      </w:pBdr>
      <w:tabs>
        <w:tab w:val="right" w:pos="8647"/>
      </w:tabs>
      <w:ind w:left="0"/>
      <w:rPr>
        <w:sz w:val="16"/>
        <w:szCs w:val="16"/>
      </w:rPr>
    </w:pPr>
  </w:p>
  <w:p w14:paraId="73B75459" w14:textId="6BF7D0A3" w:rsidR="001D7E2D" w:rsidRPr="00054E54" w:rsidRDefault="001D7E2D"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Pr>
        <w:noProof/>
        <w:sz w:val="16"/>
        <w:szCs w:val="16"/>
      </w:rPr>
      <w:t>1</w:t>
    </w:r>
    <w:r w:rsidRPr="00054E54">
      <w:rPr>
        <w:noProof/>
        <w:sz w:val="16"/>
        <w:szCs w:val="16"/>
      </w:rPr>
      <w:fldChar w:fldCharType="end"/>
    </w:r>
  </w:p>
  <w:p w14:paraId="5B2BBFDC" w14:textId="77777777" w:rsidR="001D7E2D" w:rsidRDefault="001D7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EDA9D" w14:textId="77777777" w:rsidR="00992069" w:rsidRDefault="00992069">
      <w:r>
        <w:separator/>
      </w:r>
    </w:p>
  </w:footnote>
  <w:footnote w:type="continuationSeparator" w:id="0">
    <w:p w14:paraId="1CF53A2F" w14:textId="77777777" w:rsidR="00992069" w:rsidRDefault="00992069">
      <w:r>
        <w:continuationSeparator/>
      </w:r>
    </w:p>
  </w:footnote>
  <w:footnote w:type="continuationNotice" w:id="1">
    <w:p w14:paraId="70A1A314" w14:textId="77777777" w:rsidR="00992069" w:rsidRDefault="009920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23FBA" w14:textId="483F7F1B" w:rsidR="001D7E2D" w:rsidRDefault="001D7E2D">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1D7E2D" w:rsidRDefault="001D7E2D"/>
  <w:p w14:paraId="2A494745" w14:textId="77777777" w:rsidR="001D7E2D" w:rsidRDefault="001D7E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7C4E" w14:textId="46FC11A4" w:rsidR="001D7E2D" w:rsidRDefault="001D7E2D">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1FB2410"/>
    <w:multiLevelType w:val="hybridMultilevel"/>
    <w:tmpl w:val="89AC1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9"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0"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2"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9"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C053334"/>
    <w:multiLevelType w:val="hybridMultilevel"/>
    <w:tmpl w:val="927AE59E"/>
    <w:lvl w:ilvl="0" w:tplc="491403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2" w15:restartNumberingAfterBreak="0">
    <w:nsid w:val="1F92555F"/>
    <w:multiLevelType w:val="hybridMultilevel"/>
    <w:tmpl w:val="AA4CB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0F5120D"/>
    <w:multiLevelType w:val="hybridMultilevel"/>
    <w:tmpl w:val="6C161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2A26253"/>
    <w:multiLevelType w:val="hybridMultilevel"/>
    <w:tmpl w:val="D092F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6"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1" w15:restartNumberingAfterBreak="0">
    <w:nsid w:val="281610F2"/>
    <w:multiLevelType w:val="hybridMultilevel"/>
    <w:tmpl w:val="41CA5A14"/>
    <w:lvl w:ilvl="0" w:tplc="43908218">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33"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35"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6"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7"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8"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9" w15:restartNumberingAfterBreak="0">
    <w:nsid w:val="3C6B11A6"/>
    <w:multiLevelType w:val="hybridMultilevel"/>
    <w:tmpl w:val="BB400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46"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7"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8"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0"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1"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2" w15:restartNumberingAfterBreak="0">
    <w:nsid w:val="55752253"/>
    <w:multiLevelType w:val="hybridMultilevel"/>
    <w:tmpl w:val="F6C20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5"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7"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9"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62"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6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7"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8"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9"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70" w15:restartNumberingAfterBreak="0">
    <w:nsid w:val="72E624B6"/>
    <w:multiLevelType w:val="hybridMultilevel"/>
    <w:tmpl w:val="2E829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2"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3"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5"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79"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25"/>
  </w:num>
  <w:num w:numId="2">
    <w:abstractNumId w:val="78"/>
  </w:num>
  <w:num w:numId="3">
    <w:abstractNumId w:val="40"/>
  </w:num>
  <w:num w:numId="4">
    <w:abstractNumId w:val="28"/>
  </w:num>
  <w:num w:numId="5">
    <w:abstractNumId w:val="73"/>
  </w:num>
  <w:num w:numId="6">
    <w:abstractNumId w:val="58"/>
  </w:num>
  <w:num w:numId="7">
    <w:abstractNumId w:val="36"/>
  </w:num>
  <w:num w:numId="8">
    <w:abstractNumId w:val="64"/>
  </w:num>
  <w:num w:numId="9">
    <w:abstractNumId w:val="65"/>
  </w:num>
  <w:num w:numId="10">
    <w:abstractNumId w:val="61"/>
  </w:num>
  <w:num w:numId="11">
    <w:abstractNumId w:val="43"/>
  </w:num>
  <w:num w:numId="12">
    <w:abstractNumId w:val="73"/>
  </w:num>
  <w:num w:numId="13">
    <w:abstractNumId w:val="42"/>
  </w:num>
  <w:num w:numId="14">
    <w:abstractNumId w:val="16"/>
  </w:num>
  <w:num w:numId="15">
    <w:abstractNumId w:val="19"/>
  </w:num>
  <w:num w:numId="16">
    <w:abstractNumId w:val="14"/>
  </w:num>
  <w:num w:numId="17">
    <w:abstractNumId w:val="8"/>
  </w:num>
  <w:num w:numId="18">
    <w:abstractNumId w:val="63"/>
  </w:num>
  <w:num w:numId="19">
    <w:abstractNumId w:val="69"/>
  </w:num>
  <w:num w:numId="20">
    <w:abstractNumId w:val="9"/>
  </w:num>
  <w:num w:numId="21">
    <w:abstractNumId w:val="2"/>
  </w:num>
  <w:num w:numId="22">
    <w:abstractNumId w:val="35"/>
  </w:num>
  <w:num w:numId="23">
    <w:abstractNumId w:val="13"/>
  </w:num>
  <w:num w:numId="24">
    <w:abstractNumId w:val="79"/>
  </w:num>
  <w:num w:numId="25">
    <w:abstractNumId w:val="1"/>
  </w:num>
  <w:num w:numId="26">
    <w:abstractNumId w:val="45"/>
  </w:num>
  <w:num w:numId="27">
    <w:abstractNumId w:val="44"/>
  </w:num>
  <w:num w:numId="28">
    <w:abstractNumId w:val="6"/>
  </w:num>
  <w:num w:numId="29">
    <w:abstractNumId w:val="49"/>
  </w:num>
  <w:num w:numId="30">
    <w:abstractNumId w:val="38"/>
  </w:num>
  <w:num w:numId="31">
    <w:abstractNumId w:val="67"/>
  </w:num>
  <w:num w:numId="32">
    <w:abstractNumId w:val="33"/>
  </w:num>
  <w:num w:numId="33">
    <w:abstractNumId w:val="57"/>
  </w:num>
  <w:num w:numId="34">
    <w:abstractNumId w:val="37"/>
  </w:num>
  <w:num w:numId="35">
    <w:abstractNumId w:val="3"/>
  </w:num>
  <w:num w:numId="36">
    <w:abstractNumId w:val="47"/>
  </w:num>
  <w:num w:numId="37">
    <w:abstractNumId w:val="30"/>
  </w:num>
  <w:num w:numId="38">
    <w:abstractNumId w:val="50"/>
  </w:num>
  <w:num w:numId="39">
    <w:abstractNumId w:val="68"/>
  </w:num>
  <w:num w:numId="40">
    <w:abstractNumId w:val="32"/>
  </w:num>
  <w:num w:numId="41">
    <w:abstractNumId w:val="5"/>
  </w:num>
  <w:num w:numId="42">
    <w:abstractNumId w:val="46"/>
  </w:num>
  <w:num w:numId="43">
    <w:abstractNumId w:val="66"/>
  </w:num>
  <w:num w:numId="44">
    <w:abstractNumId w:val="11"/>
  </w:num>
  <w:num w:numId="45">
    <w:abstractNumId w:val="72"/>
  </w:num>
  <w:num w:numId="46">
    <w:abstractNumId w:val="41"/>
  </w:num>
  <w:num w:numId="47">
    <w:abstractNumId w:val="54"/>
  </w:num>
  <w:num w:numId="48">
    <w:abstractNumId w:val="17"/>
  </w:num>
  <w:num w:numId="4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3"/>
  </w:num>
  <w:num w:numId="51">
    <w:abstractNumId w:val="51"/>
  </w:num>
  <w:num w:numId="5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8"/>
  </w:num>
  <w:num w:numId="55">
    <w:abstractNumId w:val="76"/>
  </w:num>
  <w:num w:numId="56">
    <w:abstractNumId w:val="28"/>
  </w:num>
  <w:num w:numId="57">
    <w:abstractNumId w:val="55"/>
  </w:num>
  <w:num w:numId="58">
    <w:abstractNumId w:val="73"/>
  </w:num>
  <w:num w:numId="59">
    <w:abstractNumId w:val="74"/>
  </w:num>
  <w:num w:numId="60">
    <w:abstractNumId w:val="27"/>
  </w:num>
  <w:num w:numId="61">
    <w:abstractNumId w:val="0"/>
  </w:num>
  <w:num w:numId="62">
    <w:abstractNumId w:val="26"/>
  </w:num>
  <w:num w:numId="63">
    <w:abstractNumId w:val="62"/>
  </w:num>
  <w:num w:numId="64">
    <w:abstractNumId w:val="77"/>
  </w:num>
  <w:num w:numId="65">
    <w:abstractNumId w:val="77"/>
  </w:num>
  <w:num w:numId="66">
    <w:abstractNumId w:val="75"/>
  </w:num>
  <w:num w:numId="6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3"/>
  </w:num>
  <w:num w:numId="7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3"/>
  </w:num>
  <w:num w:numId="72">
    <w:abstractNumId w:val="73"/>
  </w:num>
  <w:num w:numId="7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3"/>
  </w:num>
  <w:num w:numId="75">
    <w:abstractNumId w:val="14"/>
  </w:num>
  <w:num w:numId="76">
    <w:abstractNumId w:val="14"/>
  </w:num>
  <w:num w:numId="77">
    <w:abstractNumId w:val="14"/>
  </w:num>
  <w:num w:numId="78">
    <w:abstractNumId w:val="14"/>
  </w:num>
  <w:num w:numId="79">
    <w:abstractNumId w:val="14"/>
  </w:num>
  <w:num w:numId="80">
    <w:abstractNumId w:val="14"/>
  </w:num>
  <w:num w:numId="81">
    <w:abstractNumId w:val="14"/>
  </w:num>
  <w:num w:numId="82">
    <w:abstractNumId w:val="14"/>
  </w:num>
  <w:num w:numId="83">
    <w:abstractNumId w:val="14"/>
  </w:num>
  <w:num w:numId="84">
    <w:abstractNumId w:val="14"/>
  </w:num>
  <w:num w:numId="85">
    <w:abstractNumId w:val="14"/>
  </w:num>
  <w:num w:numId="86">
    <w:abstractNumId w:val="10"/>
  </w:num>
  <w:num w:numId="87">
    <w:abstractNumId w:val="59"/>
  </w:num>
  <w:num w:numId="88">
    <w:abstractNumId w:val="15"/>
  </w:num>
  <w:num w:numId="89">
    <w:abstractNumId w:val="73"/>
  </w:num>
  <w:num w:numId="90">
    <w:abstractNumId w:val="12"/>
  </w:num>
  <w:num w:numId="91">
    <w:abstractNumId w:val="7"/>
  </w:num>
  <w:num w:numId="92">
    <w:abstractNumId w:val="73"/>
  </w:num>
  <w:num w:numId="93">
    <w:abstractNumId w:val="21"/>
  </w:num>
  <w:num w:numId="94">
    <w:abstractNumId w:val="48"/>
  </w:num>
  <w:num w:numId="95">
    <w:abstractNumId w:val="53"/>
  </w:num>
  <w:num w:numId="96">
    <w:abstractNumId w:val="70"/>
  </w:num>
  <w:num w:numId="97">
    <w:abstractNumId w:val="20"/>
  </w:num>
  <w:num w:numId="98">
    <w:abstractNumId w:val="4"/>
  </w:num>
  <w:num w:numId="99">
    <w:abstractNumId w:val="39"/>
  </w:num>
  <w:num w:numId="100">
    <w:abstractNumId w:val="23"/>
  </w:num>
  <w:num w:numId="101">
    <w:abstractNumId w:val="24"/>
  </w:num>
  <w:num w:numId="102">
    <w:abstractNumId w:val="52"/>
  </w:num>
  <w:num w:numId="103">
    <w:abstractNumId w:val="31"/>
  </w:num>
  <w:num w:numId="104">
    <w:abstractNumId w:val="2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DC"/>
    <w:rsid w:val="000001E1"/>
    <w:rsid w:val="00002CDD"/>
    <w:rsid w:val="000053CF"/>
    <w:rsid w:val="00017475"/>
    <w:rsid w:val="00020140"/>
    <w:rsid w:val="0005252A"/>
    <w:rsid w:val="00054E54"/>
    <w:rsid w:val="00055892"/>
    <w:rsid w:val="00057425"/>
    <w:rsid w:val="000638D8"/>
    <w:rsid w:val="0007314C"/>
    <w:rsid w:val="000731CD"/>
    <w:rsid w:val="0008498A"/>
    <w:rsid w:val="000D0701"/>
    <w:rsid w:val="000D16E1"/>
    <w:rsid w:val="000D279F"/>
    <w:rsid w:val="00100C58"/>
    <w:rsid w:val="00111007"/>
    <w:rsid w:val="0011796B"/>
    <w:rsid w:val="0013569C"/>
    <w:rsid w:val="00136280"/>
    <w:rsid w:val="001572E1"/>
    <w:rsid w:val="00172A22"/>
    <w:rsid w:val="001811E7"/>
    <w:rsid w:val="001812F5"/>
    <w:rsid w:val="0018542B"/>
    <w:rsid w:val="001955AD"/>
    <w:rsid w:val="001A5332"/>
    <w:rsid w:val="001C4435"/>
    <w:rsid w:val="001D3080"/>
    <w:rsid w:val="001D5E87"/>
    <w:rsid w:val="001D7E2D"/>
    <w:rsid w:val="002047E1"/>
    <w:rsid w:val="00224F1D"/>
    <w:rsid w:val="0023206B"/>
    <w:rsid w:val="0023253F"/>
    <w:rsid w:val="002440C8"/>
    <w:rsid w:val="00272E8F"/>
    <w:rsid w:val="002740F1"/>
    <w:rsid w:val="002A30C1"/>
    <w:rsid w:val="002B00EA"/>
    <w:rsid w:val="002B2D19"/>
    <w:rsid w:val="002B2E7F"/>
    <w:rsid w:val="002C177B"/>
    <w:rsid w:val="002C1A8E"/>
    <w:rsid w:val="002C5A6F"/>
    <w:rsid w:val="002C7BBA"/>
    <w:rsid w:val="002F0DD4"/>
    <w:rsid w:val="0030110C"/>
    <w:rsid w:val="00303106"/>
    <w:rsid w:val="00306EA9"/>
    <w:rsid w:val="003125B9"/>
    <w:rsid w:val="003228BA"/>
    <w:rsid w:val="00327EA5"/>
    <w:rsid w:val="00340AAB"/>
    <w:rsid w:val="00345F2B"/>
    <w:rsid w:val="00364CA0"/>
    <w:rsid w:val="003735C3"/>
    <w:rsid w:val="00397FC8"/>
    <w:rsid w:val="003A1092"/>
    <w:rsid w:val="003A2249"/>
    <w:rsid w:val="003B455E"/>
    <w:rsid w:val="003C22DC"/>
    <w:rsid w:val="003E3877"/>
    <w:rsid w:val="003F3581"/>
    <w:rsid w:val="003F7780"/>
    <w:rsid w:val="00400F54"/>
    <w:rsid w:val="00405425"/>
    <w:rsid w:val="00430FA9"/>
    <w:rsid w:val="00450387"/>
    <w:rsid w:val="00457085"/>
    <w:rsid w:val="00471F7C"/>
    <w:rsid w:val="004837B5"/>
    <w:rsid w:val="00492B7E"/>
    <w:rsid w:val="004944BE"/>
    <w:rsid w:val="004D4A61"/>
    <w:rsid w:val="004D6F66"/>
    <w:rsid w:val="004E05DC"/>
    <w:rsid w:val="004E0AA8"/>
    <w:rsid w:val="00501C41"/>
    <w:rsid w:val="00521E93"/>
    <w:rsid w:val="00524A22"/>
    <w:rsid w:val="0053490A"/>
    <w:rsid w:val="00537215"/>
    <w:rsid w:val="00542302"/>
    <w:rsid w:val="00554E70"/>
    <w:rsid w:val="00561CC2"/>
    <w:rsid w:val="005767C7"/>
    <w:rsid w:val="005E0CDF"/>
    <w:rsid w:val="0061276A"/>
    <w:rsid w:val="0061699B"/>
    <w:rsid w:val="00630ACD"/>
    <w:rsid w:val="006311F8"/>
    <w:rsid w:val="00642F6F"/>
    <w:rsid w:val="0065497E"/>
    <w:rsid w:val="006614D5"/>
    <w:rsid w:val="00662BAE"/>
    <w:rsid w:val="00664D82"/>
    <w:rsid w:val="006A0AF3"/>
    <w:rsid w:val="006A1FE0"/>
    <w:rsid w:val="006A6022"/>
    <w:rsid w:val="006A7899"/>
    <w:rsid w:val="006B7D2C"/>
    <w:rsid w:val="006F3D4A"/>
    <w:rsid w:val="00700725"/>
    <w:rsid w:val="00705B76"/>
    <w:rsid w:val="00730F3E"/>
    <w:rsid w:val="00753E53"/>
    <w:rsid w:val="00754676"/>
    <w:rsid w:val="00755201"/>
    <w:rsid w:val="00771E0B"/>
    <w:rsid w:val="007728AB"/>
    <w:rsid w:val="00786287"/>
    <w:rsid w:val="00794C4D"/>
    <w:rsid w:val="007A091B"/>
    <w:rsid w:val="007A1F85"/>
    <w:rsid w:val="007A44A1"/>
    <w:rsid w:val="007A723D"/>
    <w:rsid w:val="007D26F7"/>
    <w:rsid w:val="007E034B"/>
    <w:rsid w:val="007E1DDC"/>
    <w:rsid w:val="00810FF4"/>
    <w:rsid w:val="008153FF"/>
    <w:rsid w:val="00830DC0"/>
    <w:rsid w:val="00850E5C"/>
    <w:rsid w:val="00861833"/>
    <w:rsid w:val="00870107"/>
    <w:rsid w:val="008727D1"/>
    <w:rsid w:val="00887A8F"/>
    <w:rsid w:val="008931FF"/>
    <w:rsid w:val="008B389E"/>
    <w:rsid w:val="008C6C80"/>
    <w:rsid w:val="008D383E"/>
    <w:rsid w:val="009036BF"/>
    <w:rsid w:val="0091668D"/>
    <w:rsid w:val="00923AD5"/>
    <w:rsid w:val="009244B7"/>
    <w:rsid w:val="00963FFF"/>
    <w:rsid w:val="00982D63"/>
    <w:rsid w:val="00984D40"/>
    <w:rsid w:val="00992069"/>
    <w:rsid w:val="009968DA"/>
    <w:rsid w:val="00997414"/>
    <w:rsid w:val="009A7CCA"/>
    <w:rsid w:val="009B7BA2"/>
    <w:rsid w:val="009C2129"/>
    <w:rsid w:val="009C2140"/>
    <w:rsid w:val="009D0AB1"/>
    <w:rsid w:val="009D209B"/>
    <w:rsid w:val="009E291D"/>
    <w:rsid w:val="009F2E61"/>
    <w:rsid w:val="009F480B"/>
    <w:rsid w:val="00A03615"/>
    <w:rsid w:val="00A06B3F"/>
    <w:rsid w:val="00A0744F"/>
    <w:rsid w:val="00A1763C"/>
    <w:rsid w:val="00A17789"/>
    <w:rsid w:val="00A2306E"/>
    <w:rsid w:val="00A64B35"/>
    <w:rsid w:val="00A65D7D"/>
    <w:rsid w:val="00A75D41"/>
    <w:rsid w:val="00A955D8"/>
    <w:rsid w:val="00AA7DB0"/>
    <w:rsid w:val="00AB7DC1"/>
    <w:rsid w:val="00AC6577"/>
    <w:rsid w:val="00AD300D"/>
    <w:rsid w:val="00AD5365"/>
    <w:rsid w:val="00AD60E6"/>
    <w:rsid w:val="00AD6F15"/>
    <w:rsid w:val="00AE5D91"/>
    <w:rsid w:val="00B02A10"/>
    <w:rsid w:val="00B1147D"/>
    <w:rsid w:val="00B34C44"/>
    <w:rsid w:val="00B51ADA"/>
    <w:rsid w:val="00B5520B"/>
    <w:rsid w:val="00B64CAD"/>
    <w:rsid w:val="00B770E2"/>
    <w:rsid w:val="00B82F41"/>
    <w:rsid w:val="00B86992"/>
    <w:rsid w:val="00B91478"/>
    <w:rsid w:val="00BA0D1E"/>
    <w:rsid w:val="00BA4ACD"/>
    <w:rsid w:val="00BB45CD"/>
    <w:rsid w:val="00BB4A0B"/>
    <w:rsid w:val="00BB7D10"/>
    <w:rsid w:val="00BC2BB3"/>
    <w:rsid w:val="00C17DB9"/>
    <w:rsid w:val="00C24592"/>
    <w:rsid w:val="00C27C76"/>
    <w:rsid w:val="00C36489"/>
    <w:rsid w:val="00C47971"/>
    <w:rsid w:val="00C912F6"/>
    <w:rsid w:val="00CA1B3D"/>
    <w:rsid w:val="00CA491C"/>
    <w:rsid w:val="00CB44F1"/>
    <w:rsid w:val="00CC6094"/>
    <w:rsid w:val="00CC663B"/>
    <w:rsid w:val="00CD552E"/>
    <w:rsid w:val="00CE21B9"/>
    <w:rsid w:val="00CF4F29"/>
    <w:rsid w:val="00D02199"/>
    <w:rsid w:val="00D2378A"/>
    <w:rsid w:val="00D326AD"/>
    <w:rsid w:val="00D410A1"/>
    <w:rsid w:val="00D4376C"/>
    <w:rsid w:val="00D50C28"/>
    <w:rsid w:val="00D525A1"/>
    <w:rsid w:val="00D53DEB"/>
    <w:rsid w:val="00D61A90"/>
    <w:rsid w:val="00D66440"/>
    <w:rsid w:val="00D760A0"/>
    <w:rsid w:val="00DC2897"/>
    <w:rsid w:val="00DE1860"/>
    <w:rsid w:val="00E11534"/>
    <w:rsid w:val="00E32B8F"/>
    <w:rsid w:val="00E45F29"/>
    <w:rsid w:val="00E54047"/>
    <w:rsid w:val="00E64C7C"/>
    <w:rsid w:val="00E77CCE"/>
    <w:rsid w:val="00E93B30"/>
    <w:rsid w:val="00E93D4C"/>
    <w:rsid w:val="00E95F5D"/>
    <w:rsid w:val="00E96586"/>
    <w:rsid w:val="00EA1166"/>
    <w:rsid w:val="00EA30EB"/>
    <w:rsid w:val="00EA77C2"/>
    <w:rsid w:val="00EA7B57"/>
    <w:rsid w:val="00EF289B"/>
    <w:rsid w:val="00EF339A"/>
    <w:rsid w:val="00EF348C"/>
    <w:rsid w:val="00F02150"/>
    <w:rsid w:val="00F1780F"/>
    <w:rsid w:val="00F40D21"/>
    <w:rsid w:val="00F641B6"/>
    <w:rsid w:val="00F65018"/>
    <w:rsid w:val="00F763AE"/>
    <w:rsid w:val="00F770DB"/>
    <w:rsid w:val="00F8600F"/>
    <w:rsid w:val="00FB2B54"/>
    <w:rsid w:val="00FB38C9"/>
    <w:rsid w:val="00FD6D7A"/>
    <w:rsid w:val="00FE0298"/>
    <w:rsid w:val="00FE4A33"/>
    <w:rsid w:val="00FF6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qFormat/>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sid w:val="0005252A"/>
    <w:rPr>
      <w:color w:val="605E5C"/>
      <w:shd w:val="clear" w:color="auto" w:fill="E1DFDD"/>
    </w:rPr>
  </w:style>
  <w:style w:type="paragraph" w:customStyle="1" w:styleId="Table-Text">
    <w:name w:val="Table - Text"/>
    <w:basedOn w:val="Normal"/>
    <w:qFormat/>
    <w:rsid w:val="000731CD"/>
    <w:pPr>
      <w:overflowPunct/>
      <w:autoSpaceDE/>
      <w:autoSpaceDN/>
      <w:spacing w:before="120" w:after="120"/>
      <w:ind w:left="0"/>
      <w:jc w:val="left"/>
      <w:textAlignment w:val="auto"/>
    </w:pPr>
    <w:rPr>
      <w:rFonts w:ascii="Times New Roman" w:eastAsia="STZhongsong" w:hAnsi="Times New Roman"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174736757">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141808">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60723590">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157502776">
      <w:bodyDiv w:val="1"/>
      <w:marLeft w:val="0"/>
      <w:marRight w:val="0"/>
      <w:marTop w:val="0"/>
      <w:marBottom w:val="0"/>
      <w:divBdr>
        <w:top w:val="none" w:sz="0" w:space="0" w:color="auto"/>
        <w:left w:val="none" w:sz="0" w:space="0" w:color="auto"/>
        <w:bottom w:val="none" w:sz="0" w:space="0" w:color="auto"/>
        <w:right w:val="none" w:sz="0" w:space="0" w:color="auto"/>
      </w:divBdr>
    </w:div>
    <w:div w:id="1188832319">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00131182">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andt.sb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 U K M A T T E R S ! 1 0 8 3 4 4 6 3 0 . 1 < / d o c u m e n t i d >  
     < s e n d e r i d > L A V E N D E D < / s e n d e r i d >  
     < s e n d e r e m a i l > D A N I E L . L A V E N D E R @ D L A P I P E R . C O M < / s e n d e r e m a i l >  
     < l a s t m o d i f i e d > 2 0 2 1 - 0 2 - 2 2 T 0 9 : 1 2 : 0 0 . 0 0 0 0 0 0 0 + 0 0 : 0 0 < / l a s t m o d i f i e d >  
     < d a t a b a s e > U K M A T T E R S < / 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40C0748F121942A07005C286F49849" ma:contentTypeVersion="12" ma:contentTypeDescription="Create a new document." ma:contentTypeScope="" ma:versionID="3274e669363b33ef4d0f811ee9cbfc60">
  <xsd:schema xmlns:xsd="http://www.w3.org/2001/XMLSchema" xmlns:xs="http://www.w3.org/2001/XMLSchema" xmlns:p="http://schemas.microsoft.com/office/2006/metadata/properties" xmlns:ns2="f3597fcf-3b40-4fdc-9200-1eed2015effb" xmlns:ns3="d0bd77c7-631a-49e9-8251-fc957ab4fd01" targetNamespace="http://schemas.microsoft.com/office/2006/metadata/properties" ma:root="true" ma:fieldsID="44ca74e1985fac3aa964212d93ec3e5c" ns2:_="" ns3:_="">
    <xsd:import namespace="f3597fcf-3b40-4fdc-9200-1eed2015effb"/>
    <xsd:import namespace="d0bd77c7-631a-49e9-8251-fc957ab4fd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97fcf-3b40-4fdc-9200-1eed2015ef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d77c7-631a-49e9-8251-fc957ab4fd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EBA061-1F4B-42AF-B62D-876F149EAD46}">
  <ds:schemaRefs>
    <ds:schemaRef ds:uri="http://www.imanage.com/work/xmlschema"/>
  </ds:schemaRefs>
</ds:datastoreItem>
</file>

<file path=customXml/itemProps2.xml><?xml version="1.0" encoding="utf-8"?>
<ds:datastoreItem xmlns:ds="http://schemas.openxmlformats.org/officeDocument/2006/customXml" ds:itemID="{156D4503-DDAA-45A7-B9AF-9E0953CE7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97fcf-3b40-4fdc-9200-1eed2015effb"/>
    <ds:schemaRef ds:uri="d0bd77c7-631a-49e9-8251-fc957ab4f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51DDC-21A9-4854-9DD2-A7EC1EC87126}">
  <ds:schemaRefs>
    <ds:schemaRef ds:uri="http://schemas.microsoft.com/sharepoint/v3/contenttype/forms"/>
  </ds:schemaRefs>
</ds:datastoreItem>
</file>

<file path=customXml/itemProps4.xml><?xml version="1.0" encoding="utf-8"?>
<ds:datastoreItem xmlns:ds="http://schemas.openxmlformats.org/officeDocument/2006/customXml" ds:itemID="{23D9E4BA-A870-446F-AA68-46ECCC888F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991CDD8-0F0C-4AE5-8DDF-606812BC8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3164</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21163</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2021-05-05T12:35:00Z</dcterms:created>
  <dcterms:modified xsi:type="dcterms:W3CDTF">2021-05-05T12:35:00Z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94ed87ef-5a92-42ef-8921-dbb30bcf6e88</vt:lpwstr>
  </property>
  <property fmtid="{D5CDD505-2E9C-101B-9397-08002B2CF9AE}" pid="3" name="ContentTypeId">
    <vt:lpwstr>0x0101007640C0748F121942A07005C286F49849</vt:lpwstr>
  </property>
</Properties>
</file>