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19755" w14:textId="77777777" w:rsidR="00E732ED" w:rsidRDefault="00E732ED" w:rsidP="00E732ED">
      <w:pPr>
        <w:ind w:firstLine="720"/>
        <w:rPr>
          <w:rFonts w:eastAsia="Calibri"/>
          <w:b/>
          <w:bCs/>
        </w:rPr>
      </w:pPr>
      <w:r>
        <w:rPr>
          <w:rFonts w:eastAsia="Calibri"/>
          <w:b/>
          <w:bCs/>
        </w:rPr>
        <w:t>Clarification Questions &amp; Answers</w:t>
      </w:r>
    </w:p>
    <w:p w14:paraId="4DD79B9A" w14:textId="4CE43857" w:rsidR="00E732ED" w:rsidRDefault="00E732ED" w:rsidP="00E732ED">
      <w:pPr>
        <w:ind w:firstLine="720"/>
        <w:rPr>
          <w:rFonts w:eastAsia="Calibri"/>
          <w:b/>
          <w:bCs/>
        </w:rPr>
      </w:pPr>
      <w:r>
        <w:rPr>
          <w:rFonts w:eastAsia="Calibri"/>
          <w:b/>
          <w:bCs/>
        </w:rPr>
        <w:t xml:space="preserve">Contract Reference: </w:t>
      </w:r>
      <w:r>
        <w:rPr>
          <w:rFonts w:eastAsia="Calibri"/>
          <w:b/>
          <w:bCs/>
        </w:rPr>
        <w:t>C22-0087-1664</w:t>
      </w:r>
    </w:p>
    <w:p w14:paraId="6379495F" w14:textId="4B5170C1" w:rsidR="00E732ED" w:rsidRDefault="00E732ED" w:rsidP="00E732ED">
      <w:pPr>
        <w:ind w:firstLine="720"/>
        <w:rPr>
          <w:rFonts w:eastAsia="Calibri"/>
          <w:b/>
          <w:bCs/>
        </w:rPr>
      </w:pPr>
      <w:r>
        <w:rPr>
          <w:rFonts w:eastAsia="Calibri"/>
          <w:b/>
          <w:bCs/>
        </w:rPr>
        <w:t xml:space="preserve">Title: </w:t>
      </w:r>
      <w:r>
        <w:rPr>
          <w:b/>
          <w:iCs/>
        </w:rPr>
        <w:t>Executive Leadership Team Coaching: Organisational Health</w:t>
      </w:r>
    </w:p>
    <w:p w14:paraId="34BDCF2C" w14:textId="77777777" w:rsidR="00E732ED" w:rsidRDefault="00E732ED" w:rsidP="00F94DE7">
      <w:pPr>
        <w:ind w:firstLine="720"/>
        <w:rPr>
          <w:rFonts w:eastAsia="Times New Roman"/>
          <w:b/>
          <w:bCs/>
        </w:rPr>
      </w:pPr>
    </w:p>
    <w:p w14:paraId="38B92656" w14:textId="48385911" w:rsidR="00F94DE7" w:rsidRPr="00F94DE7" w:rsidRDefault="00F94DE7" w:rsidP="00F94DE7">
      <w:pPr>
        <w:ind w:firstLine="720"/>
        <w:rPr>
          <w:rFonts w:eastAsia="Times New Roman"/>
        </w:rPr>
      </w:pPr>
      <w:r w:rsidRPr="00F94DE7">
        <w:rPr>
          <w:rFonts w:eastAsia="Times New Roman"/>
          <w:b/>
          <w:bCs/>
        </w:rPr>
        <w:t>Q1</w:t>
      </w:r>
      <w:r>
        <w:rPr>
          <w:rFonts w:eastAsia="Times New Roman"/>
        </w:rPr>
        <w:t xml:space="preserve"> </w:t>
      </w:r>
      <w:r w:rsidRPr="00F94DE7">
        <w:rPr>
          <w:rFonts w:eastAsia="Times New Roman"/>
        </w:rPr>
        <w:t>Please detail the number of individuals that make up the executive team</w:t>
      </w:r>
    </w:p>
    <w:p w14:paraId="32008EC1" w14:textId="77777777" w:rsidR="00F94DE7" w:rsidRDefault="00F94DE7" w:rsidP="00F94DE7">
      <w:pPr>
        <w:pStyle w:val="ListParagraph"/>
      </w:pPr>
    </w:p>
    <w:p w14:paraId="5A714FF6" w14:textId="1A40F9B0" w:rsidR="00F94DE7" w:rsidRPr="00F94DE7" w:rsidRDefault="00F94DE7" w:rsidP="00F94DE7">
      <w:pPr>
        <w:ind w:firstLine="720"/>
        <w:rPr>
          <w:rFonts w:eastAsia="Times New Roman"/>
          <w:color w:val="4472C4" w:themeColor="accent1"/>
        </w:rPr>
      </w:pPr>
      <w:r w:rsidRPr="00F94DE7">
        <w:rPr>
          <w:rFonts w:eastAsia="Times New Roman"/>
          <w:color w:val="4472C4" w:themeColor="accent1"/>
        </w:rPr>
        <w:t xml:space="preserve">A1 </w:t>
      </w:r>
      <w:r w:rsidRPr="00F94DE7">
        <w:rPr>
          <w:rFonts w:eastAsia="Times New Roman"/>
          <w:color w:val="4472C4" w:themeColor="accent1"/>
        </w:rPr>
        <w:t>7 (CEO, Chief Scientist, 4 Directors and Head of Organisational Development)</w:t>
      </w:r>
    </w:p>
    <w:p w14:paraId="48158601" w14:textId="77777777" w:rsidR="00F94DE7" w:rsidRDefault="00F94DE7" w:rsidP="00F94DE7">
      <w:pPr>
        <w:pStyle w:val="ListParagraph"/>
      </w:pPr>
    </w:p>
    <w:p w14:paraId="7CC2B4F1" w14:textId="608E151C" w:rsidR="00F94DE7" w:rsidRDefault="00F94DE7" w:rsidP="00F94DE7">
      <w:pPr>
        <w:pStyle w:val="ListParagraph"/>
        <w:rPr>
          <w:rFonts w:eastAsia="Times New Roman"/>
        </w:rPr>
      </w:pPr>
      <w:r w:rsidRPr="00F94DE7">
        <w:rPr>
          <w:rFonts w:eastAsia="Times New Roman"/>
          <w:b/>
          <w:bCs/>
        </w:rPr>
        <w:t>Q2</w:t>
      </w:r>
      <w:r>
        <w:rPr>
          <w:rFonts w:eastAsia="Times New Roman"/>
        </w:rPr>
        <w:t xml:space="preserve"> </w:t>
      </w:r>
      <w:r>
        <w:rPr>
          <w:rFonts w:eastAsia="Times New Roman"/>
        </w:rPr>
        <w:t>Can you provide insight into the areas of identified development for this team – what specific development areas are you looking for this project to address? (we are able to cover the majority of areas for leadership development, and we would like to ensure we align our tender to the correct focus areas for the six sessions) – With sessions 1 &amp; 2 provisional dates being early July 2022, have you identified priority focus areas?</w:t>
      </w:r>
    </w:p>
    <w:p w14:paraId="54A486EC" w14:textId="45CCC5BD" w:rsidR="00F94DE7" w:rsidRDefault="00F94DE7" w:rsidP="00F94DE7"/>
    <w:p w14:paraId="5BCAB315" w14:textId="708C3476" w:rsidR="00F94DE7" w:rsidRPr="00F94DE7" w:rsidRDefault="00F94DE7" w:rsidP="00F94DE7">
      <w:pPr>
        <w:rPr>
          <w:color w:val="4472C4" w:themeColor="accent1"/>
        </w:rPr>
      </w:pPr>
      <w:r>
        <w:tab/>
      </w:r>
      <w:r w:rsidRPr="00F94DE7">
        <w:rPr>
          <w:color w:val="4472C4" w:themeColor="accent1"/>
        </w:rPr>
        <w:t>A2</w:t>
      </w:r>
    </w:p>
    <w:p w14:paraId="46D8F1DD" w14:textId="77777777" w:rsidR="00F94DE7" w:rsidRPr="00F94DE7" w:rsidRDefault="00F94DE7" w:rsidP="00F94DE7">
      <w:pPr>
        <w:numPr>
          <w:ilvl w:val="0"/>
          <w:numId w:val="3"/>
        </w:numPr>
        <w:shd w:val="clear" w:color="auto" w:fill="FFFFFF"/>
        <w:rPr>
          <w:rFonts w:eastAsia="Times New Roman"/>
          <w:color w:val="4472C4" w:themeColor="accent1"/>
          <w:lang w:eastAsia="en-GB"/>
        </w:rPr>
      </w:pPr>
      <w:r w:rsidRPr="00F94DE7">
        <w:rPr>
          <w:rFonts w:eastAsia="Times New Roman"/>
          <w:color w:val="4472C4" w:themeColor="accent1"/>
          <w:lang w:eastAsia="en-GB"/>
        </w:rPr>
        <w:t>translating strategy day to day</w:t>
      </w:r>
    </w:p>
    <w:p w14:paraId="0BC374DE" w14:textId="77777777" w:rsidR="00F94DE7" w:rsidRPr="00F94DE7" w:rsidRDefault="00F94DE7" w:rsidP="00F94DE7">
      <w:pPr>
        <w:numPr>
          <w:ilvl w:val="0"/>
          <w:numId w:val="3"/>
        </w:numPr>
        <w:shd w:val="clear" w:color="auto" w:fill="FFFFFF"/>
        <w:rPr>
          <w:rFonts w:eastAsia="Times New Roman"/>
          <w:color w:val="4472C4" w:themeColor="accent1"/>
          <w:lang w:eastAsia="en-GB"/>
        </w:rPr>
      </w:pPr>
      <w:r w:rsidRPr="00F94DE7">
        <w:rPr>
          <w:rFonts w:eastAsia="Times New Roman"/>
          <w:color w:val="4472C4" w:themeColor="accent1"/>
          <w:lang w:eastAsia="en-GB"/>
        </w:rPr>
        <w:t>consistency in messaging</w:t>
      </w:r>
    </w:p>
    <w:p w14:paraId="64672A5C" w14:textId="77777777" w:rsidR="00F94DE7" w:rsidRPr="00F94DE7" w:rsidRDefault="00F94DE7" w:rsidP="00F94DE7">
      <w:pPr>
        <w:numPr>
          <w:ilvl w:val="0"/>
          <w:numId w:val="3"/>
        </w:numPr>
        <w:shd w:val="clear" w:color="auto" w:fill="FFFFFF"/>
        <w:rPr>
          <w:rFonts w:eastAsia="Times New Roman"/>
          <w:color w:val="4472C4" w:themeColor="accent1"/>
          <w:lang w:eastAsia="en-GB"/>
        </w:rPr>
      </w:pPr>
      <w:r w:rsidRPr="00F94DE7">
        <w:rPr>
          <w:rFonts w:eastAsia="Times New Roman"/>
          <w:color w:val="4472C4" w:themeColor="accent1"/>
          <w:lang w:eastAsia="en-GB"/>
        </w:rPr>
        <w:t>managing workload/prioritisation</w:t>
      </w:r>
    </w:p>
    <w:p w14:paraId="64D0F0B9" w14:textId="77777777" w:rsidR="00F94DE7" w:rsidRPr="00F94DE7" w:rsidRDefault="00F94DE7" w:rsidP="00F94DE7">
      <w:pPr>
        <w:numPr>
          <w:ilvl w:val="0"/>
          <w:numId w:val="3"/>
        </w:numPr>
        <w:shd w:val="clear" w:color="auto" w:fill="FFFFFF"/>
        <w:rPr>
          <w:rFonts w:eastAsia="Times New Roman"/>
          <w:color w:val="4472C4" w:themeColor="accent1"/>
          <w:lang w:eastAsia="en-GB"/>
        </w:rPr>
      </w:pPr>
      <w:r w:rsidRPr="00F94DE7">
        <w:rPr>
          <w:rFonts w:eastAsia="Times New Roman"/>
          <w:color w:val="4472C4" w:themeColor="accent1"/>
          <w:lang w:eastAsia="en-GB"/>
        </w:rPr>
        <w:t>direction and decision making</w:t>
      </w:r>
    </w:p>
    <w:p w14:paraId="3EAFD93A" w14:textId="77777777" w:rsidR="00F94DE7" w:rsidRPr="00F94DE7" w:rsidRDefault="00F94DE7" w:rsidP="00F94DE7">
      <w:pPr>
        <w:numPr>
          <w:ilvl w:val="0"/>
          <w:numId w:val="3"/>
        </w:numPr>
        <w:shd w:val="clear" w:color="auto" w:fill="FFFFFF"/>
        <w:rPr>
          <w:rFonts w:eastAsia="Times New Roman"/>
          <w:color w:val="4472C4" w:themeColor="accent1"/>
          <w:lang w:eastAsia="en-GB"/>
        </w:rPr>
      </w:pPr>
      <w:r w:rsidRPr="00F94DE7">
        <w:rPr>
          <w:rFonts w:eastAsia="Times New Roman"/>
          <w:color w:val="4472C4" w:themeColor="accent1"/>
          <w:lang w:eastAsia="en-GB"/>
        </w:rPr>
        <w:t>communication outcomes and flow of info</w:t>
      </w:r>
    </w:p>
    <w:p w14:paraId="7B2D4EBF" w14:textId="77777777" w:rsidR="00F94DE7" w:rsidRPr="00F94DE7" w:rsidRDefault="00F94DE7" w:rsidP="00F94DE7">
      <w:pPr>
        <w:numPr>
          <w:ilvl w:val="0"/>
          <w:numId w:val="3"/>
        </w:numPr>
        <w:shd w:val="clear" w:color="auto" w:fill="FFFFFF"/>
        <w:rPr>
          <w:rFonts w:eastAsia="Times New Roman"/>
          <w:color w:val="4472C4" w:themeColor="accent1"/>
          <w:lang w:eastAsia="en-GB"/>
        </w:rPr>
      </w:pPr>
      <w:r w:rsidRPr="00F94DE7">
        <w:rPr>
          <w:rFonts w:eastAsia="Times New Roman"/>
          <w:color w:val="4472C4" w:themeColor="accent1"/>
          <w:lang w:eastAsia="en-GB"/>
        </w:rPr>
        <w:t>visibility and availability</w:t>
      </w:r>
    </w:p>
    <w:p w14:paraId="1432FCEF" w14:textId="77777777" w:rsidR="00F94DE7" w:rsidRPr="00F94DE7" w:rsidRDefault="00F94DE7" w:rsidP="00F94DE7">
      <w:pPr>
        <w:numPr>
          <w:ilvl w:val="0"/>
          <w:numId w:val="3"/>
        </w:numPr>
        <w:shd w:val="clear" w:color="auto" w:fill="FFFFFF"/>
        <w:rPr>
          <w:rFonts w:eastAsia="Times New Roman"/>
          <w:color w:val="4472C4" w:themeColor="accent1"/>
          <w:lang w:eastAsia="en-GB"/>
        </w:rPr>
      </w:pPr>
      <w:r w:rsidRPr="00F94DE7">
        <w:rPr>
          <w:rFonts w:eastAsia="Times New Roman"/>
          <w:color w:val="4472C4" w:themeColor="accent1"/>
          <w:lang w:eastAsia="en-GB"/>
        </w:rPr>
        <w:t>role modelling</w:t>
      </w:r>
    </w:p>
    <w:p w14:paraId="031E26EF" w14:textId="77777777" w:rsidR="00F94DE7" w:rsidRPr="00F94DE7" w:rsidRDefault="00F94DE7" w:rsidP="00F94DE7">
      <w:pPr>
        <w:numPr>
          <w:ilvl w:val="0"/>
          <w:numId w:val="3"/>
        </w:numPr>
        <w:shd w:val="clear" w:color="auto" w:fill="FFFFFF"/>
        <w:rPr>
          <w:rFonts w:eastAsia="Times New Roman"/>
          <w:color w:val="4472C4" w:themeColor="accent1"/>
          <w:lang w:eastAsia="en-GB"/>
        </w:rPr>
      </w:pPr>
      <w:r w:rsidRPr="00F94DE7">
        <w:rPr>
          <w:rFonts w:eastAsia="Times New Roman"/>
          <w:color w:val="4472C4" w:themeColor="accent1"/>
          <w:lang w:eastAsia="en-GB"/>
        </w:rPr>
        <w:t>staff development and coaching</w:t>
      </w:r>
    </w:p>
    <w:p w14:paraId="36C84497" w14:textId="77777777" w:rsidR="00F94DE7" w:rsidRDefault="00F94DE7" w:rsidP="00F94DE7"/>
    <w:p w14:paraId="3BFC1D50" w14:textId="43D16490" w:rsidR="00F94DE7" w:rsidRPr="00F94DE7" w:rsidRDefault="00F94DE7" w:rsidP="00F94DE7">
      <w:pPr>
        <w:ind w:left="720"/>
        <w:rPr>
          <w:rFonts w:eastAsia="Times New Roman"/>
        </w:rPr>
      </w:pPr>
      <w:r w:rsidRPr="00F94DE7">
        <w:rPr>
          <w:rFonts w:eastAsia="Times New Roman"/>
          <w:b/>
          <w:bCs/>
        </w:rPr>
        <w:t>Q3</w:t>
      </w:r>
      <w:r w:rsidRPr="00F94DE7">
        <w:rPr>
          <w:rFonts w:eastAsia="Times New Roman"/>
        </w:rPr>
        <w:t xml:space="preserve"> </w:t>
      </w:r>
      <w:r w:rsidRPr="00F94DE7">
        <w:rPr>
          <w:rFonts w:eastAsia="Times New Roman"/>
        </w:rPr>
        <w:t>Under point 5 of Annex A, you state the need for circa 50 hours of coaching over the course of the coaching – is this in total or per-individual?</w:t>
      </w:r>
    </w:p>
    <w:p w14:paraId="51FD6957" w14:textId="77777777" w:rsidR="00F94DE7" w:rsidRDefault="00F94DE7" w:rsidP="00F94DE7">
      <w:pPr>
        <w:pStyle w:val="ListParagraph"/>
      </w:pPr>
    </w:p>
    <w:p w14:paraId="01BF224D" w14:textId="32955635" w:rsidR="00F94DE7" w:rsidRPr="00F94DE7" w:rsidRDefault="00F94DE7" w:rsidP="00F94DE7">
      <w:pPr>
        <w:ind w:firstLine="720"/>
        <w:rPr>
          <w:rFonts w:eastAsia="Times New Roman"/>
          <w:color w:val="4472C4" w:themeColor="accent1"/>
        </w:rPr>
      </w:pPr>
      <w:r w:rsidRPr="00F94DE7">
        <w:rPr>
          <w:rFonts w:eastAsia="Times New Roman"/>
          <w:color w:val="4472C4" w:themeColor="accent1"/>
        </w:rPr>
        <w:t xml:space="preserve">A3  </w:t>
      </w:r>
      <w:r w:rsidRPr="00F94DE7">
        <w:rPr>
          <w:rFonts w:eastAsia="Times New Roman"/>
          <w:color w:val="4472C4" w:themeColor="accent1"/>
        </w:rPr>
        <w:t>This is in total</w:t>
      </w:r>
    </w:p>
    <w:p w14:paraId="1C938279" w14:textId="77777777" w:rsidR="00F94DE7" w:rsidRDefault="00F94DE7" w:rsidP="00F94DE7">
      <w:pPr>
        <w:pStyle w:val="ListParagraph"/>
      </w:pPr>
    </w:p>
    <w:p w14:paraId="62010CA9" w14:textId="331FE08F" w:rsidR="00F94DE7" w:rsidRDefault="00F94DE7" w:rsidP="00F94DE7">
      <w:pPr>
        <w:pStyle w:val="ListParagraph"/>
        <w:rPr>
          <w:rFonts w:eastAsia="Times New Roman"/>
        </w:rPr>
      </w:pPr>
      <w:r w:rsidRPr="00F94DE7">
        <w:rPr>
          <w:rFonts w:eastAsia="Times New Roman"/>
          <w:b/>
          <w:bCs/>
        </w:rPr>
        <w:t>Q4</w:t>
      </w:r>
      <w:r>
        <w:rPr>
          <w:rFonts w:eastAsia="Times New Roman"/>
        </w:rPr>
        <w:t xml:space="preserve"> </w:t>
      </w:r>
      <w:r>
        <w:rPr>
          <w:rFonts w:eastAsia="Times New Roman"/>
        </w:rPr>
        <w:t>Under point 11, you mention that the start up meeting will be via teams, then you ask for a cost to attend the start up meeting in Peterborough or Aberdeen. Can you clarify your preference please.</w:t>
      </w:r>
    </w:p>
    <w:p w14:paraId="5D4FA2C8" w14:textId="77777777" w:rsidR="00F94DE7" w:rsidRPr="00F94DE7" w:rsidRDefault="00F94DE7" w:rsidP="00F94DE7">
      <w:pPr>
        <w:pStyle w:val="ListParagraph"/>
        <w:rPr>
          <w:color w:val="4472C4" w:themeColor="accent1"/>
        </w:rPr>
      </w:pPr>
    </w:p>
    <w:p w14:paraId="5324C85E" w14:textId="324B8897" w:rsidR="00F94DE7" w:rsidRPr="00F94DE7" w:rsidRDefault="00F94DE7" w:rsidP="00F94DE7">
      <w:pPr>
        <w:ind w:firstLine="720"/>
        <w:rPr>
          <w:rFonts w:eastAsia="Times New Roman"/>
          <w:color w:val="4472C4" w:themeColor="accent1"/>
        </w:rPr>
      </w:pPr>
      <w:r w:rsidRPr="00F94DE7">
        <w:rPr>
          <w:rFonts w:eastAsia="Times New Roman"/>
          <w:color w:val="4472C4" w:themeColor="accent1"/>
        </w:rPr>
        <w:t xml:space="preserve">A4 </w:t>
      </w:r>
      <w:r w:rsidRPr="00F94DE7">
        <w:rPr>
          <w:rFonts w:eastAsia="Times New Roman"/>
          <w:color w:val="4472C4" w:themeColor="accent1"/>
        </w:rPr>
        <w:t>A start up meeting via MS Teams is preferable</w:t>
      </w:r>
    </w:p>
    <w:p w14:paraId="04638BF2" w14:textId="77777777" w:rsidR="00F94DE7" w:rsidRDefault="00F94DE7"/>
    <w:sectPr w:rsidR="00F94D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82E3C"/>
    <w:multiLevelType w:val="hybridMultilevel"/>
    <w:tmpl w:val="1E7E0958"/>
    <w:lvl w:ilvl="0" w:tplc="80D0315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D540172"/>
    <w:multiLevelType w:val="multilevel"/>
    <w:tmpl w:val="53C62F98"/>
    <w:lvl w:ilvl="0">
      <w:start w:val="1"/>
      <w:numFmt w:val="bullet"/>
      <w:lvlText w:val="o"/>
      <w:lvlJc w:val="left"/>
      <w:pPr>
        <w:tabs>
          <w:tab w:val="num" w:pos="1080"/>
        </w:tabs>
        <w:ind w:left="1080" w:hanging="360"/>
      </w:pPr>
      <w:rPr>
        <w:rFonts w:ascii="Courier New" w:hAnsi="Courier New" w:cs="Times New Roman"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o"/>
      <w:lvlJc w:val="left"/>
      <w:pPr>
        <w:tabs>
          <w:tab w:val="num" w:pos="2520"/>
        </w:tabs>
        <w:ind w:left="2520" w:hanging="360"/>
      </w:pPr>
      <w:rPr>
        <w:rFonts w:ascii="Courier New" w:hAnsi="Courier New" w:cs="Times New Roman" w:hint="default"/>
        <w:sz w:val="20"/>
      </w:rPr>
    </w:lvl>
    <w:lvl w:ilvl="3">
      <w:start w:val="1"/>
      <w:numFmt w:val="bullet"/>
      <w:lvlText w:val="o"/>
      <w:lvlJc w:val="left"/>
      <w:pPr>
        <w:tabs>
          <w:tab w:val="num" w:pos="3240"/>
        </w:tabs>
        <w:ind w:left="3240" w:hanging="360"/>
      </w:pPr>
      <w:rPr>
        <w:rFonts w:ascii="Courier New" w:hAnsi="Courier New" w:cs="Times New Roman" w:hint="default"/>
        <w:sz w:val="20"/>
      </w:rPr>
    </w:lvl>
    <w:lvl w:ilvl="4">
      <w:start w:val="1"/>
      <w:numFmt w:val="bullet"/>
      <w:lvlText w:val="o"/>
      <w:lvlJc w:val="left"/>
      <w:pPr>
        <w:tabs>
          <w:tab w:val="num" w:pos="3960"/>
        </w:tabs>
        <w:ind w:left="3960" w:hanging="360"/>
      </w:pPr>
      <w:rPr>
        <w:rFonts w:ascii="Courier New" w:hAnsi="Courier New" w:cs="Times New Roman" w:hint="default"/>
        <w:sz w:val="20"/>
      </w:rPr>
    </w:lvl>
    <w:lvl w:ilvl="5">
      <w:start w:val="1"/>
      <w:numFmt w:val="bullet"/>
      <w:lvlText w:val="o"/>
      <w:lvlJc w:val="left"/>
      <w:pPr>
        <w:tabs>
          <w:tab w:val="num" w:pos="4680"/>
        </w:tabs>
        <w:ind w:left="4680" w:hanging="360"/>
      </w:pPr>
      <w:rPr>
        <w:rFonts w:ascii="Courier New" w:hAnsi="Courier New" w:cs="Times New Roman" w:hint="default"/>
        <w:sz w:val="20"/>
      </w:rPr>
    </w:lvl>
    <w:lvl w:ilvl="6">
      <w:start w:val="1"/>
      <w:numFmt w:val="bullet"/>
      <w:lvlText w:val="o"/>
      <w:lvlJc w:val="left"/>
      <w:pPr>
        <w:tabs>
          <w:tab w:val="num" w:pos="5400"/>
        </w:tabs>
        <w:ind w:left="5400" w:hanging="360"/>
      </w:pPr>
      <w:rPr>
        <w:rFonts w:ascii="Courier New" w:hAnsi="Courier New" w:cs="Times New Roman" w:hint="default"/>
        <w:sz w:val="20"/>
      </w:rPr>
    </w:lvl>
    <w:lvl w:ilvl="7">
      <w:start w:val="1"/>
      <w:numFmt w:val="bullet"/>
      <w:lvlText w:val="o"/>
      <w:lvlJc w:val="left"/>
      <w:pPr>
        <w:tabs>
          <w:tab w:val="num" w:pos="6120"/>
        </w:tabs>
        <w:ind w:left="6120" w:hanging="360"/>
      </w:pPr>
      <w:rPr>
        <w:rFonts w:ascii="Courier New" w:hAnsi="Courier New" w:cs="Times New Roman" w:hint="default"/>
        <w:sz w:val="20"/>
      </w:rPr>
    </w:lvl>
    <w:lvl w:ilvl="8">
      <w:start w:val="1"/>
      <w:numFmt w:val="bullet"/>
      <w:lvlText w:val="o"/>
      <w:lvlJc w:val="left"/>
      <w:pPr>
        <w:tabs>
          <w:tab w:val="num" w:pos="6840"/>
        </w:tabs>
        <w:ind w:left="6840" w:hanging="360"/>
      </w:pPr>
      <w:rPr>
        <w:rFonts w:ascii="Courier New" w:hAnsi="Courier New" w:cs="Times New Roman" w:hint="default"/>
        <w:sz w:val="20"/>
      </w:rPr>
    </w:lvl>
  </w:abstractNum>
  <w:abstractNum w:abstractNumId="2" w15:restartNumberingAfterBreak="0">
    <w:nsid w:val="70A959D2"/>
    <w:multiLevelType w:val="hybridMultilevel"/>
    <w:tmpl w:val="6248EE66"/>
    <w:lvl w:ilvl="0" w:tplc="B2865B2E">
      <w:start w:val="7"/>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E7"/>
    <w:rsid w:val="00E732ED"/>
    <w:rsid w:val="00F94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B667"/>
  <w15:chartTrackingRefBased/>
  <w15:docId w15:val="{585FA17A-41FC-4F71-98BD-16992E50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DE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DE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26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Iantosca</dc:creator>
  <cp:keywords/>
  <dc:description/>
  <cp:lastModifiedBy>Dora Iantosca</cp:lastModifiedBy>
  <cp:revision>2</cp:revision>
  <dcterms:created xsi:type="dcterms:W3CDTF">2022-06-20T14:29:00Z</dcterms:created>
  <dcterms:modified xsi:type="dcterms:W3CDTF">2022-06-20T14:37:00Z</dcterms:modified>
</cp:coreProperties>
</file>