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8B564" w14:textId="78AF9BD6" w:rsidR="00A10500" w:rsidRDefault="00091B0C" w:rsidP="00571BC4">
      <w:pPr>
        <w:pStyle w:val="GPSSchTitleandNumber"/>
        <w:spacing w:after="200" w:line="276" w:lineRule="auto"/>
        <w:jc w:val="left"/>
        <w:rPr>
          <w:rFonts w:ascii="Arial" w:hAnsi="Arial" w:cs="Arial"/>
          <w:caps w:val="0"/>
          <w:sz w:val="36"/>
          <w:szCs w:val="36"/>
        </w:rPr>
      </w:pPr>
      <w:bookmarkStart w:id="0" w:name="_Hlk85550264"/>
      <w:r w:rsidRPr="00091B0C">
        <w:rPr>
          <w:rFonts w:ascii="Arial" w:hAnsi="Arial" w:cs="Arial"/>
          <w:caps w:val="0"/>
          <w:sz w:val="36"/>
          <w:szCs w:val="36"/>
        </w:rPr>
        <w:t xml:space="preserve">Schedule </w:t>
      </w:r>
      <w:r w:rsidR="00FC5816">
        <w:rPr>
          <w:rFonts w:ascii="Arial" w:hAnsi="Arial" w:cs="Arial"/>
          <w:caps w:val="0"/>
          <w:sz w:val="36"/>
          <w:szCs w:val="36"/>
        </w:rPr>
        <w:t>10</w:t>
      </w:r>
      <w:r w:rsidRPr="00091B0C">
        <w:rPr>
          <w:rFonts w:ascii="Arial" w:hAnsi="Arial" w:cs="Arial"/>
          <w:caps w:val="0"/>
          <w:sz w:val="36"/>
          <w:szCs w:val="36"/>
        </w:rPr>
        <w:t xml:space="preserve"> </w:t>
      </w:r>
      <w:r w:rsidR="00E420BC">
        <w:rPr>
          <w:rFonts w:ascii="Arial" w:hAnsi="Arial" w:cs="Arial"/>
          <w:caps w:val="0"/>
          <w:sz w:val="36"/>
          <w:szCs w:val="36"/>
        </w:rPr>
        <w:t>(</w:t>
      </w:r>
      <w:r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5ED36A82" w14:textId="77777777" w:rsidR="005D1C56" w:rsidRPr="00B553F1" w:rsidRDefault="00EF7368">
      <w:pPr>
        <w:pStyle w:val="GPSL1CLAUSEHEADING"/>
        <w:rPr>
          <w:rFonts w:hint="eastAsia"/>
        </w:rPr>
      </w:pPr>
      <w:bookmarkStart w:id="1" w:name="_Hlk45180294"/>
      <w:r w:rsidRPr="00B553F1">
        <w:t>Definitions</w:t>
      </w:r>
    </w:p>
    <w:p w14:paraId="6FA9EB5E" w14:textId="68119421" w:rsidR="005D1C56" w:rsidRPr="00B553F1" w:rsidRDefault="005D1C56" w:rsidP="00544576">
      <w:pPr>
        <w:pStyle w:val="GPSL2NumberedBoldHeading"/>
        <w:keepNext/>
      </w:pPr>
      <w:r w:rsidRPr="00B553F1">
        <w:t xml:space="preserve">In this Schedule, the following words shall have the following meanings and they shall supplement </w:t>
      </w:r>
      <w:r w:rsidR="00BC7C20" w:rsidRPr="00B553F1">
        <w:t>Schedule 1</w:t>
      </w:r>
      <w:r w:rsidRPr="00B553F1">
        <w:t xml:space="preserve"> (Definitions):</w:t>
      </w:r>
    </w:p>
    <w:tbl>
      <w:tblPr>
        <w:tblW w:w="8422" w:type="dxa"/>
        <w:tblInd w:w="900" w:type="dxa"/>
        <w:tblLayout w:type="fixed"/>
        <w:tblLook w:val="04A0" w:firstRow="1" w:lastRow="0" w:firstColumn="1" w:lastColumn="0" w:noHBand="0" w:noVBand="1"/>
      </w:tblPr>
      <w:tblGrid>
        <w:gridCol w:w="2469"/>
        <w:gridCol w:w="5953"/>
      </w:tblGrid>
      <w:tr w:rsidR="006A11C8" w:rsidRPr="00091B0C" w14:paraId="41527DC1" w14:textId="77777777" w:rsidTr="001A25C9">
        <w:tc>
          <w:tcPr>
            <w:tcW w:w="2469" w:type="dxa"/>
            <w:shd w:val="clear" w:color="auto" w:fill="auto"/>
          </w:tcPr>
          <w:p w14:paraId="64B775CC" w14:textId="04D2F66F" w:rsidR="006A11C8" w:rsidRPr="00091B0C" w:rsidRDefault="00544576" w:rsidP="00D26C13">
            <w:pPr>
              <w:pStyle w:val="GPSDefinitionTerm"/>
              <w:spacing w:before="120"/>
              <w:rPr>
                <w:szCs w:val="24"/>
              </w:rPr>
            </w:pPr>
            <w:r w:rsidRPr="00091B0C">
              <w:rPr>
                <w:szCs w:val="24"/>
              </w:rPr>
              <w:t>"</w:t>
            </w:r>
            <w:r w:rsidR="0079433C">
              <w:rPr>
                <w:szCs w:val="24"/>
              </w:rPr>
              <w:t>Critical Service Level Failure</w:t>
            </w:r>
            <w:r w:rsidRPr="00091B0C">
              <w:rPr>
                <w:szCs w:val="24"/>
              </w:rPr>
              <w:t>"</w:t>
            </w:r>
          </w:p>
        </w:tc>
        <w:tc>
          <w:tcPr>
            <w:tcW w:w="5953" w:type="dxa"/>
            <w:shd w:val="clear" w:color="auto" w:fill="auto"/>
          </w:tcPr>
          <w:p w14:paraId="6D2F0EAA" w14:textId="2C5E5FF2" w:rsidR="006A11C8" w:rsidRPr="00AF3B99" w:rsidRDefault="00864B4E" w:rsidP="001A25C9">
            <w:pPr>
              <w:pStyle w:val="GPsDefinition"/>
              <w:numPr>
                <w:ilvl w:val="0"/>
                <w:numId w:val="0"/>
              </w:numPr>
              <w:tabs>
                <w:tab w:val="clear" w:pos="-9"/>
              </w:tabs>
              <w:spacing w:before="120"/>
              <w:ind w:left="170"/>
              <w:jc w:val="left"/>
              <w:rPr>
                <w:szCs w:val="24"/>
              </w:rPr>
            </w:pPr>
            <w:r>
              <w:rPr>
                <w:szCs w:val="24"/>
              </w:rPr>
              <w:t>has the meaning given to it in the Award Form;</w:t>
            </w:r>
          </w:p>
        </w:tc>
      </w:tr>
      <w:tr w:rsidR="00AF3B99" w:rsidRPr="00091B0C" w14:paraId="6C533616" w14:textId="77777777" w:rsidTr="001A25C9">
        <w:tc>
          <w:tcPr>
            <w:tcW w:w="2469" w:type="dxa"/>
            <w:shd w:val="clear" w:color="auto" w:fill="auto"/>
          </w:tcPr>
          <w:p w14:paraId="783B0FC3" w14:textId="0370A00C" w:rsidR="00AF3B99" w:rsidRDefault="00AF3B99" w:rsidP="001A25C9">
            <w:pPr>
              <w:pStyle w:val="GPSDefinitionTerm"/>
              <w:spacing w:before="120"/>
              <w:rPr>
                <w:szCs w:val="24"/>
              </w:rPr>
            </w:pPr>
            <w:r w:rsidRPr="00091B0C">
              <w:rPr>
                <w:szCs w:val="24"/>
              </w:rPr>
              <w:t>"Service Credits"</w:t>
            </w:r>
          </w:p>
        </w:tc>
        <w:tc>
          <w:tcPr>
            <w:tcW w:w="5953" w:type="dxa"/>
            <w:shd w:val="clear" w:color="auto" w:fill="auto"/>
          </w:tcPr>
          <w:p w14:paraId="0CD89831" w14:textId="5D7EDDBB" w:rsidR="00AF3B99" w:rsidRDefault="00AF3B99" w:rsidP="001A25C9">
            <w:pPr>
              <w:pStyle w:val="GPsDefinition"/>
              <w:numPr>
                <w:ilvl w:val="0"/>
                <w:numId w:val="0"/>
              </w:numPr>
              <w:tabs>
                <w:tab w:val="left" w:pos="-179"/>
              </w:tabs>
              <w:spacing w:before="120"/>
              <w:ind w:left="170"/>
              <w:jc w:val="left"/>
              <w:rPr>
                <w:szCs w:val="24"/>
              </w:rPr>
            </w:pPr>
            <w:r w:rsidRPr="00091B0C">
              <w:rPr>
                <w:szCs w:val="24"/>
              </w:rPr>
              <w:t>any service credits specified in the Annex to Part A of this Schedule being payable by the Supplier to the Buyer in respect of any failure by the Supplier to meet one or more Service Levels;</w:t>
            </w:r>
          </w:p>
        </w:tc>
      </w:tr>
      <w:tr w:rsidR="006A11C8" w:rsidRPr="00091B0C" w14:paraId="2B941A22" w14:textId="77777777" w:rsidTr="001A25C9">
        <w:trPr>
          <w:trHeight w:val="359"/>
        </w:trPr>
        <w:tc>
          <w:tcPr>
            <w:tcW w:w="2469" w:type="dxa"/>
            <w:shd w:val="clear" w:color="auto" w:fill="auto"/>
          </w:tcPr>
          <w:p w14:paraId="14AF2178" w14:textId="77777777" w:rsidR="006A11C8" w:rsidRPr="00091B0C" w:rsidRDefault="006A11C8" w:rsidP="001A25C9">
            <w:pPr>
              <w:pStyle w:val="GPSDefinitionTerm"/>
              <w:spacing w:before="120"/>
              <w:rPr>
                <w:szCs w:val="24"/>
              </w:rPr>
            </w:pPr>
            <w:r w:rsidRPr="00091B0C">
              <w:rPr>
                <w:szCs w:val="24"/>
              </w:rPr>
              <w:t>"Service Credit Cap"</w:t>
            </w:r>
          </w:p>
        </w:tc>
        <w:tc>
          <w:tcPr>
            <w:tcW w:w="5953" w:type="dxa"/>
            <w:shd w:val="clear" w:color="auto" w:fill="auto"/>
          </w:tcPr>
          <w:p w14:paraId="1DA3AF98" w14:textId="5B43EEE0" w:rsidR="006A11C8" w:rsidRPr="00091B0C" w:rsidRDefault="006A11C8" w:rsidP="001A25C9">
            <w:pPr>
              <w:pStyle w:val="GPsDefinition"/>
              <w:numPr>
                <w:ilvl w:val="0"/>
                <w:numId w:val="0"/>
              </w:numPr>
              <w:tabs>
                <w:tab w:val="left" w:pos="-179"/>
              </w:tabs>
              <w:spacing w:before="120"/>
              <w:ind w:left="170"/>
              <w:jc w:val="left"/>
              <w:rPr>
                <w:szCs w:val="24"/>
              </w:rPr>
            </w:pPr>
            <w:r w:rsidRPr="00091B0C">
              <w:rPr>
                <w:szCs w:val="24"/>
              </w:rPr>
              <w:t xml:space="preserve">has the meaning given to it in the </w:t>
            </w:r>
            <w:r w:rsidR="00F23D52">
              <w:rPr>
                <w:szCs w:val="24"/>
              </w:rPr>
              <w:t>Award</w:t>
            </w:r>
            <w:r w:rsidR="00F23D52" w:rsidRPr="00091B0C">
              <w:rPr>
                <w:szCs w:val="24"/>
              </w:rPr>
              <w:t xml:space="preserve"> </w:t>
            </w:r>
            <w:r w:rsidRPr="00091B0C">
              <w:rPr>
                <w:szCs w:val="24"/>
              </w:rPr>
              <w:t>Form;</w:t>
            </w:r>
          </w:p>
        </w:tc>
      </w:tr>
      <w:tr w:rsidR="00C20902" w:rsidRPr="00091B0C" w14:paraId="00A3E87A" w14:textId="77777777" w:rsidTr="001A25C9">
        <w:tc>
          <w:tcPr>
            <w:tcW w:w="2469" w:type="dxa"/>
            <w:shd w:val="clear" w:color="auto" w:fill="auto"/>
          </w:tcPr>
          <w:p w14:paraId="5144A224" w14:textId="77777777" w:rsidR="00C20902" w:rsidRPr="00091B0C" w:rsidRDefault="00C20902" w:rsidP="001A25C9">
            <w:pPr>
              <w:pStyle w:val="GPSDefinitionTerm"/>
              <w:spacing w:before="120"/>
              <w:rPr>
                <w:szCs w:val="24"/>
              </w:rPr>
            </w:pPr>
            <w:r w:rsidRPr="00091B0C">
              <w:rPr>
                <w:szCs w:val="24"/>
              </w:rPr>
              <w:t>"Service Level Failure"</w:t>
            </w:r>
          </w:p>
        </w:tc>
        <w:tc>
          <w:tcPr>
            <w:tcW w:w="5953" w:type="dxa"/>
            <w:shd w:val="clear" w:color="auto" w:fill="auto"/>
          </w:tcPr>
          <w:p w14:paraId="510D2727" w14:textId="77777777" w:rsidR="00C20902" w:rsidRPr="00091B0C" w:rsidRDefault="00C20902" w:rsidP="001A25C9">
            <w:pPr>
              <w:pStyle w:val="GPsDefinition"/>
              <w:numPr>
                <w:ilvl w:val="0"/>
                <w:numId w:val="0"/>
              </w:numPr>
              <w:tabs>
                <w:tab w:val="left" w:pos="-179"/>
              </w:tabs>
              <w:spacing w:before="120"/>
              <w:ind w:left="170"/>
              <w:jc w:val="left"/>
              <w:rPr>
                <w:szCs w:val="24"/>
              </w:rPr>
            </w:pPr>
            <w:r w:rsidRPr="00091B0C">
              <w:rPr>
                <w:szCs w:val="24"/>
              </w:rPr>
              <w:t>means a failure to meet the Service Level Performance Measure in respect of a Service Level;</w:t>
            </w:r>
          </w:p>
        </w:tc>
      </w:tr>
      <w:tr w:rsidR="00C20902" w:rsidRPr="00091B0C" w14:paraId="174C172B" w14:textId="77777777" w:rsidTr="001A25C9">
        <w:tc>
          <w:tcPr>
            <w:tcW w:w="2469" w:type="dxa"/>
            <w:shd w:val="clear" w:color="auto" w:fill="auto"/>
          </w:tcPr>
          <w:p w14:paraId="2B1A339D" w14:textId="77777777" w:rsidR="00C20902" w:rsidRPr="00091B0C" w:rsidRDefault="00C20902" w:rsidP="001A25C9">
            <w:pPr>
              <w:pStyle w:val="GPSDefinitionTerm"/>
              <w:spacing w:before="120"/>
              <w:rPr>
                <w:szCs w:val="24"/>
              </w:rPr>
            </w:pPr>
            <w:r w:rsidRPr="00091B0C">
              <w:rPr>
                <w:szCs w:val="24"/>
              </w:rPr>
              <w:t>"Service Level Performance Measure"</w:t>
            </w:r>
          </w:p>
        </w:tc>
        <w:tc>
          <w:tcPr>
            <w:tcW w:w="5953" w:type="dxa"/>
            <w:shd w:val="clear" w:color="auto" w:fill="auto"/>
          </w:tcPr>
          <w:p w14:paraId="273AD6B8" w14:textId="77777777" w:rsidR="00C20902" w:rsidRPr="00091B0C" w:rsidRDefault="00C20902" w:rsidP="001A25C9">
            <w:pPr>
              <w:pStyle w:val="GPsDefinition"/>
              <w:numPr>
                <w:ilvl w:val="0"/>
                <w:numId w:val="0"/>
              </w:numPr>
              <w:tabs>
                <w:tab w:val="left" w:pos="-179"/>
              </w:tabs>
              <w:spacing w:before="120"/>
              <w:ind w:left="170"/>
              <w:jc w:val="left"/>
              <w:rPr>
                <w:szCs w:val="24"/>
              </w:rPr>
            </w:pPr>
            <w:r w:rsidRPr="00091B0C">
              <w:rPr>
                <w:szCs w:val="24"/>
              </w:rPr>
              <w:t>shall be as set out against the relevant Service Level in the Annex to Part A of this Schedule; and</w:t>
            </w:r>
          </w:p>
        </w:tc>
      </w:tr>
      <w:tr w:rsidR="00C20902" w:rsidRPr="00091B0C" w14:paraId="13182C3D" w14:textId="77777777" w:rsidTr="001A25C9">
        <w:tc>
          <w:tcPr>
            <w:tcW w:w="2469" w:type="dxa"/>
            <w:shd w:val="clear" w:color="auto" w:fill="auto"/>
          </w:tcPr>
          <w:p w14:paraId="5D217EEF" w14:textId="77777777" w:rsidR="00C20902" w:rsidRPr="00091B0C" w:rsidRDefault="00C20902" w:rsidP="001A25C9">
            <w:pPr>
              <w:pStyle w:val="GPSDefinitionTerm"/>
              <w:spacing w:before="120"/>
              <w:rPr>
                <w:szCs w:val="24"/>
              </w:rPr>
            </w:pPr>
            <w:r w:rsidRPr="00091B0C">
              <w:rPr>
                <w:szCs w:val="24"/>
              </w:rPr>
              <w:t>"Service Level Threshold"</w:t>
            </w:r>
          </w:p>
        </w:tc>
        <w:tc>
          <w:tcPr>
            <w:tcW w:w="5953" w:type="dxa"/>
            <w:shd w:val="clear" w:color="auto" w:fill="auto"/>
          </w:tcPr>
          <w:p w14:paraId="690F82C2" w14:textId="77777777" w:rsidR="00C20902" w:rsidRPr="00091B0C" w:rsidRDefault="00C20902" w:rsidP="001A25C9">
            <w:pPr>
              <w:pStyle w:val="GPsDefinition"/>
              <w:numPr>
                <w:ilvl w:val="0"/>
                <w:numId w:val="0"/>
              </w:numPr>
              <w:tabs>
                <w:tab w:val="left" w:pos="-179"/>
              </w:tabs>
              <w:spacing w:before="120"/>
              <w:ind w:left="170"/>
              <w:jc w:val="left"/>
              <w:rPr>
                <w:szCs w:val="24"/>
              </w:rPr>
            </w:pPr>
            <w:r w:rsidRPr="00091B0C">
              <w:rPr>
                <w:szCs w:val="24"/>
              </w:rPr>
              <w:t>shall be as set out against the relevant Service Level in the Annex to Part A of this Schedule.</w:t>
            </w:r>
          </w:p>
        </w:tc>
      </w:tr>
    </w:tbl>
    <w:p w14:paraId="2165D8E2" w14:textId="2C44A664" w:rsidR="005D1C56" w:rsidRPr="00544576" w:rsidRDefault="00EF7368" w:rsidP="004D3049">
      <w:pPr>
        <w:pStyle w:val="GPSL1CLAUSEHEADING"/>
        <w:rPr>
          <w:rFonts w:ascii="Arial" w:hAnsi="Arial"/>
          <w:szCs w:val="24"/>
        </w:rPr>
      </w:pPr>
      <w:r w:rsidRPr="00544576">
        <w:rPr>
          <w:rFonts w:ascii="Arial" w:hAnsi="Arial" w:hint="eastAsia"/>
          <w:szCs w:val="24"/>
        </w:rPr>
        <w:t>What happens if you don</w:t>
      </w:r>
      <w:r w:rsidR="00544576">
        <w:rPr>
          <w:rFonts w:ascii="Arial" w:hAnsi="Arial"/>
          <w:szCs w:val="24"/>
        </w:rPr>
        <w:t>’</w:t>
      </w:r>
      <w:r w:rsidRPr="00544576">
        <w:rPr>
          <w:rFonts w:ascii="Arial" w:hAnsi="Arial" w:hint="eastAsia"/>
          <w:szCs w:val="24"/>
        </w:rPr>
        <w:t>t meet the Service Levels</w:t>
      </w:r>
    </w:p>
    <w:p w14:paraId="5B3E1CD5" w14:textId="77777777" w:rsidR="005D1C56" w:rsidRPr="004D3049" w:rsidRDefault="005D1C56" w:rsidP="004D3049">
      <w:pPr>
        <w:pStyle w:val="GPSL2NumberedBoldHeading"/>
        <w:rPr>
          <w:b/>
        </w:rPr>
      </w:pPr>
      <w:r w:rsidRPr="004D3049">
        <w:t>The Supplier shall at all times provide the Deliverables to meet or exceed the Service Level Performance Measure for each Service Level.</w:t>
      </w:r>
    </w:p>
    <w:p w14:paraId="78E50333" w14:textId="77777777" w:rsidR="005D1C56" w:rsidRPr="004D3049" w:rsidRDefault="005D1C56" w:rsidP="004D3049">
      <w:pPr>
        <w:pStyle w:val="GPSL2NumberedBoldHeading"/>
        <w:rPr>
          <w:b/>
        </w:rPr>
      </w:pPr>
      <w:r w:rsidRPr="004D3049">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04B8A3FB" w14:textId="77777777" w:rsidR="005D1C56" w:rsidRPr="004D3049" w:rsidRDefault="005D1C56" w:rsidP="004D3049">
      <w:pPr>
        <w:pStyle w:val="GPSL2NumberedBoldHeading"/>
      </w:pPr>
      <w:r w:rsidRPr="004D3049">
        <w:t>The Supplier shall send Performance Monitoring Reports to the Buyer detailing the level of service which was achieved in accordance with the provisions of Part B (Performance Monitoring) of this Schedule.</w:t>
      </w:r>
    </w:p>
    <w:p w14:paraId="3A778FC1" w14:textId="77777777" w:rsidR="005D1C56" w:rsidRPr="004D3049" w:rsidRDefault="005D1C56" w:rsidP="00571BC4">
      <w:pPr>
        <w:pStyle w:val="GPSL2NumberedBoldHeading"/>
        <w:keepNext/>
        <w:rPr>
          <w:b/>
        </w:rPr>
      </w:pPr>
      <w:r w:rsidRPr="004D3049">
        <w:t>A Service Credit shall be the Buyer’s exclusive financial remedy for a Service Level Failure except where:</w:t>
      </w:r>
    </w:p>
    <w:p w14:paraId="17D2A21A" w14:textId="77777777" w:rsidR="005D1C56" w:rsidRPr="004D3049" w:rsidRDefault="005D1C56" w:rsidP="004D3049">
      <w:pPr>
        <w:pStyle w:val="GPSL3numberedclause"/>
      </w:pPr>
      <w:r w:rsidRPr="004D3049">
        <w:t>the Supplier has over the previous (twelve) 12 Month period exceeded the Service Credit Cap; and/or</w:t>
      </w:r>
    </w:p>
    <w:p w14:paraId="06A181C3" w14:textId="77777777" w:rsidR="005D1C56" w:rsidRPr="004D3049" w:rsidRDefault="005D1C56" w:rsidP="00571BC4">
      <w:pPr>
        <w:pStyle w:val="GPSL3numberedclause"/>
        <w:keepNext/>
      </w:pPr>
      <w:r w:rsidRPr="004D3049">
        <w:t>the Service Level Failure:</w:t>
      </w:r>
    </w:p>
    <w:p w14:paraId="7CFBBFCC" w14:textId="77777777" w:rsidR="005D1C56" w:rsidRPr="00C93B88" w:rsidRDefault="005D1C56" w:rsidP="004D3049">
      <w:pPr>
        <w:pStyle w:val="GPSL4numberedclause"/>
      </w:pPr>
      <w:r w:rsidRPr="00C93B88">
        <w:rPr>
          <w:szCs w:val="24"/>
        </w:rPr>
        <w:t>exceeds the relevant Service Level Threshold</w:t>
      </w:r>
      <w:r w:rsidRPr="00C93B88">
        <w:t>;</w:t>
      </w:r>
    </w:p>
    <w:p w14:paraId="60F9EA85" w14:textId="77777777" w:rsidR="005D1C56" w:rsidRPr="00C93B88" w:rsidRDefault="005D1C56" w:rsidP="009674CA">
      <w:pPr>
        <w:pStyle w:val="GPSL4numberedclause"/>
        <w:rPr>
          <w:szCs w:val="24"/>
        </w:rPr>
      </w:pPr>
      <w:r w:rsidRPr="00C93B88">
        <w:rPr>
          <w:szCs w:val="24"/>
        </w:rPr>
        <w:t xml:space="preserve">has arisen due to a Prohibited Act or wilful Default by the Supplier; </w:t>
      </w:r>
    </w:p>
    <w:p w14:paraId="6EA6E26E" w14:textId="77777777" w:rsidR="005D1C56" w:rsidRPr="00C93B88" w:rsidRDefault="005D1C56" w:rsidP="009674CA">
      <w:pPr>
        <w:pStyle w:val="GPSL4numberedclause"/>
        <w:rPr>
          <w:szCs w:val="24"/>
        </w:rPr>
      </w:pPr>
      <w:r w:rsidRPr="00C93B88">
        <w:rPr>
          <w:szCs w:val="24"/>
        </w:rPr>
        <w:t>results in the corruption or loss of any Government Data; and/or</w:t>
      </w:r>
    </w:p>
    <w:p w14:paraId="1349884E" w14:textId="77777777" w:rsidR="005D1C56" w:rsidRPr="00C93B88" w:rsidRDefault="005D1C56" w:rsidP="009674CA">
      <w:pPr>
        <w:pStyle w:val="GPSL4numberedclause"/>
        <w:rPr>
          <w:szCs w:val="24"/>
        </w:rPr>
      </w:pPr>
      <w:r w:rsidRPr="00C93B88">
        <w:rPr>
          <w:szCs w:val="24"/>
        </w:rPr>
        <w:t>results in the Buyer being required to make a compensation payment to one or more third parties; and/or</w:t>
      </w:r>
    </w:p>
    <w:p w14:paraId="06FED302" w14:textId="5C3B0767" w:rsidR="005D1C56" w:rsidRPr="004D3049" w:rsidRDefault="005D1C56" w:rsidP="004D3049">
      <w:pPr>
        <w:pStyle w:val="GPSL3numberedclause"/>
        <w:rPr>
          <w:szCs w:val="24"/>
        </w:rPr>
      </w:pPr>
      <w:r w:rsidRPr="004D3049">
        <w:rPr>
          <w:szCs w:val="24"/>
        </w:rPr>
        <w:t xml:space="preserve">the Buyer is </w:t>
      </w:r>
      <w:r w:rsidR="001834BF" w:rsidRPr="004D3049">
        <w:rPr>
          <w:szCs w:val="24"/>
        </w:rPr>
        <w:t xml:space="preserve">also </w:t>
      </w:r>
      <w:r w:rsidRPr="004D3049">
        <w:rPr>
          <w:szCs w:val="24"/>
        </w:rPr>
        <w:t>entitled to or does terminate this Contract pursuant to Clause 1</w:t>
      </w:r>
      <w:r w:rsidR="002753B1" w:rsidRPr="004D3049">
        <w:rPr>
          <w:szCs w:val="24"/>
        </w:rPr>
        <w:t>4</w:t>
      </w:r>
      <w:r w:rsidRPr="004D3049">
        <w:rPr>
          <w:szCs w:val="24"/>
        </w:rPr>
        <w:t xml:space="preserve">.4 </w:t>
      </w:r>
      <w:r w:rsidR="00BE7F3D" w:rsidRPr="004D3049">
        <w:rPr>
          <w:szCs w:val="24"/>
        </w:rPr>
        <w:t xml:space="preserve">of the Core Terms </w:t>
      </w:r>
      <w:r w:rsidRPr="004D3049">
        <w:rPr>
          <w:szCs w:val="24"/>
        </w:rPr>
        <w:t>(</w:t>
      </w:r>
      <w:r w:rsidR="007C1A1B">
        <w:rPr>
          <w:szCs w:val="24"/>
        </w:rPr>
        <w:t xml:space="preserve">When the Buyer can end the </w:t>
      </w:r>
      <w:r w:rsidR="00D26C13">
        <w:rPr>
          <w:szCs w:val="24"/>
        </w:rPr>
        <w:t>c</w:t>
      </w:r>
      <w:r w:rsidR="007C1A1B">
        <w:rPr>
          <w:szCs w:val="24"/>
        </w:rPr>
        <w:t>ontract</w:t>
      </w:r>
      <w:r w:rsidRPr="004D3049">
        <w:rPr>
          <w:szCs w:val="24"/>
        </w:rPr>
        <w:t>).</w:t>
      </w:r>
    </w:p>
    <w:p w14:paraId="78F1AFD1" w14:textId="77777777" w:rsidR="005D1C56" w:rsidRPr="004D3049" w:rsidRDefault="005D1C56" w:rsidP="00571BC4">
      <w:pPr>
        <w:pStyle w:val="GPSL2NumberedBoldHeading"/>
        <w:keepNext/>
        <w:rPr>
          <w:szCs w:val="24"/>
        </w:rPr>
      </w:pPr>
      <w:r w:rsidRPr="004D3049">
        <w:rPr>
          <w:szCs w:val="24"/>
        </w:rPr>
        <w:t xml:space="preserve">Not more than once in each Contract Year, the Buyer may, on giving the Supplier at least three (3) Months’ notice, change the weighting of Service Level Performance Measure in respect of one or more Service Levels </w:t>
      </w:r>
      <w:r w:rsidRPr="004D3049">
        <w:rPr>
          <w:iCs/>
          <w:szCs w:val="24"/>
        </w:rPr>
        <w:t xml:space="preserve">and the </w:t>
      </w:r>
      <w:r w:rsidRPr="004D3049">
        <w:rPr>
          <w:szCs w:val="24"/>
        </w:rPr>
        <w:t>Supplier shall not be entitled to</w:t>
      </w:r>
      <w:r w:rsidRPr="004D3049">
        <w:rPr>
          <w:iCs/>
          <w:szCs w:val="24"/>
        </w:rPr>
        <w:t xml:space="preserve"> object to, or increase the Charges as a result of</w:t>
      </w:r>
      <w:r w:rsidRPr="004D3049">
        <w:rPr>
          <w:szCs w:val="24"/>
        </w:rPr>
        <w:t xml:space="preserve"> such </w:t>
      </w:r>
      <w:r w:rsidRPr="004D3049">
        <w:rPr>
          <w:iCs/>
          <w:szCs w:val="24"/>
        </w:rPr>
        <w:t>change</w:t>
      </w:r>
      <w:r w:rsidRPr="004D3049">
        <w:rPr>
          <w:szCs w:val="24"/>
        </w:rPr>
        <w:t>s, provided that:</w:t>
      </w:r>
    </w:p>
    <w:p w14:paraId="6AF2D8B0" w14:textId="77777777" w:rsidR="005D1C56" w:rsidRPr="004D3049" w:rsidRDefault="005D1C56" w:rsidP="004D3049">
      <w:pPr>
        <w:pStyle w:val="GPSL3numberedclause"/>
        <w:rPr>
          <w:szCs w:val="24"/>
        </w:rPr>
      </w:pPr>
      <w:r w:rsidRPr="004D3049">
        <w:rPr>
          <w:szCs w:val="24"/>
        </w:rPr>
        <w:t xml:space="preserve">the total number of Service Levels for which the weighting is to be changed does not exceed the number applicable as at the Start Date; </w:t>
      </w:r>
    </w:p>
    <w:p w14:paraId="016FCA35" w14:textId="77777777" w:rsidR="005D1C56" w:rsidRPr="004D3049" w:rsidRDefault="005D1C56" w:rsidP="004D3049">
      <w:pPr>
        <w:pStyle w:val="GPSL3numberedclause"/>
        <w:rPr>
          <w:szCs w:val="24"/>
        </w:rPr>
      </w:pPr>
      <w:r w:rsidRPr="004D3049">
        <w:rPr>
          <w:szCs w:val="24"/>
        </w:rPr>
        <w:t>the principal purpose of the change is to reflect changes in the Buyer's business requirements and/or priorities or to reflect changing industry standards; and</w:t>
      </w:r>
    </w:p>
    <w:p w14:paraId="38AD06E1" w14:textId="77777777" w:rsidR="005D1C56" w:rsidRPr="004D3049" w:rsidRDefault="005D1C56" w:rsidP="004D3049">
      <w:pPr>
        <w:pStyle w:val="GPSL3numberedclause"/>
        <w:rPr>
          <w:szCs w:val="24"/>
        </w:rPr>
      </w:pPr>
      <w:r w:rsidRPr="004D3049">
        <w:rPr>
          <w:szCs w:val="24"/>
        </w:rPr>
        <w:t>there is no change to the Service Credit Cap.</w:t>
      </w:r>
    </w:p>
    <w:p w14:paraId="60EDC559" w14:textId="77777777" w:rsidR="005D1C56" w:rsidRPr="00EF7368" w:rsidRDefault="00EF7368" w:rsidP="004D3049">
      <w:pPr>
        <w:pStyle w:val="GPSL1CLAUSEHEADING"/>
        <w:rPr>
          <w:rFonts w:hint="eastAsia"/>
        </w:rPr>
      </w:pPr>
      <w:bookmarkStart w:id="2" w:name="_Ref89427961"/>
      <w:r>
        <w:t>Critical Service Level Failure</w:t>
      </w:r>
      <w:bookmarkEnd w:id="2"/>
    </w:p>
    <w:p w14:paraId="1CB8C3F2" w14:textId="77777777" w:rsidR="005D1C56" w:rsidRPr="00091B0C" w:rsidRDefault="005D1C56" w:rsidP="00571BC4">
      <w:pPr>
        <w:pStyle w:val="GPSL2NumberedBoldHeading"/>
        <w:keepNext/>
        <w:numPr>
          <w:ilvl w:val="0"/>
          <w:numId w:val="0"/>
        </w:numPr>
        <w:ind w:left="360"/>
        <w:rPr>
          <w:szCs w:val="24"/>
        </w:rPr>
      </w:pPr>
      <w:r w:rsidRPr="00091B0C">
        <w:rPr>
          <w:szCs w:val="24"/>
        </w:rPr>
        <w:t>On the occurrence of a Critical Service Level Failure:</w:t>
      </w:r>
    </w:p>
    <w:p w14:paraId="7741E1DE" w14:textId="77777777" w:rsidR="005D1C56" w:rsidRPr="004D3049" w:rsidRDefault="005D1C56" w:rsidP="004D3049">
      <w:pPr>
        <w:pStyle w:val="GPSL2NumberedBoldHeading"/>
      </w:pPr>
      <w:r w:rsidRPr="004D3049">
        <w:t>any Service Credits that would otherwise have accrued during the relevant Service Period shall not accrue; and</w:t>
      </w:r>
    </w:p>
    <w:p w14:paraId="35830260" w14:textId="77777777" w:rsidR="005D1C56" w:rsidRPr="004D3049" w:rsidRDefault="005D1C56" w:rsidP="004D3049">
      <w:pPr>
        <w:pStyle w:val="GPSL2NumberedBoldHeading"/>
      </w:pPr>
      <w:r w:rsidRPr="004D3049">
        <w:t>the Buyer shall (subject to the Service Credit Cap) be entitled to withhold and retain as compensation a sum equal to any Charges which would otherwise have been due to the Supplier in respect of that Service Period ("</w:t>
      </w:r>
      <w:r w:rsidRPr="004D3049">
        <w:rPr>
          <w:b/>
        </w:rPr>
        <w:t>Compensation for Critical Service Level Failure</w:t>
      </w:r>
      <w:r w:rsidRPr="004D3049">
        <w:t>"),</w:t>
      </w:r>
    </w:p>
    <w:p w14:paraId="7DFEF91C" w14:textId="5E6BFD02" w:rsidR="005D1C56" w:rsidRPr="00091B0C" w:rsidRDefault="005D1C56" w:rsidP="00AD35D0">
      <w:pPr>
        <w:pStyle w:val="GPSL2NumberedBoldHeading"/>
        <w:numPr>
          <w:ilvl w:val="0"/>
          <w:numId w:val="0"/>
        </w:numPr>
        <w:ind w:left="360"/>
      </w:pPr>
      <w:r w:rsidRPr="00091B0C">
        <w:t xml:space="preserve">provided that the operation of this </w:t>
      </w:r>
      <w:r w:rsidR="007C1A1B">
        <w:t>P</w:t>
      </w:r>
      <w:r w:rsidRPr="00091B0C">
        <w:t xml:space="preserve">aragraph </w:t>
      </w:r>
      <w:r w:rsidR="004F3F08">
        <w:fldChar w:fldCharType="begin"/>
      </w:r>
      <w:r w:rsidR="004F3F08">
        <w:instrText xml:space="preserve"> REF _Ref89427961 \r \h </w:instrText>
      </w:r>
      <w:r w:rsidR="004F3F08">
        <w:fldChar w:fldCharType="separate"/>
      </w:r>
      <w:r w:rsidR="004F3F08">
        <w:t>3</w:t>
      </w:r>
      <w:r w:rsidR="004F3F08">
        <w:fldChar w:fldCharType="end"/>
      </w:r>
      <w:r w:rsidRPr="00091B0C">
        <w:t xml:space="preserve"> shall be without prejudice to the right of the Buyer to terminate this Contract and/or to claim damages from the Supplier for material Default.</w:t>
      </w:r>
    </w:p>
    <w:p w14:paraId="39A79804" w14:textId="77777777" w:rsidR="005D1C56" w:rsidRPr="00091B0C" w:rsidRDefault="005D1C56" w:rsidP="00571BC4"/>
    <w:p w14:paraId="6D7F9A35" w14:textId="77777777" w:rsidR="005D1C56" w:rsidRPr="00EF7368" w:rsidRDefault="005D1C56" w:rsidP="00571BC4">
      <w:pPr>
        <w:pStyle w:val="GPSSchPart"/>
        <w:keepNext w:val="0"/>
        <w:spacing w:after="200" w:line="276" w:lineRule="auto"/>
        <w:jc w:val="left"/>
        <w:rPr>
          <w:rFonts w:ascii="Arial Bold" w:hAnsi="Arial Bold" w:cs="Arial" w:hint="eastAsia"/>
          <w:caps w:val="0"/>
          <w:sz w:val="36"/>
          <w:szCs w:val="36"/>
        </w:rPr>
      </w:pPr>
      <w:r w:rsidRPr="00091B0C">
        <w:rPr>
          <w:rFonts w:ascii="Arial" w:hAnsi="Arial" w:cs="Arial"/>
          <w:sz w:val="24"/>
          <w:szCs w:val="24"/>
        </w:rPr>
        <w:br w:type="page"/>
      </w:r>
      <w:r w:rsidR="00EF7368">
        <w:rPr>
          <w:rFonts w:ascii="Arial Bold" w:hAnsi="Arial Bold" w:cs="Arial"/>
          <w:caps w:val="0"/>
          <w:sz w:val="36"/>
          <w:szCs w:val="36"/>
        </w:rPr>
        <w:t>Part A: Service Levels and Service Credits</w:t>
      </w:r>
      <w:r w:rsidRPr="00EF7368">
        <w:rPr>
          <w:rFonts w:ascii="Arial Bold" w:hAnsi="Arial Bold" w:cs="Arial"/>
          <w:caps w:val="0"/>
          <w:sz w:val="36"/>
          <w:szCs w:val="36"/>
        </w:rPr>
        <w:t xml:space="preserve"> </w:t>
      </w:r>
    </w:p>
    <w:p w14:paraId="534BCB67" w14:textId="77777777" w:rsidR="005D1C56" w:rsidRPr="00EF7368" w:rsidRDefault="00EF7368" w:rsidP="00571BC4">
      <w:pPr>
        <w:pStyle w:val="GPSL1CLAUSEHEADING"/>
        <w:numPr>
          <w:ilvl w:val="0"/>
          <w:numId w:val="87"/>
        </w:numPr>
        <w:rPr>
          <w:rFonts w:hint="eastAsia"/>
        </w:rPr>
      </w:pPr>
      <w:r>
        <w:t>Service Levels</w:t>
      </w:r>
    </w:p>
    <w:p w14:paraId="1DC71AD7" w14:textId="77777777" w:rsidR="005D1C56" w:rsidRPr="00091B0C" w:rsidRDefault="005D1C56" w:rsidP="00571BC4">
      <w:pPr>
        <w:keepNext/>
        <w:spacing w:before="120" w:after="120" w:line="240" w:lineRule="auto"/>
        <w:ind w:left="360"/>
      </w:pPr>
      <w:r w:rsidRPr="00091B0C">
        <w:t>If the level of performance of the Supplier:</w:t>
      </w:r>
    </w:p>
    <w:p w14:paraId="7A5D7D93" w14:textId="77777777" w:rsidR="005D1C56" w:rsidRPr="004D3049" w:rsidRDefault="005D1C56" w:rsidP="004D3049">
      <w:pPr>
        <w:pStyle w:val="GPSL2NumberedBoldHeading"/>
      </w:pPr>
      <w:r w:rsidRPr="004D3049">
        <w:t>is likely to or fails to meet any Service Level Performance Measure; or</w:t>
      </w:r>
    </w:p>
    <w:p w14:paraId="6FA75793" w14:textId="77777777" w:rsidR="005D1C56" w:rsidRPr="004D3049" w:rsidRDefault="005D1C56" w:rsidP="004D3049">
      <w:pPr>
        <w:pStyle w:val="GPSL2NumberedBoldHeading"/>
      </w:pPr>
      <w:r w:rsidRPr="004D3049">
        <w:t xml:space="preserve">is likely to cause or causes a Critical Service Failure to occur, </w:t>
      </w:r>
    </w:p>
    <w:p w14:paraId="01D7A741" w14:textId="77777777" w:rsidR="005D1C56" w:rsidRPr="00091B0C" w:rsidRDefault="005D1C56" w:rsidP="00571BC4">
      <w:pPr>
        <w:keepNext/>
        <w:spacing w:before="120" w:after="120" w:line="240" w:lineRule="auto"/>
        <w:ind w:left="360"/>
        <w:rPr>
          <w:szCs w:val="24"/>
        </w:rPr>
      </w:pPr>
      <w:r w:rsidRPr="00091B0C">
        <w:rPr>
          <w:szCs w:val="24"/>
        </w:rPr>
        <w:t xml:space="preserve">the Supplier </w:t>
      </w:r>
      <w:r w:rsidRPr="00571BC4">
        <w:t>shall</w:t>
      </w:r>
      <w:r w:rsidRPr="00091B0C">
        <w:rPr>
          <w:szCs w:val="24"/>
        </w:rPr>
        <w:t xml:space="preserve"> immediately notify the Buyer in writing and the Buyer, in its absolute discretion and without limiting any other of its rights, may:</w:t>
      </w:r>
    </w:p>
    <w:p w14:paraId="49381E09" w14:textId="77777777" w:rsidR="005D1C56" w:rsidRPr="00091B0C" w:rsidRDefault="005D1C56" w:rsidP="00AD35D0">
      <w:pPr>
        <w:numPr>
          <w:ilvl w:val="2"/>
          <w:numId w:val="44"/>
        </w:numPr>
        <w:pBdr>
          <w:top w:val="nil"/>
          <w:left w:val="nil"/>
          <w:bottom w:val="nil"/>
          <w:right w:val="nil"/>
          <w:between w:val="nil"/>
        </w:pBdr>
        <w:tabs>
          <w:tab w:val="clear" w:pos="2160"/>
          <w:tab w:val="left" w:pos="1985"/>
        </w:tabs>
        <w:spacing w:before="120" w:after="120" w:line="240" w:lineRule="auto"/>
        <w:ind w:left="1750" w:hanging="850"/>
        <w:rPr>
          <w:szCs w:val="24"/>
        </w:rPr>
      </w:pPr>
      <w:r w:rsidRPr="00091B0C">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08E52CAC" w14:textId="77777777" w:rsidR="005D1C56" w:rsidRPr="00091B0C" w:rsidRDefault="005D1C56" w:rsidP="00AD35D0">
      <w:pPr>
        <w:numPr>
          <w:ilvl w:val="2"/>
          <w:numId w:val="44"/>
        </w:numPr>
        <w:pBdr>
          <w:top w:val="nil"/>
          <w:left w:val="nil"/>
          <w:bottom w:val="nil"/>
          <w:right w:val="nil"/>
          <w:between w:val="nil"/>
        </w:pBdr>
        <w:tabs>
          <w:tab w:val="clear" w:pos="2160"/>
          <w:tab w:val="left" w:pos="1985"/>
        </w:tabs>
        <w:spacing w:before="120" w:after="120" w:line="240" w:lineRule="auto"/>
        <w:ind w:left="1750" w:hanging="850"/>
        <w:rPr>
          <w:szCs w:val="24"/>
        </w:rPr>
      </w:pPr>
      <w:r w:rsidRPr="00091B0C">
        <w:rPr>
          <w:szCs w:val="24"/>
        </w:rPr>
        <w:t xml:space="preserve">instruct the Supplier to comply with the Rectification Plan Process; </w:t>
      </w:r>
    </w:p>
    <w:p w14:paraId="5AEF6E17" w14:textId="77777777" w:rsidR="005D1C56" w:rsidRPr="00091B0C" w:rsidRDefault="005D1C56" w:rsidP="00AD35D0">
      <w:pPr>
        <w:numPr>
          <w:ilvl w:val="2"/>
          <w:numId w:val="44"/>
        </w:numPr>
        <w:pBdr>
          <w:top w:val="nil"/>
          <w:left w:val="nil"/>
          <w:bottom w:val="nil"/>
          <w:right w:val="nil"/>
          <w:between w:val="nil"/>
        </w:pBdr>
        <w:tabs>
          <w:tab w:val="clear" w:pos="2160"/>
          <w:tab w:val="left" w:pos="1985"/>
        </w:tabs>
        <w:spacing w:before="120" w:after="120" w:line="240" w:lineRule="auto"/>
        <w:ind w:left="1750" w:hanging="850"/>
        <w:rPr>
          <w:szCs w:val="24"/>
        </w:rPr>
      </w:pPr>
      <w:r w:rsidRPr="00091B0C">
        <w:rPr>
          <w:szCs w:val="24"/>
        </w:rPr>
        <w:t>if a Service Level Failure has occurred, deduct the applicable Service Level Credits payable by the Supplier to the Buyer; and/or</w:t>
      </w:r>
    </w:p>
    <w:p w14:paraId="2E5F5D9F" w14:textId="77777777" w:rsidR="005D1C56" w:rsidRPr="00091B0C" w:rsidRDefault="005D1C56" w:rsidP="00AD35D0">
      <w:pPr>
        <w:numPr>
          <w:ilvl w:val="2"/>
          <w:numId w:val="44"/>
        </w:numPr>
        <w:pBdr>
          <w:top w:val="nil"/>
          <w:left w:val="nil"/>
          <w:bottom w:val="nil"/>
          <w:right w:val="nil"/>
          <w:between w:val="nil"/>
        </w:pBdr>
        <w:tabs>
          <w:tab w:val="clear" w:pos="2160"/>
          <w:tab w:val="left" w:pos="1985"/>
        </w:tabs>
        <w:spacing w:before="120" w:after="120" w:line="240" w:lineRule="auto"/>
        <w:ind w:left="1750" w:hanging="850"/>
        <w:rPr>
          <w:szCs w:val="24"/>
        </w:rPr>
      </w:pPr>
      <w:r w:rsidRPr="00091B0C">
        <w:rPr>
          <w:szCs w:val="24"/>
        </w:rPr>
        <w:t>if a Critical Service Level Failure has occurred, exercise its right to Compensation for Critical Service Level Failure (including the right to terminate for material Default).</w:t>
      </w:r>
    </w:p>
    <w:p w14:paraId="1B975A81" w14:textId="77777777" w:rsidR="005D1C56" w:rsidRPr="00EF7368" w:rsidRDefault="00EF7368" w:rsidP="004D3049">
      <w:pPr>
        <w:pStyle w:val="GPSL1CLAUSEHEADING"/>
        <w:rPr>
          <w:rFonts w:hint="eastAsia"/>
        </w:rPr>
      </w:pPr>
      <w:r>
        <w:t>Service Credits</w:t>
      </w:r>
    </w:p>
    <w:p w14:paraId="1877D41E" w14:textId="77777777" w:rsidR="005D1C56" w:rsidRPr="004D3049" w:rsidRDefault="005D1C56" w:rsidP="004D3049">
      <w:pPr>
        <w:pStyle w:val="GPSL2NumberedBoldHeading"/>
      </w:pPr>
      <w:r w:rsidRPr="004D3049">
        <w:t>The Buyer shall use the Performance Monitoring Reports supplied by the Supplier to verify the calculation and accuracy of the Service Credits, if any, applicable to each Service Period.</w:t>
      </w:r>
    </w:p>
    <w:p w14:paraId="481140CA" w14:textId="77777777" w:rsidR="005D1C56" w:rsidRPr="004D3049" w:rsidRDefault="005D1C56" w:rsidP="004D3049">
      <w:pPr>
        <w:pStyle w:val="GPSL2NumberedBoldHeading"/>
      </w:pPr>
      <w:r w:rsidRPr="004D3049">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33D34A30" w14:textId="77777777" w:rsidR="00156728" w:rsidRDefault="00156728" w:rsidP="00571BC4">
      <w:pPr>
        <w:pStyle w:val="GPSSchAnnexname"/>
        <w:spacing w:after="200" w:line="276" w:lineRule="auto"/>
        <w:jc w:val="left"/>
        <w:rPr>
          <w:rFonts w:ascii="Arial" w:hAnsi="Arial" w:cs="Arial"/>
          <w:sz w:val="24"/>
          <w:szCs w:val="24"/>
        </w:rPr>
        <w:sectPr w:rsidR="00156728" w:rsidSect="0022683C">
          <w:headerReference w:type="default" r:id="rId12"/>
          <w:footerReference w:type="default" r:id="rId13"/>
          <w:footerReference w:type="first" r:id="rId14"/>
          <w:pgSz w:w="11906" w:h="16838"/>
          <w:pgMar w:top="1440" w:right="1440" w:bottom="1440" w:left="1440" w:header="709" w:footer="709" w:gutter="0"/>
          <w:cols w:space="708"/>
          <w:docGrid w:linePitch="360"/>
        </w:sectPr>
      </w:pPr>
    </w:p>
    <w:p w14:paraId="58EF6092" w14:textId="54244F9B" w:rsidR="005D1C56" w:rsidRPr="009674CA" w:rsidRDefault="005D1C56" w:rsidP="00571BC4">
      <w:pPr>
        <w:pStyle w:val="GPSSchAnnexname"/>
        <w:spacing w:after="200" w:line="276" w:lineRule="auto"/>
        <w:jc w:val="left"/>
        <w:rPr>
          <w:rFonts w:ascii="Arial Bold" w:hAnsi="Arial Bold" w:cs="Arial" w:hint="eastAsia"/>
          <w:caps w:val="0"/>
          <w:sz w:val="24"/>
          <w:szCs w:val="24"/>
        </w:rPr>
      </w:pPr>
      <w:r w:rsidRPr="00091B0C">
        <w:rPr>
          <w:rFonts w:ascii="Arial" w:hAnsi="Arial" w:cs="Arial"/>
          <w:sz w:val="24"/>
          <w:szCs w:val="24"/>
        </w:rPr>
        <w:br w:type="page"/>
      </w:r>
      <w:r w:rsidR="009674CA">
        <w:rPr>
          <w:rFonts w:ascii="Arial Bold" w:hAnsi="Arial Bold" w:cs="Arial"/>
          <w:caps w:val="0"/>
          <w:sz w:val="36"/>
          <w:szCs w:val="24"/>
        </w:rPr>
        <w:t>Annex A to Part A</w:t>
      </w:r>
      <w:r w:rsidRPr="009674CA">
        <w:rPr>
          <w:rFonts w:ascii="Arial Bold" w:hAnsi="Arial Bold" w:cs="Arial"/>
          <w:caps w:val="0"/>
          <w:sz w:val="36"/>
          <w:szCs w:val="24"/>
        </w:rPr>
        <w:t xml:space="preserve">: </w:t>
      </w:r>
      <w:r w:rsidR="009674CA">
        <w:rPr>
          <w:rFonts w:ascii="Arial Bold" w:hAnsi="Arial Bold" w:cs="Arial"/>
          <w:caps w:val="0"/>
          <w:sz w:val="36"/>
          <w:szCs w:val="24"/>
        </w:rPr>
        <w:t>Service Levels and Service Credits Table</w:t>
      </w:r>
    </w:p>
    <w:p w14:paraId="72589D0C" w14:textId="5234A8F4" w:rsidR="005D1C56" w:rsidRPr="00513AA2" w:rsidRDefault="005D1C56" w:rsidP="34AFEE84">
      <w:pPr>
        <w:spacing w:before="120" w:after="120" w:line="240" w:lineRule="auto"/>
        <w:rPr>
          <w:rFonts w:cs="Arial"/>
          <w:b/>
          <w:bCs/>
          <w:i/>
          <w:iCs/>
          <w:highlight w:val="yellow"/>
        </w:rPr>
      </w:pPr>
    </w:p>
    <w:tbl>
      <w:tblPr>
        <w:tblW w:w="13951" w:type="dxa"/>
        <w:tblLook w:val="04A0" w:firstRow="1" w:lastRow="0" w:firstColumn="1" w:lastColumn="0" w:noHBand="0" w:noVBand="1"/>
      </w:tblPr>
      <w:tblGrid>
        <w:gridCol w:w="1097"/>
        <w:gridCol w:w="2417"/>
        <w:gridCol w:w="3192"/>
        <w:gridCol w:w="2051"/>
        <w:gridCol w:w="1690"/>
        <w:gridCol w:w="1486"/>
        <w:gridCol w:w="2018"/>
      </w:tblGrid>
      <w:tr w:rsidR="00AD6DAB" w:rsidRPr="001E6E47" w14:paraId="0BD1AA0A" w14:textId="77777777" w:rsidTr="0F8A7A4C">
        <w:trPr>
          <w:trHeight w:val="1063"/>
        </w:trPr>
        <w:tc>
          <w:tcPr>
            <w:tcW w:w="1066" w:type="dxa"/>
            <w:tcBorders>
              <w:top w:val="single" w:sz="8" w:space="0" w:color="auto"/>
              <w:left w:val="nil"/>
              <w:bottom w:val="nil"/>
              <w:right w:val="single" w:sz="4" w:space="0" w:color="auto"/>
            </w:tcBorders>
            <w:shd w:val="clear" w:color="auto" w:fill="DDEBF7"/>
            <w:noWrap/>
            <w:vAlign w:val="center"/>
            <w:hideMark/>
          </w:tcPr>
          <w:p w14:paraId="22D986AE" w14:textId="77777777" w:rsidR="001E6E47" w:rsidRPr="001E6E47" w:rsidRDefault="001E6E47" w:rsidP="001E6E47">
            <w:pPr>
              <w:spacing w:after="0" w:line="240" w:lineRule="auto"/>
              <w:jc w:val="center"/>
              <w:rPr>
                <w:rFonts w:eastAsia="Times New Roman" w:cs="Arial"/>
                <w:b/>
                <w:bCs/>
                <w:color w:val="000000"/>
                <w:szCs w:val="24"/>
                <w:lang w:eastAsia="en-GB"/>
              </w:rPr>
            </w:pPr>
            <w:r w:rsidRPr="001E6E47">
              <w:rPr>
                <w:rFonts w:eastAsia="Times New Roman" w:cs="Arial"/>
                <w:b/>
                <w:bCs/>
                <w:color w:val="000000"/>
                <w:szCs w:val="24"/>
                <w:lang w:eastAsia="en-GB"/>
              </w:rPr>
              <w:t>KPI number</w:t>
            </w:r>
          </w:p>
        </w:tc>
        <w:tc>
          <w:tcPr>
            <w:tcW w:w="2119" w:type="dxa"/>
            <w:tcBorders>
              <w:top w:val="single" w:sz="8" w:space="0" w:color="auto"/>
              <w:left w:val="nil"/>
              <w:bottom w:val="nil"/>
              <w:right w:val="single" w:sz="4" w:space="0" w:color="auto"/>
            </w:tcBorders>
            <w:shd w:val="clear" w:color="auto" w:fill="DDEBF7"/>
            <w:noWrap/>
            <w:vAlign w:val="center"/>
            <w:hideMark/>
          </w:tcPr>
          <w:p w14:paraId="0E10816E" w14:textId="77777777" w:rsidR="001E6E47" w:rsidRPr="001E6E47" w:rsidRDefault="001E6E47" w:rsidP="001E6E47">
            <w:pPr>
              <w:spacing w:after="0" w:line="240" w:lineRule="auto"/>
              <w:rPr>
                <w:rFonts w:eastAsia="Times New Roman" w:cs="Arial"/>
                <w:b/>
                <w:bCs/>
                <w:color w:val="000000"/>
                <w:szCs w:val="24"/>
                <w:lang w:eastAsia="en-GB"/>
              </w:rPr>
            </w:pPr>
            <w:r w:rsidRPr="001E6E47">
              <w:rPr>
                <w:rFonts w:eastAsia="Times New Roman" w:cs="Arial"/>
                <w:b/>
                <w:bCs/>
                <w:color w:val="000000"/>
                <w:szCs w:val="24"/>
                <w:lang w:eastAsia="en-GB"/>
              </w:rPr>
              <w:t xml:space="preserve">Title </w:t>
            </w:r>
          </w:p>
        </w:tc>
        <w:tc>
          <w:tcPr>
            <w:tcW w:w="3192" w:type="dxa"/>
            <w:tcBorders>
              <w:top w:val="single" w:sz="8" w:space="0" w:color="auto"/>
              <w:left w:val="nil"/>
              <w:bottom w:val="nil"/>
              <w:right w:val="single" w:sz="4" w:space="0" w:color="auto"/>
            </w:tcBorders>
            <w:shd w:val="clear" w:color="auto" w:fill="DDEBF7"/>
            <w:vAlign w:val="center"/>
            <w:hideMark/>
          </w:tcPr>
          <w:p w14:paraId="2A41FFA0" w14:textId="77777777" w:rsidR="001E6E47" w:rsidRPr="001E6E47" w:rsidRDefault="001E6E47" w:rsidP="001E6E47">
            <w:pPr>
              <w:spacing w:after="0" w:line="240" w:lineRule="auto"/>
              <w:rPr>
                <w:rFonts w:eastAsia="Times New Roman" w:cs="Arial"/>
                <w:b/>
                <w:bCs/>
                <w:color w:val="000000"/>
                <w:szCs w:val="24"/>
                <w:lang w:eastAsia="en-GB"/>
              </w:rPr>
            </w:pPr>
            <w:r w:rsidRPr="001E6E47">
              <w:rPr>
                <w:rFonts w:eastAsia="Times New Roman" w:cs="Arial"/>
                <w:b/>
                <w:bCs/>
                <w:color w:val="000000"/>
                <w:szCs w:val="24"/>
                <w:lang w:eastAsia="en-GB"/>
              </w:rPr>
              <w:t>Key Performance Indicator</w:t>
            </w:r>
          </w:p>
        </w:tc>
        <w:tc>
          <w:tcPr>
            <w:tcW w:w="2051" w:type="dxa"/>
            <w:tcBorders>
              <w:top w:val="single" w:sz="8" w:space="0" w:color="auto"/>
              <w:left w:val="nil"/>
              <w:bottom w:val="nil"/>
              <w:right w:val="single" w:sz="4" w:space="0" w:color="auto"/>
            </w:tcBorders>
            <w:shd w:val="clear" w:color="auto" w:fill="DDEBF7"/>
            <w:vAlign w:val="center"/>
            <w:hideMark/>
          </w:tcPr>
          <w:p w14:paraId="40F86C79" w14:textId="77777777" w:rsidR="001E6E47" w:rsidRPr="001E6E47" w:rsidRDefault="001E6E47" w:rsidP="001E6E47">
            <w:pPr>
              <w:spacing w:after="0" w:line="240" w:lineRule="auto"/>
              <w:rPr>
                <w:rFonts w:eastAsia="Times New Roman" w:cs="Arial"/>
                <w:b/>
                <w:bCs/>
                <w:color w:val="000000"/>
                <w:szCs w:val="24"/>
                <w:lang w:eastAsia="en-GB"/>
              </w:rPr>
            </w:pPr>
            <w:r w:rsidRPr="001E6E47">
              <w:rPr>
                <w:rFonts w:eastAsia="Times New Roman" w:cs="Arial"/>
                <w:b/>
                <w:bCs/>
                <w:color w:val="000000"/>
                <w:szCs w:val="24"/>
                <w:lang w:eastAsia="en-GB"/>
              </w:rPr>
              <w:t>Target</w:t>
            </w:r>
          </w:p>
        </w:tc>
        <w:tc>
          <w:tcPr>
            <w:tcW w:w="1690" w:type="dxa"/>
            <w:tcBorders>
              <w:top w:val="single" w:sz="8" w:space="0" w:color="auto"/>
              <w:left w:val="nil"/>
              <w:bottom w:val="nil"/>
              <w:right w:val="single" w:sz="4" w:space="0" w:color="auto"/>
            </w:tcBorders>
            <w:shd w:val="clear" w:color="auto" w:fill="DDEBF7"/>
            <w:vAlign w:val="center"/>
            <w:hideMark/>
          </w:tcPr>
          <w:p w14:paraId="15664583" w14:textId="195A4624" w:rsidR="001E6E47" w:rsidRPr="001E6E47" w:rsidRDefault="001E6E47" w:rsidP="7403D644">
            <w:pPr>
              <w:spacing w:after="0" w:line="240" w:lineRule="auto"/>
              <w:jc w:val="center"/>
              <w:rPr>
                <w:rFonts w:eastAsia="Times New Roman" w:cs="Arial"/>
                <w:b/>
                <w:bCs/>
                <w:color w:val="000000"/>
                <w:lang w:eastAsia="en-GB"/>
              </w:rPr>
            </w:pPr>
            <w:r w:rsidRPr="7403D644">
              <w:rPr>
                <w:rFonts w:eastAsia="Times New Roman" w:cs="Arial"/>
                <w:b/>
                <w:bCs/>
                <w:color w:val="000000" w:themeColor="text1"/>
                <w:lang w:eastAsia="en-GB"/>
              </w:rPr>
              <w:t xml:space="preserve">Service Level </w:t>
            </w:r>
            <w:r w:rsidR="74E3FA4A" w:rsidRPr="7403D644">
              <w:rPr>
                <w:rFonts w:eastAsia="Times New Roman" w:cs="Arial"/>
                <w:b/>
                <w:bCs/>
                <w:color w:val="000000" w:themeColor="text1"/>
                <w:lang w:eastAsia="en-GB"/>
              </w:rPr>
              <w:t>Threshold</w:t>
            </w:r>
          </w:p>
        </w:tc>
        <w:tc>
          <w:tcPr>
            <w:tcW w:w="1690" w:type="dxa"/>
            <w:tcBorders>
              <w:top w:val="single" w:sz="8" w:space="0" w:color="auto"/>
              <w:left w:val="nil"/>
              <w:bottom w:val="nil"/>
              <w:right w:val="single" w:sz="8" w:space="0" w:color="auto"/>
            </w:tcBorders>
            <w:shd w:val="clear" w:color="auto" w:fill="DDEBF7"/>
            <w:vAlign w:val="center"/>
          </w:tcPr>
          <w:p w14:paraId="6D2C44B2" w14:textId="6841D516" w:rsidR="4D096A3E" w:rsidRDefault="4D096A3E" w:rsidP="7403D644">
            <w:pPr>
              <w:spacing w:line="240" w:lineRule="auto"/>
              <w:rPr>
                <w:rFonts w:eastAsia="Times New Roman" w:cs="Arial"/>
                <w:b/>
                <w:bCs/>
                <w:color w:val="000000" w:themeColor="text1"/>
                <w:lang w:eastAsia="en-GB"/>
              </w:rPr>
            </w:pPr>
            <w:r w:rsidRPr="7403D644">
              <w:rPr>
                <w:rFonts w:eastAsia="Times New Roman" w:cs="Arial"/>
                <w:b/>
                <w:bCs/>
                <w:color w:val="000000" w:themeColor="text1"/>
                <w:lang w:eastAsia="en-GB"/>
              </w:rPr>
              <w:t>Service Credit</w:t>
            </w:r>
          </w:p>
        </w:tc>
        <w:tc>
          <w:tcPr>
            <w:tcW w:w="2143" w:type="dxa"/>
            <w:tcBorders>
              <w:top w:val="single" w:sz="8" w:space="0" w:color="auto"/>
              <w:left w:val="nil"/>
              <w:bottom w:val="nil"/>
              <w:right w:val="single" w:sz="8" w:space="0" w:color="auto"/>
            </w:tcBorders>
            <w:shd w:val="clear" w:color="auto" w:fill="DDEBF7"/>
            <w:vAlign w:val="center"/>
            <w:hideMark/>
          </w:tcPr>
          <w:p w14:paraId="0F85671E" w14:textId="77777777" w:rsidR="001E6E47" w:rsidRPr="001E6E47" w:rsidRDefault="001E6E47" w:rsidP="001E6E47">
            <w:pPr>
              <w:spacing w:after="0" w:line="240" w:lineRule="auto"/>
              <w:rPr>
                <w:rFonts w:eastAsia="Times New Roman" w:cs="Arial"/>
                <w:b/>
                <w:bCs/>
                <w:color w:val="000000"/>
                <w:szCs w:val="24"/>
                <w:lang w:eastAsia="en-GB"/>
              </w:rPr>
            </w:pPr>
            <w:r w:rsidRPr="001E6E47">
              <w:rPr>
                <w:rFonts w:eastAsia="Times New Roman" w:cs="Arial"/>
                <w:b/>
                <w:bCs/>
                <w:color w:val="000000"/>
                <w:szCs w:val="24"/>
                <w:lang w:eastAsia="en-GB"/>
              </w:rPr>
              <w:t>Measurement Methodology</w:t>
            </w:r>
          </w:p>
        </w:tc>
      </w:tr>
      <w:tr w:rsidR="001E6E47" w:rsidRPr="001E6E47" w14:paraId="2BFC4901" w14:textId="77777777" w:rsidTr="0F8A7A4C">
        <w:trPr>
          <w:trHeight w:val="1250"/>
        </w:trPr>
        <w:tc>
          <w:tcPr>
            <w:tcW w:w="1066" w:type="dxa"/>
            <w:tcBorders>
              <w:top w:val="single" w:sz="12" w:space="0" w:color="70AD47"/>
              <w:left w:val="single" w:sz="8" w:space="0" w:color="70AD47"/>
              <w:bottom w:val="single" w:sz="4" w:space="0" w:color="auto"/>
              <w:right w:val="nil"/>
            </w:tcBorders>
            <w:shd w:val="clear" w:color="auto" w:fill="auto"/>
            <w:noWrap/>
            <w:vAlign w:val="center"/>
            <w:hideMark/>
          </w:tcPr>
          <w:p w14:paraId="75B4E4C5" w14:textId="77777777" w:rsidR="001E6E47" w:rsidRPr="001E6E47" w:rsidRDefault="001E6E47" w:rsidP="001E6E47">
            <w:pPr>
              <w:spacing w:after="0" w:line="240" w:lineRule="auto"/>
              <w:jc w:val="center"/>
              <w:rPr>
                <w:rFonts w:eastAsia="Times New Roman" w:cs="Arial"/>
                <w:b/>
                <w:bCs/>
                <w:szCs w:val="24"/>
                <w:lang w:eastAsia="en-GB"/>
              </w:rPr>
            </w:pPr>
            <w:r w:rsidRPr="001E6E47">
              <w:rPr>
                <w:rFonts w:eastAsia="Times New Roman" w:cs="Arial"/>
                <w:b/>
                <w:bCs/>
                <w:szCs w:val="24"/>
                <w:lang w:eastAsia="en-GB"/>
              </w:rPr>
              <w:t>1</w:t>
            </w:r>
          </w:p>
        </w:tc>
        <w:tc>
          <w:tcPr>
            <w:tcW w:w="2119" w:type="dxa"/>
            <w:tcBorders>
              <w:top w:val="single" w:sz="12" w:space="0" w:color="70AD47"/>
              <w:left w:val="single" w:sz="8" w:space="0" w:color="auto"/>
              <w:bottom w:val="single" w:sz="4" w:space="0" w:color="auto"/>
              <w:right w:val="single" w:sz="4" w:space="0" w:color="auto"/>
            </w:tcBorders>
            <w:shd w:val="clear" w:color="auto" w:fill="auto"/>
            <w:hideMark/>
          </w:tcPr>
          <w:p w14:paraId="37B940BE" w14:textId="77777777" w:rsidR="001E6E47" w:rsidRPr="001E6E47" w:rsidRDefault="001E6E47" w:rsidP="001E6E47">
            <w:pPr>
              <w:spacing w:after="0" w:line="240" w:lineRule="auto"/>
              <w:rPr>
                <w:rFonts w:eastAsia="Times New Roman" w:cs="Arial"/>
                <w:b/>
                <w:bCs/>
                <w:szCs w:val="24"/>
                <w:lang w:eastAsia="en-GB"/>
              </w:rPr>
            </w:pPr>
            <w:r w:rsidRPr="001E6E47">
              <w:rPr>
                <w:rFonts w:eastAsia="Times New Roman" w:cs="Arial"/>
                <w:b/>
                <w:bCs/>
                <w:szCs w:val="24"/>
                <w:lang w:eastAsia="en-GB"/>
              </w:rPr>
              <w:t>Level Accuracy Survey: Annual Test (Routine work)</w:t>
            </w:r>
          </w:p>
        </w:tc>
        <w:tc>
          <w:tcPr>
            <w:tcW w:w="3192" w:type="dxa"/>
            <w:tcBorders>
              <w:top w:val="single" w:sz="12" w:space="0" w:color="70AD47"/>
              <w:left w:val="nil"/>
              <w:bottom w:val="single" w:sz="4" w:space="0" w:color="auto"/>
              <w:right w:val="single" w:sz="4" w:space="0" w:color="auto"/>
            </w:tcBorders>
            <w:shd w:val="clear" w:color="auto" w:fill="auto"/>
            <w:hideMark/>
          </w:tcPr>
          <w:p w14:paraId="58F59782" w14:textId="77777777" w:rsidR="001E6E47" w:rsidRPr="001E6E47" w:rsidRDefault="001E6E47" w:rsidP="001E6E47">
            <w:pPr>
              <w:spacing w:after="0" w:line="240" w:lineRule="auto"/>
              <w:rPr>
                <w:rFonts w:eastAsia="Times New Roman" w:cs="Arial"/>
                <w:szCs w:val="24"/>
                <w:lang w:eastAsia="en-GB"/>
              </w:rPr>
            </w:pPr>
            <w:r w:rsidRPr="001E6E47">
              <w:rPr>
                <w:rFonts w:eastAsia="Times New Roman" w:cs="Arial"/>
                <w:szCs w:val="24"/>
                <w:lang w:eastAsia="en-GB"/>
              </w:rPr>
              <w:t>Level Surveying to be carried out every 12 months on all fixed dynamic weighbridges in use for Enforcement.</w:t>
            </w:r>
          </w:p>
        </w:tc>
        <w:tc>
          <w:tcPr>
            <w:tcW w:w="2051" w:type="dxa"/>
            <w:tcBorders>
              <w:top w:val="single" w:sz="12" w:space="0" w:color="70AD47"/>
              <w:left w:val="nil"/>
              <w:bottom w:val="single" w:sz="4" w:space="0" w:color="auto"/>
              <w:right w:val="single" w:sz="4" w:space="0" w:color="auto"/>
            </w:tcBorders>
            <w:shd w:val="clear" w:color="auto" w:fill="auto"/>
            <w:noWrap/>
            <w:hideMark/>
          </w:tcPr>
          <w:p w14:paraId="60C231F0" w14:textId="77777777" w:rsidR="001E6E47" w:rsidRPr="001E6E47" w:rsidRDefault="001E6E47" w:rsidP="001E6E47">
            <w:pPr>
              <w:spacing w:after="0" w:line="240" w:lineRule="auto"/>
              <w:rPr>
                <w:rFonts w:eastAsia="Times New Roman" w:cs="Arial"/>
                <w:szCs w:val="24"/>
                <w:lang w:eastAsia="en-GB"/>
              </w:rPr>
            </w:pPr>
            <w:r w:rsidRPr="001E6E47">
              <w:rPr>
                <w:rFonts w:eastAsia="Times New Roman" w:cs="Arial"/>
                <w:szCs w:val="24"/>
                <w:lang w:eastAsia="en-GB"/>
              </w:rPr>
              <w:t>Annual Survey per site</w:t>
            </w:r>
          </w:p>
        </w:tc>
        <w:tc>
          <w:tcPr>
            <w:tcW w:w="1690" w:type="dxa"/>
            <w:tcBorders>
              <w:top w:val="single" w:sz="12" w:space="0" w:color="70AD47"/>
              <w:left w:val="nil"/>
              <w:bottom w:val="single" w:sz="4" w:space="0" w:color="auto"/>
              <w:right w:val="single" w:sz="4" w:space="0" w:color="auto"/>
            </w:tcBorders>
            <w:shd w:val="clear" w:color="auto" w:fill="auto"/>
            <w:noWrap/>
            <w:hideMark/>
          </w:tcPr>
          <w:p w14:paraId="1502AA9E" w14:textId="77777777" w:rsidR="001E6E47" w:rsidRPr="001E6E47" w:rsidRDefault="001E6E47" w:rsidP="001E6E47">
            <w:pPr>
              <w:spacing w:after="0" w:line="240" w:lineRule="auto"/>
              <w:jc w:val="center"/>
              <w:rPr>
                <w:rFonts w:eastAsia="Times New Roman" w:cs="Arial"/>
                <w:szCs w:val="24"/>
                <w:lang w:eastAsia="en-GB"/>
              </w:rPr>
            </w:pPr>
            <w:r w:rsidRPr="001E6E47">
              <w:rPr>
                <w:rFonts w:eastAsia="Times New Roman" w:cs="Arial"/>
                <w:szCs w:val="24"/>
                <w:lang w:eastAsia="en-GB"/>
              </w:rPr>
              <w:t>100%</w:t>
            </w:r>
          </w:p>
        </w:tc>
        <w:tc>
          <w:tcPr>
            <w:tcW w:w="1690" w:type="dxa"/>
            <w:tcBorders>
              <w:top w:val="single" w:sz="12" w:space="0" w:color="70AD47"/>
              <w:left w:val="nil"/>
              <w:bottom w:val="single" w:sz="4" w:space="0" w:color="auto"/>
              <w:right w:val="single" w:sz="8" w:space="0" w:color="auto"/>
            </w:tcBorders>
            <w:shd w:val="clear" w:color="auto" w:fill="auto"/>
          </w:tcPr>
          <w:p w14:paraId="5300B4F0" w14:textId="62BDA712" w:rsidR="377B0C0E" w:rsidRDefault="377B0C0E" w:rsidP="7403D644">
            <w:pPr>
              <w:spacing w:line="240" w:lineRule="auto"/>
              <w:rPr>
                <w:rFonts w:eastAsia="Times New Roman" w:cs="Arial"/>
                <w:lang w:eastAsia="en-GB"/>
              </w:rPr>
            </w:pPr>
            <w:r w:rsidRPr="7403D644">
              <w:rPr>
                <w:rFonts w:eastAsia="Times New Roman" w:cs="Arial"/>
                <w:lang w:eastAsia="en-GB"/>
              </w:rPr>
              <w:t>0.2%</w:t>
            </w:r>
          </w:p>
        </w:tc>
        <w:tc>
          <w:tcPr>
            <w:tcW w:w="2143" w:type="dxa"/>
            <w:tcBorders>
              <w:top w:val="single" w:sz="12" w:space="0" w:color="70AD47"/>
              <w:left w:val="nil"/>
              <w:bottom w:val="single" w:sz="4" w:space="0" w:color="auto"/>
              <w:right w:val="single" w:sz="8" w:space="0" w:color="auto"/>
            </w:tcBorders>
            <w:shd w:val="clear" w:color="auto" w:fill="auto"/>
            <w:hideMark/>
          </w:tcPr>
          <w:p w14:paraId="22582E7D" w14:textId="77777777" w:rsidR="001E6E47" w:rsidRPr="001E6E47" w:rsidRDefault="001E6E47" w:rsidP="001E6E47">
            <w:pPr>
              <w:spacing w:after="0" w:line="240" w:lineRule="auto"/>
              <w:rPr>
                <w:rFonts w:eastAsia="Times New Roman" w:cs="Arial"/>
                <w:szCs w:val="24"/>
                <w:lang w:eastAsia="en-GB"/>
              </w:rPr>
            </w:pPr>
            <w:r w:rsidRPr="001E6E47">
              <w:rPr>
                <w:rFonts w:eastAsia="Times New Roman" w:cs="Arial"/>
                <w:szCs w:val="24"/>
                <w:lang w:eastAsia="en-GB"/>
              </w:rPr>
              <w:t>Supplier to provide an activity log detailing a rolling 12 month schedule, on a monthly basis. Schedule to include 12 monthly historic data per site.</w:t>
            </w:r>
          </w:p>
        </w:tc>
      </w:tr>
      <w:tr w:rsidR="001E6E47" w:rsidRPr="001E6E47" w14:paraId="08DD79F2" w14:textId="77777777" w:rsidTr="0F8A7A4C">
        <w:trPr>
          <w:trHeight w:val="1870"/>
        </w:trPr>
        <w:tc>
          <w:tcPr>
            <w:tcW w:w="1066" w:type="dxa"/>
            <w:tcBorders>
              <w:top w:val="nil"/>
              <w:left w:val="single" w:sz="8" w:space="0" w:color="70AD47"/>
              <w:bottom w:val="single" w:sz="12" w:space="0" w:color="70AD47"/>
              <w:right w:val="nil"/>
            </w:tcBorders>
            <w:shd w:val="clear" w:color="auto" w:fill="auto"/>
            <w:noWrap/>
            <w:vAlign w:val="center"/>
            <w:hideMark/>
          </w:tcPr>
          <w:p w14:paraId="1AF97968" w14:textId="77777777" w:rsidR="001E6E47" w:rsidRPr="001E6E47" w:rsidRDefault="001E6E47" w:rsidP="001E6E47">
            <w:pPr>
              <w:spacing w:after="0" w:line="240" w:lineRule="auto"/>
              <w:jc w:val="center"/>
              <w:rPr>
                <w:rFonts w:eastAsia="Times New Roman" w:cs="Arial"/>
                <w:b/>
                <w:bCs/>
                <w:szCs w:val="24"/>
                <w:lang w:eastAsia="en-GB"/>
              </w:rPr>
            </w:pPr>
            <w:r w:rsidRPr="001E6E47">
              <w:rPr>
                <w:rFonts w:eastAsia="Times New Roman" w:cs="Arial"/>
                <w:b/>
                <w:bCs/>
                <w:szCs w:val="24"/>
                <w:lang w:eastAsia="en-GB"/>
              </w:rPr>
              <w:t>2</w:t>
            </w:r>
          </w:p>
        </w:tc>
        <w:tc>
          <w:tcPr>
            <w:tcW w:w="2119" w:type="dxa"/>
            <w:tcBorders>
              <w:top w:val="nil"/>
              <w:left w:val="single" w:sz="8" w:space="0" w:color="auto"/>
              <w:bottom w:val="single" w:sz="12" w:space="0" w:color="70AD47"/>
              <w:right w:val="single" w:sz="4" w:space="0" w:color="auto"/>
            </w:tcBorders>
            <w:shd w:val="clear" w:color="auto" w:fill="auto"/>
            <w:hideMark/>
          </w:tcPr>
          <w:p w14:paraId="6FB34DC4" w14:textId="77777777" w:rsidR="001E6E47" w:rsidRPr="001E6E47" w:rsidRDefault="001E6E47" w:rsidP="001E6E47">
            <w:pPr>
              <w:spacing w:after="0" w:line="240" w:lineRule="auto"/>
              <w:rPr>
                <w:rFonts w:eastAsia="Times New Roman" w:cs="Arial"/>
                <w:b/>
                <w:bCs/>
                <w:szCs w:val="24"/>
                <w:lang w:eastAsia="en-GB"/>
              </w:rPr>
            </w:pPr>
            <w:r w:rsidRPr="001E6E47">
              <w:rPr>
                <w:rFonts w:eastAsia="Times New Roman" w:cs="Arial"/>
                <w:b/>
                <w:bCs/>
                <w:szCs w:val="24"/>
                <w:lang w:eastAsia="en-GB"/>
              </w:rPr>
              <w:t>Level Accuracy Survey:</w:t>
            </w:r>
            <w:r w:rsidRPr="001E6E47">
              <w:rPr>
                <w:rFonts w:eastAsia="Times New Roman" w:cs="Arial"/>
                <w:b/>
                <w:bCs/>
                <w:szCs w:val="24"/>
                <w:lang w:eastAsia="en-GB"/>
              </w:rPr>
              <w:br/>
              <w:t>Remedial work and re-survey required</w:t>
            </w:r>
            <w:r w:rsidRPr="001E6E47">
              <w:rPr>
                <w:rFonts w:eastAsia="Times New Roman" w:cs="Arial"/>
                <w:b/>
                <w:bCs/>
                <w:szCs w:val="24"/>
                <w:lang w:eastAsia="en-GB"/>
              </w:rPr>
              <w:br/>
              <w:t xml:space="preserve">(Routine work) </w:t>
            </w:r>
          </w:p>
        </w:tc>
        <w:tc>
          <w:tcPr>
            <w:tcW w:w="3192" w:type="dxa"/>
            <w:tcBorders>
              <w:top w:val="nil"/>
              <w:left w:val="nil"/>
              <w:bottom w:val="single" w:sz="12" w:space="0" w:color="70AD47"/>
              <w:right w:val="single" w:sz="4" w:space="0" w:color="auto"/>
            </w:tcBorders>
            <w:shd w:val="clear" w:color="auto" w:fill="auto"/>
            <w:hideMark/>
          </w:tcPr>
          <w:p w14:paraId="4CBB40E1" w14:textId="77777777" w:rsidR="001E6E47" w:rsidRPr="001E6E47" w:rsidRDefault="001E6E47" w:rsidP="001E6E47">
            <w:pPr>
              <w:spacing w:after="0" w:line="240" w:lineRule="auto"/>
              <w:rPr>
                <w:rFonts w:eastAsia="Times New Roman" w:cs="Arial"/>
                <w:szCs w:val="24"/>
                <w:lang w:eastAsia="en-GB"/>
              </w:rPr>
            </w:pPr>
            <w:r w:rsidRPr="001E6E47">
              <w:rPr>
                <w:rFonts w:eastAsia="Times New Roman" w:cs="Arial"/>
                <w:szCs w:val="24"/>
                <w:lang w:eastAsia="en-GB"/>
              </w:rPr>
              <w:t>If during the Routine Annual Level Accuracy Survey, remedial work and a re-survey are required; these are to be carried out within 8 working days of the date of any failed level accuracy survey; where work being carried out, isn't a major repair. And not more than 4 weeks in advance of the verification test.</w:t>
            </w:r>
          </w:p>
        </w:tc>
        <w:tc>
          <w:tcPr>
            <w:tcW w:w="2051" w:type="dxa"/>
            <w:tcBorders>
              <w:top w:val="nil"/>
              <w:left w:val="nil"/>
              <w:bottom w:val="single" w:sz="12" w:space="0" w:color="70AD47"/>
              <w:right w:val="single" w:sz="4" w:space="0" w:color="auto"/>
            </w:tcBorders>
            <w:shd w:val="clear" w:color="auto" w:fill="auto"/>
            <w:noWrap/>
            <w:hideMark/>
          </w:tcPr>
          <w:p w14:paraId="46B4C823" w14:textId="77777777" w:rsidR="001E6E47" w:rsidRPr="001E6E47" w:rsidRDefault="001E6E47" w:rsidP="001E6E47">
            <w:pPr>
              <w:spacing w:after="0" w:line="240" w:lineRule="auto"/>
              <w:rPr>
                <w:rFonts w:eastAsia="Times New Roman" w:cs="Arial"/>
                <w:szCs w:val="24"/>
                <w:lang w:eastAsia="en-GB"/>
              </w:rPr>
            </w:pPr>
            <w:r w:rsidRPr="001E6E47">
              <w:rPr>
                <w:rFonts w:eastAsia="Times New Roman" w:cs="Arial"/>
                <w:szCs w:val="24"/>
                <w:lang w:eastAsia="en-GB"/>
              </w:rPr>
              <w:t>8 working days of failure</w:t>
            </w:r>
          </w:p>
        </w:tc>
        <w:tc>
          <w:tcPr>
            <w:tcW w:w="1690" w:type="dxa"/>
            <w:tcBorders>
              <w:top w:val="nil"/>
              <w:left w:val="nil"/>
              <w:bottom w:val="single" w:sz="12" w:space="0" w:color="70AD47"/>
              <w:right w:val="single" w:sz="4" w:space="0" w:color="auto"/>
            </w:tcBorders>
            <w:shd w:val="clear" w:color="auto" w:fill="auto"/>
            <w:noWrap/>
            <w:hideMark/>
          </w:tcPr>
          <w:p w14:paraId="206EBCBC" w14:textId="77777777" w:rsidR="001E6E47" w:rsidRPr="001E6E47" w:rsidRDefault="001E6E47" w:rsidP="001E6E47">
            <w:pPr>
              <w:spacing w:after="0" w:line="240" w:lineRule="auto"/>
              <w:jc w:val="center"/>
              <w:rPr>
                <w:rFonts w:eastAsia="Times New Roman" w:cs="Arial"/>
                <w:szCs w:val="24"/>
                <w:lang w:eastAsia="en-GB"/>
              </w:rPr>
            </w:pPr>
            <w:r w:rsidRPr="001E6E47">
              <w:rPr>
                <w:rFonts w:eastAsia="Times New Roman" w:cs="Arial"/>
                <w:szCs w:val="24"/>
                <w:lang w:eastAsia="en-GB"/>
              </w:rPr>
              <w:t>100%</w:t>
            </w:r>
          </w:p>
        </w:tc>
        <w:tc>
          <w:tcPr>
            <w:tcW w:w="1690" w:type="dxa"/>
            <w:tcBorders>
              <w:top w:val="nil"/>
              <w:left w:val="nil"/>
              <w:bottom w:val="single" w:sz="12" w:space="0" w:color="70AD47"/>
              <w:right w:val="single" w:sz="8" w:space="0" w:color="auto"/>
            </w:tcBorders>
            <w:shd w:val="clear" w:color="auto" w:fill="auto"/>
          </w:tcPr>
          <w:p w14:paraId="7D759301" w14:textId="62BDA712" w:rsidR="5204708F" w:rsidRDefault="5204708F" w:rsidP="7403D644">
            <w:pPr>
              <w:spacing w:line="240" w:lineRule="auto"/>
              <w:rPr>
                <w:rFonts w:eastAsia="Times New Roman" w:cs="Arial"/>
                <w:lang w:eastAsia="en-GB"/>
              </w:rPr>
            </w:pPr>
            <w:r w:rsidRPr="7403D644">
              <w:rPr>
                <w:rFonts w:eastAsia="Times New Roman" w:cs="Arial"/>
                <w:lang w:eastAsia="en-GB"/>
              </w:rPr>
              <w:t>0.2%</w:t>
            </w:r>
          </w:p>
          <w:p w14:paraId="18A80CA3" w14:textId="34D4D94A" w:rsidR="7403D644" w:rsidRDefault="7403D644" w:rsidP="7403D644">
            <w:pPr>
              <w:spacing w:line="240" w:lineRule="auto"/>
              <w:rPr>
                <w:rFonts w:eastAsia="Times New Roman" w:cs="Arial"/>
                <w:lang w:eastAsia="en-GB"/>
              </w:rPr>
            </w:pPr>
          </w:p>
        </w:tc>
        <w:tc>
          <w:tcPr>
            <w:tcW w:w="2143" w:type="dxa"/>
            <w:tcBorders>
              <w:top w:val="nil"/>
              <w:left w:val="nil"/>
              <w:bottom w:val="single" w:sz="12" w:space="0" w:color="70AD47"/>
              <w:right w:val="single" w:sz="8" w:space="0" w:color="auto"/>
            </w:tcBorders>
            <w:shd w:val="clear" w:color="auto" w:fill="auto"/>
            <w:hideMark/>
          </w:tcPr>
          <w:p w14:paraId="534B3FDA" w14:textId="6DE490AE" w:rsidR="001E6E47" w:rsidRPr="001E6E47" w:rsidRDefault="001E6E47" w:rsidP="001E6E47">
            <w:pPr>
              <w:spacing w:after="0" w:line="240" w:lineRule="auto"/>
              <w:rPr>
                <w:rFonts w:eastAsia="Times New Roman" w:cs="Arial"/>
                <w:szCs w:val="24"/>
                <w:lang w:eastAsia="en-GB"/>
              </w:rPr>
            </w:pPr>
            <w:r w:rsidRPr="001E6E47">
              <w:rPr>
                <w:rFonts w:eastAsia="Times New Roman" w:cs="Arial"/>
                <w:szCs w:val="24"/>
                <w:lang w:eastAsia="en-GB"/>
              </w:rPr>
              <w:t xml:space="preserve">Supplier to provide an incident report and activity log detailing MI such as; failed survey </w:t>
            </w:r>
            <w:r w:rsidR="00F065ED" w:rsidRPr="001E6E47">
              <w:rPr>
                <w:rFonts w:eastAsia="Times New Roman" w:cs="Arial"/>
                <w:szCs w:val="24"/>
                <w:lang w:eastAsia="en-GB"/>
              </w:rPr>
              <w:t>date, remedial</w:t>
            </w:r>
            <w:r w:rsidRPr="001E6E47">
              <w:rPr>
                <w:rFonts w:eastAsia="Times New Roman" w:cs="Arial"/>
                <w:szCs w:val="24"/>
                <w:lang w:eastAsia="en-GB"/>
              </w:rPr>
              <w:t xml:space="preserve"> work dates, re-surveys, parts replaced, completion dates, and a breakdown of costs per site. </w:t>
            </w:r>
          </w:p>
        </w:tc>
      </w:tr>
      <w:tr w:rsidR="001E6E47" w:rsidRPr="001E6E47" w14:paraId="27151692" w14:textId="77777777" w:rsidTr="0F8A7A4C">
        <w:trPr>
          <w:trHeight w:val="1560"/>
        </w:trPr>
        <w:tc>
          <w:tcPr>
            <w:tcW w:w="1066" w:type="dxa"/>
            <w:tcBorders>
              <w:top w:val="nil"/>
              <w:left w:val="single" w:sz="8" w:space="0" w:color="70AD47"/>
              <w:bottom w:val="single" w:sz="4" w:space="0" w:color="auto"/>
              <w:right w:val="nil"/>
            </w:tcBorders>
            <w:shd w:val="clear" w:color="auto" w:fill="auto"/>
            <w:noWrap/>
            <w:vAlign w:val="center"/>
            <w:hideMark/>
          </w:tcPr>
          <w:p w14:paraId="00EDBCD0" w14:textId="77777777" w:rsidR="001E6E47" w:rsidRPr="001E6E47" w:rsidRDefault="001E6E47" w:rsidP="001E6E47">
            <w:pPr>
              <w:spacing w:after="0" w:line="240" w:lineRule="auto"/>
              <w:jc w:val="center"/>
              <w:rPr>
                <w:rFonts w:eastAsia="Times New Roman" w:cs="Arial"/>
                <w:b/>
                <w:bCs/>
                <w:color w:val="000000"/>
                <w:szCs w:val="24"/>
                <w:lang w:eastAsia="en-GB"/>
              </w:rPr>
            </w:pPr>
            <w:r w:rsidRPr="001E6E47">
              <w:rPr>
                <w:rFonts w:eastAsia="Times New Roman" w:cs="Arial"/>
                <w:b/>
                <w:bCs/>
                <w:color w:val="000000"/>
                <w:szCs w:val="24"/>
                <w:lang w:eastAsia="en-GB"/>
              </w:rPr>
              <w:t>3</w:t>
            </w:r>
          </w:p>
        </w:tc>
        <w:tc>
          <w:tcPr>
            <w:tcW w:w="2119" w:type="dxa"/>
            <w:tcBorders>
              <w:top w:val="nil"/>
              <w:left w:val="single" w:sz="8" w:space="0" w:color="auto"/>
              <w:bottom w:val="single" w:sz="4" w:space="0" w:color="auto"/>
              <w:right w:val="single" w:sz="4" w:space="0" w:color="auto"/>
            </w:tcBorders>
            <w:shd w:val="clear" w:color="auto" w:fill="auto"/>
            <w:hideMark/>
          </w:tcPr>
          <w:p w14:paraId="3B712C3D" w14:textId="77777777" w:rsidR="001E6E47" w:rsidRPr="001E6E47" w:rsidRDefault="001E6E47" w:rsidP="001E6E47">
            <w:pPr>
              <w:spacing w:after="0" w:line="240" w:lineRule="auto"/>
              <w:rPr>
                <w:rFonts w:eastAsia="Times New Roman" w:cs="Arial"/>
                <w:b/>
                <w:bCs/>
                <w:color w:val="000000"/>
                <w:szCs w:val="24"/>
                <w:lang w:eastAsia="en-GB"/>
              </w:rPr>
            </w:pPr>
            <w:r w:rsidRPr="001E6E47">
              <w:rPr>
                <w:rFonts w:eastAsia="Times New Roman" w:cs="Arial"/>
                <w:b/>
                <w:bCs/>
                <w:color w:val="000000"/>
                <w:szCs w:val="24"/>
                <w:lang w:eastAsia="en-GB"/>
              </w:rPr>
              <w:t>Level Accuracy Surveys: Faults/Breakdowns</w:t>
            </w:r>
            <w:r w:rsidRPr="001E6E47">
              <w:rPr>
                <w:rFonts w:eastAsia="Times New Roman" w:cs="Arial"/>
                <w:b/>
                <w:bCs/>
                <w:color w:val="000000"/>
                <w:szCs w:val="24"/>
                <w:lang w:eastAsia="en-GB"/>
              </w:rPr>
              <w:br/>
              <w:t>(Non-Routine work)</w:t>
            </w:r>
          </w:p>
        </w:tc>
        <w:tc>
          <w:tcPr>
            <w:tcW w:w="3192" w:type="dxa"/>
            <w:tcBorders>
              <w:top w:val="nil"/>
              <w:left w:val="nil"/>
              <w:bottom w:val="single" w:sz="4" w:space="0" w:color="auto"/>
              <w:right w:val="single" w:sz="4" w:space="0" w:color="auto"/>
            </w:tcBorders>
            <w:shd w:val="clear" w:color="auto" w:fill="auto"/>
            <w:hideMark/>
          </w:tcPr>
          <w:p w14:paraId="7FBAEE3C" w14:textId="77777777" w:rsidR="001E6E47" w:rsidRPr="001E6E47" w:rsidRDefault="001E6E47" w:rsidP="001E6E47">
            <w:pPr>
              <w:spacing w:after="0" w:line="240" w:lineRule="auto"/>
              <w:rPr>
                <w:rFonts w:eastAsia="Times New Roman" w:cs="Arial"/>
                <w:color w:val="000000"/>
                <w:szCs w:val="24"/>
                <w:lang w:eastAsia="en-GB"/>
              </w:rPr>
            </w:pPr>
            <w:r w:rsidRPr="001E6E47">
              <w:rPr>
                <w:rFonts w:eastAsia="Times New Roman" w:cs="Arial"/>
                <w:color w:val="000000"/>
                <w:szCs w:val="24"/>
                <w:lang w:eastAsia="en-GB"/>
              </w:rPr>
              <w:t>Level accuracy surveys are to be carried out with-in 12 working days of the reported fault.</w:t>
            </w:r>
          </w:p>
        </w:tc>
        <w:tc>
          <w:tcPr>
            <w:tcW w:w="2051" w:type="dxa"/>
            <w:tcBorders>
              <w:top w:val="nil"/>
              <w:left w:val="nil"/>
              <w:bottom w:val="single" w:sz="4" w:space="0" w:color="auto"/>
              <w:right w:val="single" w:sz="4" w:space="0" w:color="auto"/>
            </w:tcBorders>
            <w:shd w:val="clear" w:color="auto" w:fill="auto"/>
            <w:noWrap/>
            <w:hideMark/>
          </w:tcPr>
          <w:p w14:paraId="41526371" w14:textId="77777777" w:rsidR="001E6E47" w:rsidRPr="001E6E47" w:rsidRDefault="001E6E47" w:rsidP="001E6E47">
            <w:pPr>
              <w:spacing w:after="0" w:line="240" w:lineRule="auto"/>
              <w:rPr>
                <w:rFonts w:eastAsia="Times New Roman" w:cs="Arial"/>
                <w:color w:val="000000"/>
                <w:szCs w:val="24"/>
                <w:lang w:eastAsia="en-GB"/>
              </w:rPr>
            </w:pPr>
            <w:r w:rsidRPr="001E6E47">
              <w:rPr>
                <w:rFonts w:eastAsia="Times New Roman" w:cs="Arial"/>
                <w:color w:val="000000"/>
                <w:szCs w:val="24"/>
                <w:lang w:eastAsia="en-GB"/>
              </w:rPr>
              <w:t>12 working days of the reported fault</w:t>
            </w:r>
          </w:p>
        </w:tc>
        <w:tc>
          <w:tcPr>
            <w:tcW w:w="1690" w:type="dxa"/>
            <w:tcBorders>
              <w:top w:val="nil"/>
              <w:left w:val="nil"/>
              <w:bottom w:val="single" w:sz="4" w:space="0" w:color="auto"/>
              <w:right w:val="single" w:sz="4" w:space="0" w:color="auto"/>
            </w:tcBorders>
            <w:shd w:val="clear" w:color="auto" w:fill="auto"/>
            <w:noWrap/>
            <w:hideMark/>
          </w:tcPr>
          <w:p w14:paraId="10BDB268" w14:textId="77777777" w:rsidR="001E6E47" w:rsidRPr="001E6E47" w:rsidRDefault="001E6E47" w:rsidP="001E6E47">
            <w:pPr>
              <w:spacing w:after="0" w:line="240" w:lineRule="auto"/>
              <w:jc w:val="center"/>
              <w:rPr>
                <w:rFonts w:eastAsia="Times New Roman" w:cs="Arial"/>
                <w:color w:val="000000"/>
                <w:szCs w:val="24"/>
                <w:lang w:eastAsia="en-GB"/>
              </w:rPr>
            </w:pPr>
            <w:r w:rsidRPr="001E6E47">
              <w:rPr>
                <w:rFonts w:eastAsia="Times New Roman" w:cs="Arial"/>
                <w:color w:val="000000"/>
                <w:szCs w:val="24"/>
                <w:lang w:eastAsia="en-GB"/>
              </w:rPr>
              <w:t>100%</w:t>
            </w:r>
          </w:p>
        </w:tc>
        <w:tc>
          <w:tcPr>
            <w:tcW w:w="1690" w:type="dxa"/>
            <w:tcBorders>
              <w:top w:val="nil"/>
              <w:left w:val="nil"/>
              <w:bottom w:val="single" w:sz="4" w:space="0" w:color="auto"/>
              <w:right w:val="single" w:sz="8" w:space="0" w:color="auto"/>
            </w:tcBorders>
            <w:shd w:val="clear" w:color="auto" w:fill="auto"/>
          </w:tcPr>
          <w:p w14:paraId="4449E700" w14:textId="62BDA712" w:rsidR="2F39DA7E" w:rsidRDefault="2F39DA7E" w:rsidP="7403D644">
            <w:pPr>
              <w:spacing w:line="240" w:lineRule="auto"/>
              <w:rPr>
                <w:rFonts w:eastAsia="Times New Roman" w:cs="Arial"/>
                <w:lang w:eastAsia="en-GB"/>
              </w:rPr>
            </w:pPr>
            <w:r w:rsidRPr="7403D644">
              <w:rPr>
                <w:rFonts w:eastAsia="Times New Roman" w:cs="Arial"/>
                <w:lang w:eastAsia="en-GB"/>
              </w:rPr>
              <w:t>0.2%</w:t>
            </w:r>
          </w:p>
          <w:p w14:paraId="4D8C56E1" w14:textId="4A9271D3" w:rsidR="7403D644" w:rsidRDefault="7403D644" w:rsidP="7403D644">
            <w:pPr>
              <w:spacing w:line="240" w:lineRule="auto"/>
              <w:rPr>
                <w:rFonts w:eastAsia="Times New Roman" w:cs="Arial"/>
                <w:color w:val="000000" w:themeColor="text1"/>
                <w:lang w:eastAsia="en-GB"/>
              </w:rPr>
            </w:pPr>
          </w:p>
        </w:tc>
        <w:tc>
          <w:tcPr>
            <w:tcW w:w="2143" w:type="dxa"/>
            <w:tcBorders>
              <w:top w:val="nil"/>
              <w:left w:val="nil"/>
              <w:bottom w:val="single" w:sz="4" w:space="0" w:color="auto"/>
              <w:right w:val="single" w:sz="8" w:space="0" w:color="auto"/>
            </w:tcBorders>
            <w:shd w:val="clear" w:color="auto" w:fill="auto"/>
            <w:hideMark/>
          </w:tcPr>
          <w:p w14:paraId="5871F6C7" w14:textId="0BF59A91" w:rsidR="001E6E47" w:rsidRPr="001E6E47" w:rsidRDefault="001E6E47" w:rsidP="001E6E47">
            <w:pPr>
              <w:spacing w:after="0" w:line="240" w:lineRule="auto"/>
              <w:rPr>
                <w:rFonts w:eastAsia="Times New Roman" w:cs="Arial"/>
                <w:color w:val="000000"/>
                <w:szCs w:val="24"/>
                <w:lang w:eastAsia="en-GB"/>
              </w:rPr>
            </w:pPr>
            <w:r w:rsidRPr="001E6E47">
              <w:rPr>
                <w:rFonts w:eastAsia="Times New Roman" w:cs="Arial"/>
                <w:color w:val="000000"/>
                <w:szCs w:val="24"/>
                <w:lang w:eastAsia="en-GB"/>
              </w:rPr>
              <w:t xml:space="preserve">Supplier to provide an incident report and activity log detailing MI such as: when requests </w:t>
            </w:r>
            <w:r w:rsidR="00F065ED" w:rsidRPr="001E6E47">
              <w:rPr>
                <w:rFonts w:eastAsia="Times New Roman" w:cs="Arial"/>
                <w:color w:val="000000"/>
                <w:szCs w:val="24"/>
                <w:lang w:eastAsia="en-GB"/>
              </w:rPr>
              <w:t>received</w:t>
            </w:r>
            <w:r w:rsidRPr="001E6E47">
              <w:rPr>
                <w:rFonts w:eastAsia="Times New Roman" w:cs="Arial"/>
                <w:color w:val="000000"/>
                <w:szCs w:val="24"/>
                <w:lang w:eastAsia="en-GB"/>
              </w:rPr>
              <w:t>, additional level survey dates , DVSA staff member who reported the fault, completion dates.</w:t>
            </w:r>
          </w:p>
        </w:tc>
      </w:tr>
      <w:tr w:rsidR="001E6E47" w:rsidRPr="001E6E47" w14:paraId="7B481926" w14:textId="77777777" w:rsidTr="0F8A7A4C">
        <w:trPr>
          <w:trHeight w:val="1250"/>
        </w:trPr>
        <w:tc>
          <w:tcPr>
            <w:tcW w:w="1066" w:type="dxa"/>
            <w:tcBorders>
              <w:top w:val="nil"/>
              <w:left w:val="single" w:sz="8" w:space="0" w:color="70AD47"/>
              <w:bottom w:val="single" w:sz="12" w:space="0" w:color="70AD47"/>
              <w:right w:val="nil"/>
            </w:tcBorders>
            <w:shd w:val="clear" w:color="auto" w:fill="auto"/>
            <w:noWrap/>
            <w:vAlign w:val="center"/>
            <w:hideMark/>
          </w:tcPr>
          <w:p w14:paraId="48DB456B" w14:textId="77777777" w:rsidR="001E6E47" w:rsidRPr="001E6E47" w:rsidRDefault="001E6E47" w:rsidP="001E6E47">
            <w:pPr>
              <w:spacing w:after="0" w:line="240" w:lineRule="auto"/>
              <w:jc w:val="center"/>
              <w:rPr>
                <w:rFonts w:eastAsia="Times New Roman" w:cs="Arial"/>
                <w:b/>
                <w:bCs/>
                <w:color w:val="000000"/>
                <w:szCs w:val="24"/>
                <w:lang w:eastAsia="en-GB"/>
              </w:rPr>
            </w:pPr>
            <w:r w:rsidRPr="001E6E47">
              <w:rPr>
                <w:rFonts w:eastAsia="Times New Roman" w:cs="Arial"/>
                <w:b/>
                <w:bCs/>
                <w:color w:val="000000"/>
                <w:szCs w:val="24"/>
                <w:lang w:eastAsia="en-GB"/>
              </w:rPr>
              <w:t>4</w:t>
            </w:r>
          </w:p>
        </w:tc>
        <w:tc>
          <w:tcPr>
            <w:tcW w:w="2119" w:type="dxa"/>
            <w:tcBorders>
              <w:top w:val="nil"/>
              <w:left w:val="single" w:sz="8" w:space="0" w:color="auto"/>
              <w:bottom w:val="single" w:sz="12" w:space="0" w:color="70AD47"/>
              <w:right w:val="single" w:sz="4" w:space="0" w:color="auto"/>
            </w:tcBorders>
            <w:shd w:val="clear" w:color="auto" w:fill="auto"/>
            <w:hideMark/>
          </w:tcPr>
          <w:p w14:paraId="1F030000" w14:textId="77777777" w:rsidR="001E6E47" w:rsidRPr="001E6E47" w:rsidRDefault="001E6E47" w:rsidP="001E6E47">
            <w:pPr>
              <w:spacing w:after="0" w:line="240" w:lineRule="auto"/>
              <w:rPr>
                <w:rFonts w:eastAsia="Times New Roman" w:cs="Arial"/>
                <w:b/>
                <w:bCs/>
                <w:color w:val="000000"/>
                <w:szCs w:val="24"/>
                <w:lang w:eastAsia="en-GB"/>
              </w:rPr>
            </w:pPr>
            <w:r w:rsidRPr="001E6E47">
              <w:rPr>
                <w:rFonts w:eastAsia="Times New Roman" w:cs="Arial"/>
                <w:b/>
                <w:bCs/>
                <w:color w:val="000000"/>
                <w:szCs w:val="24"/>
                <w:lang w:eastAsia="en-GB"/>
              </w:rPr>
              <w:t>Level Accuracy Survey Certification</w:t>
            </w:r>
            <w:r w:rsidRPr="001E6E47">
              <w:rPr>
                <w:rFonts w:eastAsia="Times New Roman" w:cs="Arial"/>
                <w:b/>
                <w:bCs/>
                <w:color w:val="000000"/>
                <w:szCs w:val="24"/>
                <w:lang w:eastAsia="en-GB"/>
              </w:rPr>
              <w:br/>
              <w:t>(Routine work)</w:t>
            </w:r>
          </w:p>
        </w:tc>
        <w:tc>
          <w:tcPr>
            <w:tcW w:w="3192" w:type="dxa"/>
            <w:tcBorders>
              <w:top w:val="nil"/>
              <w:left w:val="nil"/>
              <w:bottom w:val="single" w:sz="12" w:space="0" w:color="70AD47"/>
              <w:right w:val="single" w:sz="4" w:space="0" w:color="auto"/>
            </w:tcBorders>
            <w:shd w:val="clear" w:color="auto" w:fill="auto"/>
            <w:hideMark/>
          </w:tcPr>
          <w:p w14:paraId="5123C994" w14:textId="04B5546B" w:rsidR="001E6E47" w:rsidRPr="001E6E47" w:rsidRDefault="001E6E47" w:rsidP="001E6E47">
            <w:pPr>
              <w:spacing w:after="0" w:line="240" w:lineRule="auto"/>
              <w:rPr>
                <w:rFonts w:eastAsia="Times New Roman" w:cs="Arial"/>
                <w:szCs w:val="24"/>
                <w:lang w:eastAsia="en-GB"/>
              </w:rPr>
            </w:pPr>
            <w:r w:rsidRPr="001E6E47">
              <w:rPr>
                <w:rFonts w:eastAsia="Times New Roman" w:cs="Arial"/>
                <w:szCs w:val="24"/>
                <w:lang w:eastAsia="en-GB"/>
              </w:rPr>
              <w:t>Levels Survey &amp; Statement of Witness to be emailed to site and copied to Trading Standards Officer. MI to show data with a survey reference number, so that CM can request the certificate when required</w:t>
            </w:r>
          </w:p>
        </w:tc>
        <w:tc>
          <w:tcPr>
            <w:tcW w:w="2051" w:type="dxa"/>
            <w:tcBorders>
              <w:top w:val="nil"/>
              <w:left w:val="nil"/>
              <w:bottom w:val="single" w:sz="12" w:space="0" w:color="70AD47"/>
              <w:right w:val="single" w:sz="4" w:space="0" w:color="auto"/>
            </w:tcBorders>
            <w:shd w:val="clear" w:color="auto" w:fill="auto"/>
            <w:hideMark/>
          </w:tcPr>
          <w:p w14:paraId="64F91AD7" w14:textId="77777777" w:rsidR="001E6E47" w:rsidRPr="001E6E47" w:rsidRDefault="001E6E47" w:rsidP="001E6E47">
            <w:pPr>
              <w:spacing w:after="0" w:line="240" w:lineRule="auto"/>
              <w:rPr>
                <w:rFonts w:eastAsia="Times New Roman" w:cs="Arial"/>
                <w:szCs w:val="24"/>
                <w:lang w:eastAsia="en-GB"/>
              </w:rPr>
            </w:pPr>
            <w:r w:rsidRPr="001E6E47">
              <w:rPr>
                <w:rFonts w:eastAsia="Times New Roman" w:cs="Arial"/>
                <w:szCs w:val="24"/>
                <w:lang w:eastAsia="en-GB"/>
              </w:rPr>
              <w:t>Level Survey &amp; Statement of Witness to be emailed within 15 working days of Level Survey</w:t>
            </w:r>
          </w:p>
        </w:tc>
        <w:tc>
          <w:tcPr>
            <w:tcW w:w="1690" w:type="dxa"/>
            <w:tcBorders>
              <w:top w:val="nil"/>
              <w:left w:val="nil"/>
              <w:bottom w:val="single" w:sz="12" w:space="0" w:color="70AD47"/>
              <w:right w:val="single" w:sz="4" w:space="0" w:color="auto"/>
            </w:tcBorders>
            <w:shd w:val="clear" w:color="auto" w:fill="auto"/>
            <w:noWrap/>
            <w:hideMark/>
          </w:tcPr>
          <w:p w14:paraId="43878F69" w14:textId="77777777" w:rsidR="001E6E47" w:rsidRPr="001E6E47" w:rsidRDefault="001E6E47" w:rsidP="001E6E47">
            <w:pPr>
              <w:spacing w:after="0" w:line="240" w:lineRule="auto"/>
              <w:jc w:val="center"/>
              <w:rPr>
                <w:rFonts w:eastAsia="Times New Roman" w:cs="Arial"/>
                <w:color w:val="000000"/>
                <w:szCs w:val="24"/>
                <w:lang w:eastAsia="en-GB"/>
              </w:rPr>
            </w:pPr>
            <w:r w:rsidRPr="001E6E47">
              <w:rPr>
                <w:rFonts w:eastAsia="Times New Roman" w:cs="Arial"/>
                <w:color w:val="000000"/>
                <w:szCs w:val="24"/>
                <w:lang w:eastAsia="en-GB"/>
              </w:rPr>
              <w:t>100%</w:t>
            </w:r>
          </w:p>
        </w:tc>
        <w:tc>
          <w:tcPr>
            <w:tcW w:w="1690" w:type="dxa"/>
            <w:tcBorders>
              <w:top w:val="nil"/>
              <w:left w:val="nil"/>
              <w:bottom w:val="single" w:sz="12" w:space="0" w:color="70AD47"/>
              <w:right w:val="single" w:sz="8" w:space="0" w:color="auto"/>
            </w:tcBorders>
            <w:shd w:val="clear" w:color="auto" w:fill="auto"/>
          </w:tcPr>
          <w:p w14:paraId="0EC5A35A" w14:textId="62BDA712" w:rsidR="14CB1B71" w:rsidRDefault="14CB1B71" w:rsidP="7403D644">
            <w:pPr>
              <w:spacing w:line="240" w:lineRule="auto"/>
              <w:rPr>
                <w:rFonts w:eastAsia="Times New Roman" w:cs="Arial"/>
                <w:lang w:eastAsia="en-GB"/>
              </w:rPr>
            </w:pPr>
            <w:r w:rsidRPr="7403D644">
              <w:rPr>
                <w:rFonts w:eastAsia="Times New Roman" w:cs="Arial"/>
                <w:lang w:eastAsia="en-GB"/>
              </w:rPr>
              <w:t>0.2%</w:t>
            </w:r>
          </w:p>
          <w:p w14:paraId="1A8DD84B" w14:textId="034DB944" w:rsidR="7403D644" w:rsidRDefault="7403D644" w:rsidP="7403D644">
            <w:pPr>
              <w:spacing w:line="240" w:lineRule="auto"/>
              <w:rPr>
                <w:rFonts w:eastAsia="Times New Roman" w:cs="Arial"/>
                <w:color w:val="000000" w:themeColor="text1"/>
                <w:lang w:eastAsia="en-GB"/>
              </w:rPr>
            </w:pPr>
          </w:p>
        </w:tc>
        <w:tc>
          <w:tcPr>
            <w:tcW w:w="2143" w:type="dxa"/>
            <w:tcBorders>
              <w:top w:val="nil"/>
              <w:left w:val="nil"/>
              <w:bottom w:val="single" w:sz="12" w:space="0" w:color="70AD47"/>
              <w:right w:val="single" w:sz="8" w:space="0" w:color="auto"/>
            </w:tcBorders>
            <w:shd w:val="clear" w:color="auto" w:fill="auto"/>
            <w:hideMark/>
          </w:tcPr>
          <w:p w14:paraId="429578CD" w14:textId="1E9D518A" w:rsidR="001E6E47" w:rsidRPr="001E6E47" w:rsidRDefault="001E6E47" w:rsidP="001E6E47">
            <w:pPr>
              <w:spacing w:after="0" w:line="240" w:lineRule="auto"/>
              <w:rPr>
                <w:rFonts w:eastAsia="Times New Roman" w:cs="Arial"/>
                <w:color w:val="000000"/>
                <w:szCs w:val="24"/>
                <w:lang w:eastAsia="en-GB"/>
              </w:rPr>
            </w:pPr>
            <w:r w:rsidRPr="001E6E47">
              <w:rPr>
                <w:rFonts w:eastAsia="Times New Roman" w:cs="Arial"/>
                <w:color w:val="000000"/>
                <w:szCs w:val="24"/>
                <w:lang w:eastAsia="en-GB"/>
              </w:rPr>
              <w:t xml:space="preserve">Supplier to provide evidence that each site is compliant with the level requirements in the </w:t>
            </w:r>
            <w:r w:rsidR="00F065ED" w:rsidRPr="001E6E47">
              <w:rPr>
                <w:rFonts w:eastAsia="Times New Roman" w:cs="Arial"/>
                <w:color w:val="000000"/>
                <w:szCs w:val="24"/>
                <w:lang w:eastAsia="en-GB"/>
              </w:rPr>
              <w:t>Consolidated</w:t>
            </w:r>
            <w:r w:rsidRPr="001E6E47">
              <w:rPr>
                <w:rFonts w:eastAsia="Times New Roman" w:cs="Arial"/>
                <w:color w:val="000000"/>
                <w:szCs w:val="24"/>
                <w:lang w:eastAsia="en-GB"/>
              </w:rPr>
              <w:t xml:space="preserve"> Code of Practice and DVSA Policy</w:t>
            </w:r>
          </w:p>
        </w:tc>
      </w:tr>
      <w:tr w:rsidR="001E6E47" w:rsidRPr="001E6E47" w14:paraId="6FEC1130" w14:textId="77777777" w:rsidTr="0F8A7A4C">
        <w:trPr>
          <w:trHeight w:val="1250"/>
        </w:trPr>
        <w:tc>
          <w:tcPr>
            <w:tcW w:w="1066" w:type="dxa"/>
            <w:tcBorders>
              <w:top w:val="nil"/>
              <w:left w:val="single" w:sz="8" w:space="0" w:color="70AD47"/>
              <w:bottom w:val="single" w:sz="4" w:space="0" w:color="auto"/>
              <w:right w:val="nil"/>
            </w:tcBorders>
            <w:shd w:val="clear" w:color="auto" w:fill="auto"/>
            <w:noWrap/>
            <w:vAlign w:val="center"/>
            <w:hideMark/>
          </w:tcPr>
          <w:p w14:paraId="656E1CCC" w14:textId="77777777" w:rsidR="001E6E47" w:rsidRPr="001E6E47" w:rsidRDefault="001E6E47" w:rsidP="001E6E47">
            <w:pPr>
              <w:spacing w:after="0" w:line="240" w:lineRule="auto"/>
              <w:jc w:val="center"/>
              <w:rPr>
                <w:rFonts w:eastAsia="Times New Roman" w:cs="Arial"/>
                <w:b/>
                <w:bCs/>
                <w:color w:val="000000"/>
                <w:szCs w:val="24"/>
                <w:lang w:eastAsia="en-GB"/>
              </w:rPr>
            </w:pPr>
            <w:r w:rsidRPr="001E6E47">
              <w:rPr>
                <w:rFonts w:eastAsia="Times New Roman" w:cs="Arial"/>
                <w:b/>
                <w:bCs/>
                <w:color w:val="000000"/>
                <w:szCs w:val="24"/>
                <w:lang w:eastAsia="en-GB"/>
              </w:rPr>
              <w:t>5</w:t>
            </w:r>
          </w:p>
        </w:tc>
        <w:tc>
          <w:tcPr>
            <w:tcW w:w="2119" w:type="dxa"/>
            <w:tcBorders>
              <w:top w:val="nil"/>
              <w:left w:val="single" w:sz="8" w:space="0" w:color="auto"/>
              <w:bottom w:val="single" w:sz="4" w:space="0" w:color="auto"/>
              <w:right w:val="single" w:sz="4" w:space="0" w:color="auto"/>
            </w:tcBorders>
            <w:shd w:val="clear" w:color="auto" w:fill="auto"/>
            <w:hideMark/>
          </w:tcPr>
          <w:p w14:paraId="4C53B099" w14:textId="77777777" w:rsidR="001E6E47" w:rsidRPr="001E6E47" w:rsidRDefault="001E6E47" w:rsidP="001E6E47">
            <w:pPr>
              <w:spacing w:after="0" w:line="240" w:lineRule="auto"/>
              <w:rPr>
                <w:rFonts w:eastAsia="Times New Roman" w:cs="Arial"/>
                <w:b/>
                <w:bCs/>
                <w:color w:val="000000"/>
                <w:szCs w:val="24"/>
                <w:lang w:eastAsia="en-GB"/>
              </w:rPr>
            </w:pPr>
            <w:r w:rsidRPr="001E6E47">
              <w:rPr>
                <w:rFonts w:eastAsia="Times New Roman" w:cs="Arial"/>
                <w:b/>
                <w:bCs/>
                <w:color w:val="000000"/>
                <w:szCs w:val="24"/>
                <w:lang w:eastAsia="en-GB"/>
              </w:rPr>
              <w:t>Helpline and Call out Service for Breakdown and Repair</w:t>
            </w:r>
            <w:r w:rsidRPr="001E6E47">
              <w:rPr>
                <w:rFonts w:eastAsia="Times New Roman" w:cs="Arial"/>
                <w:b/>
                <w:bCs/>
                <w:color w:val="000000"/>
                <w:szCs w:val="24"/>
                <w:lang w:eastAsia="en-GB"/>
              </w:rPr>
              <w:br/>
              <w:t>Attendance timeline</w:t>
            </w:r>
            <w:r w:rsidRPr="001E6E47">
              <w:rPr>
                <w:rFonts w:eastAsia="Times New Roman" w:cs="Arial"/>
                <w:b/>
                <w:bCs/>
                <w:color w:val="000000"/>
                <w:szCs w:val="24"/>
                <w:lang w:eastAsia="en-GB"/>
              </w:rPr>
              <w:br/>
              <w:t>(Non-Routine work)</w:t>
            </w:r>
          </w:p>
        </w:tc>
        <w:tc>
          <w:tcPr>
            <w:tcW w:w="3192" w:type="dxa"/>
            <w:tcBorders>
              <w:top w:val="nil"/>
              <w:left w:val="nil"/>
              <w:bottom w:val="single" w:sz="4" w:space="0" w:color="auto"/>
              <w:right w:val="single" w:sz="4" w:space="0" w:color="auto"/>
            </w:tcBorders>
            <w:shd w:val="clear" w:color="auto" w:fill="auto"/>
            <w:hideMark/>
          </w:tcPr>
          <w:p w14:paraId="41AACC67" w14:textId="77777777" w:rsidR="001E6E47" w:rsidRPr="001E6E47" w:rsidRDefault="001E6E47" w:rsidP="001E6E47">
            <w:pPr>
              <w:spacing w:after="0" w:line="240" w:lineRule="auto"/>
              <w:rPr>
                <w:rFonts w:eastAsia="Times New Roman" w:cs="Arial"/>
                <w:szCs w:val="24"/>
                <w:lang w:eastAsia="en-GB"/>
              </w:rPr>
            </w:pPr>
            <w:r w:rsidRPr="001E6E47">
              <w:rPr>
                <w:rFonts w:eastAsia="Times New Roman" w:cs="Arial"/>
                <w:b/>
                <w:bCs/>
                <w:i/>
                <w:iCs/>
                <w:szCs w:val="24"/>
                <w:lang w:eastAsia="en-GB"/>
              </w:rPr>
              <w:t>Attend</w:t>
            </w:r>
            <w:r w:rsidRPr="001E6E47">
              <w:rPr>
                <w:rFonts w:eastAsia="Times New Roman" w:cs="Arial"/>
                <w:szCs w:val="24"/>
                <w:lang w:eastAsia="en-GB"/>
              </w:rPr>
              <w:t xml:space="preserve"> site within 2 working days of any reported equipment fault/breakdown.</w:t>
            </w:r>
          </w:p>
        </w:tc>
        <w:tc>
          <w:tcPr>
            <w:tcW w:w="2051" w:type="dxa"/>
            <w:tcBorders>
              <w:top w:val="nil"/>
              <w:left w:val="nil"/>
              <w:bottom w:val="single" w:sz="4" w:space="0" w:color="auto"/>
              <w:right w:val="single" w:sz="4" w:space="0" w:color="auto"/>
            </w:tcBorders>
            <w:shd w:val="clear" w:color="auto" w:fill="auto"/>
            <w:noWrap/>
            <w:hideMark/>
          </w:tcPr>
          <w:p w14:paraId="507057B2" w14:textId="77777777" w:rsidR="001E6E47" w:rsidRPr="001E6E47" w:rsidRDefault="001E6E47" w:rsidP="001E6E47">
            <w:pPr>
              <w:spacing w:after="0" w:line="240" w:lineRule="auto"/>
              <w:rPr>
                <w:rFonts w:eastAsia="Times New Roman" w:cs="Arial"/>
                <w:szCs w:val="24"/>
                <w:lang w:eastAsia="en-GB"/>
              </w:rPr>
            </w:pPr>
            <w:r w:rsidRPr="001E6E47">
              <w:rPr>
                <w:rFonts w:eastAsia="Times New Roman" w:cs="Arial"/>
                <w:szCs w:val="24"/>
                <w:lang w:eastAsia="en-GB"/>
              </w:rPr>
              <w:t>2 working days</w:t>
            </w:r>
          </w:p>
        </w:tc>
        <w:tc>
          <w:tcPr>
            <w:tcW w:w="1690" w:type="dxa"/>
            <w:tcBorders>
              <w:top w:val="nil"/>
              <w:left w:val="nil"/>
              <w:bottom w:val="single" w:sz="4" w:space="0" w:color="auto"/>
              <w:right w:val="single" w:sz="4" w:space="0" w:color="auto"/>
            </w:tcBorders>
            <w:shd w:val="clear" w:color="auto" w:fill="auto"/>
            <w:noWrap/>
            <w:hideMark/>
          </w:tcPr>
          <w:p w14:paraId="00E11E10" w14:textId="77777777" w:rsidR="001E6E47" w:rsidRPr="001E6E47" w:rsidRDefault="001E6E47" w:rsidP="001E6E47">
            <w:pPr>
              <w:spacing w:after="0" w:line="240" w:lineRule="auto"/>
              <w:jc w:val="center"/>
              <w:rPr>
                <w:rFonts w:eastAsia="Times New Roman" w:cs="Arial"/>
                <w:color w:val="000000"/>
                <w:szCs w:val="24"/>
                <w:lang w:eastAsia="en-GB"/>
              </w:rPr>
            </w:pPr>
            <w:r w:rsidRPr="001E6E47">
              <w:rPr>
                <w:rFonts w:eastAsia="Times New Roman" w:cs="Arial"/>
                <w:color w:val="000000"/>
                <w:szCs w:val="24"/>
                <w:lang w:eastAsia="en-GB"/>
              </w:rPr>
              <w:t>100%</w:t>
            </w:r>
          </w:p>
        </w:tc>
        <w:tc>
          <w:tcPr>
            <w:tcW w:w="1690" w:type="dxa"/>
            <w:tcBorders>
              <w:top w:val="nil"/>
              <w:left w:val="nil"/>
              <w:bottom w:val="single" w:sz="4" w:space="0" w:color="auto"/>
              <w:right w:val="single" w:sz="8" w:space="0" w:color="auto"/>
            </w:tcBorders>
            <w:shd w:val="clear" w:color="auto" w:fill="auto"/>
          </w:tcPr>
          <w:p w14:paraId="4A8B9C84" w14:textId="62BDA712" w:rsidR="5D71271B" w:rsidRDefault="5D71271B" w:rsidP="7403D644">
            <w:pPr>
              <w:spacing w:line="240" w:lineRule="auto"/>
              <w:rPr>
                <w:rFonts w:eastAsia="Times New Roman" w:cs="Arial"/>
                <w:lang w:eastAsia="en-GB"/>
              </w:rPr>
            </w:pPr>
            <w:r w:rsidRPr="7403D644">
              <w:rPr>
                <w:rFonts w:eastAsia="Times New Roman" w:cs="Arial"/>
                <w:lang w:eastAsia="en-GB"/>
              </w:rPr>
              <w:t>0.2%</w:t>
            </w:r>
          </w:p>
          <w:p w14:paraId="19B5D110" w14:textId="694DABAE" w:rsidR="7403D644" w:rsidRDefault="7403D644" w:rsidP="7403D644">
            <w:pPr>
              <w:spacing w:line="240" w:lineRule="auto"/>
              <w:rPr>
                <w:rFonts w:eastAsia="Times New Roman" w:cs="Arial"/>
                <w:color w:val="000000" w:themeColor="text1"/>
                <w:lang w:eastAsia="en-GB"/>
              </w:rPr>
            </w:pPr>
          </w:p>
        </w:tc>
        <w:tc>
          <w:tcPr>
            <w:tcW w:w="2143" w:type="dxa"/>
            <w:tcBorders>
              <w:top w:val="nil"/>
              <w:left w:val="nil"/>
              <w:bottom w:val="single" w:sz="4" w:space="0" w:color="auto"/>
              <w:right w:val="single" w:sz="8" w:space="0" w:color="auto"/>
            </w:tcBorders>
            <w:shd w:val="clear" w:color="auto" w:fill="auto"/>
            <w:hideMark/>
          </w:tcPr>
          <w:p w14:paraId="574AE97C" w14:textId="77777777" w:rsidR="001E6E47" w:rsidRPr="001E6E47" w:rsidRDefault="001E6E47" w:rsidP="001E6E47">
            <w:pPr>
              <w:spacing w:after="0" w:line="240" w:lineRule="auto"/>
              <w:rPr>
                <w:rFonts w:eastAsia="Times New Roman" w:cs="Arial"/>
                <w:color w:val="000000"/>
                <w:szCs w:val="24"/>
                <w:lang w:eastAsia="en-GB"/>
              </w:rPr>
            </w:pPr>
            <w:r w:rsidRPr="001E6E47">
              <w:rPr>
                <w:rFonts w:eastAsia="Times New Roman" w:cs="Arial"/>
                <w:color w:val="000000"/>
                <w:szCs w:val="24"/>
                <w:lang w:eastAsia="en-GB"/>
              </w:rPr>
              <w:t>Supplier to provide an activity log detailing MI such as when requests were received and attendance on site.</w:t>
            </w:r>
          </w:p>
        </w:tc>
      </w:tr>
      <w:tr w:rsidR="001E6E47" w:rsidRPr="001E6E47" w14:paraId="56E4E70E" w14:textId="77777777" w:rsidTr="0F8A7A4C">
        <w:trPr>
          <w:trHeight w:val="1240"/>
        </w:trPr>
        <w:tc>
          <w:tcPr>
            <w:tcW w:w="1066" w:type="dxa"/>
            <w:tcBorders>
              <w:top w:val="nil"/>
              <w:left w:val="single" w:sz="8" w:space="0" w:color="70AD47"/>
              <w:bottom w:val="single" w:sz="4" w:space="0" w:color="auto"/>
              <w:right w:val="nil"/>
            </w:tcBorders>
            <w:shd w:val="clear" w:color="auto" w:fill="auto"/>
            <w:noWrap/>
            <w:vAlign w:val="center"/>
            <w:hideMark/>
          </w:tcPr>
          <w:p w14:paraId="460CA954" w14:textId="77777777" w:rsidR="001E6E47" w:rsidRPr="001E6E47" w:rsidRDefault="001E6E47" w:rsidP="001E6E47">
            <w:pPr>
              <w:spacing w:after="0" w:line="240" w:lineRule="auto"/>
              <w:jc w:val="center"/>
              <w:rPr>
                <w:rFonts w:eastAsia="Times New Roman" w:cs="Arial"/>
                <w:b/>
                <w:bCs/>
                <w:color w:val="000000"/>
                <w:szCs w:val="24"/>
                <w:lang w:eastAsia="en-GB"/>
              </w:rPr>
            </w:pPr>
            <w:r w:rsidRPr="001E6E47">
              <w:rPr>
                <w:rFonts w:eastAsia="Times New Roman" w:cs="Arial"/>
                <w:b/>
                <w:bCs/>
                <w:color w:val="000000"/>
                <w:szCs w:val="24"/>
                <w:lang w:eastAsia="en-GB"/>
              </w:rPr>
              <w:t>6</w:t>
            </w:r>
          </w:p>
        </w:tc>
        <w:tc>
          <w:tcPr>
            <w:tcW w:w="2119" w:type="dxa"/>
            <w:tcBorders>
              <w:top w:val="nil"/>
              <w:left w:val="single" w:sz="8" w:space="0" w:color="auto"/>
              <w:bottom w:val="single" w:sz="4" w:space="0" w:color="auto"/>
              <w:right w:val="single" w:sz="4" w:space="0" w:color="auto"/>
            </w:tcBorders>
            <w:shd w:val="clear" w:color="auto" w:fill="auto"/>
            <w:hideMark/>
          </w:tcPr>
          <w:p w14:paraId="6EC8D8E0" w14:textId="77777777" w:rsidR="001E6E47" w:rsidRPr="001E6E47" w:rsidRDefault="001E6E47" w:rsidP="001E6E47">
            <w:pPr>
              <w:spacing w:after="0" w:line="240" w:lineRule="auto"/>
              <w:rPr>
                <w:rFonts w:eastAsia="Times New Roman" w:cs="Arial"/>
                <w:b/>
                <w:bCs/>
                <w:color w:val="000000"/>
                <w:szCs w:val="24"/>
                <w:lang w:eastAsia="en-GB"/>
              </w:rPr>
            </w:pPr>
            <w:r w:rsidRPr="001E6E47">
              <w:rPr>
                <w:rFonts w:eastAsia="Times New Roman" w:cs="Arial"/>
                <w:b/>
                <w:bCs/>
                <w:color w:val="000000"/>
                <w:szCs w:val="24"/>
                <w:lang w:eastAsia="en-GB"/>
              </w:rPr>
              <w:t>Helpline and Call out Service for Breakdown and Repair</w:t>
            </w:r>
            <w:r w:rsidRPr="001E6E47">
              <w:rPr>
                <w:rFonts w:eastAsia="Times New Roman" w:cs="Arial"/>
                <w:b/>
                <w:bCs/>
                <w:color w:val="000000"/>
                <w:szCs w:val="24"/>
                <w:lang w:eastAsia="en-GB"/>
              </w:rPr>
              <w:br/>
            </w:r>
            <w:proofErr w:type="spellStart"/>
            <w:r w:rsidRPr="001E6E47">
              <w:rPr>
                <w:rFonts w:eastAsia="Times New Roman" w:cs="Arial"/>
                <w:b/>
                <w:bCs/>
                <w:color w:val="000000"/>
                <w:szCs w:val="24"/>
                <w:lang w:eastAsia="en-GB"/>
              </w:rPr>
              <w:t>Repair</w:t>
            </w:r>
            <w:proofErr w:type="spellEnd"/>
            <w:r w:rsidRPr="001E6E47">
              <w:rPr>
                <w:rFonts w:eastAsia="Times New Roman" w:cs="Arial"/>
                <w:b/>
                <w:bCs/>
                <w:color w:val="000000"/>
                <w:szCs w:val="24"/>
                <w:lang w:eastAsia="en-GB"/>
              </w:rPr>
              <w:t xml:space="preserve"> timeline</w:t>
            </w:r>
            <w:r w:rsidRPr="001E6E47">
              <w:rPr>
                <w:rFonts w:eastAsia="Times New Roman" w:cs="Arial"/>
                <w:b/>
                <w:bCs/>
                <w:color w:val="000000"/>
                <w:szCs w:val="24"/>
                <w:lang w:eastAsia="en-GB"/>
              </w:rPr>
              <w:br/>
              <w:t>(Non-Routine work)</w:t>
            </w:r>
          </w:p>
        </w:tc>
        <w:tc>
          <w:tcPr>
            <w:tcW w:w="3192" w:type="dxa"/>
            <w:tcBorders>
              <w:top w:val="nil"/>
              <w:left w:val="nil"/>
              <w:bottom w:val="single" w:sz="4" w:space="0" w:color="auto"/>
              <w:right w:val="single" w:sz="4" w:space="0" w:color="auto"/>
            </w:tcBorders>
            <w:shd w:val="clear" w:color="auto" w:fill="auto"/>
            <w:hideMark/>
          </w:tcPr>
          <w:p w14:paraId="2A34EFA7" w14:textId="77777777" w:rsidR="001E6E47" w:rsidRPr="001E6E47" w:rsidRDefault="001E6E47" w:rsidP="001E6E47">
            <w:pPr>
              <w:spacing w:after="0" w:line="240" w:lineRule="auto"/>
              <w:rPr>
                <w:rFonts w:eastAsia="Times New Roman" w:cs="Arial"/>
                <w:color w:val="000000"/>
                <w:szCs w:val="24"/>
                <w:lang w:eastAsia="en-GB"/>
              </w:rPr>
            </w:pPr>
            <w:r w:rsidRPr="001E6E47">
              <w:rPr>
                <w:rFonts w:eastAsia="Times New Roman" w:cs="Arial"/>
                <w:b/>
                <w:bCs/>
                <w:i/>
                <w:iCs/>
                <w:color w:val="000000"/>
                <w:szCs w:val="24"/>
                <w:lang w:eastAsia="en-GB"/>
              </w:rPr>
              <w:t>Repairs</w:t>
            </w:r>
            <w:r w:rsidRPr="001E6E47">
              <w:rPr>
                <w:rFonts w:eastAsia="Times New Roman" w:cs="Arial"/>
                <w:color w:val="000000"/>
                <w:szCs w:val="24"/>
                <w:lang w:eastAsia="en-GB"/>
              </w:rPr>
              <w:t xml:space="preserve"> to equipment to be </w:t>
            </w:r>
            <w:r w:rsidRPr="001E6E47">
              <w:rPr>
                <w:rFonts w:eastAsia="Times New Roman" w:cs="Arial"/>
                <w:b/>
                <w:bCs/>
                <w:i/>
                <w:iCs/>
                <w:color w:val="000000"/>
                <w:szCs w:val="24"/>
                <w:lang w:eastAsia="en-GB"/>
              </w:rPr>
              <w:t>completed</w:t>
            </w:r>
            <w:r w:rsidRPr="001E6E47">
              <w:rPr>
                <w:rFonts w:eastAsia="Times New Roman" w:cs="Arial"/>
                <w:color w:val="000000"/>
                <w:szCs w:val="24"/>
                <w:lang w:eastAsia="en-GB"/>
              </w:rPr>
              <w:t xml:space="preserve"> within 8 working days of a </w:t>
            </w:r>
            <w:r w:rsidRPr="001E6E47">
              <w:rPr>
                <w:rFonts w:eastAsia="Times New Roman" w:cs="Arial"/>
                <w:i/>
                <w:iCs/>
                <w:color w:val="000000"/>
                <w:szCs w:val="24"/>
                <w:lang w:eastAsia="en-GB"/>
              </w:rPr>
              <w:t>reported fault</w:t>
            </w:r>
            <w:r w:rsidRPr="001E6E47">
              <w:rPr>
                <w:rFonts w:eastAsia="Times New Roman" w:cs="Arial"/>
                <w:color w:val="000000"/>
                <w:szCs w:val="24"/>
                <w:lang w:eastAsia="en-GB"/>
              </w:rPr>
              <w:t>/breakdown</w:t>
            </w:r>
          </w:p>
        </w:tc>
        <w:tc>
          <w:tcPr>
            <w:tcW w:w="2051" w:type="dxa"/>
            <w:tcBorders>
              <w:top w:val="nil"/>
              <w:left w:val="nil"/>
              <w:bottom w:val="single" w:sz="4" w:space="0" w:color="auto"/>
              <w:right w:val="single" w:sz="4" w:space="0" w:color="auto"/>
            </w:tcBorders>
            <w:shd w:val="clear" w:color="auto" w:fill="auto"/>
            <w:noWrap/>
            <w:hideMark/>
          </w:tcPr>
          <w:p w14:paraId="4BDAB142" w14:textId="77777777" w:rsidR="001E6E47" w:rsidRPr="001E6E47" w:rsidRDefault="001E6E47" w:rsidP="001E6E47">
            <w:pPr>
              <w:spacing w:after="0" w:line="240" w:lineRule="auto"/>
              <w:rPr>
                <w:rFonts w:eastAsia="Times New Roman" w:cs="Arial"/>
                <w:color w:val="000000"/>
                <w:szCs w:val="24"/>
                <w:lang w:eastAsia="en-GB"/>
              </w:rPr>
            </w:pPr>
            <w:r w:rsidRPr="001E6E47">
              <w:rPr>
                <w:rFonts w:eastAsia="Times New Roman" w:cs="Arial"/>
                <w:color w:val="000000"/>
                <w:szCs w:val="24"/>
                <w:lang w:eastAsia="en-GB"/>
              </w:rPr>
              <w:t>8 working days</w:t>
            </w:r>
          </w:p>
        </w:tc>
        <w:tc>
          <w:tcPr>
            <w:tcW w:w="1690" w:type="dxa"/>
            <w:tcBorders>
              <w:top w:val="nil"/>
              <w:left w:val="nil"/>
              <w:bottom w:val="single" w:sz="4" w:space="0" w:color="auto"/>
              <w:right w:val="single" w:sz="4" w:space="0" w:color="auto"/>
            </w:tcBorders>
            <w:shd w:val="clear" w:color="auto" w:fill="auto"/>
            <w:noWrap/>
            <w:hideMark/>
          </w:tcPr>
          <w:p w14:paraId="1FCF17C8" w14:textId="77777777" w:rsidR="001E6E47" w:rsidRPr="001E6E47" w:rsidRDefault="001E6E47" w:rsidP="001E6E47">
            <w:pPr>
              <w:spacing w:after="0" w:line="240" w:lineRule="auto"/>
              <w:jc w:val="center"/>
              <w:rPr>
                <w:rFonts w:eastAsia="Times New Roman" w:cs="Arial"/>
                <w:color w:val="000000"/>
                <w:szCs w:val="24"/>
                <w:lang w:eastAsia="en-GB"/>
              </w:rPr>
            </w:pPr>
            <w:r w:rsidRPr="001E6E47">
              <w:rPr>
                <w:rFonts w:eastAsia="Times New Roman" w:cs="Arial"/>
                <w:color w:val="000000"/>
                <w:szCs w:val="24"/>
                <w:lang w:eastAsia="en-GB"/>
              </w:rPr>
              <w:t>100%</w:t>
            </w:r>
          </w:p>
        </w:tc>
        <w:tc>
          <w:tcPr>
            <w:tcW w:w="1690" w:type="dxa"/>
            <w:tcBorders>
              <w:top w:val="nil"/>
              <w:left w:val="nil"/>
              <w:bottom w:val="single" w:sz="4" w:space="0" w:color="auto"/>
              <w:right w:val="single" w:sz="8" w:space="0" w:color="auto"/>
            </w:tcBorders>
            <w:shd w:val="clear" w:color="auto" w:fill="auto"/>
          </w:tcPr>
          <w:p w14:paraId="7F51F6BF" w14:textId="62BDA712" w:rsidR="4114E542" w:rsidRDefault="4114E542" w:rsidP="7403D644">
            <w:pPr>
              <w:spacing w:line="240" w:lineRule="auto"/>
              <w:rPr>
                <w:rFonts w:eastAsia="Times New Roman" w:cs="Arial"/>
                <w:lang w:eastAsia="en-GB"/>
              </w:rPr>
            </w:pPr>
            <w:r w:rsidRPr="7403D644">
              <w:rPr>
                <w:rFonts w:eastAsia="Times New Roman" w:cs="Arial"/>
                <w:lang w:eastAsia="en-GB"/>
              </w:rPr>
              <w:t>0.2%</w:t>
            </w:r>
          </w:p>
          <w:p w14:paraId="5F20B6F1" w14:textId="5CF54F6B" w:rsidR="7403D644" w:rsidRDefault="7403D644" w:rsidP="7403D644">
            <w:pPr>
              <w:spacing w:line="240" w:lineRule="auto"/>
              <w:rPr>
                <w:rFonts w:eastAsia="Times New Roman" w:cs="Arial"/>
                <w:color w:val="000000" w:themeColor="text1"/>
                <w:lang w:eastAsia="en-GB"/>
              </w:rPr>
            </w:pPr>
          </w:p>
        </w:tc>
        <w:tc>
          <w:tcPr>
            <w:tcW w:w="2143" w:type="dxa"/>
            <w:tcBorders>
              <w:top w:val="nil"/>
              <w:left w:val="nil"/>
              <w:bottom w:val="single" w:sz="4" w:space="0" w:color="auto"/>
              <w:right w:val="single" w:sz="8" w:space="0" w:color="auto"/>
            </w:tcBorders>
            <w:shd w:val="clear" w:color="auto" w:fill="auto"/>
            <w:hideMark/>
          </w:tcPr>
          <w:p w14:paraId="66D00F39" w14:textId="77777777" w:rsidR="001E6E47" w:rsidRPr="001E6E47" w:rsidRDefault="001E6E47" w:rsidP="001E6E47">
            <w:pPr>
              <w:spacing w:after="0" w:line="240" w:lineRule="auto"/>
              <w:rPr>
                <w:rFonts w:eastAsia="Times New Roman" w:cs="Arial"/>
                <w:color w:val="000000"/>
                <w:szCs w:val="24"/>
                <w:lang w:eastAsia="en-GB"/>
              </w:rPr>
            </w:pPr>
            <w:r w:rsidRPr="001E6E47">
              <w:rPr>
                <w:rFonts w:eastAsia="Times New Roman" w:cs="Arial"/>
                <w:color w:val="000000"/>
                <w:szCs w:val="24"/>
                <w:lang w:eastAsia="en-GB"/>
              </w:rPr>
              <w:t>Supplier to provide an incident report and activity log detailing MI which should include completion dates.</w:t>
            </w:r>
          </w:p>
        </w:tc>
      </w:tr>
      <w:tr w:rsidR="001E6E47" w:rsidRPr="001E6E47" w14:paraId="409E439F" w14:textId="77777777" w:rsidTr="0F8A7A4C">
        <w:trPr>
          <w:trHeight w:val="930"/>
        </w:trPr>
        <w:tc>
          <w:tcPr>
            <w:tcW w:w="1066" w:type="dxa"/>
            <w:tcBorders>
              <w:top w:val="nil"/>
              <w:left w:val="single" w:sz="8" w:space="0" w:color="70AD47"/>
              <w:bottom w:val="single" w:sz="12" w:space="0" w:color="70AD47"/>
              <w:right w:val="nil"/>
            </w:tcBorders>
            <w:shd w:val="clear" w:color="auto" w:fill="auto"/>
            <w:noWrap/>
            <w:vAlign w:val="center"/>
            <w:hideMark/>
          </w:tcPr>
          <w:p w14:paraId="3B07C52A" w14:textId="77777777" w:rsidR="001E6E47" w:rsidRPr="001E6E47" w:rsidRDefault="001E6E47" w:rsidP="001E6E47">
            <w:pPr>
              <w:spacing w:after="0" w:line="240" w:lineRule="auto"/>
              <w:jc w:val="center"/>
              <w:rPr>
                <w:rFonts w:eastAsia="Times New Roman" w:cs="Arial"/>
                <w:b/>
                <w:bCs/>
                <w:color w:val="000000"/>
                <w:szCs w:val="24"/>
                <w:lang w:eastAsia="en-GB"/>
              </w:rPr>
            </w:pPr>
            <w:r w:rsidRPr="001E6E47">
              <w:rPr>
                <w:rFonts w:eastAsia="Times New Roman" w:cs="Arial"/>
                <w:b/>
                <w:bCs/>
                <w:color w:val="000000"/>
                <w:szCs w:val="24"/>
                <w:lang w:eastAsia="en-GB"/>
              </w:rPr>
              <w:t>7</w:t>
            </w:r>
          </w:p>
        </w:tc>
        <w:tc>
          <w:tcPr>
            <w:tcW w:w="2119" w:type="dxa"/>
            <w:tcBorders>
              <w:top w:val="nil"/>
              <w:left w:val="single" w:sz="8" w:space="0" w:color="auto"/>
              <w:bottom w:val="single" w:sz="12" w:space="0" w:color="70AD47"/>
              <w:right w:val="single" w:sz="4" w:space="0" w:color="auto"/>
            </w:tcBorders>
            <w:shd w:val="clear" w:color="auto" w:fill="auto"/>
            <w:hideMark/>
          </w:tcPr>
          <w:p w14:paraId="3423AB4F" w14:textId="77777777" w:rsidR="001E6E47" w:rsidRPr="001E6E47" w:rsidRDefault="001E6E47" w:rsidP="001E6E47">
            <w:pPr>
              <w:spacing w:after="0" w:line="240" w:lineRule="auto"/>
              <w:rPr>
                <w:rFonts w:eastAsia="Times New Roman" w:cs="Arial"/>
                <w:b/>
                <w:bCs/>
                <w:color w:val="000000"/>
                <w:szCs w:val="24"/>
                <w:lang w:eastAsia="en-GB"/>
              </w:rPr>
            </w:pPr>
            <w:r w:rsidRPr="001E6E47">
              <w:rPr>
                <w:rFonts w:eastAsia="Times New Roman" w:cs="Arial"/>
                <w:b/>
                <w:bCs/>
                <w:color w:val="000000"/>
                <w:szCs w:val="24"/>
                <w:lang w:eastAsia="en-GB"/>
              </w:rPr>
              <w:t>Helpline and Call out Service for Breakdown and Repair</w:t>
            </w:r>
            <w:r w:rsidRPr="001E6E47">
              <w:rPr>
                <w:rFonts w:eastAsia="Times New Roman" w:cs="Arial"/>
                <w:b/>
                <w:bCs/>
                <w:color w:val="000000"/>
                <w:szCs w:val="24"/>
                <w:lang w:eastAsia="en-GB"/>
              </w:rPr>
              <w:br/>
              <w:t>Verification timeline</w:t>
            </w:r>
          </w:p>
        </w:tc>
        <w:tc>
          <w:tcPr>
            <w:tcW w:w="3192" w:type="dxa"/>
            <w:tcBorders>
              <w:top w:val="nil"/>
              <w:left w:val="nil"/>
              <w:bottom w:val="single" w:sz="12" w:space="0" w:color="70AD47"/>
              <w:right w:val="single" w:sz="4" w:space="0" w:color="auto"/>
            </w:tcBorders>
            <w:shd w:val="clear" w:color="auto" w:fill="auto"/>
            <w:hideMark/>
          </w:tcPr>
          <w:p w14:paraId="576FC160" w14:textId="77777777" w:rsidR="001E6E47" w:rsidRPr="001E6E47" w:rsidRDefault="001E6E47" w:rsidP="001E6E47">
            <w:pPr>
              <w:spacing w:after="0" w:line="240" w:lineRule="auto"/>
              <w:rPr>
                <w:rFonts w:eastAsia="Times New Roman" w:cs="Arial"/>
                <w:color w:val="000000"/>
                <w:szCs w:val="24"/>
                <w:lang w:eastAsia="en-GB"/>
              </w:rPr>
            </w:pPr>
            <w:r w:rsidRPr="001E6E47">
              <w:rPr>
                <w:rFonts w:eastAsia="Times New Roman" w:cs="Arial"/>
                <w:color w:val="000000"/>
                <w:szCs w:val="24"/>
                <w:lang w:eastAsia="en-GB"/>
              </w:rPr>
              <w:t>Suppliers to arrange attendance of a Weights and Measures Inspector to reverify any equipment within 15 working days of the reported fault/breakdown.</w:t>
            </w:r>
          </w:p>
        </w:tc>
        <w:tc>
          <w:tcPr>
            <w:tcW w:w="2051" w:type="dxa"/>
            <w:tcBorders>
              <w:top w:val="nil"/>
              <w:left w:val="nil"/>
              <w:bottom w:val="single" w:sz="12" w:space="0" w:color="70AD47"/>
              <w:right w:val="single" w:sz="4" w:space="0" w:color="auto"/>
            </w:tcBorders>
            <w:shd w:val="clear" w:color="auto" w:fill="auto"/>
            <w:noWrap/>
            <w:hideMark/>
          </w:tcPr>
          <w:p w14:paraId="755A6B3F" w14:textId="77777777" w:rsidR="001E6E47" w:rsidRPr="001E6E47" w:rsidRDefault="001E6E47" w:rsidP="001E6E47">
            <w:pPr>
              <w:spacing w:after="0" w:line="240" w:lineRule="auto"/>
              <w:rPr>
                <w:rFonts w:eastAsia="Times New Roman" w:cs="Arial"/>
                <w:color w:val="000000"/>
                <w:szCs w:val="24"/>
                <w:lang w:eastAsia="en-GB"/>
              </w:rPr>
            </w:pPr>
            <w:r w:rsidRPr="001E6E47">
              <w:rPr>
                <w:rFonts w:eastAsia="Times New Roman" w:cs="Arial"/>
                <w:color w:val="000000"/>
                <w:szCs w:val="24"/>
                <w:lang w:eastAsia="en-GB"/>
              </w:rPr>
              <w:t>15 working days</w:t>
            </w:r>
          </w:p>
        </w:tc>
        <w:tc>
          <w:tcPr>
            <w:tcW w:w="1690" w:type="dxa"/>
            <w:tcBorders>
              <w:top w:val="nil"/>
              <w:left w:val="nil"/>
              <w:bottom w:val="single" w:sz="12" w:space="0" w:color="70AD47"/>
              <w:right w:val="single" w:sz="4" w:space="0" w:color="auto"/>
            </w:tcBorders>
            <w:shd w:val="clear" w:color="auto" w:fill="auto"/>
            <w:noWrap/>
            <w:hideMark/>
          </w:tcPr>
          <w:p w14:paraId="28D134E4" w14:textId="77777777" w:rsidR="001E6E47" w:rsidRPr="001E6E47" w:rsidRDefault="001E6E47" w:rsidP="001E6E47">
            <w:pPr>
              <w:spacing w:after="0" w:line="240" w:lineRule="auto"/>
              <w:jc w:val="center"/>
              <w:rPr>
                <w:rFonts w:eastAsia="Times New Roman" w:cs="Arial"/>
                <w:color w:val="000000"/>
                <w:szCs w:val="24"/>
                <w:lang w:eastAsia="en-GB"/>
              </w:rPr>
            </w:pPr>
            <w:r w:rsidRPr="001E6E47">
              <w:rPr>
                <w:rFonts w:eastAsia="Times New Roman" w:cs="Arial"/>
                <w:color w:val="000000"/>
                <w:szCs w:val="24"/>
                <w:lang w:eastAsia="en-GB"/>
              </w:rPr>
              <w:t>100%</w:t>
            </w:r>
          </w:p>
        </w:tc>
        <w:tc>
          <w:tcPr>
            <w:tcW w:w="1690" w:type="dxa"/>
            <w:tcBorders>
              <w:top w:val="nil"/>
              <w:left w:val="nil"/>
              <w:bottom w:val="single" w:sz="12" w:space="0" w:color="70AD47"/>
              <w:right w:val="single" w:sz="8" w:space="0" w:color="auto"/>
            </w:tcBorders>
            <w:shd w:val="clear" w:color="auto" w:fill="auto"/>
          </w:tcPr>
          <w:p w14:paraId="79031BEA" w14:textId="62BDA712" w:rsidR="5B9878FB" w:rsidRDefault="5B9878FB" w:rsidP="7403D644">
            <w:pPr>
              <w:spacing w:line="240" w:lineRule="auto"/>
              <w:rPr>
                <w:rFonts w:eastAsia="Times New Roman" w:cs="Arial"/>
                <w:lang w:eastAsia="en-GB"/>
              </w:rPr>
            </w:pPr>
            <w:r w:rsidRPr="7403D644">
              <w:rPr>
                <w:rFonts w:eastAsia="Times New Roman" w:cs="Arial"/>
                <w:lang w:eastAsia="en-GB"/>
              </w:rPr>
              <w:t>0.2%</w:t>
            </w:r>
          </w:p>
          <w:p w14:paraId="6B102DE4" w14:textId="6DEADAD0" w:rsidR="7403D644" w:rsidRDefault="7403D644" w:rsidP="7403D644">
            <w:pPr>
              <w:spacing w:line="240" w:lineRule="auto"/>
              <w:rPr>
                <w:rFonts w:eastAsia="Times New Roman" w:cs="Arial"/>
                <w:color w:val="000000" w:themeColor="text1"/>
                <w:lang w:eastAsia="en-GB"/>
              </w:rPr>
            </w:pPr>
          </w:p>
        </w:tc>
        <w:tc>
          <w:tcPr>
            <w:tcW w:w="2143" w:type="dxa"/>
            <w:tcBorders>
              <w:top w:val="nil"/>
              <w:left w:val="nil"/>
              <w:bottom w:val="single" w:sz="12" w:space="0" w:color="70AD47"/>
              <w:right w:val="single" w:sz="8" w:space="0" w:color="auto"/>
            </w:tcBorders>
            <w:shd w:val="clear" w:color="auto" w:fill="auto"/>
            <w:hideMark/>
          </w:tcPr>
          <w:p w14:paraId="7CE6E2F8" w14:textId="77777777" w:rsidR="001E6E47" w:rsidRPr="001E6E47" w:rsidRDefault="001E6E47" w:rsidP="001E6E47">
            <w:pPr>
              <w:spacing w:after="0" w:line="240" w:lineRule="auto"/>
              <w:rPr>
                <w:rFonts w:eastAsia="Times New Roman" w:cs="Arial"/>
                <w:color w:val="000000"/>
                <w:szCs w:val="24"/>
                <w:lang w:eastAsia="en-GB"/>
              </w:rPr>
            </w:pPr>
            <w:r w:rsidRPr="001E6E47">
              <w:rPr>
                <w:rFonts w:eastAsia="Times New Roman" w:cs="Arial"/>
                <w:color w:val="000000"/>
                <w:szCs w:val="24"/>
                <w:lang w:eastAsia="en-GB"/>
              </w:rPr>
              <w:t>Supplier to provide an activity log detailing MI which should include completion dates.</w:t>
            </w:r>
          </w:p>
        </w:tc>
      </w:tr>
      <w:tr w:rsidR="001E6E47" w:rsidRPr="001E6E47" w14:paraId="4F1BF541" w14:textId="77777777" w:rsidTr="0F8A7A4C">
        <w:trPr>
          <w:trHeight w:val="950"/>
        </w:trPr>
        <w:tc>
          <w:tcPr>
            <w:tcW w:w="1066" w:type="dxa"/>
            <w:tcBorders>
              <w:top w:val="nil"/>
              <w:left w:val="single" w:sz="8" w:space="0" w:color="70AD47"/>
              <w:bottom w:val="single" w:sz="12" w:space="0" w:color="70AD47"/>
              <w:right w:val="single" w:sz="4" w:space="0" w:color="auto"/>
            </w:tcBorders>
            <w:shd w:val="clear" w:color="auto" w:fill="auto"/>
            <w:noWrap/>
            <w:vAlign w:val="center"/>
            <w:hideMark/>
          </w:tcPr>
          <w:p w14:paraId="7AC44F45" w14:textId="77777777" w:rsidR="001E6E47" w:rsidRPr="001E6E47" w:rsidRDefault="001E6E47" w:rsidP="001E6E47">
            <w:pPr>
              <w:spacing w:after="0" w:line="240" w:lineRule="auto"/>
              <w:jc w:val="center"/>
              <w:rPr>
                <w:rFonts w:eastAsia="Times New Roman" w:cs="Arial"/>
                <w:b/>
                <w:bCs/>
                <w:color w:val="000000"/>
                <w:szCs w:val="24"/>
                <w:lang w:eastAsia="en-GB"/>
              </w:rPr>
            </w:pPr>
            <w:r w:rsidRPr="001E6E47">
              <w:rPr>
                <w:rFonts w:eastAsia="Times New Roman" w:cs="Arial"/>
                <w:b/>
                <w:bCs/>
                <w:color w:val="000000"/>
                <w:szCs w:val="24"/>
                <w:lang w:eastAsia="en-GB"/>
              </w:rPr>
              <w:t>8</w:t>
            </w:r>
          </w:p>
        </w:tc>
        <w:tc>
          <w:tcPr>
            <w:tcW w:w="2119" w:type="dxa"/>
            <w:tcBorders>
              <w:top w:val="nil"/>
              <w:left w:val="nil"/>
              <w:bottom w:val="single" w:sz="12" w:space="0" w:color="70AD47"/>
              <w:right w:val="single" w:sz="4" w:space="0" w:color="auto"/>
            </w:tcBorders>
            <w:shd w:val="clear" w:color="auto" w:fill="auto"/>
            <w:noWrap/>
            <w:hideMark/>
          </w:tcPr>
          <w:p w14:paraId="5821F30A" w14:textId="77777777" w:rsidR="001E6E47" w:rsidRPr="001E6E47" w:rsidRDefault="001E6E47" w:rsidP="001E6E47">
            <w:pPr>
              <w:spacing w:after="0" w:line="240" w:lineRule="auto"/>
              <w:rPr>
                <w:rFonts w:eastAsia="Times New Roman" w:cs="Arial"/>
                <w:b/>
                <w:bCs/>
                <w:color w:val="000000"/>
                <w:szCs w:val="24"/>
                <w:lang w:eastAsia="en-GB"/>
              </w:rPr>
            </w:pPr>
            <w:r w:rsidRPr="001E6E47">
              <w:rPr>
                <w:rFonts w:eastAsia="Times New Roman" w:cs="Arial"/>
                <w:b/>
                <w:bCs/>
                <w:color w:val="000000"/>
                <w:szCs w:val="24"/>
                <w:lang w:eastAsia="en-GB"/>
              </w:rPr>
              <w:t>Downtime</w:t>
            </w:r>
          </w:p>
        </w:tc>
        <w:tc>
          <w:tcPr>
            <w:tcW w:w="3192" w:type="dxa"/>
            <w:tcBorders>
              <w:top w:val="nil"/>
              <w:left w:val="nil"/>
              <w:bottom w:val="single" w:sz="12" w:space="0" w:color="70AD47"/>
              <w:right w:val="single" w:sz="4" w:space="0" w:color="auto"/>
            </w:tcBorders>
            <w:shd w:val="clear" w:color="auto" w:fill="FFFFFF" w:themeFill="background1"/>
            <w:hideMark/>
          </w:tcPr>
          <w:p w14:paraId="2975B2E8" w14:textId="77777777" w:rsidR="001E6E47" w:rsidRPr="001E6E47" w:rsidRDefault="001E6E47" w:rsidP="001E6E47">
            <w:pPr>
              <w:spacing w:after="0" w:line="240" w:lineRule="auto"/>
              <w:rPr>
                <w:rFonts w:eastAsia="Times New Roman" w:cs="Arial"/>
                <w:color w:val="000000"/>
                <w:szCs w:val="24"/>
                <w:lang w:eastAsia="en-GB"/>
              </w:rPr>
            </w:pPr>
            <w:r w:rsidRPr="001E6E47">
              <w:rPr>
                <w:rFonts w:eastAsia="Times New Roman" w:cs="Arial"/>
                <w:color w:val="000000"/>
                <w:szCs w:val="24"/>
                <w:lang w:eastAsia="en-GB"/>
              </w:rPr>
              <w:t>Supplier to provide a 98% availability of the network all times</w:t>
            </w:r>
          </w:p>
        </w:tc>
        <w:tc>
          <w:tcPr>
            <w:tcW w:w="2051" w:type="dxa"/>
            <w:tcBorders>
              <w:top w:val="nil"/>
              <w:left w:val="nil"/>
              <w:bottom w:val="single" w:sz="12" w:space="0" w:color="70AD47"/>
              <w:right w:val="single" w:sz="4" w:space="0" w:color="auto"/>
            </w:tcBorders>
            <w:shd w:val="clear" w:color="auto" w:fill="FFFFFF" w:themeFill="background1"/>
            <w:noWrap/>
            <w:hideMark/>
          </w:tcPr>
          <w:p w14:paraId="235D33D1" w14:textId="77777777" w:rsidR="001E6E47" w:rsidRPr="001E6E47" w:rsidRDefault="001E6E47" w:rsidP="001E6E47">
            <w:pPr>
              <w:spacing w:after="0" w:line="240" w:lineRule="auto"/>
              <w:rPr>
                <w:rFonts w:eastAsia="Times New Roman" w:cs="Arial"/>
                <w:color w:val="000000"/>
                <w:szCs w:val="24"/>
                <w:lang w:eastAsia="en-GB"/>
              </w:rPr>
            </w:pPr>
            <w:r w:rsidRPr="001E6E47">
              <w:rPr>
                <w:rFonts w:eastAsia="Times New Roman" w:cs="Arial"/>
                <w:color w:val="000000"/>
                <w:szCs w:val="24"/>
                <w:lang w:eastAsia="en-GB"/>
              </w:rPr>
              <w:t>All times</w:t>
            </w:r>
          </w:p>
        </w:tc>
        <w:tc>
          <w:tcPr>
            <w:tcW w:w="1690" w:type="dxa"/>
            <w:tcBorders>
              <w:top w:val="nil"/>
              <w:left w:val="nil"/>
              <w:bottom w:val="single" w:sz="12" w:space="0" w:color="70AD47"/>
              <w:right w:val="single" w:sz="4" w:space="0" w:color="auto"/>
            </w:tcBorders>
            <w:shd w:val="clear" w:color="auto" w:fill="FFFFFF" w:themeFill="background1"/>
            <w:noWrap/>
            <w:hideMark/>
          </w:tcPr>
          <w:p w14:paraId="4999A1FB" w14:textId="77777777" w:rsidR="001E6E47" w:rsidRPr="001E6E47" w:rsidRDefault="001E6E47" w:rsidP="001E6E47">
            <w:pPr>
              <w:spacing w:after="0" w:line="240" w:lineRule="auto"/>
              <w:jc w:val="center"/>
              <w:rPr>
                <w:rFonts w:eastAsia="Times New Roman" w:cs="Arial"/>
                <w:color w:val="000000"/>
                <w:szCs w:val="24"/>
                <w:lang w:eastAsia="en-GB"/>
              </w:rPr>
            </w:pPr>
            <w:r w:rsidRPr="001E6E47">
              <w:rPr>
                <w:rFonts w:eastAsia="Times New Roman" w:cs="Arial"/>
                <w:color w:val="000000"/>
                <w:szCs w:val="24"/>
                <w:lang w:eastAsia="en-GB"/>
              </w:rPr>
              <w:t>100%</w:t>
            </w:r>
          </w:p>
        </w:tc>
        <w:tc>
          <w:tcPr>
            <w:tcW w:w="1690" w:type="dxa"/>
            <w:tcBorders>
              <w:top w:val="nil"/>
              <w:left w:val="nil"/>
              <w:bottom w:val="single" w:sz="12" w:space="0" w:color="70AD47"/>
              <w:right w:val="single" w:sz="8" w:space="0" w:color="auto"/>
            </w:tcBorders>
            <w:shd w:val="clear" w:color="auto" w:fill="auto"/>
          </w:tcPr>
          <w:p w14:paraId="478A103E" w14:textId="62BDA712" w:rsidR="541610F3" w:rsidRDefault="541610F3" w:rsidP="7403D644">
            <w:pPr>
              <w:spacing w:line="240" w:lineRule="auto"/>
              <w:rPr>
                <w:rFonts w:eastAsia="Times New Roman" w:cs="Arial"/>
                <w:lang w:eastAsia="en-GB"/>
              </w:rPr>
            </w:pPr>
            <w:r w:rsidRPr="7403D644">
              <w:rPr>
                <w:rFonts w:eastAsia="Times New Roman" w:cs="Arial"/>
                <w:lang w:eastAsia="en-GB"/>
              </w:rPr>
              <w:t>0.2%</w:t>
            </w:r>
          </w:p>
          <w:p w14:paraId="5B656FF6" w14:textId="751DE46E" w:rsidR="7403D644" w:rsidRDefault="7403D644" w:rsidP="7403D644">
            <w:pPr>
              <w:spacing w:line="240" w:lineRule="auto"/>
              <w:rPr>
                <w:rFonts w:eastAsia="Times New Roman" w:cs="Arial"/>
                <w:color w:val="000000" w:themeColor="text1"/>
                <w:lang w:eastAsia="en-GB"/>
              </w:rPr>
            </w:pPr>
          </w:p>
        </w:tc>
        <w:tc>
          <w:tcPr>
            <w:tcW w:w="2143" w:type="dxa"/>
            <w:tcBorders>
              <w:top w:val="nil"/>
              <w:left w:val="nil"/>
              <w:bottom w:val="single" w:sz="12" w:space="0" w:color="70AD47"/>
              <w:right w:val="single" w:sz="8" w:space="0" w:color="auto"/>
            </w:tcBorders>
            <w:shd w:val="clear" w:color="auto" w:fill="auto"/>
            <w:hideMark/>
          </w:tcPr>
          <w:p w14:paraId="25E7F7D9" w14:textId="77777777" w:rsidR="001E6E47" w:rsidRPr="001E6E47" w:rsidRDefault="001E6E47" w:rsidP="001E6E47">
            <w:pPr>
              <w:spacing w:after="0" w:line="240" w:lineRule="auto"/>
              <w:rPr>
                <w:rFonts w:eastAsia="Times New Roman" w:cs="Arial"/>
                <w:color w:val="000000"/>
                <w:szCs w:val="24"/>
                <w:lang w:eastAsia="en-GB"/>
              </w:rPr>
            </w:pPr>
            <w:r w:rsidRPr="001E6E47">
              <w:rPr>
                <w:rFonts w:eastAsia="Times New Roman" w:cs="Arial"/>
                <w:color w:val="000000"/>
                <w:szCs w:val="24"/>
                <w:lang w:eastAsia="en-GB"/>
              </w:rPr>
              <w:t xml:space="preserve">Supplier’s MI will provide independently validated information on system availability. </w:t>
            </w:r>
          </w:p>
        </w:tc>
      </w:tr>
      <w:tr w:rsidR="001E6E47" w:rsidRPr="001E6E47" w14:paraId="2D360AD6" w14:textId="77777777" w:rsidTr="0F8A7A4C">
        <w:trPr>
          <w:trHeight w:val="1250"/>
        </w:trPr>
        <w:tc>
          <w:tcPr>
            <w:tcW w:w="1066" w:type="dxa"/>
            <w:tcBorders>
              <w:top w:val="nil"/>
              <w:left w:val="single" w:sz="8" w:space="0" w:color="70AD47"/>
              <w:bottom w:val="single" w:sz="4" w:space="0" w:color="auto"/>
              <w:right w:val="single" w:sz="4" w:space="0" w:color="auto"/>
            </w:tcBorders>
            <w:shd w:val="clear" w:color="auto" w:fill="auto"/>
            <w:noWrap/>
            <w:vAlign w:val="center"/>
            <w:hideMark/>
          </w:tcPr>
          <w:p w14:paraId="5B7FAA0F" w14:textId="77777777" w:rsidR="001E6E47" w:rsidRPr="001E6E47" w:rsidRDefault="001E6E47" w:rsidP="001E6E47">
            <w:pPr>
              <w:spacing w:after="0" w:line="240" w:lineRule="auto"/>
              <w:jc w:val="center"/>
              <w:rPr>
                <w:rFonts w:eastAsia="Times New Roman" w:cs="Arial"/>
                <w:b/>
                <w:bCs/>
                <w:szCs w:val="24"/>
                <w:lang w:eastAsia="en-GB"/>
              </w:rPr>
            </w:pPr>
            <w:r w:rsidRPr="001E6E47">
              <w:rPr>
                <w:rFonts w:eastAsia="Times New Roman" w:cs="Arial"/>
                <w:b/>
                <w:bCs/>
                <w:szCs w:val="24"/>
                <w:lang w:eastAsia="en-GB"/>
              </w:rPr>
              <w:t>9</w:t>
            </w:r>
          </w:p>
        </w:tc>
        <w:tc>
          <w:tcPr>
            <w:tcW w:w="2119" w:type="dxa"/>
            <w:tcBorders>
              <w:top w:val="nil"/>
              <w:left w:val="nil"/>
              <w:bottom w:val="single" w:sz="4" w:space="0" w:color="auto"/>
              <w:right w:val="single" w:sz="4" w:space="0" w:color="auto"/>
            </w:tcBorders>
            <w:shd w:val="clear" w:color="auto" w:fill="auto"/>
            <w:noWrap/>
            <w:hideMark/>
          </w:tcPr>
          <w:p w14:paraId="4BABD97D" w14:textId="77777777" w:rsidR="001E6E47" w:rsidRPr="001E6E47" w:rsidRDefault="001E6E47" w:rsidP="001E6E47">
            <w:pPr>
              <w:spacing w:after="0" w:line="240" w:lineRule="auto"/>
              <w:rPr>
                <w:rFonts w:eastAsia="Times New Roman" w:cs="Arial"/>
                <w:b/>
                <w:bCs/>
                <w:szCs w:val="24"/>
                <w:lang w:eastAsia="en-GB"/>
              </w:rPr>
            </w:pPr>
            <w:r w:rsidRPr="001E6E47">
              <w:rPr>
                <w:rFonts w:eastAsia="Times New Roman" w:cs="Arial"/>
                <w:b/>
                <w:bCs/>
                <w:szCs w:val="24"/>
                <w:lang w:eastAsia="en-GB"/>
              </w:rPr>
              <w:t xml:space="preserve">Calibration &amp; Verifications </w:t>
            </w:r>
          </w:p>
        </w:tc>
        <w:tc>
          <w:tcPr>
            <w:tcW w:w="3192" w:type="dxa"/>
            <w:tcBorders>
              <w:top w:val="nil"/>
              <w:left w:val="nil"/>
              <w:bottom w:val="single" w:sz="4" w:space="0" w:color="auto"/>
              <w:right w:val="single" w:sz="4" w:space="0" w:color="auto"/>
            </w:tcBorders>
            <w:shd w:val="clear" w:color="auto" w:fill="auto"/>
            <w:hideMark/>
          </w:tcPr>
          <w:p w14:paraId="1AC37AA9" w14:textId="77777777" w:rsidR="001E6E47" w:rsidRPr="001E6E47" w:rsidRDefault="001E6E47" w:rsidP="001E6E47">
            <w:pPr>
              <w:spacing w:after="0" w:line="240" w:lineRule="auto"/>
              <w:rPr>
                <w:rFonts w:eastAsia="Times New Roman" w:cs="Arial"/>
                <w:szCs w:val="24"/>
                <w:lang w:eastAsia="en-GB"/>
              </w:rPr>
            </w:pPr>
            <w:r w:rsidRPr="001E6E47">
              <w:rPr>
                <w:rFonts w:eastAsia="Times New Roman" w:cs="Arial"/>
                <w:szCs w:val="24"/>
                <w:lang w:eastAsia="en-GB"/>
              </w:rPr>
              <w:t>Verifications to be carried out every 6 months on all fixed weighbridges in use for Enforcement.</w:t>
            </w:r>
          </w:p>
        </w:tc>
        <w:tc>
          <w:tcPr>
            <w:tcW w:w="2051" w:type="dxa"/>
            <w:tcBorders>
              <w:top w:val="nil"/>
              <w:left w:val="nil"/>
              <w:bottom w:val="single" w:sz="4" w:space="0" w:color="auto"/>
              <w:right w:val="single" w:sz="4" w:space="0" w:color="auto"/>
            </w:tcBorders>
            <w:shd w:val="clear" w:color="auto" w:fill="auto"/>
            <w:noWrap/>
            <w:hideMark/>
          </w:tcPr>
          <w:p w14:paraId="58456E99" w14:textId="77777777" w:rsidR="001E6E47" w:rsidRPr="001E6E47" w:rsidRDefault="001E6E47" w:rsidP="001E6E47">
            <w:pPr>
              <w:spacing w:after="0" w:line="240" w:lineRule="auto"/>
              <w:rPr>
                <w:rFonts w:eastAsia="Times New Roman" w:cs="Arial"/>
                <w:szCs w:val="24"/>
                <w:lang w:eastAsia="en-GB"/>
              </w:rPr>
            </w:pPr>
            <w:r w:rsidRPr="001E6E47">
              <w:rPr>
                <w:rFonts w:eastAsia="Times New Roman" w:cs="Arial"/>
                <w:szCs w:val="24"/>
                <w:lang w:eastAsia="en-GB"/>
              </w:rPr>
              <w:t>6 months</w:t>
            </w:r>
          </w:p>
        </w:tc>
        <w:tc>
          <w:tcPr>
            <w:tcW w:w="1690" w:type="dxa"/>
            <w:tcBorders>
              <w:top w:val="nil"/>
              <w:left w:val="nil"/>
              <w:bottom w:val="single" w:sz="4" w:space="0" w:color="auto"/>
              <w:right w:val="single" w:sz="4" w:space="0" w:color="auto"/>
            </w:tcBorders>
            <w:shd w:val="clear" w:color="auto" w:fill="auto"/>
            <w:noWrap/>
            <w:hideMark/>
          </w:tcPr>
          <w:p w14:paraId="7AB0CF2D" w14:textId="77777777" w:rsidR="001E6E47" w:rsidRPr="001E6E47" w:rsidRDefault="001E6E47" w:rsidP="001E6E47">
            <w:pPr>
              <w:spacing w:after="0" w:line="240" w:lineRule="auto"/>
              <w:jc w:val="center"/>
              <w:rPr>
                <w:rFonts w:eastAsia="Times New Roman" w:cs="Arial"/>
                <w:szCs w:val="24"/>
                <w:lang w:eastAsia="en-GB"/>
              </w:rPr>
            </w:pPr>
            <w:r w:rsidRPr="001E6E47">
              <w:rPr>
                <w:rFonts w:eastAsia="Times New Roman" w:cs="Arial"/>
                <w:szCs w:val="24"/>
                <w:lang w:eastAsia="en-GB"/>
              </w:rPr>
              <w:t>100%</w:t>
            </w:r>
          </w:p>
        </w:tc>
        <w:tc>
          <w:tcPr>
            <w:tcW w:w="1690" w:type="dxa"/>
            <w:tcBorders>
              <w:top w:val="nil"/>
              <w:left w:val="nil"/>
              <w:bottom w:val="single" w:sz="4" w:space="0" w:color="auto"/>
              <w:right w:val="single" w:sz="8" w:space="0" w:color="auto"/>
            </w:tcBorders>
            <w:shd w:val="clear" w:color="auto" w:fill="auto"/>
          </w:tcPr>
          <w:p w14:paraId="3694C835" w14:textId="62BDA712" w:rsidR="23CFA598" w:rsidRDefault="23CFA598" w:rsidP="7403D644">
            <w:pPr>
              <w:spacing w:line="240" w:lineRule="auto"/>
              <w:rPr>
                <w:rFonts w:eastAsia="Times New Roman" w:cs="Arial"/>
                <w:lang w:eastAsia="en-GB"/>
              </w:rPr>
            </w:pPr>
            <w:r w:rsidRPr="7403D644">
              <w:rPr>
                <w:rFonts w:eastAsia="Times New Roman" w:cs="Arial"/>
                <w:lang w:eastAsia="en-GB"/>
              </w:rPr>
              <w:t>0.2%</w:t>
            </w:r>
          </w:p>
          <w:p w14:paraId="5FB23053" w14:textId="73E2D714" w:rsidR="7403D644" w:rsidRDefault="7403D644" w:rsidP="7403D644">
            <w:pPr>
              <w:spacing w:line="240" w:lineRule="auto"/>
              <w:rPr>
                <w:rFonts w:eastAsia="Times New Roman" w:cs="Arial"/>
                <w:lang w:eastAsia="en-GB"/>
              </w:rPr>
            </w:pPr>
          </w:p>
        </w:tc>
        <w:tc>
          <w:tcPr>
            <w:tcW w:w="2143" w:type="dxa"/>
            <w:tcBorders>
              <w:top w:val="nil"/>
              <w:left w:val="nil"/>
              <w:bottom w:val="single" w:sz="4" w:space="0" w:color="auto"/>
              <w:right w:val="single" w:sz="8" w:space="0" w:color="auto"/>
            </w:tcBorders>
            <w:shd w:val="clear" w:color="auto" w:fill="auto"/>
            <w:hideMark/>
          </w:tcPr>
          <w:p w14:paraId="6C08EB41" w14:textId="77777777" w:rsidR="001E6E47" w:rsidRPr="001E6E47" w:rsidRDefault="001E6E47" w:rsidP="001E6E47">
            <w:pPr>
              <w:spacing w:after="0" w:line="240" w:lineRule="auto"/>
              <w:rPr>
                <w:rFonts w:eastAsia="Times New Roman" w:cs="Arial"/>
                <w:szCs w:val="24"/>
                <w:lang w:eastAsia="en-GB"/>
              </w:rPr>
            </w:pPr>
            <w:r w:rsidRPr="001E6E47">
              <w:rPr>
                <w:rFonts w:eastAsia="Times New Roman" w:cs="Arial"/>
                <w:szCs w:val="24"/>
                <w:lang w:eastAsia="en-GB"/>
              </w:rPr>
              <w:t>Supplier to provide an activity log detailing a rolling 12-month schedule, on a monthly basis. Schedule to include 12 monthly historic data per site.</w:t>
            </w:r>
          </w:p>
        </w:tc>
      </w:tr>
      <w:tr w:rsidR="001E6E47" w:rsidRPr="001E6E47" w14:paraId="53A550AE" w14:textId="77777777" w:rsidTr="0F8A7A4C">
        <w:trPr>
          <w:trHeight w:val="1250"/>
        </w:trPr>
        <w:tc>
          <w:tcPr>
            <w:tcW w:w="1066" w:type="dxa"/>
            <w:tcBorders>
              <w:top w:val="nil"/>
              <w:left w:val="single" w:sz="8" w:space="0" w:color="70AD47"/>
              <w:bottom w:val="single" w:sz="8" w:space="0" w:color="auto"/>
              <w:right w:val="single" w:sz="4" w:space="0" w:color="auto"/>
            </w:tcBorders>
            <w:shd w:val="clear" w:color="auto" w:fill="auto"/>
            <w:noWrap/>
            <w:vAlign w:val="center"/>
            <w:hideMark/>
          </w:tcPr>
          <w:p w14:paraId="7B861414" w14:textId="77777777" w:rsidR="001E6E47" w:rsidRPr="001E6E47" w:rsidRDefault="001E6E47" w:rsidP="001E6E47">
            <w:pPr>
              <w:spacing w:after="0" w:line="240" w:lineRule="auto"/>
              <w:jc w:val="center"/>
              <w:rPr>
                <w:rFonts w:eastAsia="Times New Roman" w:cs="Arial"/>
                <w:b/>
                <w:bCs/>
                <w:szCs w:val="24"/>
                <w:lang w:eastAsia="en-GB"/>
              </w:rPr>
            </w:pPr>
            <w:r w:rsidRPr="001E6E47">
              <w:rPr>
                <w:rFonts w:eastAsia="Times New Roman" w:cs="Arial"/>
                <w:b/>
                <w:bCs/>
                <w:szCs w:val="24"/>
                <w:lang w:eastAsia="en-GB"/>
              </w:rPr>
              <w:t>10</w:t>
            </w:r>
          </w:p>
        </w:tc>
        <w:tc>
          <w:tcPr>
            <w:tcW w:w="2119" w:type="dxa"/>
            <w:tcBorders>
              <w:top w:val="nil"/>
              <w:left w:val="nil"/>
              <w:bottom w:val="single" w:sz="8" w:space="0" w:color="auto"/>
              <w:right w:val="single" w:sz="4" w:space="0" w:color="auto"/>
            </w:tcBorders>
            <w:shd w:val="clear" w:color="auto" w:fill="auto"/>
            <w:noWrap/>
            <w:hideMark/>
          </w:tcPr>
          <w:p w14:paraId="61BD4CE8" w14:textId="77777777" w:rsidR="001E6E47" w:rsidRPr="001E6E47" w:rsidRDefault="001E6E47" w:rsidP="001E6E47">
            <w:pPr>
              <w:spacing w:after="0" w:line="240" w:lineRule="auto"/>
              <w:rPr>
                <w:rFonts w:eastAsia="Times New Roman" w:cs="Arial"/>
                <w:b/>
                <w:bCs/>
                <w:szCs w:val="24"/>
                <w:lang w:eastAsia="en-GB"/>
              </w:rPr>
            </w:pPr>
            <w:r w:rsidRPr="001E6E47">
              <w:rPr>
                <w:rFonts w:eastAsia="Times New Roman" w:cs="Arial"/>
                <w:b/>
                <w:bCs/>
                <w:szCs w:val="24"/>
                <w:lang w:eastAsia="en-GB"/>
              </w:rPr>
              <w:t xml:space="preserve">Calibration &amp; Verifications </w:t>
            </w:r>
          </w:p>
        </w:tc>
        <w:tc>
          <w:tcPr>
            <w:tcW w:w="3192" w:type="dxa"/>
            <w:tcBorders>
              <w:top w:val="nil"/>
              <w:left w:val="nil"/>
              <w:bottom w:val="single" w:sz="8" w:space="0" w:color="auto"/>
              <w:right w:val="single" w:sz="4" w:space="0" w:color="auto"/>
            </w:tcBorders>
            <w:shd w:val="clear" w:color="auto" w:fill="auto"/>
            <w:noWrap/>
            <w:hideMark/>
          </w:tcPr>
          <w:p w14:paraId="363C540C" w14:textId="77777777" w:rsidR="001E6E47" w:rsidRPr="001E6E47" w:rsidRDefault="001E6E47" w:rsidP="001E6E47">
            <w:pPr>
              <w:spacing w:after="0" w:line="240" w:lineRule="auto"/>
              <w:rPr>
                <w:rFonts w:eastAsia="Times New Roman" w:cs="Arial"/>
                <w:szCs w:val="24"/>
                <w:lang w:eastAsia="en-GB"/>
              </w:rPr>
            </w:pPr>
            <w:r w:rsidRPr="001E6E47">
              <w:rPr>
                <w:rFonts w:eastAsia="Times New Roman" w:cs="Arial"/>
                <w:szCs w:val="24"/>
                <w:lang w:eastAsia="en-GB"/>
              </w:rPr>
              <w:t>Verifications to be carried out on IVA sites every 12 months</w:t>
            </w:r>
          </w:p>
        </w:tc>
        <w:tc>
          <w:tcPr>
            <w:tcW w:w="2051" w:type="dxa"/>
            <w:tcBorders>
              <w:top w:val="nil"/>
              <w:left w:val="nil"/>
              <w:bottom w:val="single" w:sz="8" w:space="0" w:color="auto"/>
              <w:right w:val="single" w:sz="4" w:space="0" w:color="auto"/>
            </w:tcBorders>
            <w:shd w:val="clear" w:color="auto" w:fill="auto"/>
            <w:noWrap/>
            <w:hideMark/>
          </w:tcPr>
          <w:p w14:paraId="43711C30" w14:textId="77777777" w:rsidR="001E6E47" w:rsidRPr="001E6E47" w:rsidRDefault="001E6E47" w:rsidP="001E6E47">
            <w:pPr>
              <w:spacing w:after="0" w:line="240" w:lineRule="auto"/>
              <w:rPr>
                <w:rFonts w:eastAsia="Times New Roman" w:cs="Arial"/>
                <w:szCs w:val="24"/>
                <w:lang w:eastAsia="en-GB"/>
              </w:rPr>
            </w:pPr>
            <w:r w:rsidRPr="001E6E47">
              <w:rPr>
                <w:rFonts w:eastAsia="Times New Roman" w:cs="Arial"/>
                <w:szCs w:val="24"/>
                <w:lang w:eastAsia="en-GB"/>
              </w:rPr>
              <w:t>12 months</w:t>
            </w:r>
          </w:p>
        </w:tc>
        <w:tc>
          <w:tcPr>
            <w:tcW w:w="1690" w:type="dxa"/>
            <w:tcBorders>
              <w:top w:val="nil"/>
              <w:left w:val="nil"/>
              <w:bottom w:val="single" w:sz="8" w:space="0" w:color="auto"/>
              <w:right w:val="single" w:sz="4" w:space="0" w:color="auto"/>
            </w:tcBorders>
            <w:shd w:val="clear" w:color="auto" w:fill="auto"/>
            <w:noWrap/>
            <w:hideMark/>
          </w:tcPr>
          <w:p w14:paraId="65533062" w14:textId="77777777" w:rsidR="001E6E47" w:rsidRPr="001E6E47" w:rsidRDefault="001E6E47" w:rsidP="001E6E47">
            <w:pPr>
              <w:spacing w:after="0" w:line="240" w:lineRule="auto"/>
              <w:jc w:val="center"/>
              <w:rPr>
                <w:rFonts w:eastAsia="Times New Roman" w:cs="Arial"/>
                <w:szCs w:val="24"/>
                <w:lang w:eastAsia="en-GB"/>
              </w:rPr>
            </w:pPr>
            <w:r w:rsidRPr="001E6E47">
              <w:rPr>
                <w:rFonts w:eastAsia="Times New Roman" w:cs="Arial"/>
                <w:szCs w:val="24"/>
                <w:lang w:eastAsia="en-GB"/>
              </w:rPr>
              <w:t>100%</w:t>
            </w:r>
          </w:p>
        </w:tc>
        <w:tc>
          <w:tcPr>
            <w:tcW w:w="1690" w:type="dxa"/>
            <w:tcBorders>
              <w:top w:val="nil"/>
              <w:left w:val="nil"/>
              <w:bottom w:val="single" w:sz="8" w:space="0" w:color="auto"/>
              <w:right w:val="single" w:sz="8" w:space="0" w:color="auto"/>
            </w:tcBorders>
            <w:shd w:val="clear" w:color="auto" w:fill="auto"/>
          </w:tcPr>
          <w:p w14:paraId="3EB3FB8C" w14:textId="62BDA712" w:rsidR="65E1C1D8" w:rsidRDefault="65E1C1D8" w:rsidP="7403D644">
            <w:pPr>
              <w:spacing w:line="240" w:lineRule="auto"/>
              <w:rPr>
                <w:rFonts w:eastAsia="Times New Roman" w:cs="Arial"/>
                <w:lang w:eastAsia="en-GB"/>
              </w:rPr>
            </w:pPr>
            <w:r w:rsidRPr="7403D644">
              <w:rPr>
                <w:rFonts w:eastAsia="Times New Roman" w:cs="Arial"/>
                <w:lang w:eastAsia="en-GB"/>
              </w:rPr>
              <w:t>0.2%</w:t>
            </w:r>
          </w:p>
          <w:p w14:paraId="49FE5496" w14:textId="6510EB02" w:rsidR="7403D644" w:rsidRDefault="7403D644" w:rsidP="7403D644">
            <w:pPr>
              <w:spacing w:line="240" w:lineRule="auto"/>
              <w:rPr>
                <w:rFonts w:eastAsia="Times New Roman" w:cs="Arial"/>
                <w:lang w:eastAsia="en-GB"/>
              </w:rPr>
            </w:pPr>
          </w:p>
        </w:tc>
        <w:tc>
          <w:tcPr>
            <w:tcW w:w="2143" w:type="dxa"/>
            <w:tcBorders>
              <w:top w:val="nil"/>
              <w:left w:val="nil"/>
              <w:bottom w:val="single" w:sz="8" w:space="0" w:color="auto"/>
              <w:right w:val="single" w:sz="8" w:space="0" w:color="auto"/>
            </w:tcBorders>
            <w:shd w:val="clear" w:color="auto" w:fill="auto"/>
            <w:hideMark/>
          </w:tcPr>
          <w:p w14:paraId="4373FC5D" w14:textId="77777777" w:rsidR="001E6E47" w:rsidRPr="001E6E47" w:rsidRDefault="001E6E47" w:rsidP="001E6E47">
            <w:pPr>
              <w:spacing w:after="0" w:line="240" w:lineRule="auto"/>
              <w:rPr>
                <w:rFonts w:eastAsia="Times New Roman" w:cs="Arial"/>
                <w:szCs w:val="24"/>
                <w:lang w:eastAsia="en-GB"/>
              </w:rPr>
            </w:pPr>
            <w:r w:rsidRPr="001E6E47">
              <w:rPr>
                <w:rFonts w:eastAsia="Times New Roman" w:cs="Arial"/>
                <w:szCs w:val="24"/>
                <w:lang w:eastAsia="en-GB"/>
              </w:rPr>
              <w:t>Supplier to provide an activity log detailing a rolling 12-month schedule, on a monthly basis. Schedule to include 12 monthly historic data per site.</w:t>
            </w:r>
          </w:p>
        </w:tc>
      </w:tr>
      <w:tr w:rsidR="0F8A7A4C" w14:paraId="0D57697C" w14:textId="77777777" w:rsidTr="0F8A7A4C">
        <w:trPr>
          <w:trHeight w:val="1250"/>
        </w:trPr>
        <w:tc>
          <w:tcPr>
            <w:tcW w:w="1066" w:type="dxa"/>
            <w:tcBorders>
              <w:top w:val="nil"/>
              <w:left w:val="single" w:sz="8" w:space="0" w:color="70AD47"/>
              <w:bottom w:val="single" w:sz="8" w:space="0" w:color="auto"/>
              <w:right w:val="single" w:sz="4" w:space="0" w:color="auto"/>
            </w:tcBorders>
            <w:shd w:val="clear" w:color="auto" w:fill="auto"/>
            <w:noWrap/>
            <w:vAlign w:val="center"/>
            <w:hideMark/>
          </w:tcPr>
          <w:p w14:paraId="197EC9C7" w14:textId="68BF9639" w:rsidR="7735B435" w:rsidRDefault="7735B435" w:rsidP="0F8A7A4C">
            <w:pPr>
              <w:spacing w:line="240" w:lineRule="auto"/>
              <w:jc w:val="center"/>
              <w:rPr>
                <w:rFonts w:eastAsia="Times New Roman" w:cs="Arial"/>
                <w:b/>
                <w:bCs/>
                <w:lang w:eastAsia="en-GB"/>
              </w:rPr>
            </w:pPr>
            <w:r w:rsidRPr="0F8A7A4C">
              <w:rPr>
                <w:rFonts w:eastAsia="Times New Roman" w:cs="Arial"/>
                <w:b/>
                <w:bCs/>
                <w:lang w:eastAsia="en-GB"/>
              </w:rPr>
              <w:t>11</w:t>
            </w:r>
          </w:p>
        </w:tc>
        <w:tc>
          <w:tcPr>
            <w:tcW w:w="2119" w:type="dxa"/>
            <w:tcBorders>
              <w:top w:val="nil"/>
              <w:left w:val="nil"/>
              <w:bottom w:val="single" w:sz="8" w:space="0" w:color="auto"/>
              <w:right w:val="single" w:sz="4" w:space="0" w:color="auto"/>
            </w:tcBorders>
            <w:shd w:val="clear" w:color="auto" w:fill="auto"/>
            <w:noWrap/>
            <w:hideMark/>
          </w:tcPr>
          <w:p w14:paraId="2E0BCDCA" w14:textId="58B5DAD2" w:rsidR="7735B435" w:rsidRDefault="7735B435" w:rsidP="0F8A7A4C">
            <w:pPr>
              <w:spacing w:line="240" w:lineRule="auto"/>
              <w:rPr>
                <w:rFonts w:eastAsia="Times New Roman" w:cs="Arial"/>
                <w:b/>
                <w:bCs/>
                <w:lang w:eastAsia="en-GB"/>
              </w:rPr>
            </w:pPr>
            <w:r w:rsidRPr="0F8A7A4C">
              <w:rPr>
                <w:rFonts w:eastAsia="Times New Roman" w:cs="Arial"/>
                <w:b/>
                <w:bCs/>
                <w:lang w:eastAsia="en-GB"/>
              </w:rPr>
              <w:t>Social Value</w:t>
            </w:r>
          </w:p>
        </w:tc>
        <w:tc>
          <w:tcPr>
            <w:tcW w:w="3192" w:type="dxa"/>
            <w:tcBorders>
              <w:top w:val="nil"/>
              <w:left w:val="nil"/>
              <w:bottom w:val="single" w:sz="8" w:space="0" w:color="auto"/>
              <w:right w:val="single" w:sz="4" w:space="0" w:color="auto"/>
            </w:tcBorders>
            <w:shd w:val="clear" w:color="auto" w:fill="auto"/>
            <w:noWrap/>
            <w:hideMark/>
          </w:tcPr>
          <w:p w14:paraId="4F2D80C9" w14:textId="58047688" w:rsidR="7735B435" w:rsidRDefault="7735B435" w:rsidP="0F8A7A4C">
            <w:pPr>
              <w:spacing w:line="240" w:lineRule="auto"/>
              <w:rPr>
                <w:rFonts w:eastAsia="Times New Roman" w:cs="Arial"/>
                <w:lang w:eastAsia="en-GB"/>
              </w:rPr>
            </w:pPr>
            <w:bookmarkStart w:id="3" w:name="OLE_LINK1"/>
            <w:r w:rsidRPr="0F8A7A4C">
              <w:rPr>
                <w:rFonts w:eastAsia="Times New Roman" w:cs="Arial"/>
                <w:lang w:eastAsia="en-GB"/>
              </w:rPr>
              <w:t xml:space="preserve">Milestones described in ‘K280021986 Schedule 10 Annex A – Social Value Milestones’ will be met </w:t>
            </w:r>
            <w:bookmarkEnd w:id="3"/>
          </w:p>
        </w:tc>
        <w:tc>
          <w:tcPr>
            <w:tcW w:w="2051" w:type="dxa"/>
            <w:tcBorders>
              <w:top w:val="nil"/>
              <w:left w:val="nil"/>
              <w:bottom w:val="single" w:sz="8" w:space="0" w:color="auto"/>
              <w:right w:val="single" w:sz="4" w:space="0" w:color="auto"/>
            </w:tcBorders>
            <w:shd w:val="clear" w:color="auto" w:fill="auto"/>
            <w:noWrap/>
            <w:hideMark/>
          </w:tcPr>
          <w:p w14:paraId="1F2D6698" w14:textId="7C593799" w:rsidR="568826CE" w:rsidRDefault="568826CE" w:rsidP="0F8A7A4C">
            <w:pPr>
              <w:spacing w:line="240" w:lineRule="auto"/>
            </w:pPr>
            <w:r w:rsidRPr="0F8A7A4C">
              <w:rPr>
                <w:rFonts w:eastAsia="Times New Roman" w:cs="Arial"/>
                <w:lang w:eastAsia="en-GB"/>
              </w:rPr>
              <w:t>12 Months</w:t>
            </w:r>
          </w:p>
        </w:tc>
        <w:tc>
          <w:tcPr>
            <w:tcW w:w="1690" w:type="dxa"/>
            <w:tcBorders>
              <w:top w:val="nil"/>
              <w:left w:val="nil"/>
              <w:bottom w:val="single" w:sz="8" w:space="0" w:color="auto"/>
              <w:right w:val="single" w:sz="4" w:space="0" w:color="auto"/>
            </w:tcBorders>
            <w:shd w:val="clear" w:color="auto" w:fill="auto"/>
            <w:noWrap/>
            <w:hideMark/>
          </w:tcPr>
          <w:p w14:paraId="4409035F" w14:textId="4D476C3D" w:rsidR="568826CE" w:rsidRDefault="568826CE" w:rsidP="0F8A7A4C">
            <w:pPr>
              <w:spacing w:line="240" w:lineRule="auto"/>
              <w:jc w:val="center"/>
              <w:rPr>
                <w:rFonts w:eastAsia="Times New Roman" w:cs="Arial"/>
                <w:lang w:eastAsia="en-GB"/>
              </w:rPr>
            </w:pPr>
            <w:r w:rsidRPr="0F8A7A4C">
              <w:rPr>
                <w:rFonts w:eastAsia="Times New Roman" w:cs="Arial"/>
                <w:lang w:eastAsia="en-GB"/>
              </w:rPr>
              <w:t>90%</w:t>
            </w:r>
          </w:p>
        </w:tc>
        <w:tc>
          <w:tcPr>
            <w:tcW w:w="1690" w:type="dxa"/>
            <w:tcBorders>
              <w:top w:val="nil"/>
              <w:left w:val="nil"/>
              <w:bottom w:val="single" w:sz="8" w:space="0" w:color="auto"/>
              <w:right w:val="single" w:sz="8" w:space="0" w:color="auto"/>
            </w:tcBorders>
            <w:shd w:val="clear" w:color="auto" w:fill="auto"/>
          </w:tcPr>
          <w:p w14:paraId="454A5077" w14:textId="623C17C3" w:rsidR="568826CE" w:rsidRDefault="568826CE" w:rsidP="0F8A7A4C">
            <w:pPr>
              <w:spacing w:line="240" w:lineRule="auto"/>
              <w:rPr>
                <w:rFonts w:eastAsia="Times New Roman" w:cs="Arial"/>
                <w:lang w:eastAsia="en-GB"/>
              </w:rPr>
            </w:pPr>
            <w:r w:rsidRPr="0F8A7A4C">
              <w:rPr>
                <w:rFonts w:eastAsia="Times New Roman" w:cs="Arial"/>
                <w:lang w:eastAsia="en-GB"/>
              </w:rPr>
              <w:t>0.2%</w:t>
            </w:r>
          </w:p>
        </w:tc>
        <w:tc>
          <w:tcPr>
            <w:tcW w:w="2143" w:type="dxa"/>
            <w:tcBorders>
              <w:top w:val="nil"/>
              <w:left w:val="nil"/>
              <w:bottom w:val="single" w:sz="8" w:space="0" w:color="auto"/>
              <w:right w:val="single" w:sz="8" w:space="0" w:color="auto"/>
            </w:tcBorders>
            <w:shd w:val="clear" w:color="auto" w:fill="auto"/>
            <w:hideMark/>
          </w:tcPr>
          <w:p w14:paraId="5C73DA6C" w14:textId="0E3BFD1F" w:rsidR="568826CE" w:rsidRDefault="568826CE" w:rsidP="0F8A7A4C">
            <w:pPr>
              <w:spacing w:line="240" w:lineRule="auto"/>
              <w:rPr>
                <w:rFonts w:eastAsia="Times New Roman" w:cs="Arial"/>
                <w:lang w:eastAsia="en-GB"/>
              </w:rPr>
            </w:pPr>
            <w:r w:rsidRPr="0F8A7A4C">
              <w:rPr>
                <w:rFonts w:eastAsia="Times New Roman" w:cs="Arial"/>
                <w:lang w:eastAsia="en-GB"/>
              </w:rPr>
              <w:t xml:space="preserve">Supplier to provide a report on status against milestones on an annual basis. </w:t>
            </w:r>
          </w:p>
        </w:tc>
      </w:tr>
    </w:tbl>
    <w:p w14:paraId="189EEDEB" w14:textId="77777777" w:rsidR="005D1C56" w:rsidRPr="00091B0C" w:rsidRDefault="005D1C56" w:rsidP="00571BC4">
      <w:pPr>
        <w:spacing w:after="0"/>
        <w:rPr>
          <w:highlight w:val="green"/>
        </w:rPr>
      </w:pPr>
    </w:p>
    <w:p w14:paraId="7E9C7DEE" w14:textId="77777777" w:rsidR="00C9354B" w:rsidRDefault="00C9354B" w:rsidP="00571BC4">
      <w:pPr>
        <w:spacing w:before="120" w:after="120"/>
        <w:rPr>
          <w:rFonts w:cs="Arial"/>
          <w:szCs w:val="24"/>
        </w:rPr>
      </w:pPr>
    </w:p>
    <w:p w14:paraId="6469EC4A" w14:textId="25B5C52B" w:rsidR="00C9354B" w:rsidRDefault="00C9354B" w:rsidP="7403D644">
      <w:pPr>
        <w:pStyle w:val="paragraph"/>
        <w:spacing w:before="120" w:beforeAutospacing="0" w:after="120" w:afterAutospacing="0"/>
        <w:textAlignment w:val="baseline"/>
        <w:rPr>
          <w:rFonts w:ascii="Segoe UI" w:hAnsi="Segoe UI" w:cs="Segoe UI"/>
          <w:sz w:val="18"/>
          <w:szCs w:val="18"/>
        </w:rPr>
      </w:pPr>
      <w:r w:rsidRPr="7403D644">
        <w:rPr>
          <w:rStyle w:val="normaltextrun"/>
          <w:rFonts w:ascii="Arial" w:hAnsi="Arial" w:cs="Arial"/>
        </w:rPr>
        <w:t>The Service Credits shall be calculated on the basis of the following formula:</w:t>
      </w:r>
      <w:r w:rsidRPr="7403D644">
        <w:rPr>
          <w:rStyle w:val="eop"/>
          <w:rFonts w:ascii="Arial" w:hAnsi="Arial" w:cs="Arial"/>
        </w:rPr>
        <w:t> </w:t>
      </w:r>
    </w:p>
    <w:p w14:paraId="4E9AAD52" w14:textId="77777777" w:rsidR="00C9354B" w:rsidRDefault="00C9354B" w:rsidP="00C935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Worked example: </w:t>
      </w:r>
      <w:r>
        <w:rPr>
          <w:rStyle w:val="eop"/>
          <w:rFonts w:ascii="Arial" w:hAnsi="Arial" w:cs="Arial"/>
        </w:rPr>
        <w:t> </w:t>
      </w:r>
    </w:p>
    <w:p w14:paraId="1EF805D9" w14:textId="567DA5CD" w:rsidR="00C9354B" w:rsidRDefault="00C9354B" w:rsidP="00C935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t>
      </w:r>
      <w:r>
        <w:rPr>
          <w:rStyle w:val="tabchar"/>
          <w:rFonts w:ascii="Calibri" w:hAnsi="Calibri" w:cs="Calibri"/>
        </w:rPr>
        <w:tab/>
      </w:r>
      <w:r>
        <w:rPr>
          <w:rStyle w:val="normaltextrun"/>
          <w:rFonts w:ascii="Arial" w:hAnsi="Arial" w:cs="Arial"/>
        </w:rPr>
        <w:t>The Service Level Threshold (Suppliers target) for KPI No. 8 (</w:t>
      </w:r>
      <w:r w:rsidR="00924D46">
        <w:rPr>
          <w:rStyle w:val="normaltextrun"/>
          <w:rFonts w:ascii="Arial" w:hAnsi="Arial" w:cs="Arial"/>
        </w:rPr>
        <w:t>Downtime</w:t>
      </w:r>
      <w:r>
        <w:rPr>
          <w:rStyle w:val="normaltextrun"/>
          <w:rFonts w:ascii="Arial" w:hAnsi="Arial" w:cs="Arial"/>
        </w:rPr>
        <w:t>) is 100%</w:t>
      </w:r>
      <w:r>
        <w:rPr>
          <w:rStyle w:val="eop"/>
          <w:rFonts w:ascii="Arial" w:hAnsi="Arial" w:cs="Arial"/>
        </w:rPr>
        <w:t> </w:t>
      </w:r>
    </w:p>
    <w:p w14:paraId="2C050E41" w14:textId="3C29FE73" w:rsidR="00C9354B" w:rsidRDefault="00C9354B" w:rsidP="00C935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t>
      </w:r>
      <w:r>
        <w:rPr>
          <w:rStyle w:val="tabchar"/>
          <w:rFonts w:ascii="Calibri" w:hAnsi="Calibri" w:cs="Calibri"/>
        </w:rPr>
        <w:tab/>
      </w:r>
      <w:r>
        <w:rPr>
          <w:rStyle w:val="normaltextrun"/>
          <w:rFonts w:ascii="Arial" w:hAnsi="Arial" w:cs="Arial"/>
        </w:rPr>
        <w:t xml:space="preserve">The Service Level Performance Measure (Suppliers achievement) is </w:t>
      </w:r>
      <w:r w:rsidR="00924D46">
        <w:rPr>
          <w:rStyle w:val="normaltextrun"/>
          <w:rFonts w:ascii="Arial" w:hAnsi="Arial" w:cs="Arial"/>
        </w:rPr>
        <w:t>98</w:t>
      </w:r>
      <w:r>
        <w:rPr>
          <w:rStyle w:val="normaltextrun"/>
          <w:rFonts w:ascii="Arial" w:hAnsi="Arial" w:cs="Arial"/>
        </w:rPr>
        <w:t>% </w:t>
      </w:r>
      <w:r>
        <w:rPr>
          <w:rStyle w:val="eop"/>
          <w:rFonts w:ascii="Arial" w:hAnsi="Arial" w:cs="Arial"/>
        </w:rPr>
        <w:t> </w:t>
      </w:r>
    </w:p>
    <w:p w14:paraId="5900A4D6" w14:textId="77777777" w:rsidR="00C9354B" w:rsidRDefault="00C9354B" w:rsidP="00C935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t>
      </w:r>
      <w:r>
        <w:rPr>
          <w:rStyle w:val="tabchar"/>
          <w:rFonts w:ascii="Calibri" w:hAnsi="Calibri" w:cs="Calibri"/>
        </w:rPr>
        <w:tab/>
      </w:r>
      <w:r>
        <w:rPr>
          <w:rStyle w:val="normaltextrun"/>
          <w:rFonts w:ascii="Arial" w:hAnsi="Arial" w:cs="Arial"/>
        </w:rPr>
        <w:t>The Service Credit for KPI No. 8 is x 0.2% </w:t>
      </w:r>
      <w:r>
        <w:rPr>
          <w:rStyle w:val="eop"/>
          <w:rFonts w:ascii="Arial" w:hAnsi="Arial" w:cs="Arial"/>
        </w:rPr>
        <w:t> </w:t>
      </w:r>
    </w:p>
    <w:p w14:paraId="08C07BB0" w14:textId="053D5B31" w:rsidR="00C9354B" w:rsidRDefault="00C9354B" w:rsidP="00C935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Calculation: 100% - </w:t>
      </w:r>
      <w:r w:rsidR="00924D46">
        <w:rPr>
          <w:rStyle w:val="normaltextrun"/>
          <w:rFonts w:ascii="Arial" w:hAnsi="Arial" w:cs="Arial"/>
        </w:rPr>
        <w:t>98</w:t>
      </w:r>
      <w:r>
        <w:rPr>
          <w:rStyle w:val="normaltextrun"/>
          <w:rFonts w:ascii="Arial" w:hAnsi="Arial" w:cs="Arial"/>
        </w:rPr>
        <w:t xml:space="preserve">% = </w:t>
      </w:r>
      <w:r w:rsidR="00570DDF">
        <w:rPr>
          <w:rStyle w:val="normaltextrun"/>
          <w:rFonts w:ascii="Arial" w:hAnsi="Arial" w:cs="Arial"/>
        </w:rPr>
        <w:t>2%</w:t>
      </w:r>
      <w:r>
        <w:rPr>
          <w:rStyle w:val="normaltextrun"/>
          <w:rFonts w:ascii="Arial" w:hAnsi="Arial" w:cs="Arial"/>
        </w:rPr>
        <w:t xml:space="preserve"> x 0.2% = 0.</w:t>
      </w:r>
      <w:r w:rsidR="00CB70A2">
        <w:rPr>
          <w:rStyle w:val="normaltextrun"/>
          <w:rFonts w:ascii="Arial" w:hAnsi="Arial" w:cs="Arial"/>
        </w:rPr>
        <w:t>4</w:t>
      </w:r>
      <w:r>
        <w:rPr>
          <w:rStyle w:val="normaltextrun"/>
          <w:rFonts w:ascii="Arial" w:hAnsi="Arial" w:cs="Arial"/>
        </w:rPr>
        <w:t>% of the charges that month, payable to the DVSA as a service credit, to be deducted from the next valid Invoice, payable by the supplier. </w:t>
      </w:r>
      <w:r>
        <w:rPr>
          <w:rStyle w:val="eop"/>
          <w:rFonts w:ascii="Arial" w:hAnsi="Arial" w:cs="Arial"/>
        </w:rPr>
        <w:t> </w:t>
      </w:r>
    </w:p>
    <w:p w14:paraId="5B55CF86" w14:textId="77777777" w:rsidR="00C9354B" w:rsidRDefault="00C9354B" w:rsidP="00C935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 service credit cap of 5% will apply to each KPI per 12-month rolling period. </w:t>
      </w:r>
    </w:p>
    <w:p w14:paraId="4BD1ECE7" w14:textId="77777777" w:rsidR="00156728" w:rsidRDefault="005D1C56" w:rsidP="00571BC4">
      <w:pPr>
        <w:pStyle w:val="GPSSchAnnexname"/>
        <w:spacing w:after="200" w:line="276" w:lineRule="auto"/>
        <w:jc w:val="left"/>
        <w:rPr>
          <w:rFonts w:ascii="Arial" w:hAnsi="Arial" w:cs="Arial"/>
          <w:sz w:val="24"/>
          <w:szCs w:val="24"/>
        </w:rPr>
        <w:sectPr w:rsidR="00156728" w:rsidSect="0022683C">
          <w:pgSz w:w="16838" w:h="11906" w:orient="landscape"/>
          <w:pgMar w:top="1440" w:right="1440" w:bottom="1440" w:left="1440" w:header="709" w:footer="709" w:gutter="0"/>
          <w:cols w:space="708"/>
          <w:docGrid w:linePitch="360"/>
        </w:sectPr>
      </w:pPr>
      <w:r w:rsidRPr="00091B0C">
        <w:rPr>
          <w:rFonts w:ascii="Arial" w:hAnsi="Arial" w:cs="Arial"/>
          <w:sz w:val="24"/>
          <w:szCs w:val="24"/>
        </w:rPr>
        <w:br w:type="page"/>
      </w:r>
    </w:p>
    <w:p w14:paraId="595556AF" w14:textId="77777777" w:rsidR="005D1C56" w:rsidRPr="00EF7368" w:rsidRDefault="00EF7368" w:rsidP="00571BC4">
      <w:pPr>
        <w:pStyle w:val="GPSSchAnnexname"/>
        <w:spacing w:after="200" w:line="276" w:lineRule="auto"/>
        <w:jc w:val="left"/>
        <w:rPr>
          <w:rFonts w:ascii="Arial Bold" w:hAnsi="Arial Bold" w:cs="Arial" w:hint="eastAsia"/>
          <w:caps w:val="0"/>
          <w:sz w:val="36"/>
          <w:szCs w:val="36"/>
        </w:rPr>
      </w:pPr>
      <w:r>
        <w:rPr>
          <w:rFonts w:ascii="Arial Bold" w:hAnsi="Arial Bold" w:cs="Arial"/>
          <w:caps w:val="0"/>
          <w:sz w:val="36"/>
          <w:szCs w:val="36"/>
        </w:rPr>
        <w:t xml:space="preserve">Part B: Performance Monitoring </w:t>
      </w:r>
    </w:p>
    <w:p w14:paraId="39EB583B" w14:textId="77777777" w:rsidR="005D1C56" w:rsidRPr="00BE7F3D" w:rsidRDefault="00EF7368" w:rsidP="00571BC4">
      <w:pPr>
        <w:pStyle w:val="GPSL1CLAUSEHEADING"/>
        <w:numPr>
          <w:ilvl w:val="0"/>
          <w:numId w:val="88"/>
        </w:numPr>
        <w:rPr>
          <w:rFonts w:hint="eastAsia"/>
        </w:rPr>
      </w:pPr>
      <w:r w:rsidRPr="00BE7F3D">
        <w:t>Performance Monitoring and Performance Review</w:t>
      </w:r>
    </w:p>
    <w:p w14:paraId="14A4B56A" w14:textId="77777777" w:rsidR="005D1C56" w:rsidRPr="008A3A15" w:rsidRDefault="005D1C56" w:rsidP="008A3A15">
      <w:pPr>
        <w:pStyle w:val="GPSL2NumberedBoldHeading"/>
      </w:pPr>
      <w:r w:rsidRPr="008A3A15">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0DD05F27" w14:textId="776B86C4" w:rsidR="005D1C56" w:rsidRPr="008A3A15" w:rsidRDefault="005D1C56" w:rsidP="00571BC4">
      <w:pPr>
        <w:pStyle w:val="GPSL2NumberedBoldHeading"/>
        <w:keepNext/>
      </w:pPr>
      <w:r w:rsidRPr="008A3A15">
        <w:t>The Supplier shall provide the Buyer with performance monitoring reports ("</w:t>
      </w:r>
      <w:r w:rsidRPr="008A3A15">
        <w:rPr>
          <w:b/>
        </w:rPr>
        <w:t>Performance Monitoring Reports</w:t>
      </w:r>
      <w:r w:rsidRPr="008A3A15">
        <w:t xml:space="preserve">") in accordance with the process and timescales agreed pursuant to </w:t>
      </w:r>
      <w:r w:rsidR="007C1A1B">
        <w:t>P</w:t>
      </w:r>
      <w:r w:rsidRPr="008A3A15">
        <w:t xml:space="preserve">aragraph </w:t>
      </w:r>
      <w:r w:rsidRPr="008A3A15">
        <w:fldChar w:fldCharType="begin"/>
      </w:r>
      <w:r w:rsidRPr="008A3A15">
        <w:instrText xml:space="preserve"> REF _Ref492315123 \r \h </w:instrText>
      </w:r>
      <w:r w:rsidR="00091B0C" w:rsidRPr="008A3A15">
        <w:instrText xml:space="preserve"> \* MERGEFORMAT </w:instrText>
      </w:r>
      <w:r w:rsidRPr="008A3A15">
        <w:fldChar w:fldCharType="separate"/>
      </w:r>
      <w:r w:rsidRPr="008A3A15">
        <w:t>1.1</w:t>
      </w:r>
      <w:r w:rsidRPr="008A3A15">
        <w:fldChar w:fldCharType="end"/>
      </w:r>
      <w:r w:rsidRPr="008A3A15">
        <w:t xml:space="preserve"> of Part B of this Schedule which shall contain, as a minimum, the following information in respect of the relevant Service Period just ended:</w:t>
      </w:r>
    </w:p>
    <w:p w14:paraId="0DDF2520" w14:textId="77777777" w:rsidR="005D1C56" w:rsidRPr="008A3A15" w:rsidRDefault="005D1C56" w:rsidP="008A3A15">
      <w:pPr>
        <w:pStyle w:val="GPSL3numberedclause"/>
      </w:pPr>
      <w:r w:rsidRPr="008A3A15">
        <w:t>for each Service Level, the actual performance achieved over the Service Level for the relevant Service Period;</w:t>
      </w:r>
    </w:p>
    <w:p w14:paraId="449FFAD1" w14:textId="77777777" w:rsidR="005D1C56" w:rsidRPr="008A3A15" w:rsidRDefault="005D1C56" w:rsidP="008A3A15">
      <w:pPr>
        <w:pStyle w:val="GPSL3numberedclause"/>
      </w:pPr>
      <w:r w:rsidRPr="008A3A15">
        <w:t>a summary of all failures to achieve Service Levels that occurred during that Service Period;</w:t>
      </w:r>
    </w:p>
    <w:p w14:paraId="4865F4A0" w14:textId="77777777" w:rsidR="005D1C56" w:rsidRPr="008A3A15" w:rsidRDefault="005D1C56" w:rsidP="008A3A15">
      <w:pPr>
        <w:pStyle w:val="GPSL3numberedclause"/>
      </w:pPr>
      <w:r w:rsidRPr="008A3A15">
        <w:t>details of any Critical Service Level Failures;</w:t>
      </w:r>
    </w:p>
    <w:p w14:paraId="0A6669A8" w14:textId="77777777" w:rsidR="005D1C56" w:rsidRPr="008A3A15" w:rsidRDefault="005D1C56" w:rsidP="008A3A15">
      <w:pPr>
        <w:pStyle w:val="GPSL3numberedclause"/>
      </w:pPr>
      <w:r w:rsidRPr="008A3A15">
        <w:t>for any repeat failures, actions taken to resolve the underlying cause and prevent recurrence;</w:t>
      </w:r>
    </w:p>
    <w:p w14:paraId="15F0091B" w14:textId="77777777" w:rsidR="005D1C56" w:rsidRPr="008A3A15" w:rsidRDefault="005D1C56" w:rsidP="008A3A15">
      <w:pPr>
        <w:pStyle w:val="GPSL3numberedclause"/>
      </w:pPr>
      <w:r w:rsidRPr="008A3A15">
        <w:t>the Service Credits to be applied in respect of the relevant period indicating the failures and Service Levels to which the Service Credits relate; and</w:t>
      </w:r>
    </w:p>
    <w:p w14:paraId="349A17B1" w14:textId="77777777" w:rsidR="005D1C56" w:rsidRPr="008A3A15" w:rsidRDefault="005D1C56" w:rsidP="008A3A15">
      <w:pPr>
        <w:pStyle w:val="GPSL3numberedclause"/>
      </w:pPr>
      <w:r w:rsidRPr="008A3A15">
        <w:t>such other details as the Buyer may reasonably require from time to time.</w:t>
      </w:r>
    </w:p>
    <w:p w14:paraId="168BB4B3" w14:textId="77777777" w:rsidR="005D1C56" w:rsidRPr="008A3A15" w:rsidRDefault="005D1C56" w:rsidP="00571BC4">
      <w:pPr>
        <w:pStyle w:val="GPSL2NumberedBoldHeading"/>
        <w:keepNext/>
      </w:pPr>
      <w:r w:rsidRPr="008A3A15">
        <w:t>The Parties shall attend meetings to discuss Performance Monitoring Reports ("</w:t>
      </w:r>
      <w:r w:rsidRPr="008A3A15">
        <w:rPr>
          <w:b/>
        </w:rPr>
        <w:t>Performance Review Meetings</w:t>
      </w:r>
      <w:r w:rsidRPr="008A3A15">
        <w:t>") on a Monthly basis. The Performance Review Meetings will be the forum for the review by the Supplier and the Buyer of the Performance Monitoring Reports.  The Performance Review Meetings shall:</w:t>
      </w:r>
    </w:p>
    <w:p w14:paraId="089FF0E0" w14:textId="77777777" w:rsidR="005D1C56" w:rsidRPr="008A3A15" w:rsidRDefault="005D1C56" w:rsidP="008A3A15">
      <w:pPr>
        <w:pStyle w:val="GPSL3numberedclause"/>
      </w:pPr>
      <w:r w:rsidRPr="008A3A15">
        <w:t>take place within one (1) week of the Performance Monitoring Reports being issued by the Supplier at such location and time (within normal business hours) as the Buyer shall reasonably require;</w:t>
      </w:r>
    </w:p>
    <w:p w14:paraId="7AE87D8A" w14:textId="77777777" w:rsidR="005D1C56" w:rsidRPr="008A3A15" w:rsidRDefault="005D1C56" w:rsidP="008A3A15">
      <w:pPr>
        <w:pStyle w:val="GPSL3numberedclause"/>
      </w:pPr>
      <w:r w:rsidRPr="008A3A15">
        <w:t>be attended by the Supplier's Representative and the Buyer’s Representative; and</w:t>
      </w:r>
    </w:p>
    <w:p w14:paraId="442511DE" w14:textId="77777777" w:rsidR="005D1C56" w:rsidRPr="008A3A15" w:rsidRDefault="005D1C56" w:rsidP="008A3A15">
      <w:pPr>
        <w:pStyle w:val="GPSL3numberedclause"/>
      </w:pPr>
      <w:r w:rsidRPr="008A3A15">
        <w:t xml:space="preserve">be fully </w:t>
      </w:r>
      <w:proofErr w:type="spellStart"/>
      <w:r w:rsidRPr="008A3A15">
        <w:t>minuted</w:t>
      </w:r>
      <w:proofErr w:type="spellEnd"/>
      <w:r w:rsidRPr="008A3A15">
        <w:t xml:space="preserve"> by the Supplier and the minutes will be circulated by the Supplier to all attendees at the relevant meeting and also to the Buyer’s Representative and any other recipients agreed at the relevant meeting.  </w:t>
      </w:r>
    </w:p>
    <w:p w14:paraId="5D2B3981" w14:textId="77777777" w:rsidR="005D1C56" w:rsidRPr="008A3A15" w:rsidRDefault="005D1C56" w:rsidP="008A3A15">
      <w:pPr>
        <w:pStyle w:val="GPSL2NumberedBoldHeading"/>
      </w:pPr>
      <w:r w:rsidRPr="008A3A15">
        <w:t>The minutes of the preceding Month's Performance Review Meeting will be agreed and signed by both the Supplier's Representative and the Buyer’s Representative at each meeting.</w:t>
      </w:r>
    </w:p>
    <w:p w14:paraId="5E49EB1E" w14:textId="77777777" w:rsidR="005D1C56" w:rsidRPr="008A3A15" w:rsidRDefault="005D1C56" w:rsidP="008A3A15">
      <w:pPr>
        <w:pStyle w:val="GPSL2NumberedBoldHeading"/>
      </w:pPr>
      <w:r w:rsidRPr="008A3A15">
        <w:t>The Supplier shall provide to the Buyer such documentation as the Buyer may reasonably require in order to verify the level of the performance by the Supplier and the calculations of the amount of Service Credits for any specified Service Period.</w:t>
      </w:r>
    </w:p>
    <w:p w14:paraId="777B2C60" w14:textId="77777777" w:rsidR="005D1C56" w:rsidRPr="008A3A15" w:rsidRDefault="00EF7368" w:rsidP="008A3A15">
      <w:pPr>
        <w:pStyle w:val="GPSL1CLAUSEHEADING"/>
        <w:rPr>
          <w:rFonts w:ascii="Arial" w:hAnsi="Arial"/>
        </w:rPr>
      </w:pPr>
      <w:r w:rsidRPr="008A3A15">
        <w:rPr>
          <w:rFonts w:ascii="Arial" w:hAnsi="Arial"/>
        </w:rPr>
        <w:t>Satisfaction Surveys</w:t>
      </w:r>
    </w:p>
    <w:p w14:paraId="4B625230" w14:textId="4138156D" w:rsidR="005D1C56" w:rsidRDefault="005D1C56" w:rsidP="008A3A15">
      <w:pPr>
        <w:pStyle w:val="GPSL2NumberedBoldHeading"/>
      </w:pPr>
      <w:r w:rsidRPr="008A3A15">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F9AD17D" w14:textId="1163688D" w:rsidR="00571BC4" w:rsidRDefault="00571BC4" w:rsidP="00571BC4">
      <w:pPr>
        <w:spacing w:after="0"/>
      </w:pPr>
    </w:p>
    <w:bookmarkEnd w:id="1"/>
    <w:p w14:paraId="2DAEAF48" w14:textId="218730A1" w:rsidR="00571BC4" w:rsidRDefault="00571BC4" w:rsidP="00571BC4">
      <w:pPr>
        <w:spacing w:after="0"/>
      </w:pPr>
    </w:p>
    <w:p w14:paraId="5A61514D" w14:textId="6278D561" w:rsidR="00571BC4" w:rsidRDefault="00571BC4" w:rsidP="00571BC4">
      <w:pPr>
        <w:spacing w:after="0"/>
      </w:pPr>
    </w:p>
    <w:bookmarkEnd w:id="0"/>
    <w:p w14:paraId="509EE558" w14:textId="4DBFD022" w:rsidR="00571BC4" w:rsidRPr="008A3A15" w:rsidRDefault="00571BC4" w:rsidP="00571BC4">
      <w:pPr>
        <w:spacing w:after="0"/>
      </w:pPr>
    </w:p>
    <w:sectPr w:rsidR="00571BC4" w:rsidRPr="008A3A15" w:rsidSect="0022683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E41B8" w14:textId="77777777" w:rsidR="0022683C" w:rsidRDefault="0022683C">
      <w:pPr>
        <w:spacing w:after="0" w:line="240" w:lineRule="auto"/>
      </w:pPr>
      <w:r>
        <w:separator/>
      </w:r>
    </w:p>
  </w:endnote>
  <w:endnote w:type="continuationSeparator" w:id="0">
    <w:p w14:paraId="536163D9" w14:textId="77777777" w:rsidR="0022683C" w:rsidRDefault="0022683C">
      <w:pPr>
        <w:spacing w:after="0" w:line="240" w:lineRule="auto"/>
      </w:pPr>
      <w:r>
        <w:continuationSeparator/>
      </w:r>
    </w:p>
  </w:endnote>
  <w:endnote w:type="continuationNotice" w:id="1">
    <w:p w14:paraId="726E0A48" w14:textId="77777777" w:rsidR="0022683C" w:rsidRDefault="00226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87E14" w14:textId="77777777" w:rsidR="00C93EAD" w:rsidRDefault="00C93EAD" w:rsidP="000E6EDE">
    <w:pPr>
      <w:tabs>
        <w:tab w:val="center" w:pos="4513"/>
        <w:tab w:val="right" w:pos="9026"/>
      </w:tabs>
      <w:overflowPunct w:val="0"/>
      <w:autoSpaceDE w:val="0"/>
      <w:autoSpaceDN w:val="0"/>
      <w:adjustRightInd w:val="0"/>
      <w:spacing w:after="0" w:line="240" w:lineRule="auto"/>
      <w:jc w:val="both"/>
    </w:pPr>
  </w:p>
  <w:p w14:paraId="1192F51E" w14:textId="0AEF1AC6" w:rsidR="00C93EAD" w:rsidRDefault="00C93EAD" w:rsidP="00091B0C">
    <w:pPr>
      <w:pStyle w:val="Footer"/>
      <w:rPr>
        <w:rFonts w:cs="Arial"/>
        <w:sz w:val="20"/>
      </w:rPr>
    </w:pPr>
    <w:r>
      <w:rPr>
        <w:rFonts w:cs="Arial"/>
        <w:sz w:val="20"/>
      </w:rPr>
      <w:t>Mid-tier contract</w:t>
    </w:r>
    <w:r w:rsidR="004B42F0">
      <w:rPr>
        <w:rFonts w:cs="Arial"/>
        <w:sz w:val="20"/>
      </w:rPr>
      <w:t xml:space="preserve"> – Version 1.1</w:t>
    </w:r>
  </w:p>
  <w:p w14:paraId="2792D32E" w14:textId="17B591C5" w:rsidR="00C93EAD" w:rsidRPr="008979D7" w:rsidRDefault="00C93EAD" w:rsidP="00091B0C">
    <w:pPr>
      <w:pStyle w:val="Footer"/>
      <w:rPr>
        <w:rFonts w:cs="Arial"/>
        <w:sz w:val="20"/>
      </w:rPr>
    </w:pPr>
    <w:r>
      <w:rPr>
        <w:rFonts w:cs="Arial"/>
        <w:sz w:val="20"/>
      </w:rPr>
      <w:tab/>
    </w:r>
    <w:r w:rsidRPr="008979D7">
      <w:rPr>
        <w:rFonts w:cs="Arial"/>
        <w:sz w:val="20"/>
      </w:rPr>
      <w:tab/>
    </w:r>
    <w:r w:rsidRPr="008979D7">
      <w:rPr>
        <w:rFonts w:cs="Arial"/>
        <w:noProof/>
        <w:sz w:val="20"/>
      </w:rPr>
      <w:fldChar w:fldCharType="begin"/>
    </w:r>
    <w:r w:rsidRPr="008979D7">
      <w:rPr>
        <w:rFonts w:cs="Arial"/>
        <w:noProof/>
        <w:sz w:val="20"/>
      </w:rPr>
      <w:instrText xml:space="preserve"> PAGE   \* MERGEFORMAT </w:instrText>
    </w:r>
    <w:r w:rsidRPr="008979D7">
      <w:rPr>
        <w:rFonts w:cs="Arial"/>
        <w:noProof/>
        <w:sz w:val="20"/>
      </w:rPr>
      <w:fldChar w:fldCharType="separate"/>
    </w:r>
    <w:r w:rsidR="004B42F0">
      <w:rPr>
        <w:rFonts w:cs="Arial"/>
        <w:noProof/>
        <w:sz w:val="20"/>
      </w:rPr>
      <w:t>1</w:t>
    </w:r>
    <w:r w:rsidRPr="008979D7">
      <w:rPr>
        <w:rFonts w:cs="Arial"/>
        <w:noProof/>
        <w:sz w:val="20"/>
      </w:rPr>
      <w:fldChar w:fldCharType="end"/>
    </w:r>
  </w:p>
  <w:p w14:paraId="46BC42EF" w14:textId="4BEE9ED9" w:rsidR="00C93EAD" w:rsidRPr="00091B0C" w:rsidRDefault="00C93EAD" w:rsidP="00091B0C">
    <w:pPr>
      <w:pStyle w:val="Footer"/>
      <w:rPr>
        <w:rFonts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BC063" w14:textId="77777777" w:rsidR="00C93EAD" w:rsidRDefault="00C93EAD" w:rsidP="00091B0C">
    <w:pPr>
      <w:tabs>
        <w:tab w:val="center" w:pos="4513"/>
        <w:tab w:val="right" w:pos="9026"/>
      </w:tabs>
      <w:overflowPunct w:val="0"/>
      <w:autoSpaceDE w:val="0"/>
      <w:autoSpaceDN w:val="0"/>
      <w:adjustRightInd w:val="0"/>
      <w:spacing w:after="0" w:line="240" w:lineRule="auto"/>
      <w:jc w:val="both"/>
    </w:pPr>
  </w:p>
  <w:p w14:paraId="01209E1D" w14:textId="6AA40CE3" w:rsidR="00C93EAD" w:rsidRPr="008979D7" w:rsidRDefault="00C93EAD" w:rsidP="00091B0C">
    <w:pPr>
      <w:pStyle w:val="Footer"/>
      <w:rPr>
        <w:rFonts w:cs="Arial"/>
        <w:sz w:val="20"/>
      </w:rPr>
    </w:pPr>
    <w:r w:rsidRPr="008979D7">
      <w:rPr>
        <w:rFonts w:cs="Arial"/>
        <w:sz w:val="20"/>
      </w:rPr>
      <w:tab/>
      <w:t xml:space="preserve">                                           </w:t>
    </w:r>
  </w:p>
  <w:p w14:paraId="5B5E73A8" w14:textId="20C609D2" w:rsidR="00C93EAD" w:rsidRPr="008979D7" w:rsidRDefault="00C93EAD" w:rsidP="00091B0C">
    <w:pPr>
      <w:pStyle w:val="Footer"/>
      <w:rPr>
        <w:rFonts w:cs="Arial"/>
        <w:sz w:val="20"/>
      </w:rPr>
    </w:pPr>
    <w:r w:rsidRPr="008979D7">
      <w:rPr>
        <w:rFonts w:cs="Arial"/>
        <w:sz w:val="20"/>
      </w:rPr>
      <w:tab/>
    </w:r>
    <w:r w:rsidRPr="008979D7">
      <w:rPr>
        <w:rFonts w:cs="Arial"/>
        <w:sz w:val="20"/>
      </w:rPr>
      <w:tab/>
    </w:r>
    <w:r w:rsidRPr="008979D7">
      <w:rPr>
        <w:rFonts w:cs="Arial"/>
        <w:sz w:val="20"/>
      </w:rPr>
      <w:tab/>
    </w:r>
    <w:r w:rsidRPr="008979D7">
      <w:rPr>
        <w:rFonts w:cs="Arial"/>
        <w:noProof/>
        <w:sz w:val="20"/>
      </w:rPr>
      <w:fldChar w:fldCharType="begin"/>
    </w:r>
    <w:r w:rsidRPr="008979D7">
      <w:rPr>
        <w:rFonts w:cs="Arial"/>
        <w:noProof/>
        <w:sz w:val="20"/>
      </w:rPr>
      <w:instrText xml:space="preserve"> PAGE   \* MERGEFORMAT </w:instrText>
    </w:r>
    <w:r w:rsidRPr="008979D7">
      <w:rPr>
        <w:rFonts w:cs="Arial"/>
        <w:noProof/>
        <w:sz w:val="20"/>
      </w:rPr>
      <w:fldChar w:fldCharType="separate"/>
    </w:r>
    <w:r>
      <w:rPr>
        <w:rFonts w:cs="Arial"/>
        <w:noProof/>
        <w:sz w:val="20"/>
      </w:rPr>
      <w:t>1</w:t>
    </w:r>
    <w:r w:rsidRPr="008979D7">
      <w:rPr>
        <w:rFonts w:cs="Arial"/>
        <w:noProof/>
        <w:sz w:val="20"/>
      </w:rPr>
      <w:fldChar w:fldCharType="end"/>
    </w:r>
  </w:p>
  <w:p w14:paraId="5187EBEB" w14:textId="798E7ED1" w:rsidR="00C93EAD" w:rsidRDefault="00C93EAD" w:rsidP="00091B0C">
    <w:pPr>
      <w:pStyle w:val="Footer"/>
    </w:pPr>
    <w:r w:rsidRPr="008979D7">
      <w:rPr>
        <w:rFonts w:cs="Arial"/>
        <w:sz w:val="20"/>
      </w:rPr>
      <w:tab/>
    </w:r>
    <w:r w:rsidRPr="008979D7">
      <w:rPr>
        <w:rFonts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5B4D3" w14:textId="77777777" w:rsidR="0022683C" w:rsidRDefault="0022683C">
      <w:pPr>
        <w:spacing w:after="0" w:line="240" w:lineRule="auto"/>
      </w:pPr>
      <w:r>
        <w:separator/>
      </w:r>
    </w:p>
  </w:footnote>
  <w:footnote w:type="continuationSeparator" w:id="0">
    <w:p w14:paraId="6C1AD427" w14:textId="77777777" w:rsidR="0022683C" w:rsidRDefault="0022683C">
      <w:pPr>
        <w:spacing w:after="0" w:line="240" w:lineRule="auto"/>
      </w:pPr>
      <w:r>
        <w:continuationSeparator/>
      </w:r>
    </w:p>
  </w:footnote>
  <w:footnote w:type="continuationNotice" w:id="1">
    <w:p w14:paraId="14DAC567" w14:textId="77777777" w:rsidR="0022683C" w:rsidRDefault="002268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72EA5" w14:textId="589691B6" w:rsidR="004F3F08" w:rsidRPr="00CD083E" w:rsidRDefault="00CB70A2">
    <w:pPr>
      <w:pStyle w:val="Header"/>
      <w:rPr>
        <w:rFonts w:cs="Arial"/>
        <w:sz w:val="20"/>
      </w:rPr>
    </w:pPr>
    <w:r>
      <w:rPr>
        <w:rFonts w:cs="Arial"/>
        <w:sz w:val="20"/>
      </w:rPr>
      <w:t>K280021986 Weighbridges &amp; Related Services</w:t>
    </w:r>
  </w:p>
  <w:p w14:paraId="4098EE25" w14:textId="42B1EEE9" w:rsidR="00C93EAD" w:rsidRPr="00091B0C" w:rsidRDefault="00C93EAD">
    <w:pPr>
      <w:pStyle w:val="Header"/>
      <w:rPr>
        <w:rFonts w:cs="Arial"/>
        <w:sz w:val="20"/>
      </w:rPr>
    </w:pPr>
    <w:r w:rsidRPr="00091B0C">
      <w:rPr>
        <w:rFonts w:cs="Arial"/>
        <w:b/>
        <w:sz w:val="20"/>
      </w:rPr>
      <w:t xml:space="preserve">Schedule </w:t>
    </w:r>
    <w:r>
      <w:rPr>
        <w:rFonts w:cs="Arial"/>
        <w:b/>
        <w:sz w:val="20"/>
      </w:rPr>
      <w:t>10</w:t>
    </w:r>
    <w:r w:rsidRPr="00091B0C">
      <w:rPr>
        <w:rFonts w:cs="Arial"/>
        <w:b/>
        <w:sz w:val="20"/>
      </w:rPr>
      <w:t xml:space="preserve"> (Service </w:t>
    </w:r>
    <w:r>
      <w:rPr>
        <w:rFonts w:cs="Arial"/>
        <w:b/>
        <w:sz w:val="20"/>
      </w:rPr>
      <w:t>Levels</w:t>
    </w:r>
    <w:r w:rsidRPr="00091B0C">
      <w:rPr>
        <w:rFonts w:cs="Arial"/>
        <w:b/>
        <w:sz w:val="20"/>
      </w:rPr>
      <w:t>)</w:t>
    </w:r>
  </w:p>
  <w:p w14:paraId="4C46FB1E" w14:textId="75FF5D52" w:rsidR="00C93EAD" w:rsidRPr="00571BC4" w:rsidRDefault="00C93EAD">
    <w:pPr>
      <w:pStyle w:val="Header"/>
      <w:rPr>
        <w:rFonts w:cs="Arial"/>
        <w:sz w:val="20"/>
      </w:rPr>
    </w:pPr>
    <w:r>
      <w:rPr>
        <w:rFonts w:cs="Arial"/>
        <w:sz w:val="20"/>
      </w:rPr>
      <w:t>Crown Copyright 20</w:t>
    </w:r>
    <w:r w:rsidR="00544576">
      <w:rPr>
        <w:rFonts w:cs="Arial"/>
        <w:sz w:val="20"/>
      </w:rPr>
      <w:t>2</w:t>
    </w:r>
    <w:r w:rsidR="00A75EA3">
      <w:rPr>
        <w:rFonts w:cs="Arial"/>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936E4"/>
    <w:multiLevelType w:val="multilevel"/>
    <w:tmpl w:val="5A4A24AA"/>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757"/>
        </w:tabs>
        <w:ind w:left="1757" w:hanging="85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606"/>
        </w:tabs>
        <w:ind w:left="2606" w:hanging="849"/>
      </w:pPr>
      <w:rPr>
        <w:rFonts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7C17430A"/>
    <w:multiLevelType w:val="multilevel"/>
    <w:tmpl w:val="CAB2C444"/>
    <w:lvl w:ilvl="0">
      <w:start w:val="1"/>
      <w:numFmt w:val="decimal"/>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46940582">
    <w:abstractNumId w:val="8"/>
  </w:num>
  <w:num w:numId="2" w16cid:durableId="1279027354">
    <w:abstractNumId w:val="1"/>
  </w:num>
  <w:num w:numId="3" w16cid:durableId="1852989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9774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978417">
    <w:abstractNumId w:val="0"/>
  </w:num>
  <w:num w:numId="6" w16cid:durableId="67964516">
    <w:abstractNumId w:val="8"/>
  </w:num>
  <w:num w:numId="7" w16cid:durableId="1843425205">
    <w:abstractNumId w:val="8"/>
  </w:num>
  <w:num w:numId="8" w16cid:durableId="1286811686">
    <w:abstractNumId w:val="8"/>
  </w:num>
  <w:num w:numId="9" w16cid:durableId="1596093625">
    <w:abstractNumId w:val="8"/>
  </w:num>
  <w:num w:numId="10" w16cid:durableId="2034263392">
    <w:abstractNumId w:val="8"/>
  </w:num>
  <w:num w:numId="11" w16cid:durableId="20933832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0416276">
    <w:abstractNumId w:val="2"/>
  </w:num>
  <w:num w:numId="13" w16cid:durableId="742920249">
    <w:abstractNumId w:val="8"/>
  </w:num>
  <w:num w:numId="14" w16cid:durableId="2141192447">
    <w:abstractNumId w:val="8"/>
  </w:num>
  <w:num w:numId="15" w16cid:durableId="127866275">
    <w:abstractNumId w:val="8"/>
  </w:num>
  <w:num w:numId="16" w16cid:durableId="288128346">
    <w:abstractNumId w:val="8"/>
  </w:num>
  <w:num w:numId="17" w16cid:durableId="417947370">
    <w:abstractNumId w:val="8"/>
  </w:num>
  <w:num w:numId="18" w16cid:durableId="1069959186">
    <w:abstractNumId w:val="8"/>
  </w:num>
  <w:num w:numId="19" w16cid:durableId="713191519">
    <w:abstractNumId w:val="8"/>
  </w:num>
  <w:num w:numId="20" w16cid:durableId="204492973">
    <w:abstractNumId w:val="8"/>
  </w:num>
  <w:num w:numId="21" w16cid:durableId="1092243152">
    <w:abstractNumId w:val="8"/>
  </w:num>
  <w:num w:numId="22" w16cid:durableId="508297557">
    <w:abstractNumId w:val="8"/>
  </w:num>
  <w:num w:numId="23" w16cid:durableId="840125838">
    <w:abstractNumId w:val="8"/>
  </w:num>
  <w:num w:numId="24" w16cid:durableId="515651703">
    <w:abstractNumId w:val="8"/>
  </w:num>
  <w:num w:numId="25" w16cid:durableId="1412001287">
    <w:abstractNumId w:val="8"/>
  </w:num>
  <w:num w:numId="26" w16cid:durableId="574902437">
    <w:abstractNumId w:val="8"/>
  </w:num>
  <w:num w:numId="27" w16cid:durableId="640885891">
    <w:abstractNumId w:val="8"/>
  </w:num>
  <w:num w:numId="28" w16cid:durableId="505830832">
    <w:abstractNumId w:val="8"/>
  </w:num>
  <w:num w:numId="29" w16cid:durableId="720834703">
    <w:abstractNumId w:val="8"/>
  </w:num>
  <w:num w:numId="30" w16cid:durableId="1918518796">
    <w:abstractNumId w:val="8"/>
  </w:num>
  <w:num w:numId="31" w16cid:durableId="1264342929">
    <w:abstractNumId w:val="8"/>
  </w:num>
  <w:num w:numId="32" w16cid:durableId="166021347">
    <w:abstractNumId w:val="8"/>
  </w:num>
  <w:num w:numId="33" w16cid:durableId="1684041837">
    <w:abstractNumId w:val="8"/>
  </w:num>
  <w:num w:numId="34" w16cid:durableId="1760522679">
    <w:abstractNumId w:val="8"/>
  </w:num>
  <w:num w:numId="35" w16cid:durableId="843398586">
    <w:abstractNumId w:val="8"/>
  </w:num>
  <w:num w:numId="36" w16cid:durableId="1773747089">
    <w:abstractNumId w:val="8"/>
  </w:num>
  <w:num w:numId="37" w16cid:durableId="1949122048">
    <w:abstractNumId w:val="8"/>
  </w:num>
  <w:num w:numId="38" w16cid:durableId="1383797297">
    <w:abstractNumId w:val="8"/>
  </w:num>
  <w:num w:numId="39" w16cid:durableId="566843022">
    <w:abstractNumId w:val="8"/>
  </w:num>
  <w:num w:numId="40" w16cid:durableId="643120845">
    <w:abstractNumId w:val="8"/>
  </w:num>
  <w:num w:numId="41" w16cid:durableId="856237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7911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3939762">
    <w:abstractNumId w:val="8"/>
  </w:num>
  <w:num w:numId="44" w16cid:durableId="15011036">
    <w:abstractNumId w:val="5"/>
  </w:num>
  <w:num w:numId="45" w16cid:durableId="1458377359">
    <w:abstractNumId w:val="8"/>
  </w:num>
  <w:num w:numId="46" w16cid:durableId="1897155224">
    <w:abstractNumId w:val="8"/>
  </w:num>
  <w:num w:numId="47" w16cid:durableId="526213320">
    <w:abstractNumId w:val="3"/>
  </w:num>
  <w:num w:numId="48" w16cid:durableId="193075513">
    <w:abstractNumId w:val="8"/>
  </w:num>
  <w:num w:numId="49" w16cid:durableId="582880491">
    <w:abstractNumId w:val="8"/>
  </w:num>
  <w:num w:numId="50" w16cid:durableId="907617745">
    <w:abstractNumId w:val="8"/>
  </w:num>
  <w:num w:numId="51" w16cid:durableId="2023780420">
    <w:abstractNumId w:val="8"/>
  </w:num>
  <w:num w:numId="52" w16cid:durableId="1573925469">
    <w:abstractNumId w:val="8"/>
  </w:num>
  <w:num w:numId="53" w16cid:durableId="1127316304">
    <w:abstractNumId w:val="8"/>
  </w:num>
  <w:num w:numId="54" w16cid:durableId="1958563825">
    <w:abstractNumId w:val="8"/>
  </w:num>
  <w:num w:numId="55" w16cid:durableId="1479303326">
    <w:abstractNumId w:val="8"/>
  </w:num>
  <w:num w:numId="56" w16cid:durableId="2117283361">
    <w:abstractNumId w:val="8"/>
  </w:num>
  <w:num w:numId="57" w16cid:durableId="987906509">
    <w:abstractNumId w:val="8"/>
  </w:num>
  <w:num w:numId="58" w16cid:durableId="108790037">
    <w:abstractNumId w:val="8"/>
  </w:num>
  <w:num w:numId="59" w16cid:durableId="1344547960">
    <w:abstractNumId w:val="8"/>
  </w:num>
  <w:num w:numId="60" w16cid:durableId="149912631">
    <w:abstractNumId w:val="8"/>
  </w:num>
  <w:num w:numId="61" w16cid:durableId="1178958329">
    <w:abstractNumId w:val="8"/>
  </w:num>
  <w:num w:numId="62" w16cid:durableId="588348746">
    <w:abstractNumId w:val="8"/>
  </w:num>
  <w:num w:numId="63" w16cid:durableId="545945072">
    <w:abstractNumId w:val="8"/>
  </w:num>
  <w:num w:numId="64" w16cid:durableId="227039221">
    <w:abstractNumId w:val="8"/>
  </w:num>
  <w:num w:numId="65" w16cid:durableId="399641965">
    <w:abstractNumId w:val="8"/>
  </w:num>
  <w:num w:numId="66" w16cid:durableId="1265924019">
    <w:abstractNumId w:val="8"/>
  </w:num>
  <w:num w:numId="67" w16cid:durableId="1616674056">
    <w:abstractNumId w:val="8"/>
  </w:num>
  <w:num w:numId="68" w16cid:durableId="965624276">
    <w:abstractNumId w:val="7"/>
  </w:num>
  <w:num w:numId="69" w16cid:durableId="338625785">
    <w:abstractNumId w:val="8"/>
  </w:num>
  <w:num w:numId="70" w16cid:durableId="102654265">
    <w:abstractNumId w:val="1"/>
  </w:num>
  <w:num w:numId="71" w16cid:durableId="289942496">
    <w:abstractNumId w:val="8"/>
  </w:num>
  <w:num w:numId="72" w16cid:durableId="548146826">
    <w:abstractNumId w:val="8"/>
  </w:num>
  <w:num w:numId="73" w16cid:durableId="1153912832">
    <w:abstractNumId w:val="8"/>
  </w:num>
  <w:num w:numId="74" w16cid:durableId="1633293678">
    <w:abstractNumId w:val="8"/>
  </w:num>
  <w:num w:numId="75" w16cid:durableId="1619556918">
    <w:abstractNumId w:val="8"/>
  </w:num>
  <w:num w:numId="76" w16cid:durableId="1697535185">
    <w:abstractNumId w:val="6"/>
  </w:num>
  <w:num w:numId="77" w16cid:durableId="868489365">
    <w:abstractNumId w:val="8"/>
  </w:num>
  <w:num w:numId="78" w16cid:durableId="2063746975">
    <w:abstractNumId w:val="8"/>
  </w:num>
  <w:num w:numId="79" w16cid:durableId="410155664">
    <w:abstractNumId w:val="8"/>
  </w:num>
  <w:num w:numId="80" w16cid:durableId="345792412">
    <w:abstractNumId w:val="1"/>
  </w:num>
  <w:num w:numId="81" w16cid:durableId="2105497443">
    <w:abstractNumId w:val="4"/>
  </w:num>
  <w:num w:numId="82" w16cid:durableId="2018655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88454203">
    <w:abstractNumId w:val="8"/>
  </w:num>
  <w:num w:numId="84" w16cid:durableId="974262645">
    <w:abstractNumId w:val="8"/>
  </w:num>
  <w:num w:numId="85" w16cid:durableId="1417942623">
    <w:abstractNumId w:val="8"/>
  </w:num>
  <w:num w:numId="86" w16cid:durableId="1268386441">
    <w:abstractNumId w:val="9"/>
  </w:num>
  <w:num w:numId="87" w16cid:durableId="100533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882715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820EBAB-D81B-41CE-AF4C-425C28B8AB10}"/>
    <w:docVar w:name="dgnword-eventsink" w:val="560017344"/>
    <w:docVar w:name="gemCurrentVersion" w:val="18 June 2020 D1V2"/>
    <w:docVar w:name="gemDN1|BANKSC|18 June 2020 13:34:01" w:val="V1 ?"/>
    <w:docVar w:name="gemDN2|BANKSC|18 June 2020 13:34:07" w:val="V2 Amend TRK"/>
    <w:docVar w:name="gemDocNotesCount" w:val="2"/>
    <w:docVar w:name="gemVerNotesCount" w:val="2"/>
    <w:docVar w:name="gemVN1|BANKSC|18 June 2020 13:34:01" w:val="1|1"/>
    <w:docVar w:name="gemVN2|BANKSC|18 June 2020 13:34:06" w:val="1|2"/>
  </w:docVars>
  <w:rsids>
    <w:rsidRoot w:val="00A10500"/>
    <w:rsid w:val="000233B8"/>
    <w:rsid w:val="00033324"/>
    <w:rsid w:val="000654EE"/>
    <w:rsid w:val="000811BF"/>
    <w:rsid w:val="00091B0C"/>
    <w:rsid w:val="000A16C8"/>
    <w:rsid w:val="000A29C1"/>
    <w:rsid w:val="000C227F"/>
    <w:rsid w:val="000D6CA8"/>
    <w:rsid w:val="000D7EA4"/>
    <w:rsid w:val="000E6EDE"/>
    <w:rsid w:val="000F1DE8"/>
    <w:rsid w:val="00147EE0"/>
    <w:rsid w:val="00153733"/>
    <w:rsid w:val="00156728"/>
    <w:rsid w:val="001834BF"/>
    <w:rsid w:val="00196095"/>
    <w:rsid w:val="001965F0"/>
    <w:rsid w:val="001A25C9"/>
    <w:rsid w:val="001A41A0"/>
    <w:rsid w:val="001A44F0"/>
    <w:rsid w:val="001B316B"/>
    <w:rsid w:val="001B7DA5"/>
    <w:rsid w:val="001E3D81"/>
    <w:rsid w:val="001E6E47"/>
    <w:rsid w:val="0022683C"/>
    <w:rsid w:val="00246012"/>
    <w:rsid w:val="00264584"/>
    <w:rsid w:val="002753B1"/>
    <w:rsid w:val="00295956"/>
    <w:rsid w:val="002C68AF"/>
    <w:rsid w:val="002F2C69"/>
    <w:rsid w:val="002F7702"/>
    <w:rsid w:val="0030133C"/>
    <w:rsid w:val="0030363C"/>
    <w:rsid w:val="0031084E"/>
    <w:rsid w:val="003115C1"/>
    <w:rsid w:val="00337C06"/>
    <w:rsid w:val="00345BA7"/>
    <w:rsid w:val="00365718"/>
    <w:rsid w:val="00372F27"/>
    <w:rsid w:val="003846B8"/>
    <w:rsid w:val="003977FC"/>
    <w:rsid w:val="003B4A27"/>
    <w:rsid w:val="003D2268"/>
    <w:rsid w:val="003D59D3"/>
    <w:rsid w:val="003D73AF"/>
    <w:rsid w:val="003E32CD"/>
    <w:rsid w:val="00462362"/>
    <w:rsid w:val="00462FFC"/>
    <w:rsid w:val="004B192B"/>
    <w:rsid w:val="004B42F0"/>
    <w:rsid w:val="004D3049"/>
    <w:rsid w:val="004F3F08"/>
    <w:rsid w:val="00513AA2"/>
    <w:rsid w:val="00514901"/>
    <w:rsid w:val="0053394A"/>
    <w:rsid w:val="00544576"/>
    <w:rsid w:val="005512C0"/>
    <w:rsid w:val="00570DDF"/>
    <w:rsid w:val="00571BC4"/>
    <w:rsid w:val="005A170A"/>
    <w:rsid w:val="005D1C56"/>
    <w:rsid w:val="005E49FF"/>
    <w:rsid w:val="006732AF"/>
    <w:rsid w:val="006A11C8"/>
    <w:rsid w:val="006A3620"/>
    <w:rsid w:val="006B6F63"/>
    <w:rsid w:val="006C29B3"/>
    <w:rsid w:val="006D74B7"/>
    <w:rsid w:val="006F25A9"/>
    <w:rsid w:val="00703BB4"/>
    <w:rsid w:val="00737D6A"/>
    <w:rsid w:val="007564D2"/>
    <w:rsid w:val="00773C25"/>
    <w:rsid w:val="0079433C"/>
    <w:rsid w:val="007C095F"/>
    <w:rsid w:val="007C1A1B"/>
    <w:rsid w:val="007C6544"/>
    <w:rsid w:val="007D33DE"/>
    <w:rsid w:val="0081672C"/>
    <w:rsid w:val="0082392E"/>
    <w:rsid w:val="008608D8"/>
    <w:rsid w:val="00864B4E"/>
    <w:rsid w:val="008A3A15"/>
    <w:rsid w:val="008A569E"/>
    <w:rsid w:val="008D1CF1"/>
    <w:rsid w:val="00915547"/>
    <w:rsid w:val="00924D46"/>
    <w:rsid w:val="00944017"/>
    <w:rsid w:val="00953440"/>
    <w:rsid w:val="009674CA"/>
    <w:rsid w:val="00973E1C"/>
    <w:rsid w:val="009A2290"/>
    <w:rsid w:val="009A76F2"/>
    <w:rsid w:val="009A7838"/>
    <w:rsid w:val="009C71E4"/>
    <w:rsid w:val="00A07A0B"/>
    <w:rsid w:val="00A10500"/>
    <w:rsid w:val="00A26887"/>
    <w:rsid w:val="00A50700"/>
    <w:rsid w:val="00A75EA3"/>
    <w:rsid w:val="00AC02D8"/>
    <w:rsid w:val="00AC674B"/>
    <w:rsid w:val="00AD35D0"/>
    <w:rsid w:val="00AD6DAB"/>
    <w:rsid w:val="00AF2064"/>
    <w:rsid w:val="00AF3B99"/>
    <w:rsid w:val="00B10E49"/>
    <w:rsid w:val="00B2072E"/>
    <w:rsid w:val="00B415E4"/>
    <w:rsid w:val="00B52857"/>
    <w:rsid w:val="00B553F1"/>
    <w:rsid w:val="00B718C4"/>
    <w:rsid w:val="00B82633"/>
    <w:rsid w:val="00B83862"/>
    <w:rsid w:val="00B97157"/>
    <w:rsid w:val="00BB25DB"/>
    <w:rsid w:val="00BC4374"/>
    <w:rsid w:val="00BC7C20"/>
    <w:rsid w:val="00BE7F3D"/>
    <w:rsid w:val="00C02201"/>
    <w:rsid w:val="00C11703"/>
    <w:rsid w:val="00C20902"/>
    <w:rsid w:val="00C36156"/>
    <w:rsid w:val="00C42E01"/>
    <w:rsid w:val="00C42F87"/>
    <w:rsid w:val="00C53C4A"/>
    <w:rsid w:val="00C817B2"/>
    <w:rsid w:val="00C9354B"/>
    <w:rsid w:val="00C93B88"/>
    <w:rsid w:val="00C93EAD"/>
    <w:rsid w:val="00CA29CB"/>
    <w:rsid w:val="00CB30FC"/>
    <w:rsid w:val="00CB349E"/>
    <w:rsid w:val="00CB549B"/>
    <w:rsid w:val="00CB70A2"/>
    <w:rsid w:val="00CD083E"/>
    <w:rsid w:val="00D1143C"/>
    <w:rsid w:val="00D13A42"/>
    <w:rsid w:val="00D21793"/>
    <w:rsid w:val="00D26C13"/>
    <w:rsid w:val="00D3231A"/>
    <w:rsid w:val="00D3646A"/>
    <w:rsid w:val="00DA53D7"/>
    <w:rsid w:val="00E420BC"/>
    <w:rsid w:val="00E52CA6"/>
    <w:rsid w:val="00E64D6B"/>
    <w:rsid w:val="00E74CA3"/>
    <w:rsid w:val="00E83CBE"/>
    <w:rsid w:val="00E96923"/>
    <w:rsid w:val="00EC4240"/>
    <w:rsid w:val="00ED565B"/>
    <w:rsid w:val="00EE3862"/>
    <w:rsid w:val="00EE3BEE"/>
    <w:rsid w:val="00EE4BCB"/>
    <w:rsid w:val="00EF0EA0"/>
    <w:rsid w:val="00EF4891"/>
    <w:rsid w:val="00EF7368"/>
    <w:rsid w:val="00F043AA"/>
    <w:rsid w:val="00F065ED"/>
    <w:rsid w:val="00F23D52"/>
    <w:rsid w:val="00F33686"/>
    <w:rsid w:val="00F904D0"/>
    <w:rsid w:val="00F95275"/>
    <w:rsid w:val="00FA5D04"/>
    <w:rsid w:val="00FB20CD"/>
    <w:rsid w:val="00FC3105"/>
    <w:rsid w:val="00FC5816"/>
    <w:rsid w:val="00FD673D"/>
    <w:rsid w:val="00FF0B0D"/>
    <w:rsid w:val="091B38C8"/>
    <w:rsid w:val="0AB70929"/>
    <w:rsid w:val="0F8A7A4C"/>
    <w:rsid w:val="12C2ACBB"/>
    <w:rsid w:val="1305E30D"/>
    <w:rsid w:val="145E7D1C"/>
    <w:rsid w:val="14CB1B71"/>
    <w:rsid w:val="238CF95E"/>
    <w:rsid w:val="23CFA598"/>
    <w:rsid w:val="2F39DA7E"/>
    <w:rsid w:val="34AFEE84"/>
    <w:rsid w:val="377B0C0E"/>
    <w:rsid w:val="4114E542"/>
    <w:rsid w:val="4D096A3E"/>
    <w:rsid w:val="5204708F"/>
    <w:rsid w:val="541610F3"/>
    <w:rsid w:val="568826CE"/>
    <w:rsid w:val="5B9878FB"/>
    <w:rsid w:val="5D71271B"/>
    <w:rsid w:val="65E1C1D8"/>
    <w:rsid w:val="6DD39D2D"/>
    <w:rsid w:val="6E5A8550"/>
    <w:rsid w:val="7403D644"/>
    <w:rsid w:val="74E3FA4A"/>
    <w:rsid w:val="7735B435"/>
    <w:rsid w:val="77F9589D"/>
    <w:rsid w:val="7F077B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F5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C4"/>
    <w:rPr>
      <w:rFonts w:ascii="Arial" w:eastAsia="Calibri" w:hAnsi="Arial" w:cs="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rsid w:val="00915547"/>
    <w:pPr>
      <w:keepNext/>
      <w:numPr>
        <w:numId w:val="1"/>
      </w:numPr>
      <w:adjustRightInd w:val="0"/>
      <w:spacing w:before="120" w:after="240" w:line="240" w:lineRule="auto"/>
      <w:outlineLvl w:val="1"/>
    </w:pPr>
    <w:rPr>
      <w:rFonts w:ascii="Arial Bold" w:eastAsia="STZhongsong" w:hAnsi="Arial Bold" w:cs="Arial"/>
      <w:b/>
      <w:lang w:eastAsia="zh-CN"/>
    </w:rPr>
  </w:style>
  <w:style w:type="paragraph" w:customStyle="1" w:styleId="GPSL3numberedclause">
    <w:name w:val="GPS L3 numbered clause"/>
    <w:basedOn w:val="Normal"/>
    <w:link w:val="GPSL3numberedclauseChar"/>
    <w:qFormat/>
    <w:rsid w:val="00915547"/>
    <w:pPr>
      <w:numPr>
        <w:ilvl w:val="2"/>
        <w:numId w:val="1"/>
      </w:numPr>
      <w:adjustRightInd w:val="0"/>
      <w:spacing w:before="120" w:after="120" w:line="240" w:lineRule="auto"/>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pPr>
  </w:style>
  <w:style w:type="paragraph" w:customStyle="1" w:styleId="GPSL5numberedclause">
    <w:name w:val="GPS L5 numbered clause"/>
    <w:basedOn w:val="GPSL4numberedclause"/>
    <w:link w:val="GPSL5numberedclauseChar"/>
    <w:qFormat/>
    <w:pPr>
      <w:numPr>
        <w:ilvl w:val="4"/>
        <w:numId w:val="0"/>
      </w:numPr>
    </w:pPr>
  </w:style>
  <w:style w:type="paragraph" w:customStyle="1" w:styleId="GPSL2NumberedBoldHeading">
    <w:name w:val="GPS L2 Numbered Bold Heading"/>
    <w:basedOn w:val="Normal"/>
    <w:qFormat/>
    <w:rsid w:val="00915547"/>
    <w:pPr>
      <w:numPr>
        <w:ilvl w:val="1"/>
        <w:numId w:val="1"/>
      </w:numPr>
      <w:adjustRightInd w:val="0"/>
      <w:spacing w:before="120" w:after="120" w:line="240" w:lineRule="auto"/>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915547"/>
    <w:rPr>
      <w:rFonts w:ascii="Arial" w:eastAsia="Times New Roman" w:hAnsi="Arial" w:cs="Arial"/>
      <w:sz w:val="24"/>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character" w:customStyle="1" w:styleId="GPSL1CLAUSEHEADINGChar">
    <w:name w:val="GPS L1 CLAUSE HEADING Char"/>
    <w:link w:val="GPSL1CLAUSEHEADING"/>
    <w:rsid w:val="00915547"/>
    <w:rPr>
      <w:rFonts w:ascii="Arial Bold" w:eastAsia="STZhongsong" w:hAnsi="Arial Bold" w:cs="Arial"/>
      <w:b/>
      <w:sz w:val="24"/>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A7838"/>
    <w:rPr>
      <w:color w:val="0000FF" w:themeColor="hyperlink"/>
      <w:u w:val="single"/>
    </w:rPr>
  </w:style>
  <w:style w:type="character" w:customStyle="1" w:styleId="UnresolvedMention1">
    <w:name w:val="Unresolved Mention1"/>
    <w:basedOn w:val="DefaultParagraphFont"/>
    <w:uiPriority w:val="99"/>
    <w:semiHidden/>
    <w:unhideWhenUsed/>
    <w:rsid w:val="009A7838"/>
    <w:rPr>
      <w:color w:val="605E5C"/>
      <w:shd w:val="clear" w:color="auto" w:fill="E1DFDD"/>
    </w:rPr>
  </w:style>
  <w:style w:type="character" w:customStyle="1" w:styleId="eop">
    <w:name w:val="eop"/>
    <w:basedOn w:val="DefaultParagraphFont"/>
    <w:rsid w:val="00B2072E"/>
  </w:style>
  <w:style w:type="paragraph" w:customStyle="1" w:styleId="paragraph">
    <w:name w:val="paragraph"/>
    <w:basedOn w:val="Normal"/>
    <w:rsid w:val="00C9354B"/>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C9354B"/>
  </w:style>
  <w:style w:type="character" w:customStyle="1" w:styleId="tabchar">
    <w:name w:val="tabchar"/>
    <w:basedOn w:val="DefaultParagraphFont"/>
    <w:rsid w:val="00C9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374496017">
      <w:bodyDiv w:val="1"/>
      <w:marLeft w:val="0"/>
      <w:marRight w:val="0"/>
      <w:marTop w:val="0"/>
      <w:marBottom w:val="0"/>
      <w:divBdr>
        <w:top w:val="none" w:sz="0" w:space="0" w:color="auto"/>
        <w:left w:val="none" w:sz="0" w:space="0" w:color="auto"/>
        <w:bottom w:val="none" w:sz="0" w:space="0" w:color="auto"/>
        <w:right w:val="none" w:sz="0" w:space="0" w:color="auto"/>
      </w:divBdr>
    </w:div>
    <w:div w:id="1431655758">
      <w:bodyDiv w:val="1"/>
      <w:marLeft w:val="0"/>
      <w:marRight w:val="0"/>
      <w:marTop w:val="0"/>
      <w:marBottom w:val="0"/>
      <w:divBdr>
        <w:top w:val="none" w:sz="0" w:space="0" w:color="auto"/>
        <w:left w:val="none" w:sz="0" w:space="0" w:color="auto"/>
        <w:bottom w:val="none" w:sz="0" w:space="0" w:color="auto"/>
        <w:right w:val="none" w:sz="0" w:space="0" w:color="auto"/>
      </w:divBdr>
      <w:divsChild>
        <w:div w:id="129448282">
          <w:marLeft w:val="0"/>
          <w:marRight w:val="0"/>
          <w:marTop w:val="0"/>
          <w:marBottom w:val="0"/>
          <w:divBdr>
            <w:top w:val="none" w:sz="0" w:space="0" w:color="auto"/>
            <w:left w:val="none" w:sz="0" w:space="0" w:color="auto"/>
            <w:bottom w:val="none" w:sz="0" w:space="0" w:color="auto"/>
            <w:right w:val="none" w:sz="0" w:space="0" w:color="auto"/>
          </w:divBdr>
        </w:div>
        <w:div w:id="239679869">
          <w:marLeft w:val="0"/>
          <w:marRight w:val="0"/>
          <w:marTop w:val="0"/>
          <w:marBottom w:val="0"/>
          <w:divBdr>
            <w:top w:val="none" w:sz="0" w:space="0" w:color="auto"/>
            <w:left w:val="none" w:sz="0" w:space="0" w:color="auto"/>
            <w:bottom w:val="none" w:sz="0" w:space="0" w:color="auto"/>
            <w:right w:val="none" w:sz="0" w:space="0" w:color="auto"/>
          </w:divBdr>
        </w:div>
        <w:div w:id="443691968">
          <w:marLeft w:val="0"/>
          <w:marRight w:val="0"/>
          <w:marTop w:val="0"/>
          <w:marBottom w:val="0"/>
          <w:divBdr>
            <w:top w:val="none" w:sz="0" w:space="0" w:color="auto"/>
            <w:left w:val="none" w:sz="0" w:space="0" w:color="auto"/>
            <w:bottom w:val="none" w:sz="0" w:space="0" w:color="auto"/>
            <w:right w:val="none" w:sz="0" w:space="0" w:color="auto"/>
          </w:divBdr>
        </w:div>
        <w:div w:id="586764326">
          <w:marLeft w:val="0"/>
          <w:marRight w:val="0"/>
          <w:marTop w:val="0"/>
          <w:marBottom w:val="0"/>
          <w:divBdr>
            <w:top w:val="none" w:sz="0" w:space="0" w:color="auto"/>
            <w:left w:val="none" w:sz="0" w:space="0" w:color="auto"/>
            <w:bottom w:val="none" w:sz="0" w:space="0" w:color="auto"/>
            <w:right w:val="none" w:sz="0" w:space="0" w:color="auto"/>
          </w:divBdr>
        </w:div>
        <w:div w:id="646475370">
          <w:marLeft w:val="0"/>
          <w:marRight w:val="0"/>
          <w:marTop w:val="0"/>
          <w:marBottom w:val="0"/>
          <w:divBdr>
            <w:top w:val="none" w:sz="0" w:space="0" w:color="auto"/>
            <w:left w:val="none" w:sz="0" w:space="0" w:color="auto"/>
            <w:bottom w:val="none" w:sz="0" w:space="0" w:color="auto"/>
            <w:right w:val="none" w:sz="0" w:space="0" w:color="auto"/>
          </w:divBdr>
        </w:div>
        <w:div w:id="1053191537">
          <w:marLeft w:val="0"/>
          <w:marRight w:val="0"/>
          <w:marTop w:val="0"/>
          <w:marBottom w:val="0"/>
          <w:divBdr>
            <w:top w:val="none" w:sz="0" w:space="0" w:color="auto"/>
            <w:left w:val="none" w:sz="0" w:space="0" w:color="auto"/>
            <w:bottom w:val="none" w:sz="0" w:space="0" w:color="auto"/>
            <w:right w:val="none" w:sz="0" w:space="0" w:color="auto"/>
          </w:divBdr>
        </w:div>
        <w:div w:id="1429622466">
          <w:marLeft w:val="0"/>
          <w:marRight w:val="0"/>
          <w:marTop w:val="0"/>
          <w:marBottom w:val="0"/>
          <w:divBdr>
            <w:top w:val="none" w:sz="0" w:space="0" w:color="auto"/>
            <w:left w:val="none" w:sz="0" w:space="0" w:color="auto"/>
            <w:bottom w:val="none" w:sz="0" w:space="0" w:color="auto"/>
            <w:right w:val="none" w:sz="0" w:space="0" w:color="auto"/>
          </w:divBdr>
        </w:div>
        <w:div w:id="1761101060">
          <w:marLeft w:val="0"/>
          <w:marRight w:val="0"/>
          <w:marTop w:val="0"/>
          <w:marBottom w:val="0"/>
          <w:divBdr>
            <w:top w:val="none" w:sz="0" w:space="0" w:color="auto"/>
            <w:left w:val="none" w:sz="0" w:space="0" w:color="auto"/>
            <w:bottom w:val="none" w:sz="0" w:space="0" w:color="auto"/>
            <w:right w:val="none" w:sz="0" w:space="0" w:color="auto"/>
          </w:divBdr>
        </w:div>
        <w:div w:id="1770815034">
          <w:marLeft w:val="0"/>
          <w:marRight w:val="0"/>
          <w:marTop w:val="0"/>
          <w:marBottom w:val="0"/>
          <w:divBdr>
            <w:top w:val="none" w:sz="0" w:space="0" w:color="auto"/>
            <w:left w:val="none" w:sz="0" w:space="0" w:color="auto"/>
            <w:bottom w:val="none" w:sz="0" w:space="0" w:color="auto"/>
            <w:right w:val="none" w:sz="0" w:space="0" w:color="auto"/>
          </w:divBdr>
        </w:div>
      </w:divsChild>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44EB1B014774F9618DEA4AC89E7EE" ma:contentTypeVersion="5" ma:contentTypeDescription="Create a new document." ma:contentTypeScope="" ma:versionID="39a39b6515ec2b72af42f1cddb005b31">
  <xsd:schema xmlns:xsd="http://www.w3.org/2001/XMLSchema" xmlns:xs="http://www.w3.org/2001/XMLSchema" xmlns:p="http://schemas.microsoft.com/office/2006/metadata/properties" xmlns:ns2="12c95fc3-e6d4-488a-b6f3-a6ed8e928f47" xmlns:ns3="d1982fab-8b0b-4db1-bbca-a39ba17cbb66" targetNamespace="http://schemas.microsoft.com/office/2006/metadata/properties" ma:root="true" ma:fieldsID="9511e9f7da6946b2a4119812b7218246" ns2:_="" ns3:_="">
    <xsd:import namespace="12c95fc3-e6d4-488a-b6f3-a6ed8e928f47"/>
    <xsd:import namespace="d1982fab-8b0b-4db1-bbca-a39ba17cbb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5fc3-e6d4-488a-b6f3-a6ed8e928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82fab-8b0b-4db1-bbca-a39ba17cbb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 U K M A T T E R S ! 1 0 3 4 7 5 3 4 7 . 1 < / d o c u m e n t i d >  
     < s e n d e r i d > B R O O K P E T < / s e n d e r i d >  
     < s e n d e r e m a i l > P E T E R . B R O O K @ D L A P I P E R . C O M < / s e n d e r e m a i l >  
     < l a s t m o d i f i e d > 2 0 2 0 - 0 7 - 2 1 T 0 0 : 5 2 : 0 0 . 0 0 0 0 0 0 0 + 0 1 : 0 0 < / l a s t m o d i f i e d >  
     < d a t a b a s e > U K M A T T E R S < / d a t a b a s e >  
 < / p r o p e r t i e s > 
</file>

<file path=customXml/itemProps1.xml><?xml version="1.0" encoding="utf-8"?>
<ds:datastoreItem xmlns:ds="http://schemas.openxmlformats.org/officeDocument/2006/customXml" ds:itemID="{443DC108-B087-454D-A7BC-E693B6059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95fc3-e6d4-488a-b6f3-a6ed8e928f47"/>
    <ds:schemaRef ds:uri="d1982fab-8b0b-4db1-bbca-a39ba17cb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3F446-F484-4BD7-8CA2-716AD33EC3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A0D764-52BC-43BD-B467-D4C1C5C63EA2}">
  <ds:schemaRefs>
    <ds:schemaRef ds:uri="http://schemas.openxmlformats.org/officeDocument/2006/bibliography"/>
  </ds:schemaRefs>
</ds:datastoreItem>
</file>

<file path=customXml/itemProps4.xml><?xml version="1.0" encoding="utf-8"?>
<ds:datastoreItem xmlns:ds="http://schemas.openxmlformats.org/officeDocument/2006/customXml" ds:itemID="{5749A5A9-8D97-4935-A3FA-5E532FBBAF82}">
  <ds:schemaRefs>
    <ds:schemaRef ds:uri="http://schemas.microsoft.com/sharepoint/v3/contenttype/forms"/>
  </ds:schemaRefs>
</ds:datastoreItem>
</file>

<file path=customXml/itemProps5.xml><?xml version="1.0" encoding="utf-8"?>
<ds:datastoreItem xmlns:ds="http://schemas.openxmlformats.org/officeDocument/2006/customXml" ds:itemID="{4D9CDCF0-923C-47FC-BF62-43172813185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1886</Words>
  <Characters>10751</Characters>
  <Application>Microsoft Office Word</Application>
  <DocSecurity>4</DocSecurity>
  <Lines>89</Lines>
  <Paragraphs>25</Paragraphs>
  <ScaleCrop>false</ScaleCrop>
  <Company/>
  <LinksUpToDate>false</LinksUpToDate>
  <CharactersWithSpaces>12612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2023-06-20T06:46:00Z</dcterms:created>
  <dcterms:modified xsi:type="dcterms:W3CDTF">2024-01-12T19:42:00Z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AgencyTags">
    <vt:lpwstr/>
  </property>
  <property fmtid="{D5CDD505-2E9C-101B-9397-08002B2CF9AE}" pid="8" name="fd3ea3193a1b45a1be050362e1e23f4c">
    <vt:lpwstr/>
  </property>
  <property fmtid="{D5CDD505-2E9C-101B-9397-08002B2CF9AE}" pid="9" name="MediaServiceImageTags">
    <vt:lpwstr/>
  </property>
  <property fmtid="{D5CDD505-2E9C-101B-9397-08002B2CF9AE}" pid="10" name="Contract Support">
    <vt:lpwstr/>
  </property>
  <property fmtid="{D5CDD505-2E9C-101B-9397-08002B2CF9AE}" pid="11" name="cc87c50785dd403e94216a56cbaf1917">
    <vt:lpwstr>Common Goods and Services|31c72053-dd49-49dc-85b5-b157c0873a5e</vt:lpwstr>
  </property>
  <property fmtid="{D5CDD505-2E9C-101B-9397-08002B2CF9AE}" pid="12" name="lcf76f155ced4ddcb4097134ff3c332f">
    <vt:lpwstr/>
  </property>
  <property fmtid="{D5CDD505-2E9C-101B-9397-08002B2CF9AE}" pid="13" name="TaxCatchAll">
    <vt:lpwstr>4;#Common Goods and Services|31c72053-dd49-49dc-85b5-b157c0873a5e</vt:lpwstr>
  </property>
  <property fmtid="{D5CDD505-2E9C-101B-9397-08002B2CF9AE}" pid="14" name="hd9bb3938e574c39aaf180bed4766390">
    <vt:lpwstr/>
  </property>
  <property fmtid="{D5CDD505-2E9C-101B-9397-08002B2CF9AE}" pid="15" name="CommercialCategory">
    <vt:lpwstr>4</vt:lpwstr>
  </property>
  <property fmtid="{D5CDD505-2E9C-101B-9397-08002B2CF9AE}" pid="16" name="Commercial_x0020_Activity">
    <vt:lpwstr/>
  </property>
  <property fmtid="{D5CDD505-2E9C-101B-9397-08002B2CF9AE}" pid="17" name="Commercial Activity">
    <vt:lpwstr/>
  </property>
  <property fmtid="{D5CDD505-2E9C-101B-9397-08002B2CF9AE}" pid="18" name="_docset_NoMedatataSyncRequired">
    <vt:lpwstr>False</vt:lpwstr>
  </property>
</Properties>
</file>