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A71E6" w14:textId="77777777" w:rsidR="00FD0E84" w:rsidRPr="002A223E" w:rsidRDefault="00FD0E84">
      <w:pPr>
        <w:rPr>
          <w:b/>
          <w:sz w:val="24"/>
          <w:szCs w:val="24"/>
        </w:rPr>
      </w:pPr>
      <w:bookmarkStart w:id="0" w:name="_GoBack"/>
      <w:bookmarkEnd w:id="0"/>
      <w:r w:rsidRPr="002A223E">
        <w:rPr>
          <w:b/>
          <w:sz w:val="24"/>
          <w:szCs w:val="24"/>
        </w:rPr>
        <w:t>Waste</w:t>
      </w:r>
      <w:r w:rsidR="002A223E" w:rsidRPr="002A223E">
        <w:rPr>
          <w:b/>
          <w:sz w:val="24"/>
          <w:szCs w:val="24"/>
        </w:rPr>
        <w:t xml:space="preserve"> collection and street cleansing</w:t>
      </w:r>
      <w:r w:rsidRPr="002A223E">
        <w:rPr>
          <w:b/>
          <w:sz w:val="24"/>
          <w:szCs w:val="24"/>
        </w:rPr>
        <w:t xml:space="preserve"> procurement consultant brief </w:t>
      </w:r>
    </w:p>
    <w:p w14:paraId="35D068A9" w14:textId="77777777" w:rsidR="00FD0E84" w:rsidRPr="004F7862" w:rsidRDefault="00FD0E84">
      <w:pPr>
        <w:rPr>
          <w:sz w:val="24"/>
          <w:szCs w:val="24"/>
        </w:rPr>
      </w:pPr>
      <w:r w:rsidRPr="004F7862">
        <w:rPr>
          <w:sz w:val="24"/>
          <w:szCs w:val="24"/>
        </w:rPr>
        <w:t xml:space="preserve">The waste collection and street cleaning contract is one of the most valued and respected services delivered in The Royal Borough of Kensington and Chelsea. These are universal services that impact all residents, businesses and visitors to the borough and monetarily, the contract is of significant worth.  </w:t>
      </w:r>
    </w:p>
    <w:p w14:paraId="174BE8A6" w14:textId="77777777" w:rsidR="004B6F3E" w:rsidRPr="004F7862" w:rsidRDefault="004B6F3E">
      <w:pPr>
        <w:rPr>
          <w:sz w:val="24"/>
          <w:szCs w:val="24"/>
        </w:rPr>
      </w:pPr>
      <w:r w:rsidRPr="004F7862">
        <w:rPr>
          <w:sz w:val="24"/>
          <w:szCs w:val="24"/>
        </w:rPr>
        <w:t xml:space="preserve">As the consultant on this procurement, you will take the lead on </w:t>
      </w:r>
      <w:r w:rsidR="004F7862" w:rsidRPr="004F7862">
        <w:rPr>
          <w:sz w:val="24"/>
          <w:szCs w:val="24"/>
        </w:rPr>
        <w:t xml:space="preserve">the </w:t>
      </w:r>
      <w:r w:rsidRPr="004F7862">
        <w:rPr>
          <w:sz w:val="24"/>
          <w:szCs w:val="24"/>
        </w:rPr>
        <w:t xml:space="preserve">process, ensuring that all relevant stakeholders are brought in to the equation. The new contract will commence on 01 April 2021, so there is a two-year timeframe for the whole procurement to take place. </w:t>
      </w:r>
    </w:p>
    <w:p w14:paraId="5628E632" w14:textId="31E87121" w:rsidR="004B6F3E" w:rsidRPr="004F7862" w:rsidRDefault="004B6F3E">
      <w:pPr>
        <w:rPr>
          <w:sz w:val="24"/>
          <w:szCs w:val="24"/>
        </w:rPr>
      </w:pPr>
      <w:r w:rsidRPr="004F7862">
        <w:rPr>
          <w:sz w:val="24"/>
          <w:szCs w:val="24"/>
        </w:rPr>
        <w:t>The current waste collection and street cleansing specifications are high quality and the expectation is that these standards are ma</w:t>
      </w:r>
      <w:r w:rsidR="009B01DF">
        <w:rPr>
          <w:sz w:val="24"/>
          <w:szCs w:val="24"/>
        </w:rPr>
        <w:t xml:space="preserve">intained, whilst also factoring, </w:t>
      </w:r>
      <w:r w:rsidR="009B01DF" w:rsidRPr="00886270">
        <w:rPr>
          <w:sz w:val="24"/>
          <w:szCs w:val="24"/>
        </w:rPr>
        <w:t xml:space="preserve">identifying savings, </w:t>
      </w:r>
      <w:r w:rsidRPr="004F7862">
        <w:rPr>
          <w:sz w:val="24"/>
          <w:szCs w:val="24"/>
        </w:rPr>
        <w:t>innovation and industry changes in to the new contract. Recent developments with the Government’s National Waste Strategy and the London Mayor’s Environment Strategy, will need to be planned for and contingency put in place.</w:t>
      </w:r>
      <w:r w:rsidR="004F7862" w:rsidRPr="004F7862">
        <w:rPr>
          <w:sz w:val="24"/>
          <w:szCs w:val="24"/>
        </w:rPr>
        <w:t xml:space="preserve"> We anticipate exceptional services, that are good value for money. </w:t>
      </w:r>
    </w:p>
    <w:p w14:paraId="7A13E759" w14:textId="77777777" w:rsidR="004B6F3E" w:rsidRPr="004F7862" w:rsidRDefault="004B6F3E">
      <w:pPr>
        <w:rPr>
          <w:sz w:val="24"/>
          <w:szCs w:val="24"/>
        </w:rPr>
      </w:pPr>
      <w:r w:rsidRPr="004F7862">
        <w:rPr>
          <w:sz w:val="24"/>
          <w:szCs w:val="24"/>
        </w:rPr>
        <w:t xml:space="preserve">A full and transparent public consultation will be required, bringing together multiple stakeholders from within the Council and externally from the community we serve.  </w:t>
      </w:r>
    </w:p>
    <w:p w14:paraId="689F43B5" w14:textId="77777777" w:rsidR="004F7862" w:rsidRDefault="004F7862">
      <w:pPr>
        <w:rPr>
          <w:sz w:val="24"/>
          <w:szCs w:val="24"/>
        </w:rPr>
      </w:pPr>
      <w:r w:rsidRPr="004F7862">
        <w:rPr>
          <w:sz w:val="24"/>
          <w:szCs w:val="24"/>
        </w:rPr>
        <w:t xml:space="preserve">Your experience managing large scale procurements of this kind, overseeing modelling, soft market testing, tender document creation within a programme management setting, will be vital. </w:t>
      </w:r>
      <w:r w:rsidR="00A4780A">
        <w:rPr>
          <w:sz w:val="24"/>
          <w:szCs w:val="24"/>
        </w:rPr>
        <w:t xml:space="preserve"> The following table contains some of the key points to consider. </w:t>
      </w:r>
    </w:p>
    <w:tbl>
      <w:tblPr>
        <w:tblStyle w:val="TableGrid"/>
        <w:tblW w:w="0" w:type="auto"/>
        <w:tblLook w:val="04A0" w:firstRow="1" w:lastRow="0" w:firstColumn="1" w:lastColumn="0" w:noHBand="0" w:noVBand="1"/>
      </w:tblPr>
      <w:tblGrid>
        <w:gridCol w:w="3681"/>
        <w:gridCol w:w="5335"/>
      </w:tblGrid>
      <w:tr w:rsidR="00A4780A" w:rsidRPr="00A4780A" w14:paraId="1C0CA129" w14:textId="77777777" w:rsidTr="00A4780A">
        <w:tc>
          <w:tcPr>
            <w:tcW w:w="3681" w:type="dxa"/>
            <w:shd w:val="clear" w:color="auto" w:fill="D9D9D9"/>
          </w:tcPr>
          <w:p w14:paraId="40F552B1" w14:textId="77777777" w:rsidR="00A4780A" w:rsidRPr="00A4780A" w:rsidRDefault="00A4780A" w:rsidP="00A4780A">
            <w:pPr>
              <w:jc w:val="center"/>
              <w:rPr>
                <w:rFonts w:ascii="Arial" w:eastAsia="Arial" w:hAnsi="Arial" w:cs="Times New Roman"/>
                <w:b/>
              </w:rPr>
            </w:pPr>
            <w:r w:rsidRPr="00A4780A">
              <w:rPr>
                <w:rFonts w:ascii="Arial" w:eastAsia="Arial" w:hAnsi="Arial" w:cs="Times New Roman"/>
                <w:b/>
              </w:rPr>
              <w:t>Work stream</w:t>
            </w:r>
          </w:p>
        </w:tc>
        <w:tc>
          <w:tcPr>
            <w:tcW w:w="5335" w:type="dxa"/>
            <w:shd w:val="clear" w:color="auto" w:fill="D9D9D9"/>
          </w:tcPr>
          <w:p w14:paraId="1E722546" w14:textId="77777777" w:rsidR="00A4780A" w:rsidRPr="00A4780A" w:rsidRDefault="00A4780A" w:rsidP="00A4780A">
            <w:pPr>
              <w:jc w:val="center"/>
              <w:rPr>
                <w:rFonts w:ascii="Arial" w:eastAsia="Arial" w:hAnsi="Arial" w:cs="Times New Roman"/>
                <w:b/>
              </w:rPr>
            </w:pPr>
            <w:r w:rsidRPr="00A4780A">
              <w:rPr>
                <w:rFonts w:ascii="Arial" w:eastAsia="Arial" w:hAnsi="Arial" w:cs="Times New Roman"/>
                <w:b/>
              </w:rPr>
              <w:t>Sub heading</w:t>
            </w:r>
          </w:p>
        </w:tc>
      </w:tr>
      <w:tr w:rsidR="00A4780A" w:rsidRPr="00A4780A" w14:paraId="10F104DE" w14:textId="77777777" w:rsidTr="00190135">
        <w:tc>
          <w:tcPr>
            <w:tcW w:w="3681" w:type="dxa"/>
          </w:tcPr>
          <w:p w14:paraId="2B8F543F" w14:textId="77777777" w:rsidR="00A4780A" w:rsidRPr="00A4780A" w:rsidRDefault="00A4780A" w:rsidP="00A4780A">
            <w:pPr>
              <w:rPr>
                <w:rFonts w:ascii="Arial" w:eastAsia="Arial" w:hAnsi="Arial" w:cs="Times New Roman"/>
              </w:rPr>
            </w:pPr>
            <w:r w:rsidRPr="00A4780A">
              <w:rPr>
                <w:rFonts w:ascii="Arial" w:eastAsia="Arial" w:hAnsi="Arial" w:cs="Times New Roman"/>
              </w:rPr>
              <w:t xml:space="preserve">Scope and resourcing </w:t>
            </w:r>
          </w:p>
        </w:tc>
        <w:tc>
          <w:tcPr>
            <w:tcW w:w="5335" w:type="dxa"/>
          </w:tcPr>
          <w:p w14:paraId="349FD120"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Bid for financial resource to support programme</w:t>
            </w:r>
          </w:p>
          <w:p w14:paraId="7226831A"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Legal Services support</w:t>
            </w:r>
          </w:p>
          <w:p w14:paraId="4A806B6A"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Procurement Team support</w:t>
            </w:r>
          </w:p>
          <w:p w14:paraId="3BA59BCC"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Internal Audit support</w:t>
            </w:r>
          </w:p>
          <w:p w14:paraId="5B56B63A"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Media and Comms support</w:t>
            </w:r>
          </w:p>
          <w:p w14:paraId="2899B619"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Community Engagement support</w:t>
            </w:r>
          </w:p>
          <w:p w14:paraId="2BEBAD8E"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 xml:space="preserve">Other departments e.g. Housing, Highways </w:t>
            </w:r>
          </w:p>
          <w:p w14:paraId="0B6DFD93"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Develop and agree timeframe and milestones</w:t>
            </w:r>
          </w:p>
          <w:p w14:paraId="15A5B3D7" w14:textId="77777777" w:rsidR="00A4780A" w:rsidRPr="00A4780A" w:rsidRDefault="00A4780A" w:rsidP="00A4780A">
            <w:pPr>
              <w:numPr>
                <w:ilvl w:val="0"/>
                <w:numId w:val="4"/>
              </w:numPr>
              <w:contextualSpacing/>
              <w:rPr>
                <w:rFonts w:ascii="Arial" w:eastAsia="Arial" w:hAnsi="Arial" w:cs="Times New Roman"/>
              </w:rPr>
            </w:pPr>
            <w:r w:rsidRPr="00A4780A">
              <w:rPr>
                <w:rFonts w:ascii="Arial" w:eastAsia="Arial" w:hAnsi="Arial" w:cs="Times New Roman"/>
              </w:rPr>
              <w:t xml:space="preserve">Benchmarking </w:t>
            </w:r>
          </w:p>
        </w:tc>
      </w:tr>
      <w:tr w:rsidR="00A4780A" w:rsidRPr="00A4780A" w14:paraId="3689516E" w14:textId="77777777" w:rsidTr="00190135">
        <w:tc>
          <w:tcPr>
            <w:tcW w:w="3681" w:type="dxa"/>
          </w:tcPr>
          <w:p w14:paraId="09547040" w14:textId="77777777" w:rsidR="00A4780A" w:rsidRPr="00A4780A" w:rsidRDefault="00A4780A" w:rsidP="00A4780A">
            <w:pPr>
              <w:rPr>
                <w:rFonts w:ascii="Arial" w:eastAsia="Arial" w:hAnsi="Arial" w:cs="Times New Roman"/>
              </w:rPr>
            </w:pPr>
            <w:r w:rsidRPr="00A4780A">
              <w:rPr>
                <w:rFonts w:ascii="Arial" w:eastAsia="Arial" w:hAnsi="Arial" w:cs="Times New Roman"/>
              </w:rPr>
              <w:t xml:space="preserve">Governance </w:t>
            </w:r>
          </w:p>
        </w:tc>
        <w:tc>
          <w:tcPr>
            <w:tcW w:w="5335" w:type="dxa"/>
          </w:tcPr>
          <w:p w14:paraId="0762F230"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Set up programme board/working group</w:t>
            </w:r>
          </w:p>
          <w:p w14:paraId="79F1D1FB"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 xml:space="preserve">Programme board/working group meetings arranged and diarised </w:t>
            </w:r>
          </w:p>
          <w:p w14:paraId="4D119360"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 xml:space="preserve">Appoint Procurement Consultant </w:t>
            </w:r>
          </w:p>
          <w:p w14:paraId="364FBA32"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Public Realm Scrutiny Committee (PRSC) dates</w:t>
            </w:r>
          </w:p>
          <w:p w14:paraId="2BA6CE5B"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 xml:space="preserve">Risk log/assessment monitored </w:t>
            </w:r>
          </w:p>
          <w:p w14:paraId="394749C2"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Agree approval milestones</w:t>
            </w:r>
          </w:p>
          <w:p w14:paraId="7EE56300"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Lead Member Briefings</w:t>
            </w:r>
          </w:p>
          <w:p w14:paraId="4113FACD" w14:textId="77777777" w:rsidR="00A4780A" w:rsidRPr="00A4780A" w:rsidRDefault="00A4780A" w:rsidP="00A4780A">
            <w:pPr>
              <w:numPr>
                <w:ilvl w:val="0"/>
                <w:numId w:val="5"/>
              </w:numPr>
              <w:contextualSpacing/>
              <w:rPr>
                <w:rFonts w:ascii="Arial" w:eastAsia="Arial" w:hAnsi="Arial" w:cs="Times New Roman"/>
              </w:rPr>
            </w:pPr>
            <w:r w:rsidRPr="00A4780A">
              <w:rPr>
                <w:rFonts w:ascii="Arial" w:eastAsia="Arial" w:hAnsi="Arial" w:cs="Times New Roman"/>
              </w:rPr>
              <w:t>Leadership Team/Executive Team dates</w:t>
            </w:r>
          </w:p>
        </w:tc>
      </w:tr>
      <w:tr w:rsidR="00A4780A" w:rsidRPr="00A4780A" w14:paraId="3B5EA5DB" w14:textId="77777777" w:rsidTr="00190135">
        <w:tc>
          <w:tcPr>
            <w:tcW w:w="3681" w:type="dxa"/>
          </w:tcPr>
          <w:p w14:paraId="4D05C353" w14:textId="77777777" w:rsidR="00A4780A" w:rsidRPr="00A4780A" w:rsidRDefault="00A4780A" w:rsidP="00A4780A">
            <w:pPr>
              <w:rPr>
                <w:rFonts w:ascii="Arial" w:eastAsia="Arial" w:hAnsi="Arial" w:cs="Times New Roman"/>
              </w:rPr>
            </w:pPr>
            <w:r w:rsidRPr="00A4780A">
              <w:rPr>
                <w:rFonts w:ascii="Arial" w:eastAsia="Arial" w:hAnsi="Arial" w:cs="Times New Roman"/>
              </w:rPr>
              <w:t xml:space="preserve">Specification development </w:t>
            </w:r>
          </w:p>
        </w:tc>
        <w:tc>
          <w:tcPr>
            <w:tcW w:w="5335" w:type="dxa"/>
          </w:tcPr>
          <w:p w14:paraId="7123233D"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 xml:space="preserve">Review current specification </w:t>
            </w:r>
          </w:p>
          <w:p w14:paraId="6C0BBE10"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Agree Specification priorities – savings, quality, innovation etc.</w:t>
            </w:r>
          </w:p>
          <w:p w14:paraId="19876307"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lastRenderedPageBreak/>
              <w:t>Agree contract scope (potential for absorbing other services e.g. Parks, elements from Housing)</w:t>
            </w:r>
          </w:p>
          <w:p w14:paraId="79EEB6B7"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 xml:space="preserve">Consider implications of DEFRA Waste and Resource strategy </w:t>
            </w:r>
          </w:p>
          <w:p w14:paraId="55E48D01"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 xml:space="preserve">Consider implications of London Environment Strategy </w:t>
            </w:r>
          </w:p>
          <w:p w14:paraId="3C024963"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Ensure carbon reduction forms part of our approach</w:t>
            </w:r>
          </w:p>
          <w:p w14:paraId="3EC635A1"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Ensure waste reduction and increasing recycling targets included</w:t>
            </w:r>
          </w:p>
          <w:p w14:paraId="55043316"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 xml:space="preserve">Innovation </w:t>
            </w:r>
          </w:p>
          <w:p w14:paraId="1D28A56A" w14:textId="77777777" w:rsidR="00A4780A" w:rsidRPr="00A4780A" w:rsidRDefault="00A4780A" w:rsidP="00A4780A">
            <w:pPr>
              <w:numPr>
                <w:ilvl w:val="0"/>
                <w:numId w:val="3"/>
              </w:numPr>
              <w:contextualSpacing/>
              <w:rPr>
                <w:rFonts w:ascii="Arial" w:eastAsia="Arial" w:hAnsi="Arial" w:cs="Times New Roman"/>
              </w:rPr>
            </w:pPr>
            <w:r w:rsidRPr="00A4780A">
              <w:rPr>
                <w:rFonts w:ascii="Arial" w:eastAsia="Arial" w:hAnsi="Arial" w:cs="Times New Roman"/>
              </w:rPr>
              <w:t>Modelling for Modification/ Review clauses (to include changes in technology and legislation) - Future proofing</w:t>
            </w:r>
          </w:p>
        </w:tc>
      </w:tr>
      <w:tr w:rsidR="00A4780A" w:rsidRPr="00A4780A" w14:paraId="17A214D5" w14:textId="77777777" w:rsidTr="00190135">
        <w:tc>
          <w:tcPr>
            <w:tcW w:w="3681" w:type="dxa"/>
          </w:tcPr>
          <w:p w14:paraId="390D8DF0" w14:textId="77777777" w:rsidR="00A4780A" w:rsidRPr="00A4780A" w:rsidRDefault="00A4780A" w:rsidP="00A4780A">
            <w:pPr>
              <w:rPr>
                <w:rFonts w:ascii="Arial" w:eastAsia="Arial" w:hAnsi="Arial" w:cs="Times New Roman"/>
              </w:rPr>
            </w:pPr>
            <w:r w:rsidRPr="00A4780A">
              <w:rPr>
                <w:rFonts w:ascii="Arial" w:eastAsia="Arial" w:hAnsi="Arial" w:cs="Times New Roman"/>
              </w:rPr>
              <w:lastRenderedPageBreak/>
              <w:t>Consultation and communication (internal and external)</w:t>
            </w:r>
          </w:p>
        </w:tc>
        <w:tc>
          <w:tcPr>
            <w:tcW w:w="5335" w:type="dxa"/>
          </w:tcPr>
          <w:p w14:paraId="580AFFAF"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Public consultation </w:t>
            </w:r>
          </w:p>
          <w:p w14:paraId="38FFD210"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Equalities Impact assessment (EIA)</w:t>
            </w:r>
          </w:p>
          <w:p w14:paraId="492A8275"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Comms plan </w:t>
            </w:r>
          </w:p>
          <w:p w14:paraId="7EDBA9C0"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Fleet Options/Management/NBV</w:t>
            </w:r>
          </w:p>
          <w:p w14:paraId="4C0C367E"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Staff/TUPE </w:t>
            </w:r>
          </w:p>
          <w:p w14:paraId="0B93507A"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Mayor of London engagement </w:t>
            </w:r>
          </w:p>
          <w:p w14:paraId="2D82FD7C"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Benchmarking </w:t>
            </w:r>
          </w:p>
          <w:p w14:paraId="15435B7C"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Depots infrastructure </w:t>
            </w:r>
          </w:p>
          <w:p w14:paraId="54196AEE"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IT systems </w:t>
            </w:r>
          </w:p>
          <w:p w14:paraId="6E27FFDB"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Social benefits </w:t>
            </w:r>
          </w:p>
          <w:p w14:paraId="0F8F54C5"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Environmental benefits </w:t>
            </w:r>
          </w:p>
          <w:p w14:paraId="08B3C5BD"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Economic benefits </w:t>
            </w:r>
          </w:p>
          <w:p w14:paraId="73B591AA" w14:textId="77777777" w:rsidR="00A4780A" w:rsidRPr="00A4780A" w:rsidRDefault="00A4780A" w:rsidP="00A4780A">
            <w:pPr>
              <w:numPr>
                <w:ilvl w:val="0"/>
                <w:numId w:val="2"/>
              </w:numPr>
              <w:contextualSpacing/>
              <w:rPr>
                <w:rFonts w:ascii="Arial" w:eastAsia="Arial" w:hAnsi="Arial" w:cs="Times New Roman"/>
              </w:rPr>
            </w:pPr>
            <w:r w:rsidRPr="00A4780A">
              <w:rPr>
                <w:rFonts w:ascii="Arial" w:eastAsia="Arial" w:hAnsi="Arial" w:cs="Times New Roman"/>
              </w:rPr>
              <w:t xml:space="preserve">Scope for absorbing other services e.g. Parks, elements from Housing </w:t>
            </w:r>
          </w:p>
        </w:tc>
      </w:tr>
      <w:tr w:rsidR="00A4780A" w:rsidRPr="00A4780A" w14:paraId="12222A10" w14:textId="77777777" w:rsidTr="00190135">
        <w:tc>
          <w:tcPr>
            <w:tcW w:w="3681" w:type="dxa"/>
          </w:tcPr>
          <w:p w14:paraId="4005DC69" w14:textId="77777777" w:rsidR="00A4780A" w:rsidRPr="00A4780A" w:rsidRDefault="00A4780A" w:rsidP="00A4780A">
            <w:pPr>
              <w:rPr>
                <w:rFonts w:ascii="Arial" w:eastAsia="Arial" w:hAnsi="Arial" w:cs="Times New Roman"/>
              </w:rPr>
            </w:pPr>
            <w:r w:rsidRPr="00A4780A">
              <w:rPr>
                <w:rFonts w:ascii="Arial" w:eastAsia="Arial" w:hAnsi="Arial" w:cs="Times New Roman"/>
              </w:rPr>
              <w:t xml:space="preserve">Procurement phase </w:t>
            </w:r>
          </w:p>
          <w:p w14:paraId="3BE5885A" w14:textId="77777777" w:rsidR="00A4780A" w:rsidRPr="00A4780A" w:rsidRDefault="00A4780A" w:rsidP="00A4780A">
            <w:pPr>
              <w:rPr>
                <w:rFonts w:ascii="Arial" w:eastAsia="Arial" w:hAnsi="Arial" w:cs="Times New Roman"/>
              </w:rPr>
            </w:pPr>
          </w:p>
        </w:tc>
        <w:tc>
          <w:tcPr>
            <w:tcW w:w="5335" w:type="dxa"/>
          </w:tcPr>
          <w:p w14:paraId="6FACC739"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Soft market testing</w:t>
            </w:r>
          </w:p>
          <w:p w14:paraId="5263D070"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Agree evaluation criteria </w:t>
            </w:r>
          </w:p>
          <w:p w14:paraId="5A4046E8"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Produce procurement documentation including review clauses</w:t>
            </w:r>
          </w:p>
          <w:p w14:paraId="6EED1389"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Issue OJEU Notice </w:t>
            </w:r>
          </w:p>
          <w:p w14:paraId="18136622"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Receive initial bids </w:t>
            </w:r>
          </w:p>
          <w:p w14:paraId="3B41E777"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Bid evaluation </w:t>
            </w:r>
          </w:p>
          <w:p w14:paraId="6A599426"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Agree preferred bid</w:t>
            </w:r>
          </w:p>
          <w:p w14:paraId="0995606E"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Prepare Key Decision Report (KDR)</w:t>
            </w:r>
          </w:p>
          <w:p w14:paraId="42A121A5"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Declare winning bid/standstill process</w:t>
            </w:r>
          </w:p>
          <w:p w14:paraId="3A948DEF"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Contract awarded </w:t>
            </w:r>
          </w:p>
          <w:p w14:paraId="7015DF3D" w14:textId="77777777" w:rsidR="00A4780A" w:rsidRPr="00A4780A" w:rsidRDefault="00A4780A" w:rsidP="00A4780A">
            <w:pPr>
              <w:numPr>
                <w:ilvl w:val="0"/>
                <w:numId w:val="7"/>
              </w:numPr>
              <w:contextualSpacing/>
              <w:rPr>
                <w:rFonts w:ascii="Arial" w:eastAsia="Arial" w:hAnsi="Arial" w:cs="Times New Roman"/>
              </w:rPr>
            </w:pPr>
            <w:r w:rsidRPr="00A4780A">
              <w:rPr>
                <w:rFonts w:ascii="Arial" w:eastAsia="Arial" w:hAnsi="Arial" w:cs="Times New Roman"/>
              </w:rPr>
              <w:t xml:space="preserve">Mobilisation </w:t>
            </w:r>
          </w:p>
        </w:tc>
      </w:tr>
      <w:tr w:rsidR="00A4780A" w:rsidRPr="00A4780A" w14:paraId="460D22AF" w14:textId="77777777" w:rsidTr="00190135">
        <w:tc>
          <w:tcPr>
            <w:tcW w:w="3681" w:type="dxa"/>
          </w:tcPr>
          <w:p w14:paraId="43B467E0" w14:textId="77777777" w:rsidR="00A4780A" w:rsidRPr="00A4780A" w:rsidRDefault="00A4780A" w:rsidP="00A4780A">
            <w:pPr>
              <w:rPr>
                <w:rFonts w:ascii="Arial" w:eastAsia="Arial" w:hAnsi="Arial" w:cs="Times New Roman"/>
              </w:rPr>
            </w:pPr>
            <w:r w:rsidRPr="00A4780A">
              <w:rPr>
                <w:rFonts w:ascii="Arial" w:eastAsia="Arial" w:hAnsi="Arial" w:cs="Times New Roman"/>
              </w:rPr>
              <w:t xml:space="preserve">Go live </w:t>
            </w:r>
          </w:p>
        </w:tc>
        <w:tc>
          <w:tcPr>
            <w:tcW w:w="5335" w:type="dxa"/>
          </w:tcPr>
          <w:p w14:paraId="7B01E1D3" w14:textId="77777777" w:rsidR="00A4780A" w:rsidRPr="00A4780A" w:rsidRDefault="00A4780A" w:rsidP="00A4780A">
            <w:pPr>
              <w:numPr>
                <w:ilvl w:val="0"/>
                <w:numId w:val="6"/>
              </w:numPr>
              <w:contextualSpacing/>
              <w:rPr>
                <w:rFonts w:ascii="Arial" w:eastAsia="Arial" w:hAnsi="Arial" w:cs="Times New Roman"/>
              </w:rPr>
            </w:pPr>
            <w:r w:rsidRPr="00A4780A">
              <w:rPr>
                <w:rFonts w:ascii="Arial" w:eastAsia="Arial" w:hAnsi="Arial" w:cs="Times New Roman"/>
              </w:rPr>
              <w:t>01 April 2021</w:t>
            </w:r>
          </w:p>
          <w:p w14:paraId="1241599C" w14:textId="77777777" w:rsidR="00A4780A" w:rsidRPr="00A4780A" w:rsidRDefault="00A4780A" w:rsidP="00A4780A">
            <w:pPr>
              <w:numPr>
                <w:ilvl w:val="0"/>
                <w:numId w:val="6"/>
              </w:numPr>
              <w:contextualSpacing/>
              <w:rPr>
                <w:rFonts w:ascii="Arial" w:eastAsia="Arial" w:hAnsi="Arial" w:cs="Times New Roman"/>
              </w:rPr>
            </w:pPr>
            <w:r w:rsidRPr="00A4780A">
              <w:rPr>
                <w:rFonts w:ascii="Arial" w:eastAsia="Arial" w:hAnsi="Arial" w:cs="Times New Roman"/>
              </w:rPr>
              <w:t>Review and monitor</w:t>
            </w:r>
          </w:p>
          <w:p w14:paraId="7017762F" w14:textId="77777777" w:rsidR="00A4780A" w:rsidRPr="00A4780A" w:rsidRDefault="00A4780A" w:rsidP="00A4780A">
            <w:pPr>
              <w:numPr>
                <w:ilvl w:val="0"/>
                <w:numId w:val="6"/>
              </w:numPr>
              <w:contextualSpacing/>
              <w:rPr>
                <w:rFonts w:ascii="Arial" w:eastAsia="Arial" w:hAnsi="Arial" w:cs="Times New Roman"/>
              </w:rPr>
            </w:pPr>
            <w:r w:rsidRPr="00A4780A">
              <w:rPr>
                <w:rFonts w:ascii="Arial" w:eastAsia="Arial" w:hAnsi="Arial" w:cs="Times New Roman"/>
              </w:rPr>
              <w:t>Problem solve</w:t>
            </w:r>
          </w:p>
          <w:p w14:paraId="4F1DD1F9" w14:textId="77777777" w:rsidR="00A4780A" w:rsidRPr="00A4780A" w:rsidRDefault="00A4780A" w:rsidP="00A4780A">
            <w:pPr>
              <w:numPr>
                <w:ilvl w:val="0"/>
                <w:numId w:val="6"/>
              </w:numPr>
              <w:contextualSpacing/>
              <w:rPr>
                <w:rFonts w:ascii="Arial" w:eastAsia="Arial" w:hAnsi="Arial" w:cs="Times New Roman"/>
              </w:rPr>
            </w:pPr>
            <w:r w:rsidRPr="00A4780A">
              <w:rPr>
                <w:rFonts w:ascii="Arial" w:eastAsia="Arial" w:hAnsi="Arial" w:cs="Times New Roman"/>
              </w:rPr>
              <w:t>Contract Management</w:t>
            </w:r>
          </w:p>
        </w:tc>
      </w:tr>
    </w:tbl>
    <w:p w14:paraId="00F87CA1" w14:textId="77777777" w:rsidR="00A4780A" w:rsidRDefault="00A4780A"/>
    <w:p w14:paraId="57D1D2ED" w14:textId="77777777" w:rsidR="004B6F3E" w:rsidRPr="002A223E" w:rsidRDefault="002A223E">
      <w:pPr>
        <w:rPr>
          <w:b/>
          <w:sz w:val="24"/>
          <w:szCs w:val="24"/>
        </w:rPr>
      </w:pPr>
      <w:r w:rsidRPr="002A223E">
        <w:rPr>
          <w:b/>
          <w:sz w:val="24"/>
          <w:szCs w:val="24"/>
        </w:rPr>
        <w:t xml:space="preserve">Challenges and methodology </w:t>
      </w:r>
    </w:p>
    <w:p w14:paraId="2795AEE8" w14:textId="724424D4" w:rsidR="002A223E" w:rsidRDefault="002A223E">
      <w:pPr>
        <w:rPr>
          <w:sz w:val="24"/>
          <w:szCs w:val="24"/>
        </w:rPr>
      </w:pPr>
      <w:r w:rsidRPr="002A223E">
        <w:rPr>
          <w:sz w:val="24"/>
          <w:szCs w:val="24"/>
        </w:rPr>
        <w:t xml:space="preserve">The procurement of the waste collection and cleansing contract will be a complex process. With your experience, it is important to understand the challenges you foresee and the methodology you’d implement. </w:t>
      </w:r>
    </w:p>
    <w:p w14:paraId="3B45C85C" w14:textId="70428375" w:rsidR="009B01DF" w:rsidRPr="00886270" w:rsidRDefault="009B01DF">
      <w:pPr>
        <w:rPr>
          <w:sz w:val="24"/>
          <w:szCs w:val="24"/>
        </w:rPr>
      </w:pPr>
      <w:r w:rsidRPr="00886270">
        <w:rPr>
          <w:sz w:val="24"/>
          <w:szCs w:val="24"/>
        </w:rPr>
        <w:lastRenderedPageBreak/>
        <w:t>The challenges n</w:t>
      </w:r>
      <w:r w:rsidR="00886270" w:rsidRPr="00886270">
        <w:rPr>
          <w:sz w:val="24"/>
          <w:szCs w:val="24"/>
        </w:rPr>
        <w:t>eed to set out</w:t>
      </w:r>
      <w:r w:rsidRPr="00886270">
        <w:rPr>
          <w:sz w:val="24"/>
          <w:szCs w:val="24"/>
        </w:rPr>
        <w:t>:</w:t>
      </w:r>
    </w:p>
    <w:p w14:paraId="2504D96E" w14:textId="73D51CBB" w:rsidR="009B01DF" w:rsidRPr="00886270" w:rsidRDefault="009B01DF" w:rsidP="009B01DF">
      <w:pPr>
        <w:pStyle w:val="ListParagraph"/>
        <w:numPr>
          <w:ilvl w:val="0"/>
          <w:numId w:val="8"/>
        </w:numPr>
        <w:rPr>
          <w:sz w:val="24"/>
          <w:szCs w:val="24"/>
        </w:rPr>
      </w:pPr>
      <w:r w:rsidRPr="00886270">
        <w:rPr>
          <w:sz w:val="24"/>
          <w:szCs w:val="24"/>
        </w:rPr>
        <w:t>Identify</w:t>
      </w:r>
      <w:r w:rsidR="00886270" w:rsidRPr="00886270">
        <w:rPr>
          <w:sz w:val="24"/>
          <w:szCs w:val="24"/>
        </w:rPr>
        <w:t>ing</w:t>
      </w:r>
      <w:r w:rsidRPr="00886270">
        <w:rPr>
          <w:sz w:val="24"/>
          <w:szCs w:val="24"/>
        </w:rPr>
        <w:t xml:space="preserve"> savings</w:t>
      </w:r>
    </w:p>
    <w:p w14:paraId="6DB7397E" w14:textId="63D60AFA" w:rsidR="009B01DF" w:rsidRPr="00886270" w:rsidRDefault="009B01DF" w:rsidP="009B01DF">
      <w:pPr>
        <w:pStyle w:val="ListParagraph"/>
        <w:numPr>
          <w:ilvl w:val="0"/>
          <w:numId w:val="8"/>
        </w:numPr>
        <w:rPr>
          <w:sz w:val="24"/>
          <w:szCs w:val="24"/>
        </w:rPr>
      </w:pPr>
      <w:r w:rsidRPr="00886270">
        <w:rPr>
          <w:sz w:val="24"/>
          <w:szCs w:val="24"/>
        </w:rPr>
        <w:t>Liaising and negotiating with the Mayor of London</w:t>
      </w:r>
    </w:p>
    <w:p w14:paraId="25700265" w14:textId="1AA0E1E3" w:rsidR="009B01DF" w:rsidRPr="00886270" w:rsidRDefault="009B01DF" w:rsidP="009B01DF">
      <w:pPr>
        <w:pStyle w:val="ListParagraph"/>
        <w:numPr>
          <w:ilvl w:val="0"/>
          <w:numId w:val="8"/>
        </w:numPr>
        <w:rPr>
          <w:sz w:val="24"/>
          <w:szCs w:val="24"/>
        </w:rPr>
      </w:pPr>
      <w:r w:rsidRPr="00886270">
        <w:rPr>
          <w:sz w:val="24"/>
          <w:szCs w:val="24"/>
        </w:rPr>
        <w:t>Modelling for future service changes</w:t>
      </w:r>
    </w:p>
    <w:p w14:paraId="29068487" w14:textId="0A352858" w:rsidR="009B01DF" w:rsidRPr="00886270" w:rsidRDefault="009B01DF" w:rsidP="009B01DF">
      <w:pPr>
        <w:pStyle w:val="ListParagraph"/>
        <w:numPr>
          <w:ilvl w:val="0"/>
          <w:numId w:val="8"/>
        </w:numPr>
        <w:rPr>
          <w:sz w:val="24"/>
          <w:szCs w:val="24"/>
        </w:rPr>
      </w:pPr>
      <w:r w:rsidRPr="00886270">
        <w:rPr>
          <w:sz w:val="24"/>
          <w:szCs w:val="24"/>
        </w:rPr>
        <w:t>Understanding the impact of regional and national policy on the new contract</w:t>
      </w:r>
    </w:p>
    <w:p w14:paraId="34597D21" w14:textId="68890E02" w:rsidR="009B01DF" w:rsidRPr="00886270" w:rsidRDefault="009B01DF" w:rsidP="009B01DF">
      <w:pPr>
        <w:pStyle w:val="ListParagraph"/>
        <w:numPr>
          <w:ilvl w:val="0"/>
          <w:numId w:val="8"/>
        </w:numPr>
        <w:rPr>
          <w:sz w:val="24"/>
          <w:szCs w:val="24"/>
        </w:rPr>
      </w:pPr>
      <w:r w:rsidRPr="00886270">
        <w:rPr>
          <w:sz w:val="24"/>
          <w:szCs w:val="24"/>
        </w:rPr>
        <w:t>Managing Member and resident’s expectations</w:t>
      </w:r>
    </w:p>
    <w:p w14:paraId="58843E52" w14:textId="700F22CD" w:rsidR="009B01DF" w:rsidRPr="00886270" w:rsidRDefault="009B01DF" w:rsidP="00886270">
      <w:pPr>
        <w:pStyle w:val="ListParagraph"/>
        <w:numPr>
          <w:ilvl w:val="0"/>
          <w:numId w:val="8"/>
        </w:numPr>
        <w:rPr>
          <w:sz w:val="24"/>
          <w:szCs w:val="24"/>
        </w:rPr>
      </w:pPr>
      <w:r w:rsidRPr="00886270">
        <w:rPr>
          <w:sz w:val="24"/>
          <w:szCs w:val="24"/>
        </w:rPr>
        <w:t>Future proofing the contract- in terms of fleet and technology and policy changes</w:t>
      </w:r>
    </w:p>
    <w:p w14:paraId="3463D34C" w14:textId="77777777" w:rsidR="00F031FF" w:rsidRPr="00F031FF" w:rsidRDefault="00F031FF" w:rsidP="00F031FF">
      <w:pPr>
        <w:rPr>
          <w:sz w:val="24"/>
          <w:szCs w:val="24"/>
        </w:rPr>
      </w:pPr>
      <w:r>
        <w:rPr>
          <w:sz w:val="24"/>
          <w:szCs w:val="24"/>
        </w:rPr>
        <w:t>A rough guide to timeframes is as follows:</w:t>
      </w:r>
    </w:p>
    <w:p w14:paraId="74ADDC5A"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March/April 2019 – Appoint programme</w:t>
      </w:r>
      <w:r w:rsidR="00A4780A">
        <w:rPr>
          <w:rFonts w:ascii="Arial" w:eastAsia="Arial" w:hAnsi="Arial" w:cs="Times New Roman"/>
        </w:rPr>
        <w:t xml:space="preserve"> support</w:t>
      </w:r>
      <w:r w:rsidRPr="00F031FF">
        <w:rPr>
          <w:rFonts w:ascii="Arial" w:eastAsia="Arial" w:hAnsi="Arial" w:cs="Times New Roman"/>
        </w:rPr>
        <w:t xml:space="preserve">/consultant </w:t>
      </w:r>
      <w:r>
        <w:rPr>
          <w:rFonts w:ascii="Arial" w:eastAsia="Arial" w:hAnsi="Arial" w:cs="Times New Roman"/>
        </w:rPr>
        <w:t>and set up working group</w:t>
      </w:r>
    </w:p>
    <w:p w14:paraId="01946C46" w14:textId="79EAE785" w:rsidR="009B01DF" w:rsidRPr="00886270" w:rsidRDefault="00886270" w:rsidP="00886270">
      <w:pPr>
        <w:numPr>
          <w:ilvl w:val="0"/>
          <w:numId w:val="1"/>
        </w:numPr>
        <w:spacing w:after="0" w:line="240" w:lineRule="auto"/>
        <w:rPr>
          <w:rFonts w:ascii="Arial" w:eastAsia="Arial" w:hAnsi="Arial" w:cs="Times New Roman"/>
        </w:rPr>
      </w:pPr>
      <w:r>
        <w:rPr>
          <w:rFonts w:ascii="Arial" w:eastAsia="Arial" w:hAnsi="Arial" w:cs="Times New Roman"/>
        </w:rPr>
        <w:t>April</w:t>
      </w:r>
      <w:r w:rsidR="00F031FF" w:rsidRPr="00F031FF">
        <w:rPr>
          <w:rFonts w:ascii="Arial" w:eastAsia="Arial" w:hAnsi="Arial" w:cs="Times New Roman"/>
        </w:rPr>
        <w:t xml:space="preserve"> 2019 – Specification review begins </w:t>
      </w:r>
    </w:p>
    <w:p w14:paraId="7F1E261F" w14:textId="59CD403D" w:rsidR="00F031FF" w:rsidRPr="00F031FF" w:rsidRDefault="00886270" w:rsidP="00F031FF">
      <w:pPr>
        <w:numPr>
          <w:ilvl w:val="0"/>
          <w:numId w:val="1"/>
        </w:numPr>
        <w:spacing w:after="0" w:line="240" w:lineRule="auto"/>
        <w:rPr>
          <w:rFonts w:ascii="Arial" w:eastAsia="Arial" w:hAnsi="Arial" w:cs="Times New Roman"/>
        </w:rPr>
      </w:pPr>
      <w:r>
        <w:rPr>
          <w:rFonts w:ascii="Arial" w:eastAsia="Arial" w:hAnsi="Arial" w:cs="Times New Roman"/>
        </w:rPr>
        <w:t>April</w:t>
      </w:r>
      <w:r w:rsidR="00F031FF" w:rsidRPr="00F031FF">
        <w:rPr>
          <w:rFonts w:ascii="Arial" w:eastAsia="Arial" w:hAnsi="Arial" w:cs="Times New Roman"/>
        </w:rPr>
        <w:t xml:space="preserve"> –</w:t>
      </w:r>
      <w:r>
        <w:rPr>
          <w:rFonts w:ascii="Arial" w:eastAsia="Arial" w:hAnsi="Arial" w:cs="Times New Roman"/>
        </w:rPr>
        <w:t xml:space="preserve"> October</w:t>
      </w:r>
      <w:r w:rsidR="00F031FF" w:rsidRPr="00F031FF">
        <w:rPr>
          <w:rFonts w:ascii="Arial" w:eastAsia="Arial" w:hAnsi="Arial" w:cs="Times New Roman"/>
        </w:rPr>
        <w:t xml:space="preserve"> 2019 – Service change modelling begins</w:t>
      </w:r>
      <w:r>
        <w:rPr>
          <w:rFonts w:ascii="Arial" w:eastAsia="Arial" w:hAnsi="Arial" w:cs="Times New Roman"/>
        </w:rPr>
        <w:t xml:space="preserve"> including soft market testing</w:t>
      </w:r>
    </w:p>
    <w:p w14:paraId="42A973B0" w14:textId="0D0655AE" w:rsidR="00F031FF" w:rsidRPr="00F031FF" w:rsidRDefault="00886270" w:rsidP="00F031FF">
      <w:pPr>
        <w:numPr>
          <w:ilvl w:val="0"/>
          <w:numId w:val="1"/>
        </w:numPr>
        <w:spacing w:after="0" w:line="240" w:lineRule="auto"/>
        <w:rPr>
          <w:rFonts w:ascii="Arial" w:eastAsia="Arial" w:hAnsi="Arial" w:cs="Times New Roman"/>
        </w:rPr>
      </w:pPr>
      <w:r>
        <w:rPr>
          <w:rFonts w:ascii="Arial" w:eastAsia="Arial" w:hAnsi="Arial" w:cs="Times New Roman"/>
        </w:rPr>
        <w:t>April/May</w:t>
      </w:r>
      <w:r w:rsidR="00F031FF" w:rsidRPr="00F031FF">
        <w:rPr>
          <w:rFonts w:ascii="Arial" w:eastAsia="Arial" w:hAnsi="Arial" w:cs="Times New Roman"/>
        </w:rPr>
        <w:t xml:space="preserve"> 2019 – Develop consultation and communication plan </w:t>
      </w:r>
    </w:p>
    <w:p w14:paraId="79C80DA9"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April/May 2019 – Launch consultation </w:t>
      </w:r>
    </w:p>
    <w:p w14:paraId="0AC10DB9"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M</w:t>
      </w:r>
      <w:r w:rsidR="00A4780A">
        <w:rPr>
          <w:rFonts w:ascii="Arial" w:eastAsia="Arial" w:hAnsi="Arial" w:cs="Times New Roman"/>
        </w:rPr>
        <w:t>ay/June/July 2019 – Consult Public Realm Scrutiny Committee</w:t>
      </w:r>
    </w:p>
    <w:p w14:paraId="2B383977"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October/November 2019 – Draft specification signed off </w:t>
      </w:r>
    </w:p>
    <w:p w14:paraId="27015A1B"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November 2019/February 2020 – Agree evaluation criteria </w:t>
      </w:r>
    </w:p>
    <w:p w14:paraId="79EA8968"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January/February 2020 – Programme Bo</w:t>
      </w:r>
      <w:r w:rsidR="00A4780A">
        <w:rPr>
          <w:rFonts w:ascii="Arial" w:eastAsia="Arial" w:hAnsi="Arial" w:cs="Times New Roman"/>
        </w:rPr>
        <w:t>ard/Leadership</w:t>
      </w:r>
      <w:r w:rsidRPr="00F031FF">
        <w:rPr>
          <w:rFonts w:ascii="Arial" w:eastAsia="Arial" w:hAnsi="Arial" w:cs="Times New Roman"/>
        </w:rPr>
        <w:t xml:space="preserve"> sign off tender docs</w:t>
      </w:r>
    </w:p>
    <w:p w14:paraId="35A6658D"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February 2020 – Issue OJEU notice</w:t>
      </w:r>
    </w:p>
    <w:p w14:paraId="4B9294FC"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March/April 2020 – Tender live </w:t>
      </w:r>
    </w:p>
    <w:p w14:paraId="516A5B51"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June 2020 – Agree preferred bid</w:t>
      </w:r>
    </w:p>
    <w:p w14:paraId="783E0F1C"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September 2020 – Contract awarded </w:t>
      </w:r>
    </w:p>
    <w:p w14:paraId="7FD69975"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October 2020/March 2021 – Mobilisation </w:t>
      </w:r>
    </w:p>
    <w:p w14:paraId="66CA1A1C" w14:textId="77777777" w:rsidR="00F031FF" w:rsidRPr="00F031FF" w:rsidRDefault="00F031FF" w:rsidP="00F031FF">
      <w:pPr>
        <w:numPr>
          <w:ilvl w:val="0"/>
          <w:numId w:val="1"/>
        </w:numPr>
        <w:spacing w:after="0" w:line="240" w:lineRule="auto"/>
        <w:rPr>
          <w:rFonts w:ascii="Arial" w:eastAsia="Arial" w:hAnsi="Arial" w:cs="Times New Roman"/>
        </w:rPr>
      </w:pPr>
      <w:r w:rsidRPr="00F031FF">
        <w:rPr>
          <w:rFonts w:ascii="Arial" w:eastAsia="Arial" w:hAnsi="Arial" w:cs="Times New Roman"/>
        </w:rPr>
        <w:t xml:space="preserve">April 2021 – New contract goes live </w:t>
      </w:r>
    </w:p>
    <w:p w14:paraId="725880B5" w14:textId="6F25FF48" w:rsidR="00B733EC" w:rsidRDefault="00B733EC">
      <w:pPr>
        <w:rPr>
          <w:sz w:val="24"/>
          <w:szCs w:val="24"/>
        </w:rPr>
      </w:pPr>
    </w:p>
    <w:p w14:paraId="1FBF5DB3" w14:textId="014EE204" w:rsidR="00F031FF" w:rsidRPr="00B733EC" w:rsidRDefault="00B733EC" w:rsidP="00B733EC">
      <w:pPr>
        <w:rPr>
          <w:b/>
          <w:sz w:val="24"/>
          <w:szCs w:val="24"/>
        </w:rPr>
      </w:pPr>
      <w:r w:rsidRPr="00B733EC">
        <w:rPr>
          <w:b/>
          <w:sz w:val="24"/>
          <w:szCs w:val="24"/>
        </w:rPr>
        <w:t>Project Support</w:t>
      </w:r>
    </w:p>
    <w:p w14:paraId="4A4157B8" w14:textId="15C73801" w:rsidR="00B733EC" w:rsidRPr="00B733EC" w:rsidRDefault="00B733EC" w:rsidP="00B733EC">
      <w:pPr>
        <w:rPr>
          <w:sz w:val="24"/>
          <w:szCs w:val="24"/>
        </w:rPr>
      </w:pPr>
      <w:r>
        <w:rPr>
          <w:sz w:val="24"/>
          <w:szCs w:val="24"/>
        </w:rPr>
        <w:t xml:space="preserve">This post will receive up to days a week support, as required.  </w:t>
      </w:r>
    </w:p>
    <w:sectPr w:rsidR="00B733EC" w:rsidRPr="00B733E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52E6" w14:textId="77777777" w:rsidR="000B3B88" w:rsidRDefault="000B3B88" w:rsidP="00A4780A">
      <w:pPr>
        <w:spacing w:after="0" w:line="240" w:lineRule="auto"/>
      </w:pPr>
      <w:r>
        <w:separator/>
      </w:r>
    </w:p>
  </w:endnote>
  <w:endnote w:type="continuationSeparator" w:id="0">
    <w:p w14:paraId="3289502F" w14:textId="77777777" w:rsidR="000B3B88" w:rsidRDefault="000B3B88" w:rsidP="00A4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441095"/>
      <w:docPartObj>
        <w:docPartGallery w:val="Page Numbers (Bottom of Page)"/>
        <w:docPartUnique/>
      </w:docPartObj>
    </w:sdtPr>
    <w:sdtEndPr>
      <w:rPr>
        <w:noProof/>
      </w:rPr>
    </w:sdtEndPr>
    <w:sdtContent>
      <w:p w14:paraId="77DCF9B3" w14:textId="0F1074C5" w:rsidR="00A4780A" w:rsidRDefault="00A4780A">
        <w:pPr>
          <w:pStyle w:val="Footer"/>
          <w:jc w:val="center"/>
        </w:pPr>
        <w:r>
          <w:fldChar w:fldCharType="begin"/>
        </w:r>
        <w:r>
          <w:instrText xml:space="preserve"> PAGE   \* MERGEFORMAT </w:instrText>
        </w:r>
        <w:r>
          <w:fldChar w:fldCharType="separate"/>
        </w:r>
        <w:r w:rsidR="00FB2B14">
          <w:rPr>
            <w:noProof/>
          </w:rPr>
          <w:t>1</w:t>
        </w:r>
        <w:r>
          <w:rPr>
            <w:noProof/>
          </w:rPr>
          <w:fldChar w:fldCharType="end"/>
        </w:r>
      </w:p>
    </w:sdtContent>
  </w:sdt>
  <w:p w14:paraId="73644BC0" w14:textId="77777777" w:rsidR="00A4780A" w:rsidRDefault="00A4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F3CF2" w14:textId="77777777" w:rsidR="000B3B88" w:rsidRDefault="000B3B88" w:rsidP="00A4780A">
      <w:pPr>
        <w:spacing w:after="0" w:line="240" w:lineRule="auto"/>
      </w:pPr>
      <w:r>
        <w:separator/>
      </w:r>
    </w:p>
  </w:footnote>
  <w:footnote w:type="continuationSeparator" w:id="0">
    <w:p w14:paraId="16BA8B15" w14:textId="77777777" w:rsidR="000B3B88" w:rsidRDefault="000B3B88" w:rsidP="00A4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265"/>
    <w:multiLevelType w:val="hybridMultilevel"/>
    <w:tmpl w:val="0F66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2033B"/>
    <w:multiLevelType w:val="hybridMultilevel"/>
    <w:tmpl w:val="45A0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968EC"/>
    <w:multiLevelType w:val="hybridMultilevel"/>
    <w:tmpl w:val="10E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F4855"/>
    <w:multiLevelType w:val="hybridMultilevel"/>
    <w:tmpl w:val="6C38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678B1"/>
    <w:multiLevelType w:val="hybridMultilevel"/>
    <w:tmpl w:val="DDA6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66247"/>
    <w:multiLevelType w:val="hybridMultilevel"/>
    <w:tmpl w:val="FF0E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4189E"/>
    <w:multiLevelType w:val="hybridMultilevel"/>
    <w:tmpl w:val="12A0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83214"/>
    <w:multiLevelType w:val="hybridMultilevel"/>
    <w:tmpl w:val="7B08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84"/>
    <w:rsid w:val="000B3B88"/>
    <w:rsid w:val="002A223E"/>
    <w:rsid w:val="004B6F3E"/>
    <w:rsid w:val="004F7862"/>
    <w:rsid w:val="00886270"/>
    <w:rsid w:val="00893D4F"/>
    <w:rsid w:val="009B01DF"/>
    <w:rsid w:val="00A4780A"/>
    <w:rsid w:val="00B733EC"/>
    <w:rsid w:val="00BD0329"/>
    <w:rsid w:val="00F031FF"/>
    <w:rsid w:val="00FB2B14"/>
    <w:rsid w:val="00FD0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9882"/>
  <w15:chartTrackingRefBased/>
  <w15:docId w15:val="{757E8A99-CF2A-4670-B281-9E3BCE19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80A"/>
  </w:style>
  <w:style w:type="paragraph" w:styleId="Footer">
    <w:name w:val="footer"/>
    <w:basedOn w:val="Normal"/>
    <w:link w:val="FooterChar"/>
    <w:uiPriority w:val="99"/>
    <w:unhideWhenUsed/>
    <w:rsid w:val="00A47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80A"/>
  </w:style>
  <w:style w:type="paragraph" w:styleId="ListParagraph">
    <w:name w:val="List Paragraph"/>
    <w:basedOn w:val="Normal"/>
    <w:uiPriority w:val="34"/>
    <w:qFormat/>
    <w:rsid w:val="009B0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Matthew: ELRS: RBKC</dc:creator>
  <cp:keywords/>
  <dc:description/>
  <cp:lastModifiedBy>Van Goethem, Roger: CP: RBKC</cp:lastModifiedBy>
  <cp:revision>2</cp:revision>
  <dcterms:created xsi:type="dcterms:W3CDTF">2019-04-04T12:52:00Z</dcterms:created>
  <dcterms:modified xsi:type="dcterms:W3CDTF">2019-04-04T12:52:00Z</dcterms:modified>
</cp:coreProperties>
</file>