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F4893" w:rsidRDefault="00FF4893">
      <w:pPr>
        <w:pBdr>
          <w:top w:val="nil"/>
          <w:left w:val="nil"/>
          <w:bottom w:val="nil"/>
          <w:right w:val="nil"/>
          <w:between w:val="nil"/>
        </w:pBdr>
        <w:spacing w:before="240" w:after="120"/>
        <w:ind w:left="357" w:hanging="357"/>
        <w:rPr>
          <w:smallCaps/>
          <w:color w:val="000000"/>
        </w:rPr>
      </w:pPr>
    </w:p>
    <w:p w14:paraId="00000002" w14:textId="77777777" w:rsidR="00FF4893" w:rsidRDefault="001D1A3D">
      <w:pPr>
        <w:pBdr>
          <w:top w:val="nil"/>
          <w:left w:val="nil"/>
          <w:bottom w:val="nil"/>
          <w:right w:val="nil"/>
          <w:between w:val="nil"/>
        </w:pBdr>
        <w:spacing w:before="120" w:after="120"/>
        <w:ind w:left="357" w:hanging="357"/>
        <w:rPr>
          <w:color w:val="000000"/>
        </w:rPr>
      </w:pPr>
      <w:r>
        <w:rPr>
          <w:noProof/>
          <w:color w:val="000000"/>
        </w:rPr>
        <w:drawing>
          <wp:inline distT="0" distB="0" distL="0" distR="0" wp14:anchorId="2BC40F52" wp14:editId="1B8C89D1">
            <wp:extent cx="1647721"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721" cy="1371600"/>
                    </a:xfrm>
                    <a:prstGeom prst="rect">
                      <a:avLst/>
                    </a:prstGeom>
                    <a:ln/>
                  </pic:spPr>
                </pic:pic>
              </a:graphicData>
            </a:graphic>
          </wp:inline>
        </w:drawing>
      </w:r>
    </w:p>
    <w:p w14:paraId="00000003" w14:textId="77777777" w:rsidR="00FF4893" w:rsidRDefault="00FF4893">
      <w:pPr>
        <w:pStyle w:val="Heading1"/>
      </w:pPr>
    </w:p>
    <w:p w14:paraId="00000004" w14:textId="77777777" w:rsidR="00FF4893" w:rsidRDefault="00FF4893">
      <w:pPr>
        <w:pStyle w:val="Heading1"/>
      </w:pPr>
    </w:p>
    <w:p w14:paraId="00000005" w14:textId="77777777" w:rsidR="00FF4893" w:rsidRDefault="001D1A3D">
      <w:pPr>
        <w:pStyle w:val="Heading1"/>
      </w:pPr>
      <w:r>
        <w:t>Digital Outcomes and Specialists 5 (RM1043.7)</w:t>
      </w:r>
    </w:p>
    <w:p w14:paraId="00000006" w14:textId="77777777" w:rsidR="00FF4893" w:rsidRDefault="00FF4893">
      <w:pPr>
        <w:pStyle w:val="Heading1"/>
      </w:pPr>
    </w:p>
    <w:p w14:paraId="00000007" w14:textId="77777777" w:rsidR="00FF4893" w:rsidRDefault="001D1A3D">
      <w:pPr>
        <w:pStyle w:val="Heading1"/>
      </w:pPr>
      <w:r>
        <w:t xml:space="preserve">Framework Schedule 6 (Order Form) </w:t>
      </w:r>
    </w:p>
    <w:p w14:paraId="00000008" w14:textId="77777777" w:rsidR="00FF4893" w:rsidRDefault="00FF4893">
      <w:pPr>
        <w:pBdr>
          <w:top w:val="nil"/>
          <w:left w:val="nil"/>
          <w:bottom w:val="nil"/>
          <w:right w:val="nil"/>
          <w:between w:val="nil"/>
        </w:pBdr>
        <w:tabs>
          <w:tab w:val="center" w:pos="4513"/>
          <w:tab w:val="right" w:pos="9026"/>
        </w:tabs>
        <w:rPr>
          <w:color w:val="000000"/>
          <w:sz w:val="20"/>
          <w:szCs w:val="20"/>
        </w:rPr>
      </w:pPr>
    </w:p>
    <w:p w14:paraId="00000009" w14:textId="77777777" w:rsidR="00FF4893" w:rsidRDefault="00FF4893">
      <w:pPr>
        <w:pBdr>
          <w:top w:val="nil"/>
          <w:left w:val="nil"/>
          <w:bottom w:val="nil"/>
          <w:right w:val="nil"/>
          <w:between w:val="nil"/>
        </w:pBdr>
        <w:tabs>
          <w:tab w:val="center" w:pos="4513"/>
          <w:tab w:val="right" w:pos="9026"/>
        </w:tabs>
        <w:rPr>
          <w:color w:val="000000"/>
          <w:sz w:val="20"/>
          <w:szCs w:val="20"/>
        </w:rPr>
      </w:pPr>
    </w:p>
    <w:p w14:paraId="0000000A" w14:textId="77777777" w:rsidR="00FF4893" w:rsidRDefault="00FF4893">
      <w:pPr>
        <w:pBdr>
          <w:top w:val="nil"/>
          <w:left w:val="nil"/>
          <w:bottom w:val="nil"/>
          <w:right w:val="nil"/>
          <w:between w:val="nil"/>
        </w:pBdr>
        <w:tabs>
          <w:tab w:val="center" w:pos="4513"/>
          <w:tab w:val="right" w:pos="9026"/>
        </w:tabs>
        <w:rPr>
          <w:color w:val="000000"/>
          <w:sz w:val="20"/>
          <w:szCs w:val="20"/>
        </w:rPr>
      </w:pPr>
    </w:p>
    <w:p w14:paraId="0000000B" w14:textId="77777777" w:rsidR="00FF4893" w:rsidRDefault="001D1A3D">
      <w:pPr>
        <w:pBdr>
          <w:top w:val="nil"/>
          <w:left w:val="nil"/>
          <w:bottom w:val="nil"/>
          <w:right w:val="nil"/>
          <w:between w:val="nil"/>
        </w:pBdr>
        <w:tabs>
          <w:tab w:val="center" w:pos="4513"/>
          <w:tab w:val="right" w:pos="9026"/>
        </w:tabs>
        <w:rPr>
          <w:color w:val="000000"/>
        </w:rPr>
      </w:pPr>
      <w:r>
        <w:rPr>
          <w:color w:val="000000"/>
          <w:sz w:val="20"/>
          <w:szCs w:val="20"/>
        </w:rPr>
        <w:t>Version 2</w:t>
      </w:r>
    </w:p>
    <w:p w14:paraId="0000000C" w14:textId="77777777" w:rsidR="00FF4893" w:rsidRDefault="00FF4893">
      <w:pPr>
        <w:pBdr>
          <w:top w:val="nil"/>
          <w:left w:val="nil"/>
          <w:bottom w:val="nil"/>
          <w:right w:val="nil"/>
          <w:between w:val="nil"/>
        </w:pBdr>
        <w:tabs>
          <w:tab w:val="center" w:pos="4513"/>
          <w:tab w:val="right" w:pos="9026"/>
        </w:tabs>
        <w:rPr>
          <w:color w:val="000000"/>
          <w:sz w:val="20"/>
          <w:szCs w:val="20"/>
        </w:rPr>
      </w:pPr>
    </w:p>
    <w:p w14:paraId="0000000D" w14:textId="77777777" w:rsidR="00FF4893" w:rsidRDefault="00FF4893">
      <w:pPr>
        <w:pBdr>
          <w:top w:val="nil"/>
          <w:left w:val="nil"/>
          <w:bottom w:val="nil"/>
          <w:right w:val="nil"/>
          <w:between w:val="nil"/>
        </w:pBdr>
        <w:tabs>
          <w:tab w:val="center" w:pos="4513"/>
          <w:tab w:val="right" w:pos="9026"/>
        </w:tabs>
        <w:rPr>
          <w:color w:val="000000"/>
          <w:sz w:val="20"/>
          <w:szCs w:val="20"/>
        </w:rPr>
      </w:pPr>
    </w:p>
    <w:p w14:paraId="0000000E" w14:textId="77777777" w:rsidR="00FF4893" w:rsidRDefault="001D1A3D">
      <w:pPr>
        <w:pBdr>
          <w:top w:val="nil"/>
          <w:left w:val="nil"/>
          <w:bottom w:val="nil"/>
          <w:right w:val="nil"/>
          <w:between w:val="nil"/>
        </w:pBdr>
        <w:tabs>
          <w:tab w:val="center" w:pos="4513"/>
          <w:tab w:val="right" w:pos="9026"/>
        </w:tabs>
        <w:rPr>
          <w:color w:val="000000"/>
        </w:rPr>
      </w:pPr>
      <w:r>
        <w:rPr>
          <w:color w:val="000000"/>
          <w:sz w:val="20"/>
          <w:szCs w:val="20"/>
        </w:rPr>
        <w:t>Crown Copyright 2020</w:t>
      </w:r>
    </w:p>
    <w:p w14:paraId="0000000F" w14:textId="77777777" w:rsidR="00FF4893" w:rsidRDefault="00FF4893">
      <w:pPr>
        <w:pageBreakBefore/>
        <w:pBdr>
          <w:top w:val="nil"/>
          <w:left w:val="nil"/>
          <w:bottom w:val="nil"/>
          <w:right w:val="nil"/>
          <w:between w:val="nil"/>
        </w:pBdr>
        <w:spacing w:before="120" w:after="120"/>
        <w:rPr>
          <w:color w:val="000000"/>
        </w:rPr>
      </w:pPr>
    </w:p>
    <w:p w14:paraId="00000010" w14:textId="77777777" w:rsidR="00FF4893" w:rsidRDefault="001D1A3D">
      <w:pPr>
        <w:pStyle w:val="Heading2"/>
      </w:pPr>
      <w:bookmarkStart w:id="0" w:name="_heading=h.gjdgxs" w:colFirst="0" w:colLast="0"/>
      <w:bookmarkEnd w:id="0"/>
      <w:r>
        <w:t>Framework Schedule 6 (Order Form Template, Statement of Work Template and Call-Off Schedules)</w:t>
      </w:r>
    </w:p>
    <w:p w14:paraId="00000011" w14:textId="77777777" w:rsidR="00FF4893" w:rsidRDefault="00FF4893">
      <w:pPr>
        <w:pBdr>
          <w:top w:val="nil"/>
          <w:left w:val="nil"/>
          <w:bottom w:val="nil"/>
          <w:right w:val="nil"/>
          <w:between w:val="nil"/>
        </w:pBdr>
        <w:spacing w:before="120" w:after="120"/>
        <w:ind w:left="357"/>
        <w:rPr>
          <w:color w:val="000000"/>
        </w:rPr>
      </w:pPr>
    </w:p>
    <w:p w14:paraId="00000012" w14:textId="77777777" w:rsidR="00FF4893" w:rsidRDefault="001D1A3D">
      <w:pPr>
        <w:pStyle w:val="Heading3"/>
      </w:pPr>
      <w:r>
        <w:t>Order Form</w:t>
      </w:r>
    </w:p>
    <w:p w14:paraId="00000013" w14:textId="77777777" w:rsidR="00FF4893" w:rsidRDefault="00FF4893">
      <w:pPr>
        <w:pBdr>
          <w:top w:val="nil"/>
          <w:left w:val="nil"/>
          <w:bottom w:val="nil"/>
          <w:right w:val="nil"/>
          <w:between w:val="nil"/>
        </w:pBdr>
        <w:spacing w:before="120" w:after="120"/>
        <w:rPr>
          <w:color w:val="000000"/>
        </w:rPr>
      </w:pPr>
    </w:p>
    <w:p w14:paraId="00000014" w14:textId="77777777" w:rsidR="00FF4893" w:rsidRDefault="001D1A3D">
      <w:pPr>
        <w:pBdr>
          <w:top w:val="nil"/>
          <w:left w:val="nil"/>
          <w:bottom w:val="nil"/>
          <w:right w:val="nil"/>
          <w:between w:val="nil"/>
        </w:pBdr>
        <w:spacing w:before="120" w:after="120"/>
        <w:rPr>
          <w:color w:val="000000"/>
        </w:rPr>
      </w:pPr>
      <w:r>
        <w:rPr>
          <w:color w:val="000000"/>
        </w:rPr>
        <w:t xml:space="preserve">Call-Off Reference: </w:t>
      </w:r>
      <w:r>
        <w:rPr>
          <w:b/>
          <w:color w:val="000000"/>
        </w:rPr>
        <w:t>CCTS22A77</w:t>
      </w:r>
    </w:p>
    <w:p w14:paraId="00000015" w14:textId="77777777" w:rsidR="00FF4893" w:rsidRDefault="001D1A3D">
      <w:pPr>
        <w:pBdr>
          <w:top w:val="nil"/>
          <w:left w:val="nil"/>
          <w:bottom w:val="nil"/>
          <w:right w:val="nil"/>
          <w:between w:val="nil"/>
        </w:pBdr>
        <w:spacing w:before="120" w:after="120"/>
        <w:rPr>
          <w:color w:val="000000"/>
        </w:rPr>
      </w:pPr>
      <w:r>
        <w:rPr>
          <w:color w:val="000000"/>
        </w:rPr>
        <w:t xml:space="preserve">Call-Off Title: </w:t>
      </w:r>
      <w:r>
        <w:rPr>
          <w:b/>
          <w:color w:val="000000"/>
        </w:rPr>
        <w:t>THE PROVISION OF SPEND FORECASTING PROCESS AUTOMATION</w:t>
      </w:r>
    </w:p>
    <w:p w14:paraId="00000016" w14:textId="77777777" w:rsidR="00FF4893" w:rsidRDefault="001D1A3D">
      <w:pPr>
        <w:pBdr>
          <w:top w:val="nil"/>
          <w:left w:val="nil"/>
          <w:bottom w:val="nil"/>
          <w:right w:val="nil"/>
          <w:between w:val="nil"/>
        </w:pBdr>
        <w:spacing w:before="120" w:after="120"/>
        <w:ind w:left="357"/>
        <w:rPr>
          <w:b/>
          <w:color w:val="000000"/>
        </w:rPr>
      </w:pPr>
      <w:r>
        <w:rPr>
          <w:color w:val="000000"/>
        </w:rPr>
        <w:t xml:space="preserve">Call-Off Contract Description: </w:t>
      </w:r>
      <w:r>
        <w:rPr>
          <w:b/>
          <w:color w:val="000000"/>
        </w:rPr>
        <w:t>The way that CCS is building its business plan and focusing its efforts is changing. The new business strategy requires a shift from a focus on UK central government, arm’s length bodies and the wider public sector, to a segmented market focus. There is no consistent process or tool which allows forecasting, using customer and market intelligence and data, to enable effective business planning and monitoring of performance. This project will support CCS to focus on the customer, the proposed changes to the way we forecast our customer spend through our frameworks will allow us to support Market Segmentation. Additionally, the outcome of the project intends to support business and product planning by increasing forecasting accuracy through customer opportunity ownership</w:t>
      </w:r>
    </w:p>
    <w:p w14:paraId="00000017" w14:textId="77777777" w:rsidR="00FF4893" w:rsidRDefault="00FF4893">
      <w:pPr>
        <w:pBdr>
          <w:top w:val="nil"/>
          <w:left w:val="nil"/>
          <w:bottom w:val="nil"/>
          <w:right w:val="nil"/>
          <w:between w:val="nil"/>
        </w:pBdr>
        <w:spacing w:before="120" w:after="120"/>
        <w:ind w:left="357"/>
        <w:rPr>
          <w:b/>
          <w:color w:val="000000"/>
        </w:rPr>
      </w:pPr>
    </w:p>
    <w:p w14:paraId="00000018" w14:textId="77777777" w:rsidR="00FF4893" w:rsidRDefault="00FF4893">
      <w:pPr>
        <w:pBdr>
          <w:top w:val="nil"/>
          <w:left w:val="nil"/>
          <w:bottom w:val="nil"/>
          <w:right w:val="nil"/>
          <w:between w:val="nil"/>
        </w:pBdr>
        <w:spacing w:before="120" w:after="120"/>
        <w:ind w:left="357"/>
        <w:rPr>
          <w:b/>
          <w:color w:val="000000"/>
        </w:rPr>
      </w:pPr>
    </w:p>
    <w:p w14:paraId="00000019" w14:textId="77777777" w:rsidR="00FF4893" w:rsidRDefault="001D1A3D">
      <w:pPr>
        <w:pBdr>
          <w:top w:val="nil"/>
          <w:left w:val="nil"/>
          <w:bottom w:val="nil"/>
          <w:right w:val="nil"/>
          <w:between w:val="nil"/>
        </w:pBdr>
        <w:spacing w:before="120" w:after="120"/>
        <w:rPr>
          <w:color w:val="000000"/>
        </w:rPr>
      </w:pPr>
      <w:r>
        <w:rPr>
          <w:color w:val="000000"/>
        </w:rPr>
        <w:t xml:space="preserve">The Buyer: </w:t>
      </w:r>
      <w:r>
        <w:rPr>
          <w:b/>
          <w:color w:val="000000"/>
        </w:rPr>
        <w:t>Crown Commercial Service</w:t>
      </w:r>
    </w:p>
    <w:p w14:paraId="0000001A" w14:textId="60312ADA" w:rsidR="00FF4893" w:rsidRDefault="001D1A3D">
      <w:pPr>
        <w:pBdr>
          <w:top w:val="nil"/>
          <w:left w:val="nil"/>
          <w:bottom w:val="nil"/>
          <w:right w:val="nil"/>
          <w:between w:val="nil"/>
        </w:pBdr>
        <w:spacing w:before="120" w:after="120"/>
        <w:rPr>
          <w:color w:val="000000"/>
        </w:rPr>
      </w:pPr>
      <w:r>
        <w:rPr>
          <w:color w:val="000000"/>
        </w:rPr>
        <w:t xml:space="preserve">Buyer Address: </w:t>
      </w:r>
      <w:r w:rsidR="001B67E9">
        <w:rPr>
          <w:b/>
          <w:bCs/>
          <w:color w:val="FF0000"/>
        </w:rPr>
        <w:t>REDACTED TEXT under FOIA Section 40, Personal Information</w:t>
      </w:r>
    </w:p>
    <w:p w14:paraId="0000001B" w14:textId="77777777" w:rsidR="00FF4893" w:rsidRDefault="001D1A3D">
      <w:pPr>
        <w:pBdr>
          <w:top w:val="nil"/>
          <w:left w:val="nil"/>
          <w:bottom w:val="nil"/>
          <w:right w:val="nil"/>
          <w:between w:val="nil"/>
        </w:pBdr>
        <w:spacing w:before="120" w:after="120"/>
        <w:rPr>
          <w:color w:val="000000"/>
        </w:rPr>
      </w:pPr>
      <w:bookmarkStart w:id="1" w:name="_heading=h.30j0zll" w:colFirst="0" w:colLast="0"/>
      <w:bookmarkEnd w:id="1"/>
      <w:r>
        <w:rPr>
          <w:color w:val="000000"/>
        </w:rPr>
        <w:t xml:space="preserve">The Supplier: </w:t>
      </w:r>
      <w:r>
        <w:rPr>
          <w:b/>
          <w:color w:val="000000"/>
        </w:rPr>
        <w:t>Made Tech Limited</w:t>
      </w:r>
    </w:p>
    <w:p w14:paraId="0000001C" w14:textId="654F844F" w:rsidR="00FF4893" w:rsidRDefault="001D1A3D">
      <w:pPr>
        <w:pBdr>
          <w:top w:val="nil"/>
          <w:left w:val="nil"/>
          <w:bottom w:val="nil"/>
          <w:right w:val="nil"/>
          <w:between w:val="nil"/>
        </w:pBdr>
        <w:spacing w:before="120" w:after="120"/>
        <w:rPr>
          <w:color w:val="000000"/>
        </w:rPr>
      </w:pPr>
      <w:r>
        <w:rPr>
          <w:color w:val="000000"/>
        </w:rPr>
        <w:t xml:space="preserve">Supplier Address: </w:t>
      </w:r>
      <w:r w:rsidR="001B67E9">
        <w:rPr>
          <w:b/>
          <w:bCs/>
          <w:color w:val="FF0000"/>
        </w:rPr>
        <w:t>REDACTED TEXT under FOIA Section 40, Personal Information</w:t>
      </w:r>
    </w:p>
    <w:p w14:paraId="0000001D" w14:textId="77777777" w:rsidR="00FF4893" w:rsidRDefault="001D1A3D">
      <w:pPr>
        <w:pBdr>
          <w:top w:val="nil"/>
          <w:left w:val="nil"/>
          <w:bottom w:val="nil"/>
          <w:right w:val="nil"/>
          <w:between w:val="nil"/>
        </w:pBdr>
        <w:spacing w:before="120" w:after="120"/>
        <w:rPr>
          <w:color w:val="000000"/>
        </w:rPr>
      </w:pPr>
      <w:r>
        <w:rPr>
          <w:color w:val="000000"/>
        </w:rPr>
        <w:t xml:space="preserve">Registration Number: </w:t>
      </w:r>
      <w:r>
        <w:rPr>
          <w:b/>
          <w:color w:val="000000"/>
        </w:rPr>
        <w:t>06591591</w:t>
      </w:r>
    </w:p>
    <w:p w14:paraId="0000001E" w14:textId="77777777" w:rsidR="00FF4893" w:rsidRDefault="001D1A3D">
      <w:pPr>
        <w:pBdr>
          <w:top w:val="nil"/>
          <w:left w:val="nil"/>
          <w:bottom w:val="nil"/>
          <w:right w:val="nil"/>
          <w:between w:val="nil"/>
        </w:pBdr>
        <w:spacing w:before="120" w:after="120"/>
        <w:rPr>
          <w:color w:val="000000"/>
        </w:rPr>
      </w:pPr>
      <w:r>
        <w:rPr>
          <w:color w:val="000000"/>
        </w:rPr>
        <w:t xml:space="preserve">DUNS Number: </w:t>
      </w:r>
      <w:r>
        <w:rPr>
          <w:b/>
          <w:color w:val="000000"/>
        </w:rPr>
        <w:t>211199050_DUP</w:t>
      </w:r>
    </w:p>
    <w:p w14:paraId="0000001F" w14:textId="77777777" w:rsidR="00FF4893" w:rsidRDefault="001D1A3D">
      <w:pPr>
        <w:pBdr>
          <w:top w:val="nil"/>
          <w:left w:val="nil"/>
          <w:bottom w:val="nil"/>
          <w:right w:val="nil"/>
          <w:between w:val="nil"/>
        </w:pBdr>
        <w:spacing w:before="120" w:after="120"/>
        <w:rPr>
          <w:color w:val="000000"/>
        </w:rPr>
      </w:pPr>
      <w:r>
        <w:rPr>
          <w:color w:val="000000"/>
        </w:rPr>
        <w:t xml:space="preserve">SID4GOV ID: </w:t>
      </w:r>
      <w:r>
        <w:rPr>
          <w:b/>
          <w:color w:val="000000"/>
        </w:rPr>
        <w:t>N/A</w:t>
      </w:r>
    </w:p>
    <w:p w14:paraId="00000020" w14:textId="77777777" w:rsidR="00FF4893" w:rsidRDefault="00FF4893">
      <w:pPr>
        <w:pBdr>
          <w:top w:val="nil"/>
          <w:left w:val="nil"/>
          <w:bottom w:val="nil"/>
          <w:right w:val="nil"/>
          <w:between w:val="nil"/>
        </w:pBdr>
        <w:spacing w:before="120" w:after="120"/>
        <w:rPr>
          <w:color w:val="000000"/>
        </w:rPr>
      </w:pPr>
    </w:p>
    <w:p w14:paraId="00000021" w14:textId="77777777" w:rsidR="00FF4893" w:rsidRDefault="001D1A3D">
      <w:pPr>
        <w:pStyle w:val="Heading4"/>
        <w:pageBreakBefore/>
      </w:pPr>
      <w:r>
        <w:lastRenderedPageBreak/>
        <w:t>Applicable Framework Contract</w:t>
      </w:r>
    </w:p>
    <w:p w14:paraId="00000022" w14:textId="73C04DCE" w:rsidR="00FF4893" w:rsidRDefault="001D1A3D">
      <w:pPr>
        <w:pBdr>
          <w:top w:val="nil"/>
          <w:left w:val="nil"/>
          <w:bottom w:val="nil"/>
          <w:right w:val="nil"/>
          <w:between w:val="nil"/>
        </w:pBdr>
        <w:spacing w:before="120" w:after="120"/>
        <w:rPr>
          <w:b/>
          <w:color w:val="000000"/>
        </w:rPr>
      </w:pPr>
      <w:r>
        <w:rPr>
          <w:color w:val="000000"/>
        </w:rPr>
        <w:t xml:space="preserve">This Order Form is for the provision of the Call-Off Deliverables and dated </w:t>
      </w:r>
      <w:r w:rsidR="003B68E3">
        <w:rPr>
          <w:b/>
          <w:color w:val="000000"/>
        </w:rPr>
        <w:t>Friday 7</w:t>
      </w:r>
      <w:r w:rsidR="003B68E3" w:rsidRPr="003B68E3">
        <w:rPr>
          <w:b/>
          <w:color w:val="000000"/>
          <w:vertAlign w:val="superscript"/>
        </w:rPr>
        <w:t>th</w:t>
      </w:r>
      <w:r w:rsidR="003B68E3">
        <w:rPr>
          <w:b/>
          <w:color w:val="000000"/>
        </w:rPr>
        <w:t xml:space="preserve"> October 2022. </w:t>
      </w:r>
    </w:p>
    <w:p w14:paraId="00000023" w14:textId="77777777" w:rsidR="00FF4893" w:rsidRDefault="001D1A3D">
      <w:pPr>
        <w:pBdr>
          <w:top w:val="nil"/>
          <w:left w:val="nil"/>
          <w:bottom w:val="nil"/>
          <w:right w:val="nil"/>
          <w:between w:val="nil"/>
        </w:pBdr>
        <w:spacing w:before="120" w:after="120"/>
        <w:rPr>
          <w:color w:val="000000"/>
        </w:rPr>
      </w:pPr>
      <w:r>
        <w:rPr>
          <w:color w:val="000000"/>
        </w:rPr>
        <w:t>It’s issued under the Framework Contract with the reference number RM1043.7 for the provision of Digital Outcomes and Specialists Deliverables.</w:t>
      </w:r>
    </w:p>
    <w:p w14:paraId="00000024" w14:textId="77777777" w:rsidR="00FF4893" w:rsidRDefault="001D1A3D">
      <w:pPr>
        <w:pBdr>
          <w:top w:val="nil"/>
          <w:left w:val="nil"/>
          <w:bottom w:val="nil"/>
          <w:right w:val="nil"/>
          <w:between w:val="nil"/>
        </w:pBdr>
        <w:spacing w:before="120" w:after="120"/>
        <w:rPr>
          <w:color w:val="000000"/>
        </w:rPr>
      </w:pPr>
      <w:r>
        <w:rPr>
          <w:color w:val="000000"/>
        </w:rPr>
        <w:t>The Parties intend that this Call-Off Contract will not, except for the first Statement of Work which shall be executed at the same time that the Call-Off Contract is executed, oblige the Buyer to buy or the Supplier to supply Deliverables.</w:t>
      </w:r>
    </w:p>
    <w:p w14:paraId="00000025" w14:textId="77777777" w:rsidR="00FF4893" w:rsidRDefault="001D1A3D">
      <w:pPr>
        <w:pBdr>
          <w:top w:val="nil"/>
          <w:left w:val="nil"/>
          <w:bottom w:val="nil"/>
          <w:right w:val="nil"/>
          <w:between w:val="nil"/>
        </w:pBdr>
        <w:spacing w:before="120" w:after="120"/>
        <w:rPr>
          <w:color w:val="000000"/>
        </w:rPr>
      </w:pPr>
      <w:r>
        <w:rPr>
          <w:color w:val="000000"/>
        </w:rP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00000026" w14:textId="77777777" w:rsidR="00FF4893" w:rsidRDefault="001D1A3D">
      <w:pPr>
        <w:pBdr>
          <w:top w:val="nil"/>
          <w:left w:val="nil"/>
          <w:bottom w:val="nil"/>
          <w:right w:val="nil"/>
          <w:between w:val="nil"/>
        </w:pBdr>
        <w:spacing w:before="120" w:after="120"/>
        <w:rPr>
          <w:color w:val="000000"/>
        </w:rPr>
      </w:pPr>
      <w:r>
        <w:rPr>
          <w:color w:val="000000"/>
        </w:rPr>
        <w:t>Upon the execution of each Statement of Work it shall become incorporated into the Buyer and Supplier’s Call-Off Contract.</w:t>
      </w:r>
    </w:p>
    <w:p w14:paraId="00000027" w14:textId="77777777" w:rsidR="00FF4893" w:rsidRDefault="00FF4893">
      <w:pPr>
        <w:pBdr>
          <w:top w:val="nil"/>
          <w:left w:val="nil"/>
          <w:bottom w:val="nil"/>
          <w:right w:val="nil"/>
          <w:between w:val="nil"/>
        </w:pBdr>
        <w:spacing w:before="120" w:after="120"/>
        <w:rPr>
          <w:color w:val="000000"/>
        </w:rPr>
      </w:pPr>
    </w:p>
    <w:p w14:paraId="00000028" w14:textId="77777777" w:rsidR="00FF4893" w:rsidRDefault="001D1A3D">
      <w:pPr>
        <w:pStyle w:val="Heading4"/>
      </w:pPr>
      <w:r>
        <w:t>Call-Off Lot</w:t>
      </w:r>
    </w:p>
    <w:p w14:paraId="00000029" w14:textId="77777777" w:rsidR="00FF4893" w:rsidRDefault="001D1A3D">
      <w:pPr>
        <w:pBdr>
          <w:top w:val="nil"/>
          <w:left w:val="nil"/>
          <w:bottom w:val="nil"/>
          <w:right w:val="nil"/>
          <w:between w:val="nil"/>
        </w:pBdr>
        <w:spacing w:before="120" w:after="120"/>
        <w:ind w:left="357"/>
        <w:rPr>
          <w:color w:val="000000"/>
        </w:rPr>
      </w:pPr>
      <w:r>
        <w:rPr>
          <w:color w:val="000000"/>
        </w:rPr>
        <w:t xml:space="preserve">Lot 1: Digital Outcomes </w:t>
      </w:r>
    </w:p>
    <w:p w14:paraId="0000002A" w14:textId="77777777" w:rsidR="00FF4893" w:rsidRDefault="00FF4893">
      <w:pPr>
        <w:pBdr>
          <w:top w:val="nil"/>
          <w:left w:val="nil"/>
          <w:bottom w:val="nil"/>
          <w:right w:val="nil"/>
          <w:between w:val="nil"/>
        </w:pBdr>
        <w:spacing w:before="120" w:after="120"/>
        <w:ind w:left="357"/>
        <w:rPr>
          <w:color w:val="000000"/>
        </w:rPr>
      </w:pPr>
    </w:p>
    <w:p w14:paraId="0000002B" w14:textId="77777777" w:rsidR="00FF4893" w:rsidRDefault="001D1A3D">
      <w:pPr>
        <w:pStyle w:val="Heading4"/>
      </w:pPr>
      <w:r>
        <w:t>Call-Off Incorporated Terms</w:t>
      </w:r>
    </w:p>
    <w:p w14:paraId="0000002C" w14:textId="77777777" w:rsidR="00FF4893" w:rsidRDefault="001D1A3D">
      <w:pPr>
        <w:pBdr>
          <w:top w:val="nil"/>
          <w:left w:val="nil"/>
          <w:bottom w:val="nil"/>
          <w:right w:val="nil"/>
          <w:between w:val="nil"/>
        </w:pBdr>
        <w:spacing w:before="120" w:after="120"/>
        <w:rPr>
          <w:color w:val="000000"/>
        </w:rPr>
      </w:pPr>
      <w:r>
        <w:rPr>
          <w:color w:val="000000"/>
        </w:rPr>
        <w:t>The following documents are incorporated into this Call-Off Contract. Where numbers are missing we are not using those schedules. If the documents conflict, the following order of precedence applies:</w:t>
      </w:r>
    </w:p>
    <w:p w14:paraId="0000002D" w14:textId="77777777" w:rsidR="00FF4893" w:rsidRDefault="001D1A3D">
      <w:pPr>
        <w:numPr>
          <w:ilvl w:val="0"/>
          <w:numId w:val="5"/>
        </w:numPr>
        <w:pBdr>
          <w:top w:val="nil"/>
          <w:left w:val="nil"/>
          <w:bottom w:val="nil"/>
          <w:right w:val="nil"/>
          <w:between w:val="nil"/>
        </w:pBdr>
        <w:spacing w:before="120" w:after="120"/>
      </w:pPr>
      <w:r>
        <w:rPr>
          <w:color w:val="000000"/>
        </w:rPr>
        <w:t>This Order Form including the Call-Off Special Terms and Call-Off Special Schedules.</w:t>
      </w:r>
    </w:p>
    <w:p w14:paraId="0000002E" w14:textId="77777777" w:rsidR="00FF4893" w:rsidRDefault="001D1A3D">
      <w:pPr>
        <w:numPr>
          <w:ilvl w:val="0"/>
          <w:numId w:val="5"/>
        </w:numPr>
        <w:pBdr>
          <w:top w:val="nil"/>
          <w:left w:val="nil"/>
          <w:bottom w:val="nil"/>
          <w:right w:val="nil"/>
          <w:between w:val="nil"/>
        </w:pBdr>
        <w:spacing w:before="120" w:after="120"/>
      </w:pPr>
      <w:r>
        <w:rPr>
          <w:color w:val="000000"/>
        </w:rPr>
        <w:t>Joint Schedule 1 (Definitions) RM1043.7</w:t>
      </w:r>
    </w:p>
    <w:p w14:paraId="0000002F" w14:textId="77777777" w:rsidR="00FF4893" w:rsidRDefault="001D1A3D">
      <w:pPr>
        <w:numPr>
          <w:ilvl w:val="0"/>
          <w:numId w:val="5"/>
        </w:numPr>
        <w:pBdr>
          <w:top w:val="nil"/>
          <w:left w:val="nil"/>
          <w:bottom w:val="nil"/>
          <w:right w:val="nil"/>
          <w:between w:val="nil"/>
        </w:pBdr>
        <w:spacing w:before="120" w:after="120"/>
      </w:pPr>
      <w:r>
        <w:rPr>
          <w:color w:val="000000"/>
        </w:rPr>
        <w:t>Framework Special Terms</w:t>
      </w:r>
    </w:p>
    <w:p w14:paraId="00000030" w14:textId="77777777" w:rsidR="00FF4893" w:rsidRDefault="001D1A3D">
      <w:pPr>
        <w:numPr>
          <w:ilvl w:val="0"/>
          <w:numId w:val="5"/>
        </w:numPr>
        <w:pBdr>
          <w:top w:val="nil"/>
          <w:left w:val="nil"/>
          <w:bottom w:val="nil"/>
          <w:right w:val="nil"/>
          <w:between w:val="nil"/>
        </w:pBdr>
        <w:spacing w:before="120" w:after="120"/>
      </w:pPr>
      <w:r>
        <w:rPr>
          <w:color w:val="000000"/>
        </w:rPr>
        <w:t xml:space="preserve">The following Schedules in equal order of precedence: </w:t>
      </w:r>
    </w:p>
    <w:p w14:paraId="00000031" w14:textId="77777777" w:rsidR="00FF4893" w:rsidRDefault="001D1A3D">
      <w:pPr>
        <w:numPr>
          <w:ilvl w:val="0"/>
          <w:numId w:val="6"/>
        </w:numPr>
        <w:pBdr>
          <w:top w:val="nil"/>
          <w:left w:val="nil"/>
          <w:bottom w:val="nil"/>
          <w:right w:val="nil"/>
          <w:between w:val="nil"/>
        </w:pBdr>
        <w:spacing w:before="120" w:after="120"/>
      </w:pPr>
      <w:r>
        <w:rPr>
          <w:color w:val="000000"/>
        </w:rPr>
        <w:t>Joint Schedules for RM1043.7</w:t>
      </w:r>
    </w:p>
    <w:p w14:paraId="00000032" w14:textId="77777777" w:rsidR="00FF4893" w:rsidRDefault="001D1A3D">
      <w:pPr>
        <w:numPr>
          <w:ilvl w:val="1"/>
          <w:numId w:val="6"/>
        </w:numPr>
        <w:pBdr>
          <w:top w:val="nil"/>
          <w:left w:val="nil"/>
          <w:bottom w:val="nil"/>
          <w:right w:val="nil"/>
          <w:between w:val="nil"/>
        </w:pBdr>
        <w:spacing w:before="120" w:after="120"/>
      </w:pPr>
      <w:r>
        <w:rPr>
          <w:color w:val="000000"/>
        </w:rPr>
        <w:t>Joint Schedule 2 (Variation Form)</w:t>
      </w:r>
    </w:p>
    <w:p w14:paraId="00000033" w14:textId="77777777" w:rsidR="00FF4893" w:rsidRDefault="001D1A3D">
      <w:pPr>
        <w:numPr>
          <w:ilvl w:val="1"/>
          <w:numId w:val="6"/>
        </w:numPr>
        <w:pBdr>
          <w:top w:val="nil"/>
          <w:left w:val="nil"/>
          <w:bottom w:val="nil"/>
          <w:right w:val="nil"/>
          <w:between w:val="nil"/>
        </w:pBdr>
        <w:spacing w:before="120" w:after="120"/>
      </w:pPr>
      <w:r>
        <w:rPr>
          <w:color w:val="000000"/>
        </w:rPr>
        <w:t>Joint Schedule 3 (Insurance Requirements)</w:t>
      </w:r>
    </w:p>
    <w:p w14:paraId="00000034" w14:textId="77777777" w:rsidR="00FF4893" w:rsidRDefault="001D1A3D">
      <w:pPr>
        <w:numPr>
          <w:ilvl w:val="1"/>
          <w:numId w:val="6"/>
        </w:numPr>
        <w:pBdr>
          <w:top w:val="nil"/>
          <w:left w:val="nil"/>
          <w:bottom w:val="nil"/>
          <w:right w:val="nil"/>
          <w:between w:val="nil"/>
        </w:pBdr>
        <w:spacing w:before="120" w:after="120"/>
      </w:pPr>
      <w:r>
        <w:rPr>
          <w:color w:val="000000"/>
        </w:rPr>
        <w:t>Joint Schedule 4 (Commercially Sensitive Information)</w:t>
      </w:r>
    </w:p>
    <w:p w14:paraId="00000035" w14:textId="77777777" w:rsidR="00FF4893" w:rsidRDefault="001D1A3D">
      <w:pPr>
        <w:numPr>
          <w:ilvl w:val="1"/>
          <w:numId w:val="6"/>
        </w:numPr>
        <w:pBdr>
          <w:top w:val="nil"/>
          <w:left w:val="nil"/>
          <w:bottom w:val="nil"/>
          <w:right w:val="nil"/>
          <w:between w:val="nil"/>
        </w:pBdr>
        <w:spacing w:before="120" w:after="120"/>
      </w:pPr>
      <w:r>
        <w:rPr>
          <w:color w:val="000000"/>
        </w:rPr>
        <w:t xml:space="preserve">Joint Schedule 7 (Financial Difficulties) </w:t>
      </w:r>
    </w:p>
    <w:p w14:paraId="00000036" w14:textId="77777777" w:rsidR="00FF4893" w:rsidRDefault="001D1A3D">
      <w:pPr>
        <w:numPr>
          <w:ilvl w:val="1"/>
          <w:numId w:val="6"/>
        </w:numPr>
        <w:pBdr>
          <w:top w:val="nil"/>
          <w:left w:val="nil"/>
          <w:bottom w:val="nil"/>
          <w:right w:val="nil"/>
          <w:between w:val="nil"/>
        </w:pBdr>
        <w:spacing w:before="120" w:after="120"/>
      </w:pPr>
      <w:r>
        <w:rPr>
          <w:color w:val="000000"/>
        </w:rPr>
        <w:t>Joint Schedule 10 (Rectification Plan)</w:t>
      </w:r>
    </w:p>
    <w:p w14:paraId="00000037" w14:textId="77777777" w:rsidR="00FF4893" w:rsidRDefault="001D1A3D">
      <w:pPr>
        <w:numPr>
          <w:ilvl w:val="1"/>
          <w:numId w:val="6"/>
        </w:numPr>
        <w:pBdr>
          <w:top w:val="nil"/>
          <w:left w:val="nil"/>
          <w:bottom w:val="nil"/>
          <w:right w:val="nil"/>
          <w:between w:val="nil"/>
        </w:pBdr>
        <w:spacing w:before="120" w:after="120"/>
      </w:pPr>
      <w:r>
        <w:rPr>
          <w:color w:val="000000"/>
        </w:rPr>
        <w:t>Joint Schedule 11 (Processing Data) RM1043.7</w:t>
      </w:r>
    </w:p>
    <w:p w14:paraId="00000038" w14:textId="77777777" w:rsidR="00FF4893" w:rsidRDefault="001D1A3D">
      <w:pPr>
        <w:numPr>
          <w:ilvl w:val="1"/>
          <w:numId w:val="6"/>
        </w:numPr>
        <w:pBdr>
          <w:top w:val="nil"/>
          <w:left w:val="nil"/>
          <w:bottom w:val="nil"/>
          <w:right w:val="nil"/>
          <w:between w:val="nil"/>
        </w:pBdr>
        <w:spacing w:before="120" w:after="120"/>
      </w:pPr>
      <w:r>
        <w:rPr>
          <w:color w:val="000000"/>
        </w:rPr>
        <w:t>Joint Schedule 12 (Supply Chain Visibility)</w:t>
      </w:r>
      <w:r>
        <w:rPr>
          <w:color w:val="000000"/>
        </w:rPr>
        <w:tab/>
      </w:r>
    </w:p>
    <w:p w14:paraId="00000039" w14:textId="77777777" w:rsidR="00FF4893" w:rsidRDefault="00FF4893">
      <w:pPr>
        <w:pBdr>
          <w:top w:val="nil"/>
          <w:left w:val="nil"/>
          <w:bottom w:val="nil"/>
          <w:right w:val="nil"/>
          <w:between w:val="nil"/>
        </w:pBdr>
        <w:spacing w:before="120" w:after="120"/>
        <w:rPr>
          <w:color w:val="000000"/>
        </w:rPr>
      </w:pPr>
    </w:p>
    <w:p w14:paraId="0000003A" w14:textId="77777777" w:rsidR="00FF4893" w:rsidRDefault="001D1A3D">
      <w:pPr>
        <w:pageBreakBefore/>
        <w:numPr>
          <w:ilvl w:val="0"/>
          <w:numId w:val="6"/>
        </w:numPr>
        <w:pBdr>
          <w:top w:val="nil"/>
          <w:left w:val="nil"/>
          <w:bottom w:val="nil"/>
          <w:right w:val="nil"/>
          <w:between w:val="nil"/>
        </w:pBdr>
        <w:spacing w:before="120" w:after="120"/>
      </w:pPr>
      <w:r>
        <w:rPr>
          <w:color w:val="000000"/>
        </w:rPr>
        <w:lastRenderedPageBreak/>
        <w:t>Call-Off Schedules for RM1043.7</w:t>
      </w:r>
    </w:p>
    <w:p w14:paraId="0000003B" w14:textId="77777777" w:rsidR="00FF4893" w:rsidRDefault="001D1A3D">
      <w:pPr>
        <w:numPr>
          <w:ilvl w:val="1"/>
          <w:numId w:val="6"/>
        </w:numPr>
        <w:pBdr>
          <w:top w:val="nil"/>
          <w:left w:val="nil"/>
          <w:bottom w:val="nil"/>
          <w:right w:val="nil"/>
          <w:between w:val="nil"/>
        </w:pBdr>
        <w:spacing w:before="120" w:after="120"/>
      </w:pPr>
      <w:r>
        <w:rPr>
          <w:color w:val="000000"/>
        </w:rPr>
        <w:t>Call-Off Schedule 1 (Transparency Reports)</w:t>
      </w:r>
    </w:p>
    <w:p w14:paraId="0000003C" w14:textId="77777777" w:rsidR="00FF4893" w:rsidRDefault="001D1A3D">
      <w:pPr>
        <w:numPr>
          <w:ilvl w:val="1"/>
          <w:numId w:val="6"/>
        </w:numPr>
        <w:pBdr>
          <w:top w:val="nil"/>
          <w:left w:val="nil"/>
          <w:bottom w:val="nil"/>
          <w:right w:val="nil"/>
          <w:between w:val="nil"/>
        </w:pBdr>
        <w:spacing w:before="120" w:after="120"/>
      </w:pPr>
      <w:r>
        <w:rPr>
          <w:color w:val="000000"/>
        </w:rPr>
        <w:t>Call-Off Schedule 2 (Staff Transfer)</w:t>
      </w:r>
    </w:p>
    <w:p w14:paraId="0000003D" w14:textId="77777777" w:rsidR="00FF4893" w:rsidRDefault="001D1A3D">
      <w:pPr>
        <w:numPr>
          <w:ilvl w:val="1"/>
          <w:numId w:val="6"/>
        </w:numPr>
        <w:pBdr>
          <w:top w:val="nil"/>
          <w:left w:val="nil"/>
          <w:bottom w:val="nil"/>
          <w:right w:val="nil"/>
          <w:between w:val="nil"/>
        </w:pBdr>
        <w:spacing w:before="120" w:after="120"/>
      </w:pPr>
      <w:r>
        <w:rPr>
          <w:color w:val="000000"/>
        </w:rPr>
        <w:t>Call-Off Schedule 3 (Continuous Improvement)</w:t>
      </w:r>
    </w:p>
    <w:p w14:paraId="0000003E" w14:textId="77777777" w:rsidR="00FF4893" w:rsidRDefault="001D1A3D">
      <w:pPr>
        <w:numPr>
          <w:ilvl w:val="1"/>
          <w:numId w:val="6"/>
        </w:numPr>
        <w:pBdr>
          <w:top w:val="nil"/>
          <w:left w:val="nil"/>
          <w:bottom w:val="nil"/>
          <w:right w:val="nil"/>
          <w:between w:val="nil"/>
        </w:pBdr>
        <w:spacing w:before="120" w:after="120"/>
      </w:pPr>
      <w:r>
        <w:rPr>
          <w:color w:val="000000"/>
        </w:rPr>
        <w:t>Call-Off Schedule 5 (Pricing Details and Expenses Policy)</w:t>
      </w:r>
    </w:p>
    <w:p w14:paraId="0000003F" w14:textId="77777777" w:rsidR="00FF4893" w:rsidRDefault="001D1A3D">
      <w:pPr>
        <w:numPr>
          <w:ilvl w:val="1"/>
          <w:numId w:val="6"/>
        </w:numPr>
        <w:pBdr>
          <w:top w:val="nil"/>
          <w:left w:val="nil"/>
          <w:bottom w:val="nil"/>
          <w:right w:val="nil"/>
          <w:between w:val="nil"/>
        </w:pBdr>
        <w:spacing w:before="120" w:after="120"/>
      </w:pPr>
      <w:r>
        <w:rPr>
          <w:color w:val="000000"/>
        </w:rPr>
        <w:t>Call-Off Schedule 6 (Intellectual Property Rights and Additional Terms on Digital Deliverables)</w:t>
      </w:r>
    </w:p>
    <w:p w14:paraId="00000040" w14:textId="77777777" w:rsidR="00FF4893" w:rsidRDefault="001D1A3D">
      <w:pPr>
        <w:numPr>
          <w:ilvl w:val="1"/>
          <w:numId w:val="6"/>
        </w:numPr>
        <w:pBdr>
          <w:top w:val="nil"/>
          <w:left w:val="nil"/>
          <w:bottom w:val="nil"/>
          <w:right w:val="nil"/>
          <w:between w:val="nil"/>
        </w:pBdr>
        <w:spacing w:before="120" w:after="120"/>
      </w:pPr>
      <w:r>
        <w:rPr>
          <w:color w:val="000000"/>
        </w:rPr>
        <w:t>Call-Off Schedule 7 (Key Supplier Staff)</w:t>
      </w:r>
    </w:p>
    <w:p w14:paraId="00000041" w14:textId="77777777" w:rsidR="00FF4893" w:rsidRDefault="001D1A3D">
      <w:pPr>
        <w:numPr>
          <w:ilvl w:val="1"/>
          <w:numId w:val="6"/>
        </w:numPr>
        <w:pBdr>
          <w:top w:val="nil"/>
          <w:left w:val="nil"/>
          <w:bottom w:val="nil"/>
          <w:right w:val="nil"/>
          <w:between w:val="nil"/>
        </w:pBdr>
        <w:spacing w:before="120" w:after="120"/>
      </w:pPr>
      <w:r>
        <w:rPr>
          <w:color w:val="000000"/>
        </w:rPr>
        <w:t>Call-Off Schedule 8 (Business Continuity and Disaster Recovery)</w:t>
      </w:r>
    </w:p>
    <w:p w14:paraId="00000042" w14:textId="77777777" w:rsidR="00FF4893" w:rsidRDefault="001D1A3D">
      <w:pPr>
        <w:numPr>
          <w:ilvl w:val="1"/>
          <w:numId w:val="6"/>
        </w:numPr>
        <w:pBdr>
          <w:top w:val="nil"/>
          <w:left w:val="nil"/>
          <w:bottom w:val="nil"/>
          <w:right w:val="nil"/>
          <w:between w:val="nil"/>
        </w:pBdr>
        <w:spacing w:before="120" w:after="120"/>
      </w:pPr>
      <w:r>
        <w:rPr>
          <w:color w:val="000000"/>
        </w:rPr>
        <w:t>Call-Off Schedule 9 (Security)</w:t>
      </w:r>
    </w:p>
    <w:p w14:paraId="00000043" w14:textId="77777777" w:rsidR="00FF4893" w:rsidRDefault="001D1A3D">
      <w:pPr>
        <w:numPr>
          <w:ilvl w:val="1"/>
          <w:numId w:val="6"/>
        </w:numPr>
        <w:pBdr>
          <w:top w:val="nil"/>
          <w:left w:val="nil"/>
          <w:bottom w:val="nil"/>
          <w:right w:val="nil"/>
          <w:between w:val="nil"/>
        </w:pBdr>
        <w:spacing w:before="120" w:after="120"/>
      </w:pPr>
      <w:r>
        <w:rPr>
          <w:color w:val="000000"/>
        </w:rPr>
        <w:t>Call-Off Schedule 10 (Exit Management)</w:t>
      </w:r>
    </w:p>
    <w:p w14:paraId="00000044" w14:textId="77777777" w:rsidR="00FF4893" w:rsidRDefault="001D1A3D">
      <w:pPr>
        <w:numPr>
          <w:ilvl w:val="1"/>
          <w:numId w:val="6"/>
        </w:numPr>
        <w:pBdr>
          <w:top w:val="nil"/>
          <w:left w:val="nil"/>
          <w:bottom w:val="nil"/>
          <w:right w:val="nil"/>
          <w:between w:val="nil"/>
        </w:pBdr>
        <w:spacing w:before="120" w:after="120"/>
      </w:pPr>
      <w:r>
        <w:rPr>
          <w:color w:val="000000"/>
        </w:rPr>
        <w:t>Call-Off Schedule 13 (Implementation Plan and Testing)</w:t>
      </w:r>
    </w:p>
    <w:p w14:paraId="00000045" w14:textId="77777777" w:rsidR="00FF4893" w:rsidRDefault="001D1A3D">
      <w:pPr>
        <w:numPr>
          <w:ilvl w:val="1"/>
          <w:numId w:val="6"/>
        </w:numPr>
        <w:pBdr>
          <w:top w:val="nil"/>
          <w:left w:val="nil"/>
          <w:bottom w:val="nil"/>
          <w:right w:val="nil"/>
          <w:between w:val="nil"/>
        </w:pBdr>
        <w:spacing w:before="120" w:after="120"/>
      </w:pPr>
      <w:r>
        <w:rPr>
          <w:color w:val="000000"/>
        </w:rPr>
        <w:t xml:space="preserve">Call-Off Schedule 14 (Service Levels and Balanced Scorecard) </w:t>
      </w:r>
    </w:p>
    <w:p w14:paraId="00000046" w14:textId="77777777" w:rsidR="00FF4893" w:rsidRDefault="001D1A3D">
      <w:pPr>
        <w:numPr>
          <w:ilvl w:val="1"/>
          <w:numId w:val="6"/>
        </w:numPr>
        <w:pBdr>
          <w:top w:val="nil"/>
          <w:left w:val="nil"/>
          <w:bottom w:val="nil"/>
          <w:right w:val="nil"/>
          <w:between w:val="nil"/>
        </w:pBdr>
        <w:spacing w:before="120" w:after="120"/>
      </w:pPr>
      <w:r>
        <w:rPr>
          <w:color w:val="000000"/>
        </w:rPr>
        <w:t xml:space="preserve">Call-Off Schedule 15 (Call-Off Contract Management) </w:t>
      </w:r>
    </w:p>
    <w:p w14:paraId="00000047" w14:textId="77777777" w:rsidR="00FF4893" w:rsidRDefault="001D1A3D">
      <w:pPr>
        <w:numPr>
          <w:ilvl w:val="1"/>
          <w:numId w:val="6"/>
        </w:numPr>
        <w:pBdr>
          <w:top w:val="nil"/>
          <w:left w:val="nil"/>
          <w:bottom w:val="nil"/>
          <w:right w:val="nil"/>
          <w:between w:val="nil"/>
        </w:pBdr>
        <w:spacing w:before="120" w:after="120"/>
      </w:pPr>
      <w:r>
        <w:rPr>
          <w:color w:val="000000"/>
        </w:rPr>
        <w:t xml:space="preserve">Call-Off Schedule 16 (Benchmarking) </w:t>
      </w:r>
    </w:p>
    <w:p w14:paraId="00000048" w14:textId="77777777" w:rsidR="00FF4893" w:rsidRDefault="001D1A3D">
      <w:pPr>
        <w:numPr>
          <w:ilvl w:val="1"/>
          <w:numId w:val="6"/>
        </w:numPr>
        <w:pBdr>
          <w:top w:val="nil"/>
          <w:left w:val="nil"/>
          <w:bottom w:val="nil"/>
          <w:right w:val="nil"/>
          <w:between w:val="nil"/>
        </w:pBdr>
        <w:spacing w:before="120" w:after="120"/>
      </w:pPr>
      <w:r>
        <w:rPr>
          <w:color w:val="000000"/>
        </w:rPr>
        <w:t xml:space="preserve">Call-Off Schedule 18 (Background Checks) </w:t>
      </w:r>
    </w:p>
    <w:p w14:paraId="00000049" w14:textId="77777777" w:rsidR="00FF4893" w:rsidRDefault="001D1A3D">
      <w:pPr>
        <w:numPr>
          <w:ilvl w:val="1"/>
          <w:numId w:val="6"/>
        </w:numPr>
        <w:pBdr>
          <w:top w:val="nil"/>
          <w:left w:val="nil"/>
          <w:bottom w:val="nil"/>
          <w:right w:val="nil"/>
          <w:between w:val="nil"/>
        </w:pBdr>
        <w:spacing w:before="120" w:after="120"/>
      </w:pPr>
      <w:r>
        <w:rPr>
          <w:color w:val="000000"/>
        </w:rPr>
        <w:t>Call-Off Schedule 20 (Call-Off Specification)</w:t>
      </w:r>
    </w:p>
    <w:p w14:paraId="0000004A" w14:textId="77777777" w:rsidR="00FF4893" w:rsidRDefault="001D1A3D">
      <w:pPr>
        <w:numPr>
          <w:ilvl w:val="1"/>
          <w:numId w:val="6"/>
        </w:numPr>
        <w:pBdr>
          <w:top w:val="nil"/>
          <w:left w:val="nil"/>
          <w:bottom w:val="nil"/>
          <w:right w:val="nil"/>
          <w:between w:val="nil"/>
        </w:pBdr>
        <w:spacing w:before="120" w:after="120"/>
      </w:pPr>
      <w:r>
        <w:rPr>
          <w:color w:val="000000"/>
        </w:rPr>
        <w:t xml:space="preserve">Call-Off Schedule 25 (Ethical Walls Agreement) </w:t>
      </w:r>
    </w:p>
    <w:p w14:paraId="0000004B" w14:textId="77777777" w:rsidR="00FF4893" w:rsidRDefault="001D1A3D">
      <w:pPr>
        <w:numPr>
          <w:ilvl w:val="1"/>
          <w:numId w:val="6"/>
        </w:numPr>
        <w:pBdr>
          <w:top w:val="nil"/>
          <w:left w:val="nil"/>
          <w:bottom w:val="nil"/>
          <w:right w:val="nil"/>
          <w:between w:val="nil"/>
        </w:pBdr>
        <w:spacing w:before="120" w:after="120"/>
      </w:pPr>
      <w:r>
        <w:rPr>
          <w:color w:val="000000"/>
        </w:rPr>
        <w:t xml:space="preserve">Call-Off Schedule 26 (Cyber Essentials Scheme) </w:t>
      </w:r>
    </w:p>
    <w:p w14:paraId="0000004C" w14:textId="77777777" w:rsidR="00FF4893" w:rsidRDefault="001D1A3D">
      <w:pPr>
        <w:numPr>
          <w:ilvl w:val="0"/>
          <w:numId w:val="5"/>
        </w:numPr>
        <w:pBdr>
          <w:top w:val="nil"/>
          <w:left w:val="nil"/>
          <w:bottom w:val="nil"/>
          <w:right w:val="nil"/>
          <w:between w:val="nil"/>
        </w:pBdr>
        <w:spacing w:before="120" w:after="120"/>
      </w:pPr>
      <w:r>
        <w:rPr>
          <w:color w:val="000000"/>
        </w:rPr>
        <w:t xml:space="preserve">CCS Core Terms (version 3.0.9) </w:t>
      </w:r>
    </w:p>
    <w:p w14:paraId="0000004D" w14:textId="77777777" w:rsidR="00FF4893" w:rsidRDefault="001D1A3D">
      <w:pPr>
        <w:numPr>
          <w:ilvl w:val="0"/>
          <w:numId w:val="5"/>
        </w:numPr>
        <w:pBdr>
          <w:top w:val="nil"/>
          <w:left w:val="nil"/>
          <w:bottom w:val="nil"/>
          <w:right w:val="nil"/>
          <w:between w:val="nil"/>
        </w:pBdr>
        <w:spacing w:before="120" w:after="120"/>
      </w:pPr>
      <w:r>
        <w:rPr>
          <w:color w:val="000000"/>
        </w:rPr>
        <w:t>Joint Schedule 5 (Corporate Social Responsibility) RM1043.7</w:t>
      </w:r>
    </w:p>
    <w:p w14:paraId="0000004E" w14:textId="77777777" w:rsidR="00FF4893" w:rsidRDefault="001D1A3D">
      <w:pPr>
        <w:numPr>
          <w:ilvl w:val="0"/>
          <w:numId w:val="5"/>
        </w:numPr>
        <w:pBdr>
          <w:top w:val="nil"/>
          <w:left w:val="nil"/>
          <w:bottom w:val="nil"/>
          <w:right w:val="nil"/>
          <w:between w:val="nil"/>
        </w:pBdr>
        <w:spacing w:before="120" w:after="120"/>
      </w:pPr>
      <w:r>
        <w:rPr>
          <w:color w:val="000000"/>
        </w:rPr>
        <w:t xml:space="preserve">Call-Off Schedule 4 (Call-Off Tender) as long as any parts of the Call-Off Tender that offer a better commercial position for the Buyer (as decided by the Buyer) take precedence over the documents above. </w:t>
      </w:r>
    </w:p>
    <w:p w14:paraId="0000004F" w14:textId="77777777" w:rsidR="00FF4893" w:rsidRDefault="001D1A3D">
      <w:pPr>
        <w:pBdr>
          <w:top w:val="nil"/>
          <w:left w:val="nil"/>
          <w:bottom w:val="nil"/>
          <w:right w:val="nil"/>
          <w:between w:val="nil"/>
        </w:pBdr>
        <w:spacing w:before="120" w:after="120"/>
        <w:rPr>
          <w:color w:val="000000"/>
        </w:rPr>
      </w:pPr>
      <w:r>
        <w:rPr>
          <w:color w:val="000000"/>
        </w:rPr>
        <w:t>No other Supplier terms are part of the Call-Off Contract. That includes any terms written on the back of, added to this Order Form, or presented at the time of delivery.</w:t>
      </w:r>
    </w:p>
    <w:p w14:paraId="00000050" w14:textId="77777777" w:rsidR="00FF4893" w:rsidRDefault="001D1A3D">
      <w:pPr>
        <w:pStyle w:val="Heading4"/>
      </w:pPr>
      <w:r>
        <w:t>Call-Off Special Terms</w:t>
      </w:r>
    </w:p>
    <w:p w14:paraId="00000051" w14:textId="77777777" w:rsidR="00FF4893" w:rsidRDefault="001D1A3D">
      <w:pPr>
        <w:pBdr>
          <w:top w:val="nil"/>
          <w:left w:val="nil"/>
          <w:bottom w:val="nil"/>
          <w:right w:val="nil"/>
          <w:between w:val="nil"/>
        </w:pBdr>
        <w:spacing w:before="120" w:after="120"/>
        <w:rPr>
          <w:color w:val="000000"/>
        </w:rPr>
      </w:pPr>
      <w:r>
        <w:rPr>
          <w:color w:val="000000"/>
        </w:rPr>
        <w:t>The following Special Terms are incorporated into this Call-Off Contract:</w:t>
      </w:r>
    </w:p>
    <w:p w14:paraId="00000052" w14:textId="77777777" w:rsidR="00FF4893" w:rsidRDefault="001D1A3D">
      <w:pPr>
        <w:pBdr>
          <w:top w:val="nil"/>
          <w:left w:val="nil"/>
          <w:bottom w:val="nil"/>
          <w:right w:val="nil"/>
          <w:between w:val="nil"/>
        </w:pBdr>
        <w:spacing w:before="120" w:after="120"/>
        <w:rPr>
          <w:color w:val="000000"/>
        </w:rPr>
      </w:pPr>
      <w:r>
        <w:rPr>
          <w:color w:val="000000"/>
        </w:rPr>
        <w:t xml:space="preserve"> [None]</w:t>
      </w:r>
    </w:p>
    <w:p w14:paraId="00000053" w14:textId="77777777" w:rsidR="00FF4893" w:rsidRDefault="00FF4893">
      <w:pPr>
        <w:pBdr>
          <w:top w:val="nil"/>
          <w:left w:val="nil"/>
          <w:bottom w:val="nil"/>
          <w:right w:val="nil"/>
          <w:between w:val="nil"/>
        </w:pBdr>
        <w:spacing w:before="120" w:after="120"/>
        <w:ind w:left="357"/>
        <w:rPr>
          <w:color w:val="000000"/>
        </w:rPr>
      </w:pPr>
    </w:p>
    <w:p w14:paraId="00000054" w14:textId="24C0DBE9" w:rsidR="00FF4893" w:rsidRDefault="001D1A3D">
      <w:pPr>
        <w:pageBreakBefore/>
        <w:pBdr>
          <w:top w:val="nil"/>
          <w:left w:val="nil"/>
          <w:bottom w:val="nil"/>
          <w:right w:val="nil"/>
          <w:between w:val="nil"/>
        </w:pBdr>
        <w:spacing w:before="120" w:after="120"/>
        <w:rPr>
          <w:color w:val="000000"/>
        </w:rPr>
      </w:pPr>
      <w:r>
        <w:rPr>
          <w:color w:val="000000"/>
        </w:rPr>
        <w:lastRenderedPageBreak/>
        <w:t xml:space="preserve">Call-Off Start Date: </w:t>
      </w:r>
      <w:r w:rsidR="003B68E3">
        <w:rPr>
          <w:b/>
          <w:color w:val="000000"/>
        </w:rPr>
        <w:t>Tuesday 11</w:t>
      </w:r>
      <w:r w:rsidR="003B68E3" w:rsidRPr="003B68E3">
        <w:rPr>
          <w:b/>
          <w:color w:val="000000"/>
          <w:vertAlign w:val="superscript"/>
        </w:rPr>
        <w:t>th</w:t>
      </w:r>
      <w:r w:rsidR="003B68E3">
        <w:rPr>
          <w:b/>
          <w:color w:val="000000"/>
        </w:rPr>
        <w:t xml:space="preserve"> October 2022</w:t>
      </w:r>
    </w:p>
    <w:p w14:paraId="00000055" w14:textId="6127C4D8" w:rsidR="00FF4893" w:rsidRDefault="001D1A3D">
      <w:pPr>
        <w:pBdr>
          <w:top w:val="nil"/>
          <w:left w:val="nil"/>
          <w:bottom w:val="nil"/>
          <w:right w:val="nil"/>
          <w:between w:val="nil"/>
        </w:pBdr>
        <w:spacing w:before="120" w:after="120"/>
        <w:rPr>
          <w:color w:val="000000"/>
        </w:rPr>
      </w:pPr>
      <w:r>
        <w:rPr>
          <w:color w:val="000000"/>
        </w:rPr>
        <w:t xml:space="preserve">Call-Off Expiry Date: </w:t>
      </w:r>
      <w:r w:rsidR="003B68E3">
        <w:rPr>
          <w:b/>
          <w:color w:val="000000"/>
        </w:rPr>
        <w:t>Tuesday 6</w:t>
      </w:r>
      <w:r w:rsidR="003B68E3" w:rsidRPr="003B68E3">
        <w:rPr>
          <w:b/>
          <w:color w:val="000000"/>
          <w:vertAlign w:val="superscript"/>
        </w:rPr>
        <w:t>th</w:t>
      </w:r>
      <w:r w:rsidR="003B68E3">
        <w:rPr>
          <w:b/>
          <w:color w:val="000000"/>
        </w:rPr>
        <w:t xml:space="preserve"> December</w:t>
      </w:r>
      <w:r>
        <w:rPr>
          <w:b/>
          <w:color w:val="000000"/>
        </w:rPr>
        <w:t xml:space="preserve"> 2022</w:t>
      </w:r>
    </w:p>
    <w:p w14:paraId="00000056" w14:textId="77777777" w:rsidR="00FF4893" w:rsidRDefault="001D1A3D">
      <w:pPr>
        <w:pBdr>
          <w:top w:val="nil"/>
          <w:left w:val="nil"/>
          <w:bottom w:val="nil"/>
          <w:right w:val="nil"/>
          <w:between w:val="nil"/>
        </w:pBdr>
        <w:spacing w:before="120" w:after="120"/>
        <w:rPr>
          <w:color w:val="000000"/>
        </w:rPr>
      </w:pPr>
      <w:r>
        <w:rPr>
          <w:color w:val="000000"/>
        </w:rPr>
        <w:t xml:space="preserve">Call-Off Initial Period: </w:t>
      </w:r>
      <w:r>
        <w:rPr>
          <w:b/>
          <w:color w:val="000000"/>
        </w:rPr>
        <w:t>40 Working Days</w:t>
      </w:r>
    </w:p>
    <w:p w14:paraId="00000057" w14:textId="77777777" w:rsidR="00FF4893" w:rsidRDefault="001D1A3D">
      <w:pPr>
        <w:pBdr>
          <w:top w:val="nil"/>
          <w:left w:val="nil"/>
          <w:bottom w:val="nil"/>
          <w:right w:val="nil"/>
          <w:between w:val="nil"/>
        </w:pBdr>
        <w:spacing w:before="120" w:after="120"/>
        <w:rPr>
          <w:color w:val="000000"/>
        </w:rPr>
      </w:pPr>
      <w:r>
        <w:rPr>
          <w:color w:val="000000"/>
        </w:rPr>
        <w:t xml:space="preserve">Call-Off Optional Extension Period: </w:t>
      </w:r>
      <w:r>
        <w:rPr>
          <w:b/>
          <w:color w:val="000000"/>
        </w:rPr>
        <w:t xml:space="preserve">20 Working Days </w:t>
      </w:r>
    </w:p>
    <w:p w14:paraId="00000058" w14:textId="77777777" w:rsidR="00FF4893" w:rsidRDefault="001D1A3D">
      <w:pPr>
        <w:pBdr>
          <w:top w:val="nil"/>
          <w:left w:val="nil"/>
          <w:bottom w:val="nil"/>
          <w:right w:val="nil"/>
          <w:between w:val="nil"/>
        </w:pBdr>
        <w:spacing w:before="120" w:after="120"/>
        <w:rPr>
          <w:color w:val="000000"/>
        </w:rPr>
      </w:pPr>
      <w:r>
        <w:rPr>
          <w:color w:val="000000"/>
        </w:rPr>
        <w:t xml:space="preserve">Call-Off Contract Value: </w:t>
      </w:r>
      <w:r>
        <w:rPr>
          <w:b/>
          <w:color w:val="000000"/>
        </w:rPr>
        <w:t>£93,840.00 Excluding VAT</w:t>
      </w:r>
    </w:p>
    <w:p w14:paraId="00000059" w14:textId="77777777" w:rsidR="00FF4893" w:rsidRDefault="001D1A3D">
      <w:pPr>
        <w:pStyle w:val="Heading4"/>
      </w:pPr>
      <w:r>
        <w:t>Call-Off Deliverables</w:t>
      </w:r>
    </w:p>
    <w:p w14:paraId="0000005A" w14:textId="77777777" w:rsidR="00FF4893" w:rsidRDefault="001D1A3D">
      <w:pPr>
        <w:pBdr>
          <w:top w:val="nil"/>
          <w:left w:val="nil"/>
          <w:bottom w:val="nil"/>
          <w:right w:val="nil"/>
          <w:between w:val="nil"/>
        </w:pBdr>
        <w:spacing w:before="120" w:after="120"/>
        <w:rPr>
          <w:color w:val="000000"/>
        </w:rPr>
      </w:pPr>
      <w:r>
        <w:rPr>
          <w:color w:val="000000"/>
        </w:rPr>
        <w:t>See details in Call-Off Schedule 20 (Call-Off Specification)</w:t>
      </w:r>
    </w:p>
    <w:p w14:paraId="0000005B" w14:textId="77777777" w:rsidR="00FF4893" w:rsidRDefault="001D1A3D">
      <w:pPr>
        <w:pStyle w:val="Heading4"/>
      </w:pPr>
      <w:r>
        <w:t>Buyer’s Standards</w:t>
      </w:r>
    </w:p>
    <w:p w14:paraId="0000005C" w14:textId="77777777" w:rsidR="00FF4893" w:rsidRDefault="001D1A3D">
      <w:pPr>
        <w:pBdr>
          <w:top w:val="nil"/>
          <w:left w:val="nil"/>
          <w:bottom w:val="nil"/>
          <w:right w:val="nil"/>
          <w:between w:val="nil"/>
        </w:pBdr>
        <w:spacing w:before="120" w:after="120"/>
        <w:rPr>
          <w:color w:val="000000"/>
        </w:rPr>
      </w:pPr>
      <w:r>
        <w:rPr>
          <w:color w:val="000000"/>
        </w:rPr>
        <w:t>From the Start Date of this Call-Off Contract, the Supplier shall comply with the relevant (and current as of the Call-Off Start Date) Standards referred to in Framework Schedule 1 (Specification).</w:t>
      </w:r>
    </w:p>
    <w:p w14:paraId="0000005D" w14:textId="77777777" w:rsidR="00FF4893" w:rsidRDefault="001D1A3D">
      <w:pPr>
        <w:pStyle w:val="Heading4"/>
      </w:pPr>
      <w:r>
        <w:t>Cyber Essentials Scheme</w:t>
      </w:r>
    </w:p>
    <w:p w14:paraId="0000005E" w14:textId="77777777" w:rsidR="00FF4893" w:rsidRDefault="001D1A3D">
      <w:pPr>
        <w:pBdr>
          <w:top w:val="nil"/>
          <w:left w:val="nil"/>
          <w:bottom w:val="nil"/>
          <w:right w:val="nil"/>
          <w:between w:val="nil"/>
        </w:pBdr>
        <w:spacing w:before="120" w:after="120"/>
        <w:rPr>
          <w:color w:val="000000"/>
        </w:rPr>
      </w:pPr>
      <w:r>
        <w:rPr>
          <w:color w:val="000000"/>
        </w:rPr>
        <w:t>The Buyer requires the Supplier, in accordance with Call-Off Schedule 26 (Cyber Essentials Scheme) to provide a [Cyber Essentials Certificate] [OR Cyber Essentials Plus Certificate] prior to commencing the provision of any Deliverables under this Call-Off Contract.</w:t>
      </w:r>
    </w:p>
    <w:p w14:paraId="0000005F" w14:textId="77777777" w:rsidR="00FF4893" w:rsidRDefault="001D1A3D">
      <w:pPr>
        <w:pStyle w:val="Heading4"/>
      </w:pPr>
      <w:r>
        <w:t>Maximum Liability</w:t>
      </w:r>
    </w:p>
    <w:p w14:paraId="00000060" w14:textId="77777777" w:rsidR="00FF4893" w:rsidRDefault="001D1A3D">
      <w:pPr>
        <w:pBdr>
          <w:top w:val="nil"/>
          <w:left w:val="nil"/>
          <w:bottom w:val="nil"/>
          <w:right w:val="nil"/>
          <w:between w:val="nil"/>
        </w:pBdr>
        <w:spacing w:before="120" w:after="120"/>
        <w:rPr>
          <w:color w:val="000000"/>
        </w:rPr>
      </w:pPr>
      <w:r>
        <w:rPr>
          <w:color w:val="000000"/>
        </w:rPr>
        <w:t>The limitation of liability for this Call-Off Contract is stated in Clause 11.2 of the Core Terms as amended by the Framework Award Form Special Terms.</w:t>
      </w:r>
    </w:p>
    <w:p w14:paraId="00000061" w14:textId="52316A3D" w:rsidR="00FF4893" w:rsidRDefault="001D1A3D">
      <w:pPr>
        <w:pBdr>
          <w:top w:val="nil"/>
          <w:left w:val="nil"/>
          <w:bottom w:val="nil"/>
          <w:right w:val="nil"/>
          <w:between w:val="nil"/>
        </w:pBdr>
        <w:spacing w:before="120" w:after="120"/>
        <w:rPr>
          <w:color w:val="000000"/>
        </w:rPr>
      </w:pPr>
      <w:r>
        <w:rPr>
          <w:color w:val="000000"/>
        </w:rPr>
        <w:t>The Estimated Year 1 Charges used to calculate liability in the first Contract Year is in the</w:t>
      </w:r>
      <w:r w:rsidR="00723902">
        <w:rPr>
          <w:color w:val="000000"/>
        </w:rPr>
        <w:t xml:space="preserve"> </w:t>
      </w:r>
      <w:r w:rsidR="00723902">
        <w:rPr>
          <w:b/>
          <w:bCs/>
          <w:color w:val="FF0000"/>
        </w:rPr>
        <w:t>REDACTED TEXT under FOIA Section 43 Commercial Interests</w:t>
      </w:r>
      <w:r>
        <w:rPr>
          <w:color w:val="000000"/>
        </w:rPr>
        <w:t xml:space="preserve"> first 12 months of the Contract. </w:t>
      </w:r>
    </w:p>
    <w:p w14:paraId="00000062" w14:textId="77777777" w:rsidR="00FF4893" w:rsidRDefault="001D1A3D">
      <w:pPr>
        <w:pStyle w:val="Heading4"/>
      </w:pPr>
      <w:r>
        <w:t>Call-Off Charges</w:t>
      </w:r>
    </w:p>
    <w:p w14:paraId="00000063" w14:textId="77777777" w:rsidR="00FF4893" w:rsidRDefault="001D1A3D">
      <w:pPr>
        <w:numPr>
          <w:ilvl w:val="0"/>
          <w:numId w:val="1"/>
        </w:numPr>
        <w:pBdr>
          <w:top w:val="nil"/>
          <w:left w:val="nil"/>
          <w:bottom w:val="nil"/>
          <w:right w:val="nil"/>
          <w:between w:val="nil"/>
        </w:pBdr>
        <w:spacing w:before="120" w:after="120"/>
      </w:pPr>
      <w:r>
        <w:rPr>
          <w:color w:val="000000"/>
        </w:rPr>
        <w:t>Fixed Price</w:t>
      </w:r>
    </w:p>
    <w:p w14:paraId="00000064" w14:textId="77777777" w:rsidR="00FF4893" w:rsidRDefault="001D1A3D">
      <w:pPr>
        <w:pBdr>
          <w:top w:val="nil"/>
          <w:left w:val="nil"/>
          <w:bottom w:val="nil"/>
          <w:right w:val="nil"/>
          <w:between w:val="nil"/>
        </w:pBdr>
        <w:spacing w:before="120" w:after="120"/>
        <w:rPr>
          <w:color w:val="000000"/>
        </w:rPr>
      </w:pPr>
      <w:r>
        <w:rPr>
          <w:color w:val="000000"/>
        </w:rP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0000065" w14:textId="77777777" w:rsidR="00FF4893" w:rsidRDefault="001D1A3D">
      <w:pPr>
        <w:pStyle w:val="Heading4"/>
      </w:pPr>
      <w:r>
        <w:t>Reimbursable Expenses</w:t>
      </w:r>
    </w:p>
    <w:p w14:paraId="00000066" w14:textId="77777777" w:rsidR="00FF4893" w:rsidRDefault="001D1A3D">
      <w:pPr>
        <w:pBdr>
          <w:top w:val="nil"/>
          <w:left w:val="nil"/>
          <w:bottom w:val="nil"/>
          <w:right w:val="nil"/>
          <w:between w:val="nil"/>
        </w:pBdr>
        <w:spacing w:before="120" w:after="120"/>
        <w:rPr>
          <w:color w:val="000000"/>
        </w:rPr>
      </w:pPr>
      <w:r>
        <w:rPr>
          <w:color w:val="000000"/>
        </w:rPr>
        <w:t xml:space="preserve"> [None]</w:t>
      </w:r>
    </w:p>
    <w:p w14:paraId="00000067" w14:textId="77777777" w:rsidR="00FF4893" w:rsidRDefault="001D1A3D">
      <w:pPr>
        <w:pStyle w:val="Heading4"/>
      </w:pPr>
      <w:r>
        <w:t>Payment Method</w:t>
      </w:r>
    </w:p>
    <w:p w14:paraId="00000068" w14:textId="77777777" w:rsidR="00FF4893" w:rsidRDefault="001D1A3D">
      <w:pPr>
        <w:pBdr>
          <w:top w:val="nil"/>
          <w:left w:val="nil"/>
          <w:bottom w:val="nil"/>
          <w:right w:val="nil"/>
          <w:between w:val="nil"/>
        </w:pBdr>
        <w:spacing w:before="120" w:after="120"/>
        <w:rPr>
          <w:color w:val="000000"/>
        </w:rPr>
      </w:pPr>
      <w:r>
        <w:rPr>
          <w:color w:val="000000"/>
        </w:rPr>
        <w:t>BACS on satisfactory completion of the stated deliverables.</w:t>
      </w:r>
    </w:p>
    <w:p w14:paraId="00000069" w14:textId="77777777" w:rsidR="00FF4893" w:rsidRDefault="001D1A3D">
      <w:pPr>
        <w:pStyle w:val="Heading4"/>
      </w:pPr>
      <w:r>
        <w:t>Buyer’s Invoice Address</w:t>
      </w:r>
    </w:p>
    <w:p w14:paraId="5945CA68" w14:textId="77777777" w:rsidR="001B67E9" w:rsidRDefault="001B67E9" w:rsidP="001B67E9">
      <w:pPr>
        <w:pBdr>
          <w:top w:val="nil"/>
          <w:left w:val="nil"/>
          <w:bottom w:val="nil"/>
          <w:right w:val="nil"/>
          <w:between w:val="nil"/>
        </w:pBdr>
        <w:spacing w:before="120" w:after="120"/>
        <w:rPr>
          <w:color w:val="000000"/>
        </w:rPr>
      </w:pPr>
      <w:r>
        <w:rPr>
          <w:b/>
          <w:bCs/>
          <w:color w:val="FF0000"/>
        </w:rPr>
        <w:t>REDACTED TEXT under FOIA Section 40, Personal Information</w:t>
      </w:r>
    </w:p>
    <w:p w14:paraId="6572D01F" w14:textId="77777777" w:rsidR="001B67E9" w:rsidRDefault="001B67E9" w:rsidP="001B67E9">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6C" w14:textId="77777777" w:rsidR="00FF4893" w:rsidRDefault="001D1A3D">
      <w:pPr>
        <w:pStyle w:val="Heading4"/>
      </w:pPr>
      <w:r>
        <w:t>Buyer’s Authorised Representative</w:t>
      </w:r>
    </w:p>
    <w:p w14:paraId="53642849" w14:textId="2F96B6A5" w:rsidR="00723902"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6E" w14:textId="04FED88F"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6F" w14:textId="684FC47A"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0" w14:textId="43BA6907"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1" w14:textId="77777777" w:rsidR="00FF4893" w:rsidRDefault="001D1A3D">
      <w:pPr>
        <w:pStyle w:val="Heading4"/>
      </w:pPr>
      <w:r>
        <w:lastRenderedPageBreak/>
        <w:t>Buyer’s Environmental Policy</w:t>
      </w:r>
    </w:p>
    <w:p w14:paraId="00000072" w14:textId="77777777" w:rsidR="00FF4893" w:rsidRDefault="001D1A3D">
      <w:pPr>
        <w:pBdr>
          <w:top w:val="nil"/>
          <w:left w:val="nil"/>
          <w:bottom w:val="nil"/>
          <w:right w:val="nil"/>
          <w:between w:val="nil"/>
        </w:pBdr>
        <w:spacing w:before="120" w:after="120"/>
        <w:rPr>
          <w:color w:val="000000"/>
        </w:rPr>
      </w:pPr>
      <w:r>
        <w:rPr>
          <w:color w:val="000000"/>
        </w:rPr>
        <w:t>Not applicable.</w:t>
      </w:r>
    </w:p>
    <w:p w14:paraId="00000073" w14:textId="77777777" w:rsidR="00FF4893" w:rsidRDefault="001D1A3D">
      <w:pPr>
        <w:pStyle w:val="Heading4"/>
      </w:pPr>
      <w:r>
        <w:t>Buyer’s Security Policy</w:t>
      </w:r>
    </w:p>
    <w:p w14:paraId="00000074" w14:textId="77777777" w:rsidR="00FF4893" w:rsidRDefault="001D1A3D">
      <w:pPr>
        <w:pBdr>
          <w:top w:val="nil"/>
          <w:left w:val="nil"/>
          <w:bottom w:val="nil"/>
          <w:right w:val="nil"/>
          <w:between w:val="nil"/>
        </w:pBdr>
        <w:spacing w:before="120" w:after="120"/>
        <w:rPr>
          <w:color w:val="000000"/>
        </w:rPr>
      </w:pPr>
      <w:r>
        <w:rPr>
          <w:color w:val="000000"/>
        </w:rPr>
        <w:t>Appended at Call-Off Schedule 9 (Security)</w:t>
      </w:r>
    </w:p>
    <w:p w14:paraId="00000075" w14:textId="77777777" w:rsidR="00FF4893" w:rsidRDefault="001D1A3D">
      <w:pPr>
        <w:pStyle w:val="Heading4"/>
      </w:pPr>
      <w:r>
        <w:t>Supplier’s Authorised Representative</w:t>
      </w:r>
    </w:p>
    <w:p w14:paraId="00000076" w14:textId="1E8F3FED" w:rsidR="00FF4893" w:rsidRDefault="00723902">
      <w:pPr>
        <w:pBdr>
          <w:top w:val="nil"/>
          <w:left w:val="nil"/>
          <w:bottom w:val="nil"/>
          <w:right w:val="nil"/>
          <w:between w:val="nil"/>
        </w:pBdr>
        <w:spacing w:before="120" w:after="120"/>
        <w:rPr>
          <w:color w:val="000000"/>
        </w:rPr>
      </w:pPr>
      <w:bookmarkStart w:id="2" w:name="_heading=h.1fob9te" w:colFirst="0" w:colLast="0"/>
      <w:bookmarkEnd w:id="2"/>
      <w:r>
        <w:rPr>
          <w:b/>
          <w:bCs/>
          <w:color w:val="FF0000"/>
        </w:rPr>
        <w:t>REDACTED TEXT under FOIA Section 40, Personal Information</w:t>
      </w:r>
    </w:p>
    <w:p w14:paraId="00000077" w14:textId="464B121A"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8" w14:textId="6C8CD1CD"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9" w14:textId="08347A2E"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A" w14:textId="1C3F07D0"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B" w14:textId="2E35DFAE"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C" w14:textId="77777777" w:rsidR="00FF4893" w:rsidRDefault="001D1A3D">
      <w:pPr>
        <w:pStyle w:val="Heading4"/>
      </w:pPr>
      <w:r>
        <w:t>Supplier’s Contract Manager</w:t>
      </w:r>
    </w:p>
    <w:p w14:paraId="0000007D" w14:textId="036111C0"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E" w14:textId="5A20B82E"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7F" w14:textId="439F9F51"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0" w14:textId="04900DE5"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1" w14:textId="1D456444"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2" w14:textId="6C75C86F"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3" w14:textId="77777777" w:rsidR="00FF4893" w:rsidRDefault="00FF4893">
      <w:pPr>
        <w:pBdr>
          <w:top w:val="nil"/>
          <w:left w:val="nil"/>
          <w:bottom w:val="nil"/>
          <w:right w:val="nil"/>
          <w:between w:val="nil"/>
        </w:pBdr>
        <w:spacing w:before="120" w:after="120"/>
        <w:ind w:left="357"/>
        <w:rPr>
          <w:color w:val="000000"/>
        </w:rPr>
      </w:pPr>
    </w:p>
    <w:p w14:paraId="00000084" w14:textId="77777777" w:rsidR="00FF4893" w:rsidRDefault="001D1A3D">
      <w:pPr>
        <w:pStyle w:val="Heading4"/>
      </w:pPr>
      <w:r>
        <w:t>Progress Report Frequency</w:t>
      </w:r>
    </w:p>
    <w:p w14:paraId="00000085" w14:textId="77777777" w:rsidR="00FF4893" w:rsidRDefault="001D1A3D">
      <w:pPr>
        <w:pStyle w:val="Heading4"/>
        <w:rPr>
          <w:b w:val="0"/>
        </w:rPr>
      </w:pPr>
      <w:r>
        <w:rPr>
          <w:b w:val="0"/>
        </w:rPr>
        <w:t>Progress reports are to be given twice weekly from the commencement of the Contract.</w:t>
      </w:r>
    </w:p>
    <w:p w14:paraId="00000086" w14:textId="77777777" w:rsidR="00FF4893" w:rsidRDefault="001D1A3D">
      <w:pPr>
        <w:pStyle w:val="Heading4"/>
      </w:pPr>
      <w:r>
        <w:t>Progress Meeting Frequency</w:t>
      </w:r>
    </w:p>
    <w:p w14:paraId="00000087" w14:textId="77777777" w:rsidR="00FF4893" w:rsidRDefault="001D1A3D">
      <w:pPr>
        <w:pBdr>
          <w:top w:val="nil"/>
          <w:left w:val="nil"/>
          <w:bottom w:val="nil"/>
          <w:right w:val="nil"/>
          <w:between w:val="nil"/>
        </w:pBdr>
        <w:spacing w:before="120" w:after="120"/>
        <w:rPr>
          <w:color w:val="000000"/>
        </w:rPr>
      </w:pPr>
      <w:r>
        <w:rPr>
          <w:color w:val="000000"/>
        </w:rPr>
        <w:t>The supplier will liaise with the Contracting Authority’s project manager to report progress in a weekly google hangout conference review meeting on the delivery of the work and the requirement.</w:t>
      </w:r>
    </w:p>
    <w:p w14:paraId="00000088" w14:textId="77777777" w:rsidR="00FF4893" w:rsidRDefault="001D1A3D">
      <w:pPr>
        <w:pStyle w:val="Heading4"/>
      </w:pPr>
      <w:r>
        <w:t>Key Staff</w:t>
      </w:r>
    </w:p>
    <w:p w14:paraId="00000089" w14:textId="4FAE5551"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A" w14:textId="566680A6"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B" w14:textId="20185340" w:rsidR="00FF4893" w:rsidRDefault="00723902">
      <w:pPr>
        <w:pBdr>
          <w:top w:val="nil"/>
          <w:left w:val="nil"/>
          <w:bottom w:val="nil"/>
          <w:right w:val="nil"/>
          <w:between w:val="nil"/>
        </w:pBdr>
        <w:spacing w:before="120" w:after="120"/>
        <w:rPr>
          <w:color w:val="0563C1"/>
          <w:u w:val="single"/>
        </w:rPr>
      </w:pPr>
      <w:r>
        <w:rPr>
          <w:b/>
          <w:bCs/>
          <w:color w:val="FF0000"/>
        </w:rPr>
        <w:t>REDACTED TEXT under FOIA Section 40, Personal Information</w:t>
      </w:r>
    </w:p>
    <w:p w14:paraId="0000008C" w14:textId="77777777" w:rsidR="00FF4893" w:rsidRDefault="00FF4893">
      <w:pPr>
        <w:pBdr>
          <w:top w:val="nil"/>
          <w:left w:val="nil"/>
          <w:bottom w:val="nil"/>
          <w:right w:val="nil"/>
          <w:between w:val="nil"/>
        </w:pBdr>
        <w:spacing w:before="120" w:after="120"/>
        <w:rPr>
          <w:color w:val="000000"/>
        </w:rPr>
      </w:pPr>
    </w:p>
    <w:p w14:paraId="0000008D" w14:textId="7250C812"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E" w14:textId="0B998FD9"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8F" w14:textId="754C3F1D"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90" w14:textId="65A949B4"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91" w14:textId="3C97E930"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92" w14:textId="7D271851" w:rsidR="00FF4893" w:rsidRDefault="00723902">
      <w:pPr>
        <w:pBdr>
          <w:top w:val="nil"/>
          <w:left w:val="nil"/>
          <w:bottom w:val="nil"/>
          <w:right w:val="nil"/>
          <w:between w:val="nil"/>
        </w:pBdr>
        <w:spacing w:before="120" w:after="120"/>
        <w:rPr>
          <w:color w:val="000000"/>
        </w:rPr>
      </w:pPr>
      <w:r>
        <w:rPr>
          <w:b/>
          <w:bCs/>
          <w:color w:val="FF0000"/>
        </w:rPr>
        <w:t>REDACTED TEXT under FOIA Section 40, Personal Information</w:t>
      </w:r>
    </w:p>
    <w:p w14:paraId="00000093" w14:textId="77777777" w:rsidR="00FF4893" w:rsidRDefault="00FF4893">
      <w:pPr>
        <w:pBdr>
          <w:top w:val="nil"/>
          <w:left w:val="nil"/>
          <w:bottom w:val="nil"/>
          <w:right w:val="nil"/>
          <w:between w:val="nil"/>
        </w:pBdr>
        <w:spacing w:before="120" w:after="120"/>
        <w:rPr>
          <w:color w:val="000000"/>
        </w:rPr>
      </w:pPr>
    </w:p>
    <w:p w14:paraId="00000094" w14:textId="77777777" w:rsidR="00FF4893" w:rsidRDefault="00FF4893">
      <w:pPr>
        <w:pBdr>
          <w:top w:val="nil"/>
          <w:left w:val="nil"/>
          <w:bottom w:val="nil"/>
          <w:right w:val="nil"/>
          <w:between w:val="nil"/>
        </w:pBdr>
        <w:spacing w:before="120" w:after="120"/>
        <w:rPr>
          <w:color w:val="000000"/>
        </w:rPr>
      </w:pPr>
    </w:p>
    <w:p w14:paraId="00000095" w14:textId="77777777" w:rsidR="00FF4893" w:rsidRDefault="001D1A3D">
      <w:pPr>
        <w:pStyle w:val="Heading4"/>
      </w:pPr>
      <w:r>
        <w:lastRenderedPageBreak/>
        <w:t>Key Subcontractor(s)</w:t>
      </w:r>
    </w:p>
    <w:p w14:paraId="00000096" w14:textId="77777777" w:rsidR="00FF4893" w:rsidRDefault="001D1A3D">
      <w:pPr>
        <w:pBdr>
          <w:top w:val="nil"/>
          <w:left w:val="nil"/>
          <w:bottom w:val="nil"/>
          <w:right w:val="nil"/>
          <w:between w:val="nil"/>
        </w:pBdr>
        <w:spacing w:before="120" w:after="120"/>
        <w:rPr>
          <w:b/>
          <w:color w:val="000000"/>
        </w:rPr>
      </w:pPr>
      <w:r>
        <w:rPr>
          <w:b/>
          <w:color w:val="000000"/>
        </w:rPr>
        <w:t>N/A</w:t>
      </w:r>
    </w:p>
    <w:p w14:paraId="00000097" w14:textId="77777777" w:rsidR="00FF4893" w:rsidRDefault="001D1A3D">
      <w:pPr>
        <w:pStyle w:val="Heading4"/>
      </w:pPr>
      <w:r>
        <w:t>Commercially Sensitive Information</w:t>
      </w:r>
    </w:p>
    <w:p w14:paraId="00000098" w14:textId="77777777" w:rsidR="00FF4893" w:rsidRDefault="00FF4893">
      <w:pPr>
        <w:pBdr>
          <w:top w:val="nil"/>
          <w:left w:val="nil"/>
          <w:bottom w:val="nil"/>
          <w:right w:val="nil"/>
          <w:between w:val="nil"/>
        </w:pBdr>
        <w:spacing w:before="120" w:after="120"/>
        <w:ind w:left="357"/>
        <w:rPr>
          <w:color w:val="000000"/>
        </w:rPr>
      </w:pPr>
    </w:p>
    <w:p w14:paraId="00000099" w14:textId="77777777" w:rsidR="00FF4893" w:rsidRDefault="001D1A3D">
      <w:pPr>
        <w:pStyle w:val="Heading4"/>
      </w:pPr>
      <w:r>
        <w:t>Balanced Scorecard</w:t>
      </w:r>
    </w:p>
    <w:p w14:paraId="0000009A" w14:textId="77777777" w:rsidR="00FF4893" w:rsidRDefault="001D1A3D">
      <w:pPr>
        <w:pBdr>
          <w:top w:val="nil"/>
          <w:left w:val="nil"/>
          <w:bottom w:val="nil"/>
          <w:right w:val="nil"/>
          <w:between w:val="nil"/>
        </w:pBdr>
        <w:spacing w:before="120" w:after="120"/>
        <w:rPr>
          <w:color w:val="000000"/>
        </w:rPr>
      </w:pPr>
      <w:r>
        <w:rPr>
          <w:color w:val="000000"/>
        </w:rPr>
        <w:t>See Call-Off Schedule 14 (Service Levels and Balanced Scorecard)</w:t>
      </w:r>
    </w:p>
    <w:p w14:paraId="0000009B" w14:textId="77777777" w:rsidR="00FF4893" w:rsidRDefault="001D1A3D">
      <w:pPr>
        <w:pStyle w:val="Heading4"/>
      </w:pPr>
      <w:r>
        <w:t>Material KPIs</w:t>
      </w:r>
    </w:p>
    <w:p w14:paraId="0000009C" w14:textId="77777777" w:rsidR="00FF4893" w:rsidRDefault="001D1A3D">
      <w:pPr>
        <w:pBdr>
          <w:top w:val="nil"/>
          <w:left w:val="nil"/>
          <w:bottom w:val="nil"/>
          <w:right w:val="nil"/>
          <w:between w:val="nil"/>
        </w:pBdr>
        <w:spacing w:before="120" w:after="120"/>
        <w:rPr>
          <w:color w:val="000000"/>
        </w:rPr>
      </w:pPr>
      <w:r>
        <w:rPr>
          <w:color w:val="000000"/>
        </w:rPr>
        <w:t>The following Material KPIs shall apply to this Call-Off Contract in accordance with Call-Off Schedule 14 (Service Levels and Balanced Scorecard):</w:t>
      </w:r>
    </w:p>
    <w:tbl>
      <w:tblPr>
        <w:tblStyle w:val="a"/>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FF4893" w14:paraId="7221B818" w14:textId="77777777">
        <w:tc>
          <w:tcPr>
            <w:tcW w:w="1163" w:type="dxa"/>
            <w:shd w:val="clear" w:color="auto" w:fill="auto"/>
          </w:tcPr>
          <w:p w14:paraId="0000009D" w14:textId="77777777" w:rsidR="00FF4893" w:rsidRDefault="001D1A3D">
            <w:pPr>
              <w:pStyle w:val="Heading2"/>
              <w:ind w:left="360"/>
              <w:rPr>
                <w:sz w:val="24"/>
                <w:szCs w:val="24"/>
              </w:rPr>
            </w:pPr>
            <w:r>
              <w:rPr>
                <w:sz w:val="24"/>
                <w:szCs w:val="24"/>
              </w:rPr>
              <w:t>KPI/SLA</w:t>
            </w:r>
          </w:p>
        </w:tc>
        <w:tc>
          <w:tcPr>
            <w:tcW w:w="1756" w:type="dxa"/>
            <w:shd w:val="clear" w:color="auto" w:fill="auto"/>
          </w:tcPr>
          <w:p w14:paraId="0000009E" w14:textId="77777777" w:rsidR="00FF4893" w:rsidRDefault="001D1A3D">
            <w:pPr>
              <w:pStyle w:val="Heading2"/>
              <w:ind w:left="360"/>
              <w:rPr>
                <w:sz w:val="24"/>
                <w:szCs w:val="24"/>
              </w:rPr>
            </w:pPr>
            <w:r>
              <w:rPr>
                <w:sz w:val="24"/>
                <w:szCs w:val="24"/>
              </w:rPr>
              <w:t>Service Area</w:t>
            </w:r>
          </w:p>
        </w:tc>
        <w:tc>
          <w:tcPr>
            <w:tcW w:w="3746" w:type="dxa"/>
            <w:shd w:val="clear" w:color="auto" w:fill="auto"/>
          </w:tcPr>
          <w:p w14:paraId="0000009F" w14:textId="77777777" w:rsidR="00FF4893" w:rsidRDefault="001D1A3D">
            <w:pPr>
              <w:pStyle w:val="Heading2"/>
              <w:ind w:left="360"/>
              <w:rPr>
                <w:sz w:val="24"/>
                <w:szCs w:val="24"/>
              </w:rPr>
            </w:pPr>
            <w:r>
              <w:rPr>
                <w:sz w:val="24"/>
                <w:szCs w:val="24"/>
              </w:rPr>
              <w:t>KPI/SLA description</w:t>
            </w:r>
          </w:p>
        </w:tc>
        <w:tc>
          <w:tcPr>
            <w:tcW w:w="1634" w:type="dxa"/>
            <w:shd w:val="clear" w:color="auto" w:fill="auto"/>
          </w:tcPr>
          <w:p w14:paraId="000000A0" w14:textId="77777777" w:rsidR="00FF4893" w:rsidRDefault="001D1A3D">
            <w:pPr>
              <w:pStyle w:val="Heading2"/>
              <w:ind w:left="360"/>
              <w:rPr>
                <w:sz w:val="24"/>
                <w:szCs w:val="24"/>
              </w:rPr>
            </w:pPr>
            <w:r>
              <w:rPr>
                <w:sz w:val="24"/>
                <w:szCs w:val="24"/>
              </w:rPr>
              <w:t>Target</w:t>
            </w:r>
          </w:p>
        </w:tc>
      </w:tr>
      <w:tr w:rsidR="00FF4893" w14:paraId="12A06FF3" w14:textId="77777777">
        <w:tc>
          <w:tcPr>
            <w:tcW w:w="1163" w:type="dxa"/>
          </w:tcPr>
          <w:p w14:paraId="000000A1" w14:textId="77777777" w:rsidR="00FF4893" w:rsidRDefault="001D1A3D">
            <w:pPr>
              <w:pStyle w:val="Heading2"/>
              <w:ind w:left="360"/>
              <w:rPr>
                <w:sz w:val="24"/>
                <w:szCs w:val="24"/>
              </w:rPr>
            </w:pPr>
            <w:r>
              <w:rPr>
                <w:sz w:val="24"/>
                <w:szCs w:val="24"/>
              </w:rPr>
              <w:t>1</w:t>
            </w:r>
          </w:p>
        </w:tc>
        <w:tc>
          <w:tcPr>
            <w:tcW w:w="1756" w:type="dxa"/>
          </w:tcPr>
          <w:p w14:paraId="000000A2" w14:textId="77777777" w:rsidR="00FF4893" w:rsidRDefault="001D1A3D">
            <w:pPr>
              <w:rPr>
                <w:b/>
                <w:sz w:val="24"/>
                <w:szCs w:val="24"/>
              </w:rPr>
            </w:pPr>
            <w:bookmarkStart w:id="3" w:name="_heading=h.v0hhldo7cg7z" w:colFirst="0" w:colLast="0"/>
            <w:bookmarkEnd w:id="3"/>
            <w:r>
              <w:rPr>
                <w:sz w:val="24"/>
                <w:szCs w:val="24"/>
              </w:rPr>
              <w:t>Service Delivery (SD)</w:t>
            </w:r>
          </w:p>
        </w:tc>
        <w:tc>
          <w:tcPr>
            <w:tcW w:w="3746" w:type="dxa"/>
          </w:tcPr>
          <w:p w14:paraId="000000A3" w14:textId="77777777" w:rsidR="00FF4893" w:rsidRDefault="001D1A3D">
            <w:pPr>
              <w:rPr>
                <w:b/>
                <w:sz w:val="24"/>
                <w:szCs w:val="24"/>
              </w:rPr>
            </w:pPr>
            <w:bookmarkStart w:id="4" w:name="_heading=h.2d5dcfpanhw" w:colFirst="0" w:colLast="0"/>
            <w:bookmarkEnd w:id="4"/>
            <w:r>
              <w:rPr>
                <w:sz w:val="24"/>
                <w:szCs w:val="24"/>
              </w:rPr>
              <w:t>Investigation outputs including provision of intel into the appropriateness of current data sources and accuracy of automation outputs</w:t>
            </w:r>
          </w:p>
        </w:tc>
        <w:tc>
          <w:tcPr>
            <w:tcW w:w="1634" w:type="dxa"/>
          </w:tcPr>
          <w:p w14:paraId="000000A4" w14:textId="77777777" w:rsidR="00FF4893" w:rsidRDefault="001D1A3D">
            <w:pPr>
              <w:rPr>
                <w:b/>
                <w:sz w:val="24"/>
                <w:szCs w:val="24"/>
              </w:rPr>
            </w:pPr>
            <w:bookmarkStart w:id="5" w:name="_heading=h.wt51ksirp7nh" w:colFirst="0" w:colLast="0"/>
            <w:bookmarkEnd w:id="5"/>
            <w:r>
              <w:rPr>
                <w:sz w:val="24"/>
                <w:szCs w:val="24"/>
              </w:rPr>
              <w:t xml:space="preserve">100% </w:t>
            </w:r>
          </w:p>
        </w:tc>
      </w:tr>
      <w:tr w:rsidR="00FF4893" w14:paraId="2FF3813D" w14:textId="77777777">
        <w:tc>
          <w:tcPr>
            <w:tcW w:w="1163" w:type="dxa"/>
          </w:tcPr>
          <w:p w14:paraId="000000A5" w14:textId="77777777" w:rsidR="00FF4893" w:rsidRDefault="001D1A3D">
            <w:pPr>
              <w:pStyle w:val="Heading2"/>
              <w:ind w:left="360"/>
              <w:rPr>
                <w:sz w:val="24"/>
                <w:szCs w:val="24"/>
              </w:rPr>
            </w:pPr>
            <w:r>
              <w:rPr>
                <w:sz w:val="24"/>
                <w:szCs w:val="24"/>
              </w:rPr>
              <w:t>2</w:t>
            </w:r>
          </w:p>
        </w:tc>
        <w:tc>
          <w:tcPr>
            <w:tcW w:w="1756" w:type="dxa"/>
          </w:tcPr>
          <w:p w14:paraId="000000A6" w14:textId="77777777" w:rsidR="00FF4893" w:rsidRDefault="001D1A3D">
            <w:pPr>
              <w:rPr>
                <w:b/>
                <w:sz w:val="24"/>
                <w:szCs w:val="24"/>
              </w:rPr>
            </w:pPr>
            <w:bookmarkStart w:id="6" w:name="_heading=h.1yxnn3nsdodh" w:colFirst="0" w:colLast="0"/>
            <w:bookmarkEnd w:id="6"/>
            <w:r>
              <w:rPr>
                <w:sz w:val="24"/>
                <w:szCs w:val="24"/>
              </w:rPr>
              <w:t>SD</w:t>
            </w:r>
          </w:p>
        </w:tc>
        <w:tc>
          <w:tcPr>
            <w:tcW w:w="3746" w:type="dxa"/>
          </w:tcPr>
          <w:p w14:paraId="000000A7" w14:textId="77777777" w:rsidR="00FF4893" w:rsidRDefault="001D1A3D">
            <w:pPr>
              <w:rPr>
                <w:b/>
                <w:sz w:val="24"/>
                <w:szCs w:val="24"/>
              </w:rPr>
            </w:pPr>
            <w:bookmarkStart w:id="7" w:name="_heading=h.m6j66kh1yc0q" w:colFirst="0" w:colLast="0"/>
            <w:bookmarkEnd w:id="7"/>
            <w:r>
              <w:rPr>
                <w:sz w:val="24"/>
                <w:szCs w:val="24"/>
              </w:rPr>
              <w:t>Iterative delivery of automated design and data modelling</w:t>
            </w:r>
          </w:p>
        </w:tc>
        <w:tc>
          <w:tcPr>
            <w:tcW w:w="1634" w:type="dxa"/>
            <w:tcBorders>
              <w:right w:val="single" w:sz="18" w:space="0" w:color="000000"/>
            </w:tcBorders>
          </w:tcPr>
          <w:p w14:paraId="000000A8" w14:textId="77777777" w:rsidR="00FF4893" w:rsidRDefault="001D1A3D">
            <w:pPr>
              <w:rPr>
                <w:b/>
                <w:sz w:val="24"/>
                <w:szCs w:val="24"/>
              </w:rPr>
            </w:pPr>
            <w:bookmarkStart w:id="8" w:name="_heading=h.9yqv6jyyap0p" w:colFirst="0" w:colLast="0"/>
            <w:bookmarkEnd w:id="8"/>
            <w:r>
              <w:rPr>
                <w:sz w:val="24"/>
                <w:szCs w:val="24"/>
              </w:rPr>
              <w:t>100%</w:t>
            </w:r>
          </w:p>
        </w:tc>
      </w:tr>
      <w:tr w:rsidR="00FF4893" w14:paraId="2BB1D156" w14:textId="77777777">
        <w:tc>
          <w:tcPr>
            <w:tcW w:w="1163" w:type="dxa"/>
          </w:tcPr>
          <w:p w14:paraId="000000A9" w14:textId="77777777" w:rsidR="00FF4893" w:rsidRDefault="001D1A3D">
            <w:pPr>
              <w:pStyle w:val="Heading2"/>
              <w:ind w:left="360"/>
              <w:rPr>
                <w:sz w:val="24"/>
                <w:szCs w:val="24"/>
              </w:rPr>
            </w:pPr>
            <w:r>
              <w:rPr>
                <w:sz w:val="24"/>
                <w:szCs w:val="24"/>
              </w:rPr>
              <w:t>3</w:t>
            </w:r>
          </w:p>
        </w:tc>
        <w:tc>
          <w:tcPr>
            <w:tcW w:w="1756" w:type="dxa"/>
          </w:tcPr>
          <w:p w14:paraId="000000AA" w14:textId="77777777" w:rsidR="00FF4893" w:rsidRDefault="001D1A3D">
            <w:pPr>
              <w:rPr>
                <w:b/>
                <w:sz w:val="24"/>
                <w:szCs w:val="24"/>
              </w:rPr>
            </w:pPr>
            <w:bookmarkStart w:id="9" w:name="_heading=h.gzf48rbyudl6" w:colFirst="0" w:colLast="0"/>
            <w:bookmarkEnd w:id="9"/>
            <w:r>
              <w:rPr>
                <w:sz w:val="24"/>
                <w:szCs w:val="24"/>
              </w:rPr>
              <w:t>SD</w:t>
            </w:r>
          </w:p>
        </w:tc>
        <w:tc>
          <w:tcPr>
            <w:tcW w:w="3746" w:type="dxa"/>
          </w:tcPr>
          <w:p w14:paraId="000000AB" w14:textId="77777777" w:rsidR="00FF4893" w:rsidRDefault="001D1A3D">
            <w:pPr>
              <w:rPr>
                <w:b/>
                <w:sz w:val="24"/>
                <w:szCs w:val="24"/>
              </w:rPr>
            </w:pPr>
            <w:bookmarkStart w:id="10" w:name="_heading=h.a9f5r7dbbjut" w:colFirst="0" w:colLast="0"/>
            <w:bookmarkEnd w:id="10"/>
            <w:r>
              <w:rPr>
                <w:sz w:val="24"/>
                <w:szCs w:val="24"/>
              </w:rPr>
              <w:t>Report on integration with other processes and systems</w:t>
            </w:r>
          </w:p>
        </w:tc>
        <w:tc>
          <w:tcPr>
            <w:tcW w:w="1634" w:type="dxa"/>
          </w:tcPr>
          <w:p w14:paraId="000000AC" w14:textId="77777777" w:rsidR="00FF4893" w:rsidRDefault="001D1A3D">
            <w:pPr>
              <w:rPr>
                <w:b/>
                <w:sz w:val="24"/>
                <w:szCs w:val="24"/>
              </w:rPr>
            </w:pPr>
            <w:bookmarkStart w:id="11" w:name="_heading=h.ooht06gbz4ew" w:colFirst="0" w:colLast="0"/>
            <w:bookmarkEnd w:id="11"/>
            <w:r>
              <w:rPr>
                <w:sz w:val="24"/>
                <w:szCs w:val="24"/>
              </w:rPr>
              <w:t>100%</w:t>
            </w:r>
          </w:p>
        </w:tc>
      </w:tr>
      <w:tr w:rsidR="00FF4893" w14:paraId="5FB8915A" w14:textId="77777777">
        <w:tc>
          <w:tcPr>
            <w:tcW w:w="1163" w:type="dxa"/>
          </w:tcPr>
          <w:p w14:paraId="000000AD" w14:textId="77777777" w:rsidR="00FF4893" w:rsidRDefault="001D1A3D">
            <w:pPr>
              <w:pStyle w:val="Heading2"/>
              <w:ind w:left="360"/>
              <w:rPr>
                <w:sz w:val="24"/>
                <w:szCs w:val="24"/>
              </w:rPr>
            </w:pPr>
            <w:r>
              <w:rPr>
                <w:sz w:val="24"/>
                <w:szCs w:val="24"/>
              </w:rPr>
              <w:t>4</w:t>
            </w:r>
          </w:p>
        </w:tc>
        <w:tc>
          <w:tcPr>
            <w:tcW w:w="1756" w:type="dxa"/>
          </w:tcPr>
          <w:p w14:paraId="000000AE" w14:textId="77777777" w:rsidR="00FF4893" w:rsidRDefault="001D1A3D">
            <w:pPr>
              <w:rPr>
                <w:b/>
                <w:sz w:val="24"/>
                <w:szCs w:val="24"/>
              </w:rPr>
            </w:pPr>
            <w:bookmarkStart w:id="12" w:name="_heading=h.prpq5hjlfp67" w:colFirst="0" w:colLast="0"/>
            <w:bookmarkEnd w:id="12"/>
            <w:r>
              <w:rPr>
                <w:sz w:val="24"/>
                <w:szCs w:val="24"/>
              </w:rPr>
              <w:t>SD</w:t>
            </w:r>
          </w:p>
        </w:tc>
        <w:tc>
          <w:tcPr>
            <w:tcW w:w="3746" w:type="dxa"/>
          </w:tcPr>
          <w:p w14:paraId="000000AF" w14:textId="77777777" w:rsidR="00FF4893" w:rsidRDefault="001D1A3D">
            <w:pPr>
              <w:rPr>
                <w:b/>
                <w:sz w:val="24"/>
                <w:szCs w:val="24"/>
              </w:rPr>
            </w:pPr>
            <w:bookmarkStart w:id="13" w:name="_heading=h.a4y6kd5idl4r" w:colFirst="0" w:colLast="0"/>
            <w:bookmarkEnd w:id="13"/>
            <w:r>
              <w:rPr>
                <w:sz w:val="24"/>
                <w:szCs w:val="24"/>
              </w:rPr>
              <w:t>Improvement log</w:t>
            </w:r>
          </w:p>
        </w:tc>
        <w:tc>
          <w:tcPr>
            <w:tcW w:w="1634" w:type="dxa"/>
          </w:tcPr>
          <w:p w14:paraId="000000B0" w14:textId="77777777" w:rsidR="00FF4893" w:rsidRDefault="001D1A3D">
            <w:pPr>
              <w:rPr>
                <w:b/>
                <w:sz w:val="24"/>
                <w:szCs w:val="24"/>
              </w:rPr>
            </w:pPr>
            <w:bookmarkStart w:id="14" w:name="_heading=h.1aluzcz3ox99" w:colFirst="0" w:colLast="0"/>
            <w:bookmarkEnd w:id="14"/>
            <w:r>
              <w:rPr>
                <w:sz w:val="24"/>
                <w:szCs w:val="24"/>
              </w:rPr>
              <w:t>100%</w:t>
            </w:r>
          </w:p>
        </w:tc>
      </w:tr>
      <w:tr w:rsidR="00FF4893" w14:paraId="46AD23FA" w14:textId="77777777">
        <w:tc>
          <w:tcPr>
            <w:tcW w:w="1163" w:type="dxa"/>
          </w:tcPr>
          <w:p w14:paraId="000000B1" w14:textId="77777777" w:rsidR="00FF4893" w:rsidRDefault="001D1A3D">
            <w:pPr>
              <w:pStyle w:val="Heading2"/>
              <w:ind w:left="360"/>
              <w:rPr>
                <w:sz w:val="24"/>
                <w:szCs w:val="24"/>
              </w:rPr>
            </w:pPr>
            <w:r>
              <w:rPr>
                <w:sz w:val="24"/>
                <w:szCs w:val="24"/>
              </w:rPr>
              <w:t>5</w:t>
            </w:r>
          </w:p>
        </w:tc>
        <w:tc>
          <w:tcPr>
            <w:tcW w:w="1756" w:type="dxa"/>
          </w:tcPr>
          <w:p w14:paraId="000000B2" w14:textId="77777777" w:rsidR="00FF4893" w:rsidRDefault="001D1A3D">
            <w:pPr>
              <w:rPr>
                <w:b/>
                <w:sz w:val="24"/>
                <w:szCs w:val="24"/>
              </w:rPr>
            </w:pPr>
            <w:bookmarkStart w:id="15" w:name="_heading=h.zgw10ko8s1xt" w:colFirst="0" w:colLast="0"/>
            <w:bookmarkEnd w:id="15"/>
            <w:r>
              <w:rPr>
                <w:sz w:val="24"/>
                <w:szCs w:val="24"/>
              </w:rPr>
              <w:t>SD</w:t>
            </w:r>
          </w:p>
        </w:tc>
        <w:tc>
          <w:tcPr>
            <w:tcW w:w="3746" w:type="dxa"/>
          </w:tcPr>
          <w:p w14:paraId="000000B3" w14:textId="77777777" w:rsidR="00FF4893" w:rsidRDefault="001D1A3D">
            <w:pPr>
              <w:rPr>
                <w:b/>
                <w:sz w:val="24"/>
                <w:szCs w:val="24"/>
              </w:rPr>
            </w:pPr>
            <w:bookmarkStart w:id="16" w:name="_heading=h.4j4hc1gcn0eq" w:colFirst="0" w:colLast="0"/>
            <w:bookmarkEnd w:id="16"/>
            <w:r>
              <w:rPr>
                <w:sz w:val="24"/>
                <w:szCs w:val="24"/>
              </w:rPr>
              <w:t>Guidance and standard operating procedures (Including a handover prepared for a future training provider)</w:t>
            </w:r>
          </w:p>
        </w:tc>
        <w:tc>
          <w:tcPr>
            <w:tcW w:w="1634" w:type="dxa"/>
          </w:tcPr>
          <w:p w14:paraId="000000B4" w14:textId="77777777" w:rsidR="00FF4893" w:rsidRDefault="001D1A3D">
            <w:pPr>
              <w:rPr>
                <w:b/>
                <w:sz w:val="24"/>
                <w:szCs w:val="24"/>
              </w:rPr>
            </w:pPr>
            <w:bookmarkStart w:id="17" w:name="_heading=h.gvklsbdlbwkz" w:colFirst="0" w:colLast="0"/>
            <w:bookmarkEnd w:id="17"/>
            <w:r>
              <w:rPr>
                <w:sz w:val="24"/>
                <w:szCs w:val="24"/>
              </w:rPr>
              <w:t>100%</w:t>
            </w:r>
          </w:p>
        </w:tc>
      </w:tr>
      <w:tr w:rsidR="00FF4893" w14:paraId="7B4A1871" w14:textId="77777777">
        <w:tc>
          <w:tcPr>
            <w:tcW w:w="1163" w:type="dxa"/>
          </w:tcPr>
          <w:p w14:paraId="000000B5" w14:textId="77777777" w:rsidR="00FF4893" w:rsidRDefault="001D1A3D">
            <w:pPr>
              <w:pStyle w:val="Heading2"/>
              <w:ind w:left="360"/>
              <w:rPr>
                <w:sz w:val="24"/>
                <w:szCs w:val="24"/>
              </w:rPr>
            </w:pPr>
            <w:r>
              <w:rPr>
                <w:sz w:val="24"/>
                <w:szCs w:val="24"/>
              </w:rPr>
              <w:t>6</w:t>
            </w:r>
          </w:p>
        </w:tc>
        <w:tc>
          <w:tcPr>
            <w:tcW w:w="1756" w:type="dxa"/>
          </w:tcPr>
          <w:p w14:paraId="000000B6" w14:textId="77777777" w:rsidR="00FF4893" w:rsidRDefault="001D1A3D">
            <w:pPr>
              <w:rPr>
                <w:b/>
                <w:sz w:val="24"/>
                <w:szCs w:val="24"/>
              </w:rPr>
            </w:pPr>
            <w:bookmarkStart w:id="18" w:name="_heading=h.wss4b78hwv7k" w:colFirst="0" w:colLast="0"/>
            <w:bookmarkEnd w:id="18"/>
            <w:r>
              <w:rPr>
                <w:sz w:val="24"/>
                <w:szCs w:val="24"/>
              </w:rPr>
              <w:t>SD</w:t>
            </w:r>
          </w:p>
        </w:tc>
        <w:tc>
          <w:tcPr>
            <w:tcW w:w="3746" w:type="dxa"/>
          </w:tcPr>
          <w:p w14:paraId="000000B7" w14:textId="77777777" w:rsidR="00FF4893" w:rsidRDefault="001D1A3D">
            <w:pPr>
              <w:rPr>
                <w:b/>
                <w:sz w:val="24"/>
                <w:szCs w:val="24"/>
              </w:rPr>
            </w:pPr>
            <w:bookmarkStart w:id="19" w:name="_heading=h.qm1fonkhcf58" w:colFirst="0" w:colLast="0"/>
            <w:bookmarkEnd w:id="19"/>
            <w:r>
              <w:rPr>
                <w:sz w:val="24"/>
                <w:szCs w:val="24"/>
              </w:rPr>
              <w:t>Invoicing/Billing - Compliant and fully transparent breakdown in costs and shall accurately reflect the services provided.</w:t>
            </w:r>
          </w:p>
          <w:p w14:paraId="000000B8" w14:textId="77777777" w:rsidR="00FF4893" w:rsidRDefault="001D1A3D">
            <w:pPr>
              <w:rPr>
                <w:b/>
                <w:sz w:val="24"/>
                <w:szCs w:val="24"/>
              </w:rPr>
            </w:pPr>
            <w:bookmarkStart w:id="20" w:name="_heading=h.ytiyqgg3wgda" w:colFirst="0" w:colLast="0"/>
            <w:bookmarkEnd w:id="20"/>
            <w:r>
              <w:rPr>
                <w:sz w:val="24"/>
                <w:szCs w:val="24"/>
              </w:rPr>
              <w:t>Frequency: monthly in arrears</w:t>
            </w:r>
          </w:p>
        </w:tc>
        <w:tc>
          <w:tcPr>
            <w:tcW w:w="1634" w:type="dxa"/>
          </w:tcPr>
          <w:p w14:paraId="000000B9" w14:textId="77777777" w:rsidR="00FF4893" w:rsidRDefault="001D1A3D">
            <w:pPr>
              <w:rPr>
                <w:b/>
                <w:sz w:val="24"/>
                <w:szCs w:val="24"/>
              </w:rPr>
            </w:pPr>
            <w:r>
              <w:rPr>
                <w:sz w:val="24"/>
                <w:szCs w:val="24"/>
              </w:rPr>
              <w:t>100%</w:t>
            </w:r>
          </w:p>
        </w:tc>
      </w:tr>
    </w:tbl>
    <w:p w14:paraId="000000BA" w14:textId="77777777" w:rsidR="00FF4893" w:rsidRDefault="00FF4893">
      <w:pPr>
        <w:pBdr>
          <w:top w:val="nil"/>
          <w:left w:val="nil"/>
          <w:bottom w:val="nil"/>
          <w:right w:val="nil"/>
          <w:between w:val="nil"/>
        </w:pBdr>
        <w:spacing w:before="120" w:after="120"/>
        <w:rPr>
          <w:color w:val="000000"/>
        </w:rPr>
      </w:pPr>
    </w:p>
    <w:p w14:paraId="000000BB" w14:textId="77777777" w:rsidR="00FF4893" w:rsidRDefault="001D1A3D">
      <w:pPr>
        <w:pStyle w:val="Heading4"/>
      </w:pPr>
      <w:r>
        <w:t>Additional Insurances</w:t>
      </w:r>
    </w:p>
    <w:p w14:paraId="000000BC" w14:textId="77777777" w:rsidR="00FF4893" w:rsidRDefault="001D1A3D">
      <w:pPr>
        <w:pBdr>
          <w:top w:val="nil"/>
          <w:left w:val="nil"/>
          <w:bottom w:val="nil"/>
          <w:right w:val="nil"/>
          <w:between w:val="nil"/>
        </w:pBdr>
        <w:spacing w:before="120" w:after="120"/>
        <w:rPr>
          <w:color w:val="000000"/>
        </w:rPr>
      </w:pPr>
      <w:r>
        <w:rPr>
          <w:color w:val="000000"/>
        </w:rPr>
        <w:t>Not applicable</w:t>
      </w:r>
    </w:p>
    <w:p w14:paraId="000000BD" w14:textId="77777777" w:rsidR="00FF4893" w:rsidRDefault="001D1A3D">
      <w:pPr>
        <w:pStyle w:val="Heading4"/>
      </w:pPr>
      <w:r>
        <w:t>Guarantee</w:t>
      </w:r>
    </w:p>
    <w:p w14:paraId="000000BE" w14:textId="77777777" w:rsidR="00FF4893" w:rsidRDefault="001D1A3D">
      <w:pPr>
        <w:pBdr>
          <w:top w:val="nil"/>
          <w:left w:val="nil"/>
          <w:bottom w:val="nil"/>
          <w:right w:val="nil"/>
          <w:between w:val="nil"/>
        </w:pBdr>
        <w:spacing w:before="120" w:after="120"/>
        <w:rPr>
          <w:color w:val="000000"/>
        </w:rPr>
      </w:pPr>
      <w:r>
        <w:rPr>
          <w:color w:val="000000"/>
        </w:rPr>
        <w:t>Not applicable</w:t>
      </w:r>
    </w:p>
    <w:p w14:paraId="000000BF" w14:textId="77777777" w:rsidR="00FF4893" w:rsidRDefault="001D1A3D">
      <w:pPr>
        <w:pStyle w:val="Heading4"/>
      </w:pPr>
      <w:r>
        <w:t>Social Value Commitment</w:t>
      </w:r>
    </w:p>
    <w:p w14:paraId="000000C0" w14:textId="77777777" w:rsidR="00FF4893" w:rsidRDefault="001D1A3D">
      <w:pPr>
        <w:pBdr>
          <w:top w:val="nil"/>
          <w:left w:val="nil"/>
          <w:bottom w:val="nil"/>
          <w:right w:val="nil"/>
          <w:between w:val="nil"/>
        </w:pBdr>
        <w:spacing w:before="120" w:after="120"/>
        <w:rPr>
          <w:color w:val="000000"/>
        </w:rPr>
      </w:pPr>
      <w:r>
        <w:rPr>
          <w:color w:val="000000"/>
        </w:rPr>
        <w:t>Not applicable</w:t>
      </w:r>
    </w:p>
    <w:p w14:paraId="000000C1" w14:textId="77777777" w:rsidR="00FF4893" w:rsidRDefault="001D1A3D">
      <w:pPr>
        <w:pStyle w:val="Heading4"/>
      </w:pPr>
      <w:r>
        <w:t>Statement of Works</w:t>
      </w:r>
    </w:p>
    <w:p w14:paraId="000000C2" w14:textId="77777777" w:rsidR="00FF4893" w:rsidRDefault="001D1A3D">
      <w:pPr>
        <w:pBdr>
          <w:top w:val="nil"/>
          <w:left w:val="nil"/>
          <w:bottom w:val="nil"/>
          <w:right w:val="nil"/>
          <w:between w:val="nil"/>
        </w:pBdr>
        <w:spacing w:before="120" w:after="120"/>
        <w:rPr>
          <w:color w:val="000000"/>
        </w:rPr>
      </w:pPr>
      <w:r>
        <w:rPr>
          <w:color w:val="000000"/>
        </w:rP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000000C3" w14:textId="77777777" w:rsidR="00FF4893" w:rsidRDefault="00FF4893">
      <w:pPr>
        <w:pBdr>
          <w:top w:val="nil"/>
          <w:left w:val="nil"/>
          <w:bottom w:val="nil"/>
          <w:right w:val="nil"/>
          <w:between w:val="nil"/>
        </w:pBdr>
        <w:spacing w:before="120" w:after="120"/>
        <w:rPr>
          <w:color w:val="000000"/>
        </w:rPr>
      </w:pPr>
    </w:p>
    <w:p w14:paraId="000000C4" w14:textId="77777777" w:rsidR="00FF4893" w:rsidRDefault="001D1A3D">
      <w:pPr>
        <w:pBdr>
          <w:top w:val="nil"/>
          <w:left w:val="nil"/>
          <w:bottom w:val="nil"/>
          <w:right w:val="nil"/>
          <w:between w:val="nil"/>
        </w:pBdr>
        <w:spacing w:before="120" w:after="120"/>
        <w:rPr>
          <w:color w:val="000000"/>
        </w:rPr>
      </w:pPr>
      <w:r>
        <w:rPr>
          <w:b/>
          <w:color w:val="000000"/>
        </w:rPr>
        <w:lastRenderedPageBreak/>
        <w:t>For and on behalf of the Supplier:</w:t>
      </w:r>
    </w:p>
    <w:p w14:paraId="000000C5" w14:textId="77777777" w:rsidR="00FF4893" w:rsidRDefault="001D1A3D">
      <w:pPr>
        <w:pBdr>
          <w:top w:val="nil"/>
          <w:left w:val="nil"/>
          <w:bottom w:val="nil"/>
          <w:right w:val="nil"/>
          <w:between w:val="nil"/>
        </w:pBdr>
        <w:spacing w:before="120" w:after="120"/>
        <w:rPr>
          <w:color w:val="000000"/>
        </w:rPr>
      </w:pPr>
      <w:r>
        <w:rPr>
          <w:color w:val="000000"/>
        </w:rPr>
        <w:t>Signature:</w:t>
      </w:r>
    </w:p>
    <w:p w14:paraId="000000C6" w14:textId="77777777" w:rsidR="00FF4893" w:rsidRDefault="001D1A3D">
      <w:pPr>
        <w:pBdr>
          <w:top w:val="nil"/>
          <w:left w:val="nil"/>
          <w:bottom w:val="nil"/>
          <w:right w:val="nil"/>
          <w:between w:val="nil"/>
        </w:pBdr>
        <w:spacing w:before="120" w:after="120"/>
        <w:rPr>
          <w:color w:val="000000"/>
        </w:rPr>
      </w:pPr>
      <w:r>
        <w:rPr>
          <w:color w:val="000000"/>
        </w:rPr>
        <w:t>Name:</w:t>
      </w:r>
    </w:p>
    <w:p w14:paraId="000000C7" w14:textId="77777777" w:rsidR="00FF4893" w:rsidRDefault="001D1A3D">
      <w:pPr>
        <w:pBdr>
          <w:top w:val="nil"/>
          <w:left w:val="nil"/>
          <w:bottom w:val="nil"/>
          <w:right w:val="nil"/>
          <w:between w:val="nil"/>
        </w:pBdr>
        <w:spacing w:before="120" w:after="120"/>
        <w:rPr>
          <w:color w:val="000000"/>
        </w:rPr>
      </w:pPr>
      <w:r>
        <w:rPr>
          <w:color w:val="000000"/>
        </w:rPr>
        <w:t>Role:</w:t>
      </w:r>
    </w:p>
    <w:p w14:paraId="000000C8" w14:textId="77777777" w:rsidR="00FF4893" w:rsidRDefault="001D1A3D">
      <w:pPr>
        <w:pBdr>
          <w:top w:val="nil"/>
          <w:left w:val="nil"/>
          <w:bottom w:val="nil"/>
          <w:right w:val="nil"/>
          <w:between w:val="nil"/>
        </w:pBdr>
        <w:spacing w:before="120" w:after="120"/>
        <w:rPr>
          <w:color w:val="000000"/>
        </w:rPr>
      </w:pPr>
      <w:r>
        <w:rPr>
          <w:color w:val="000000"/>
        </w:rPr>
        <w:t>Date:</w:t>
      </w:r>
    </w:p>
    <w:p w14:paraId="000000C9" w14:textId="77777777" w:rsidR="00FF4893" w:rsidRDefault="001D1A3D">
      <w:pPr>
        <w:pBdr>
          <w:top w:val="nil"/>
          <w:left w:val="nil"/>
          <w:bottom w:val="nil"/>
          <w:right w:val="nil"/>
          <w:between w:val="nil"/>
        </w:pBdr>
        <w:spacing w:before="120" w:after="120"/>
        <w:rPr>
          <w:color w:val="000000"/>
        </w:rPr>
      </w:pPr>
      <w:r>
        <w:rPr>
          <w:b/>
          <w:color w:val="000000"/>
        </w:rPr>
        <w:t>For and on behalf of the Buyer:</w:t>
      </w:r>
    </w:p>
    <w:p w14:paraId="000000CA" w14:textId="77777777" w:rsidR="00FF4893" w:rsidRDefault="001D1A3D">
      <w:pPr>
        <w:pBdr>
          <w:top w:val="nil"/>
          <w:left w:val="nil"/>
          <w:bottom w:val="nil"/>
          <w:right w:val="nil"/>
          <w:between w:val="nil"/>
        </w:pBdr>
        <w:spacing w:before="120" w:after="120"/>
        <w:rPr>
          <w:color w:val="000000"/>
        </w:rPr>
      </w:pPr>
      <w:r>
        <w:rPr>
          <w:color w:val="000000"/>
        </w:rPr>
        <w:t>Signature:</w:t>
      </w:r>
    </w:p>
    <w:p w14:paraId="000000CB" w14:textId="77777777" w:rsidR="00FF4893" w:rsidRDefault="001D1A3D">
      <w:pPr>
        <w:pBdr>
          <w:top w:val="nil"/>
          <w:left w:val="nil"/>
          <w:bottom w:val="nil"/>
          <w:right w:val="nil"/>
          <w:between w:val="nil"/>
        </w:pBdr>
        <w:spacing w:before="120" w:after="120"/>
        <w:rPr>
          <w:color w:val="000000"/>
        </w:rPr>
      </w:pPr>
      <w:r>
        <w:rPr>
          <w:color w:val="000000"/>
        </w:rPr>
        <w:t>Name:</w:t>
      </w:r>
    </w:p>
    <w:p w14:paraId="000000CC" w14:textId="77777777" w:rsidR="00FF4893" w:rsidRDefault="001D1A3D">
      <w:pPr>
        <w:pBdr>
          <w:top w:val="nil"/>
          <w:left w:val="nil"/>
          <w:bottom w:val="nil"/>
          <w:right w:val="nil"/>
          <w:between w:val="nil"/>
        </w:pBdr>
        <w:spacing w:before="120" w:after="120"/>
        <w:rPr>
          <w:color w:val="000000"/>
        </w:rPr>
      </w:pPr>
      <w:r>
        <w:rPr>
          <w:color w:val="000000"/>
        </w:rPr>
        <w:t>Role:</w:t>
      </w:r>
    </w:p>
    <w:p w14:paraId="000000CD" w14:textId="77777777" w:rsidR="00FF4893" w:rsidRDefault="001D1A3D">
      <w:pPr>
        <w:pBdr>
          <w:top w:val="nil"/>
          <w:left w:val="nil"/>
          <w:bottom w:val="nil"/>
          <w:right w:val="nil"/>
          <w:between w:val="nil"/>
        </w:pBdr>
        <w:spacing w:before="120" w:after="120"/>
        <w:rPr>
          <w:color w:val="000000"/>
        </w:rPr>
      </w:pPr>
      <w:r>
        <w:rPr>
          <w:color w:val="000000"/>
        </w:rPr>
        <w:t>Date:</w:t>
      </w:r>
    </w:p>
    <w:p w14:paraId="000000CE" w14:textId="77777777" w:rsidR="00FF4893" w:rsidRDefault="00FF4893">
      <w:pPr>
        <w:pBdr>
          <w:top w:val="nil"/>
          <w:left w:val="nil"/>
          <w:bottom w:val="nil"/>
          <w:right w:val="nil"/>
          <w:between w:val="nil"/>
        </w:pBdr>
        <w:spacing w:before="120" w:after="120"/>
        <w:rPr>
          <w:color w:val="000000"/>
        </w:rPr>
      </w:pPr>
    </w:p>
    <w:p w14:paraId="000000CF" w14:textId="77777777" w:rsidR="00FF4893" w:rsidRDefault="001D1A3D">
      <w:pPr>
        <w:pStyle w:val="Heading3"/>
        <w:pageBreakBefore/>
      </w:pPr>
      <w:r>
        <w:lastRenderedPageBreak/>
        <w:t>Annex 1 (Template Statement of Work)</w:t>
      </w:r>
    </w:p>
    <w:p w14:paraId="000000D0" w14:textId="77777777" w:rsidR="00FF4893" w:rsidRDefault="001D1A3D">
      <w:pPr>
        <w:numPr>
          <w:ilvl w:val="0"/>
          <w:numId w:val="2"/>
        </w:numPr>
        <w:pBdr>
          <w:top w:val="nil"/>
          <w:left w:val="nil"/>
          <w:bottom w:val="nil"/>
          <w:right w:val="nil"/>
          <w:between w:val="nil"/>
        </w:pBdr>
        <w:spacing w:before="120" w:after="120"/>
      </w:pPr>
      <w:r>
        <w:rPr>
          <w:b/>
          <w:color w:val="000000"/>
        </w:rPr>
        <w:t>Statement of Works (SOW) Details</w:t>
      </w:r>
    </w:p>
    <w:p w14:paraId="000000D1" w14:textId="77777777" w:rsidR="00FF4893" w:rsidRDefault="001D1A3D">
      <w:pPr>
        <w:pBdr>
          <w:top w:val="nil"/>
          <w:left w:val="nil"/>
          <w:bottom w:val="nil"/>
          <w:right w:val="nil"/>
          <w:between w:val="nil"/>
        </w:pBdr>
        <w:spacing w:before="120" w:after="120"/>
        <w:rPr>
          <w:color w:val="000000"/>
        </w:rPr>
      </w:pPr>
      <w:r>
        <w:rPr>
          <w:color w:val="000000"/>
        </w:rPr>
        <w:t>Upon execution, this SOW forms part of the Call-Off Contract (reference below).</w:t>
      </w:r>
    </w:p>
    <w:p w14:paraId="000000D2" w14:textId="77777777" w:rsidR="00FF4893" w:rsidRDefault="001D1A3D">
      <w:pPr>
        <w:pBdr>
          <w:top w:val="nil"/>
          <w:left w:val="nil"/>
          <w:bottom w:val="nil"/>
          <w:right w:val="nil"/>
          <w:between w:val="nil"/>
        </w:pBdr>
        <w:spacing w:before="120" w:after="120"/>
        <w:rPr>
          <w:color w:val="000000"/>
        </w:rPr>
      </w:pPr>
      <w:r>
        <w:rPr>
          <w:color w:val="000000"/>
        </w:rP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00000D3" w14:textId="77777777" w:rsidR="00FF4893" w:rsidRDefault="001D1A3D">
      <w:pPr>
        <w:pBdr>
          <w:top w:val="nil"/>
          <w:left w:val="nil"/>
          <w:bottom w:val="nil"/>
          <w:right w:val="nil"/>
          <w:between w:val="nil"/>
        </w:pBdr>
        <w:spacing w:before="120" w:after="120"/>
        <w:rPr>
          <w:color w:val="000000"/>
        </w:rPr>
      </w:pPr>
      <w:r>
        <w:rPr>
          <w:color w:val="000000"/>
        </w:rPr>
        <w:t>All SOWs must fall within the Specification and provisions of the Call-Off Contact.</w:t>
      </w:r>
    </w:p>
    <w:p w14:paraId="000000D4" w14:textId="77777777" w:rsidR="00FF4893" w:rsidRDefault="001D1A3D">
      <w:pPr>
        <w:pBdr>
          <w:top w:val="nil"/>
          <w:left w:val="nil"/>
          <w:bottom w:val="nil"/>
          <w:right w:val="nil"/>
          <w:between w:val="nil"/>
        </w:pBdr>
        <w:spacing w:before="120" w:after="120"/>
        <w:rPr>
          <w:color w:val="000000"/>
        </w:rPr>
      </w:pPr>
      <w:r>
        <w:rPr>
          <w:color w:val="000000"/>
        </w:rPr>
        <w:t>The details set out within this SOW apply only in relation to the Deliverables detailed herein and will not apply to any other SOWs executed or to be executed under this Call-Off Contract, unless otherwise agreed by the Parties in writing.</w:t>
      </w:r>
    </w:p>
    <w:p w14:paraId="000000D5" w14:textId="77777777" w:rsidR="00FF4893" w:rsidRDefault="001D1A3D">
      <w:pPr>
        <w:pStyle w:val="Heading1"/>
        <w:keepLines w:val="0"/>
        <w:widowControl/>
        <w:numPr>
          <w:ilvl w:val="0"/>
          <w:numId w:val="3"/>
        </w:numPr>
        <w:spacing w:before="0" w:after="120"/>
        <w:jc w:val="both"/>
        <w:rPr>
          <w:sz w:val="22"/>
          <w:szCs w:val="22"/>
        </w:rPr>
      </w:pPr>
      <w:r>
        <w:rPr>
          <w:sz w:val="22"/>
          <w:szCs w:val="22"/>
        </w:rPr>
        <w:t>PURPOSE</w:t>
      </w:r>
    </w:p>
    <w:p w14:paraId="000000D6" w14:textId="6E0BD5CC" w:rsidR="00FF4893" w:rsidRDefault="001D1A3D">
      <w:pPr>
        <w:pStyle w:val="Heading2"/>
        <w:keepNext w:val="0"/>
        <w:keepLines w:val="0"/>
        <w:widowControl/>
        <w:numPr>
          <w:ilvl w:val="1"/>
          <w:numId w:val="3"/>
        </w:numPr>
        <w:spacing w:before="0" w:after="120"/>
        <w:jc w:val="both"/>
        <w:rPr>
          <w:b w:val="0"/>
          <w:sz w:val="22"/>
          <w:szCs w:val="22"/>
        </w:rPr>
      </w:pPr>
      <w:bookmarkStart w:id="21" w:name="_heading=h.i6qs3adc185u" w:colFirst="0" w:colLast="0"/>
      <w:bookmarkEnd w:id="21"/>
      <w:r>
        <w:rPr>
          <w:b w:val="0"/>
          <w:sz w:val="22"/>
          <w:szCs w:val="22"/>
        </w:rPr>
        <w:t>The Crown Commercial Service (CCS, hereafter referred to as the Authority) spend forecasting processes have been reviewed and it is not appropriately supporting the CCS business strategy of a market segmented focus, nor is there a consistent process which supports forecasting to allow effective business planning and monitoring of performance.</w:t>
      </w:r>
    </w:p>
    <w:p w14:paraId="000000D7" w14:textId="77777777" w:rsidR="00FF4893" w:rsidRDefault="001D1A3D">
      <w:pPr>
        <w:pStyle w:val="Heading2"/>
        <w:keepNext w:val="0"/>
        <w:keepLines w:val="0"/>
        <w:widowControl/>
        <w:numPr>
          <w:ilvl w:val="1"/>
          <w:numId w:val="3"/>
        </w:numPr>
        <w:spacing w:before="0" w:after="120"/>
        <w:jc w:val="both"/>
        <w:rPr>
          <w:b w:val="0"/>
          <w:sz w:val="22"/>
          <w:szCs w:val="22"/>
        </w:rPr>
      </w:pPr>
      <w:bookmarkStart w:id="22" w:name="_heading=h.ku355xdoc0gq" w:colFirst="0" w:colLast="0"/>
      <w:bookmarkEnd w:id="22"/>
      <w:r>
        <w:rPr>
          <w:b w:val="0"/>
          <w:sz w:val="22"/>
          <w:szCs w:val="22"/>
        </w:rPr>
        <w:t>The identified approach is automation of the spend forecasting process through an external provider working alongside CCS to build a ‘best practice’ automated solution.</w:t>
      </w:r>
    </w:p>
    <w:p w14:paraId="000000D8" w14:textId="77777777" w:rsidR="00FF4893" w:rsidRDefault="00FF4893">
      <w:pPr>
        <w:ind w:left="720"/>
        <w:jc w:val="both"/>
      </w:pPr>
    </w:p>
    <w:p w14:paraId="000000D9" w14:textId="77777777" w:rsidR="00FF4893" w:rsidRDefault="001D1A3D">
      <w:pPr>
        <w:pStyle w:val="Heading1"/>
        <w:keepLines w:val="0"/>
        <w:widowControl/>
        <w:numPr>
          <w:ilvl w:val="0"/>
          <w:numId w:val="3"/>
        </w:numPr>
        <w:spacing w:before="0" w:after="120"/>
        <w:jc w:val="both"/>
        <w:rPr>
          <w:sz w:val="22"/>
          <w:szCs w:val="22"/>
        </w:rPr>
      </w:pPr>
      <w:bookmarkStart w:id="23" w:name="_heading=h.tyjcwt" w:colFirst="0" w:colLast="0"/>
      <w:bookmarkEnd w:id="23"/>
      <w:r>
        <w:rPr>
          <w:sz w:val="22"/>
          <w:szCs w:val="22"/>
        </w:rPr>
        <w:t xml:space="preserve">BACKGROUND TO THE CONTRACTING AUTHORITY </w:t>
      </w:r>
    </w:p>
    <w:p w14:paraId="000000DA" w14:textId="77777777" w:rsidR="00FF4893" w:rsidRDefault="001D1A3D">
      <w:pPr>
        <w:pStyle w:val="Heading2"/>
        <w:keepNext w:val="0"/>
        <w:keepLines w:val="0"/>
        <w:widowControl/>
        <w:numPr>
          <w:ilvl w:val="1"/>
          <w:numId w:val="3"/>
        </w:numPr>
        <w:spacing w:before="0" w:after="120"/>
        <w:jc w:val="both"/>
        <w:rPr>
          <w:b w:val="0"/>
          <w:sz w:val="22"/>
          <w:szCs w:val="22"/>
        </w:rPr>
      </w:pPr>
      <w:bookmarkStart w:id="24" w:name="_heading=h.qmmu26ypmi7h" w:colFirst="0" w:colLast="0"/>
      <w:bookmarkEnd w:id="24"/>
      <w:r>
        <w:rPr>
          <w:b w:val="0"/>
          <w:sz w:val="22"/>
          <w:szCs w:val="22"/>
        </w:rPr>
        <w:t xml:space="preserve">The authority </w:t>
      </w:r>
      <w:proofErr w:type="gramStart"/>
      <w:r>
        <w:rPr>
          <w:b w:val="0"/>
          <w:sz w:val="22"/>
          <w:szCs w:val="22"/>
        </w:rPr>
        <w:t>are</w:t>
      </w:r>
      <w:proofErr w:type="gramEnd"/>
      <w:r>
        <w:rPr>
          <w:b w:val="0"/>
          <w:sz w:val="22"/>
          <w:szCs w:val="22"/>
        </w:rPr>
        <w:t xml:space="preserve"> the biggest public procurement organisation in the UK. We use our commercial expertise to help buyers in central government and across the public and third sectors to purchase everything from locum doctors and laptops to police cars and electricity.</w:t>
      </w:r>
    </w:p>
    <w:p w14:paraId="000000DB" w14:textId="77777777" w:rsidR="00FF4893" w:rsidRDefault="001D1A3D">
      <w:pPr>
        <w:pStyle w:val="Heading2"/>
        <w:keepNext w:val="0"/>
        <w:keepLines w:val="0"/>
        <w:widowControl/>
        <w:numPr>
          <w:ilvl w:val="1"/>
          <w:numId w:val="3"/>
        </w:numPr>
        <w:spacing w:before="0" w:after="120"/>
        <w:jc w:val="both"/>
        <w:rPr>
          <w:b w:val="0"/>
          <w:sz w:val="22"/>
          <w:szCs w:val="22"/>
        </w:rPr>
      </w:pPr>
      <w:bookmarkStart w:id="25" w:name="_heading=h.u5j8m2bvw3zs" w:colFirst="0" w:colLast="0"/>
      <w:bookmarkEnd w:id="25"/>
      <w:r>
        <w:rPr>
          <w:b w:val="0"/>
          <w:sz w:val="22"/>
          <w:szCs w:val="22"/>
        </w:rPr>
        <w:t>The collective purchasing power of our customers, plus our procurement knowledge, means we can get the best commercial deals in the interests of taxpayers.</w:t>
      </w:r>
    </w:p>
    <w:p w14:paraId="000000DC" w14:textId="5715D6FD" w:rsidR="00FF4893" w:rsidRDefault="001D1A3D">
      <w:pPr>
        <w:pStyle w:val="Heading2"/>
        <w:keepNext w:val="0"/>
        <w:keepLines w:val="0"/>
        <w:widowControl/>
        <w:numPr>
          <w:ilvl w:val="1"/>
          <w:numId w:val="3"/>
        </w:numPr>
        <w:spacing w:before="0" w:after="120"/>
        <w:jc w:val="both"/>
        <w:rPr>
          <w:b w:val="0"/>
          <w:sz w:val="22"/>
          <w:szCs w:val="22"/>
        </w:rPr>
      </w:pPr>
      <w:bookmarkStart w:id="26" w:name="_heading=h.qd6l9pzbvs50" w:colFirst="0" w:colLast="0"/>
      <w:bookmarkEnd w:id="26"/>
      <w:r>
        <w:rPr>
          <w:b w:val="0"/>
          <w:sz w:val="22"/>
          <w:szCs w:val="22"/>
        </w:rPr>
        <w:t>In order to manage performance against the business plan the Authority needs to be able to measure and forecast performance against the targets we use to drive the business forward.</w:t>
      </w:r>
    </w:p>
    <w:p w14:paraId="000000DD" w14:textId="77777777" w:rsidR="00FF4893" w:rsidRDefault="00FF4893">
      <w:pPr>
        <w:ind w:left="720"/>
      </w:pPr>
    </w:p>
    <w:p w14:paraId="000000DE" w14:textId="77777777" w:rsidR="00FF4893" w:rsidRDefault="001D1A3D">
      <w:pPr>
        <w:pStyle w:val="Heading1"/>
        <w:keepLines w:val="0"/>
        <w:widowControl/>
        <w:numPr>
          <w:ilvl w:val="0"/>
          <w:numId w:val="3"/>
        </w:numPr>
        <w:spacing w:before="0" w:after="120"/>
        <w:jc w:val="both"/>
        <w:rPr>
          <w:sz w:val="22"/>
          <w:szCs w:val="22"/>
        </w:rPr>
      </w:pPr>
      <w:bookmarkStart w:id="27" w:name="_heading=h.3dy6vkm" w:colFirst="0" w:colLast="0"/>
      <w:bookmarkEnd w:id="27"/>
      <w:r>
        <w:rPr>
          <w:sz w:val="22"/>
          <w:szCs w:val="22"/>
        </w:rPr>
        <w:t>Background to requirement/OVERVIEW of requirement</w:t>
      </w:r>
    </w:p>
    <w:p w14:paraId="000000DF" w14:textId="77777777" w:rsidR="00FF4893" w:rsidRDefault="001D1A3D">
      <w:pPr>
        <w:pStyle w:val="Heading2"/>
        <w:keepNext w:val="0"/>
        <w:keepLines w:val="0"/>
        <w:widowControl/>
        <w:numPr>
          <w:ilvl w:val="1"/>
          <w:numId w:val="3"/>
        </w:numPr>
        <w:spacing w:before="0" w:after="120"/>
        <w:jc w:val="both"/>
        <w:rPr>
          <w:b w:val="0"/>
          <w:sz w:val="22"/>
          <w:szCs w:val="22"/>
        </w:rPr>
      </w:pPr>
      <w:bookmarkStart w:id="28" w:name="_heading=h.hdw9q94tuzs6" w:colFirst="0" w:colLast="0"/>
      <w:bookmarkEnd w:id="28"/>
      <w:r>
        <w:rPr>
          <w:b w:val="0"/>
          <w:sz w:val="22"/>
          <w:szCs w:val="22"/>
        </w:rPr>
        <w:t>The way that CCS is building its business plan and focusing its efforts is changing. The new business strategy requires a shift from a focus on UK central government, arm’s length bodies and the wider public sector, to a segmented market focus.</w:t>
      </w:r>
    </w:p>
    <w:p w14:paraId="000000E0" w14:textId="77777777" w:rsidR="00FF4893" w:rsidRDefault="001D1A3D">
      <w:pPr>
        <w:widowControl/>
        <w:numPr>
          <w:ilvl w:val="1"/>
          <w:numId w:val="3"/>
        </w:numPr>
        <w:spacing w:after="120"/>
      </w:pPr>
      <w:r>
        <w:t>There is no consistent process or tool which allows forecasting, using customer and market intelligence and data, to enable effective business planning and monitoring of performance.</w:t>
      </w:r>
    </w:p>
    <w:p w14:paraId="000000E1" w14:textId="77777777" w:rsidR="00FF4893" w:rsidRDefault="001D1A3D">
      <w:pPr>
        <w:pStyle w:val="Heading2"/>
        <w:keepNext w:val="0"/>
        <w:keepLines w:val="0"/>
        <w:widowControl/>
        <w:numPr>
          <w:ilvl w:val="1"/>
          <w:numId w:val="3"/>
        </w:numPr>
        <w:spacing w:before="0" w:after="120"/>
        <w:jc w:val="both"/>
        <w:rPr>
          <w:b w:val="0"/>
          <w:sz w:val="22"/>
          <w:szCs w:val="22"/>
        </w:rPr>
      </w:pPr>
      <w:bookmarkStart w:id="29" w:name="_heading=h.uk86kgcqprjh" w:colFirst="0" w:colLast="0"/>
      <w:bookmarkEnd w:id="29"/>
      <w:r>
        <w:rPr>
          <w:b w:val="0"/>
          <w:sz w:val="22"/>
          <w:szCs w:val="22"/>
        </w:rPr>
        <w:t>This project will support CCS to focus on the customer, the proposed changes to the way we forecast our customer spend through our frameworks will allow us to support Market Segmentation. Additionally, the outcome of the project intends to support business and product planning by increasing forecasting accuracy through customer opportunity ownership.</w:t>
      </w:r>
    </w:p>
    <w:p w14:paraId="000000E2" w14:textId="77777777" w:rsidR="00FF4893" w:rsidRDefault="001D1A3D">
      <w:pPr>
        <w:pStyle w:val="Heading2"/>
        <w:keepNext w:val="0"/>
        <w:keepLines w:val="0"/>
        <w:widowControl/>
        <w:numPr>
          <w:ilvl w:val="1"/>
          <w:numId w:val="3"/>
        </w:numPr>
        <w:spacing w:before="0" w:after="120"/>
        <w:jc w:val="both"/>
        <w:rPr>
          <w:b w:val="0"/>
          <w:sz w:val="22"/>
          <w:szCs w:val="22"/>
        </w:rPr>
      </w:pPr>
      <w:bookmarkStart w:id="30" w:name="_heading=h.81ce3yujx5yr" w:colFirst="0" w:colLast="0"/>
      <w:bookmarkEnd w:id="30"/>
      <w:r>
        <w:rPr>
          <w:b w:val="0"/>
          <w:sz w:val="22"/>
          <w:szCs w:val="22"/>
        </w:rPr>
        <w:t>We aim to draw together a number of different data strands to develop a forecast through an automated process, with sign off points.</w:t>
      </w:r>
    </w:p>
    <w:p w14:paraId="000000E3" w14:textId="77777777" w:rsidR="00FF4893" w:rsidRDefault="001D1A3D">
      <w:pPr>
        <w:pStyle w:val="Heading1"/>
        <w:keepLines w:val="0"/>
        <w:widowControl/>
        <w:numPr>
          <w:ilvl w:val="0"/>
          <w:numId w:val="3"/>
        </w:numPr>
        <w:spacing w:before="0" w:after="120"/>
        <w:jc w:val="both"/>
        <w:rPr>
          <w:b w:val="0"/>
          <w:sz w:val="22"/>
          <w:szCs w:val="22"/>
        </w:rPr>
      </w:pPr>
      <w:bookmarkStart w:id="31" w:name="_heading=h.4d34og8" w:colFirst="0" w:colLast="0"/>
      <w:bookmarkEnd w:id="31"/>
      <w:r>
        <w:rPr>
          <w:b w:val="0"/>
          <w:sz w:val="22"/>
          <w:szCs w:val="22"/>
        </w:rPr>
        <w:lastRenderedPageBreak/>
        <w:t xml:space="preserve">definitions </w:t>
      </w:r>
    </w:p>
    <w:tbl>
      <w:tblPr>
        <w:tblStyle w:val="a0"/>
        <w:tblW w:w="7470"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9"/>
        <w:gridCol w:w="5431"/>
      </w:tblGrid>
      <w:tr w:rsidR="00FF4893" w14:paraId="64989318" w14:textId="77777777">
        <w:tc>
          <w:tcPr>
            <w:tcW w:w="2039" w:type="dxa"/>
            <w:tcBorders>
              <w:top w:val="single" w:sz="24" w:space="0" w:color="000000"/>
              <w:left w:val="single" w:sz="24" w:space="0" w:color="000000"/>
              <w:bottom w:val="single" w:sz="6" w:space="0" w:color="000000"/>
              <w:right w:val="single" w:sz="6" w:space="0" w:color="000000"/>
            </w:tcBorders>
            <w:shd w:val="clear" w:color="auto" w:fill="B8CCE4"/>
          </w:tcPr>
          <w:p w14:paraId="000000E4" w14:textId="77777777" w:rsidR="00FF4893" w:rsidRDefault="001D1A3D">
            <w:pPr>
              <w:pStyle w:val="Heading2"/>
              <w:spacing w:after="120"/>
              <w:ind w:left="18"/>
              <w:rPr>
                <w:b w:val="0"/>
                <w:sz w:val="22"/>
                <w:szCs w:val="22"/>
              </w:rPr>
            </w:pPr>
            <w:r>
              <w:rPr>
                <w:b w:val="0"/>
                <w:sz w:val="22"/>
                <w:szCs w:val="22"/>
              </w:rPr>
              <w:t>Expression or Acronym</w:t>
            </w:r>
          </w:p>
        </w:tc>
        <w:tc>
          <w:tcPr>
            <w:tcW w:w="5431" w:type="dxa"/>
            <w:tcBorders>
              <w:top w:val="single" w:sz="24" w:space="0" w:color="000000"/>
              <w:left w:val="single" w:sz="6" w:space="0" w:color="000000"/>
              <w:bottom w:val="single" w:sz="6" w:space="0" w:color="000000"/>
              <w:right w:val="single" w:sz="24" w:space="0" w:color="000000"/>
            </w:tcBorders>
            <w:shd w:val="clear" w:color="auto" w:fill="B8CCE4"/>
          </w:tcPr>
          <w:p w14:paraId="000000E5" w14:textId="77777777" w:rsidR="00FF4893" w:rsidRDefault="001D1A3D">
            <w:pPr>
              <w:pStyle w:val="Heading2"/>
              <w:spacing w:after="120"/>
              <w:rPr>
                <w:b w:val="0"/>
                <w:sz w:val="22"/>
                <w:szCs w:val="22"/>
              </w:rPr>
            </w:pPr>
            <w:r>
              <w:rPr>
                <w:b w:val="0"/>
                <w:sz w:val="22"/>
                <w:szCs w:val="22"/>
              </w:rPr>
              <w:t>Definition</w:t>
            </w:r>
          </w:p>
        </w:tc>
      </w:tr>
      <w:tr w:rsidR="00FF4893" w14:paraId="4C4FFD39" w14:textId="77777777">
        <w:tc>
          <w:tcPr>
            <w:tcW w:w="2039" w:type="dxa"/>
            <w:tcBorders>
              <w:top w:val="single" w:sz="6" w:space="0" w:color="000000"/>
              <w:left w:val="single" w:sz="24" w:space="0" w:color="000000"/>
              <w:bottom w:val="single" w:sz="6" w:space="0" w:color="000000"/>
              <w:right w:val="single" w:sz="6" w:space="0" w:color="000000"/>
            </w:tcBorders>
          </w:tcPr>
          <w:p w14:paraId="000000E6" w14:textId="77777777" w:rsidR="00FF4893" w:rsidRDefault="001D1A3D">
            <w:pPr>
              <w:pStyle w:val="Heading2"/>
              <w:spacing w:after="120"/>
              <w:ind w:left="-19"/>
              <w:rPr>
                <w:b w:val="0"/>
                <w:sz w:val="22"/>
                <w:szCs w:val="22"/>
              </w:rPr>
            </w:pPr>
            <w:r>
              <w:rPr>
                <w:b w:val="0"/>
                <w:sz w:val="22"/>
                <w:szCs w:val="22"/>
              </w:rPr>
              <w:t>GDS</w:t>
            </w:r>
          </w:p>
        </w:tc>
        <w:tc>
          <w:tcPr>
            <w:tcW w:w="5431" w:type="dxa"/>
            <w:tcBorders>
              <w:top w:val="single" w:sz="6" w:space="0" w:color="000000"/>
              <w:left w:val="single" w:sz="6" w:space="0" w:color="000000"/>
              <w:bottom w:val="single" w:sz="6" w:space="0" w:color="000000"/>
              <w:right w:val="single" w:sz="24" w:space="0" w:color="000000"/>
            </w:tcBorders>
          </w:tcPr>
          <w:p w14:paraId="000000E7" w14:textId="77777777" w:rsidR="00FF4893" w:rsidRDefault="001D1A3D">
            <w:pPr>
              <w:pStyle w:val="Heading2"/>
              <w:spacing w:after="120"/>
              <w:rPr>
                <w:b w:val="0"/>
                <w:sz w:val="22"/>
                <w:szCs w:val="22"/>
              </w:rPr>
            </w:pPr>
            <w:r>
              <w:rPr>
                <w:b w:val="0"/>
                <w:sz w:val="22"/>
                <w:szCs w:val="22"/>
              </w:rPr>
              <w:t>Government Digital Service</w:t>
            </w:r>
          </w:p>
        </w:tc>
      </w:tr>
      <w:tr w:rsidR="00FF4893" w14:paraId="33B25710" w14:textId="77777777">
        <w:tc>
          <w:tcPr>
            <w:tcW w:w="2039" w:type="dxa"/>
            <w:tcBorders>
              <w:top w:val="single" w:sz="6" w:space="0" w:color="000000"/>
              <w:left w:val="single" w:sz="24" w:space="0" w:color="000000"/>
              <w:bottom w:val="single" w:sz="6" w:space="0" w:color="000000"/>
              <w:right w:val="single" w:sz="6" w:space="0" w:color="000000"/>
            </w:tcBorders>
          </w:tcPr>
          <w:p w14:paraId="000000E8" w14:textId="77777777" w:rsidR="00FF4893" w:rsidRDefault="001D1A3D">
            <w:pPr>
              <w:pStyle w:val="Heading2"/>
              <w:spacing w:after="120"/>
              <w:ind w:left="-19"/>
              <w:rPr>
                <w:b w:val="0"/>
                <w:sz w:val="22"/>
                <w:szCs w:val="22"/>
              </w:rPr>
            </w:pPr>
            <w:r>
              <w:rPr>
                <w:b w:val="0"/>
                <w:sz w:val="22"/>
                <w:szCs w:val="22"/>
              </w:rPr>
              <w:t>SOR</w:t>
            </w:r>
          </w:p>
        </w:tc>
        <w:tc>
          <w:tcPr>
            <w:tcW w:w="5431" w:type="dxa"/>
            <w:tcBorders>
              <w:top w:val="single" w:sz="6" w:space="0" w:color="000000"/>
              <w:left w:val="single" w:sz="6" w:space="0" w:color="000000"/>
              <w:bottom w:val="single" w:sz="6" w:space="0" w:color="000000"/>
              <w:right w:val="single" w:sz="24" w:space="0" w:color="000000"/>
            </w:tcBorders>
          </w:tcPr>
          <w:p w14:paraId="000000E9" w14:textId="77777777" w:rsidR="00FF4893" w:rsidRDefault="001D1A3D">
            <w:pPr>
              <w:pStyle w:val="Heading2"/>
              <w:spacing w:after="120"/>
              <w:rPr>
                <w:b w:val="0"/>
                <w:sz w:val="22"/>
                <w:szCs w:val="22"/>
              </w:rPr>
            </w:pPr>
            <w:r>
              <w:rPr>
                <w:b w:val="0"/>
                <w:sz w:val="22"/>
                <w:szCs w:val="22"/>
              </w:rPr>
              <w:t>Statement of requirement</w:t>
            </w:r>
          </w:p>
        </w:tc>
      </w:tr>
      <w:tr w:rsidR="00FF4893" w14:paraId="5BC2D51B" w14:textId="77777777">
        <w:trPr>
          <w:trHeight w:val="45"/>
        </w:trPr>
        <w:tc>
          <w:tcPr>
            <w:tcW w:w="2039" w:type="dxa"/>
            <w:tcBorders>
              <w:top w:val="single" w:sz="6" w:space="0" w:color="000000"/>
              <w:left w:val="single" w:sz="24" w:space="0" w:color="000000"/>
              <w:bottom w:val="single" w:sz="6" w:space="0" w:color="000000"/>
              <w:right w:val="single" w:sz="6" w:space="0" w:color="000000"/>
            </w:tcBorders>
          </w:tcPr>
          <w:p w14:paraId="000000EA" w14:textId="77777777" w:rsidR="00FF4893" w:rsidRDefault="001D1A3D">
            <w:pPr>
              <w:pStyle w:val="Heading2"/>
              <w:spacing w:after="120"/>
              <w:ind w:left="-19"/>
              <w:rPr>
                <w:b w:val="0"/>
                <w:sz w:val="22"/>
                <w:szCs w:val="22"/>
              </w:rPr>
            </w:pPr>
            <w:r>
              <w:rPr>
                <w:b w:val="0"/>
                <w:sz w:val="22"/>
                <w:szCs w:val="22"/>
              </w:rPr>
              <w:t>VAT</w:t>
            </w:r>
          </w:p>
        </w:tc>
        <w:tc>
          <w:tcPr>
            <w:tcW w:w="5431" w:type="dxa"/>
            <w:tcBorders>
              <w:top w:val="single" w:sz="6" w:space="0" w:color="000000"/>
              <w:left w:val="single" w:sz="6" w:space="0" w:color="000000"/>
              <w:bottom w:val="single" w:sz="6" w:space="0" w:color="000000"/>
              <w:right w:val="single" w:sz="24" w:space="0" w:color="000000"/>
            </w:tcBorders>
          </w:tcPr>
          <w:p w14:paraId="000000EB" w14:textId="77777777" w:rsidR="00FF4893" w:rsidRDefault="001D1A3D">
            <w:pPr>
              <w:pStyle w:val="Heading2"/>
              <w:spacing w:after="120"/>
              <w:rPr>
                <w:b w:val="0"/>
                <w:sz w:val="22"/>
                <w:szCs w:val="22"/>
              </w:rPr>
            </w:pPr>
            <w:r>
              <w:rPr>
                <w:b w:val="0"/>
                <w:sz w:val="22"/>
                <w:szCs w:val="22"/>
              </w:rPr>
              <w:t>Value added tax</w:t>
            </w:r>
          </w:p>
        </w:tc>
      </w:tr>
      <w:tr w:rsidR="00FF4893" w14:paraId="5C7653E9" w14:textId="77777777">
        <w:tc>
          <w:tcPr>
            <w:tcW w:w="2039" w:type="dxa"/>
            <w:tcBorders>
              <w:top w:val="single" w:sz="6" w:space="0" w:color="000000"/>
              <w:left w:val="single" w:sz="24" w:space="0" w:color="000000"/>
              <w:bottom w:val="single" w:sz="24" w:space="0" w:color="000000"/>
              <w:right w:val="single" w:sz="6" w:space="0" w:color="000000"/>
            </w:tcBorders>
          </w:tcPr>
          <w:p w14:paraId="000000EC" w14:textId="77777777" w:rsidR="00FF4893" w:rsidRDefault="001D1A3D">
            <w:pPr>
              <w:pStyle w:val="Heading2"/>
              <w:spacing w:after="120"/>
              <w:ind w:left="-19"/>
              <w:rPr>
                <w:b w:val="0"/>
                <w:sz w:val="22"/>
                <w:szCs w:val="22"/>
              </w:rPr>
            </w:pPr>
            <w:r>
              <w:rPr>
                <w:b w:val="0"/>
                <w:sz w:val="22"/>
                <w:szCs w:val="22"/>
              </w:rPr>
              <w:t>SD</w:t>
            </w:r>
          </w:p>
        </w:tc>
        <w:tc>
          <w:tcPr>
            <w:tcW w:w="5431" w:type="dxa"/>
            <w:tcBorders>
              <w:top w:val="single" w:sz="6" w:space="0" w:color="000000"/>
              <w:left w:val="single" w:sz="6" w:space="0" w:color="000000"/>
              <w:bottom w:val="single" w:sz="24" w:space="0" w:color="000000"/>
              <w:right w:val="single" w:sz="24" w:space="0" w:color="000000"/>
            </w:tcBorders>
          </w:tcPr>
          <w:p w14:paraId="000000ED" w14:textId="77777777" w:rsidR="00FF4893" w:rsidRDefault="001D1A3D">
            <w:pPr>
              <w:pStyle w:val="Heading2"/>
              <w:spacing w:after="120"/>
              <w:rPr>
                <w:b w:val="0"/>
                <w:sz w:val="22"/>
                <w:szCs w:val="22"/>
              </w:rPr>
            </w:pPr>
            <w:r>
              <w:rPr>
                <w:b w:val="0"/>
                <w:sz w:val="22"/>
                <w:szCs w:val="22"/>
              </w:rPr>
              <w:t>Service delivery</w:t>
            </w:r>
          </w:p>
        </w:tc>
      </w:tr>
    </w:tbl>
    <w:p w14:paraId="000000EE" w14:textId="77777777" w:rsidR="00FF4893" w:rsidRDefault="001D1A3D">
      <w:pPr>
        <w:pStyle w:val="Heading1"/>
        <w:keepLines w:val="0"/>
        <w:widowControl/>
        <w:numPr>
          <w:ilvl w:val="0"/>
          <w:numId w:val="3"/>
        </w:numPr>
        <w:spacing w:after="120"/>
        <w:jc w:val="both"/>
        <w:rPr>
          <w:sz w:val="22"/>
          <w:szCs w:val="22"/>
        </w:rPr>
      </w:pPr>
      <w:bookmarkStart w:id="32" w:name="_heading=h.2s8eyo1" w:colFirst="0" w:colLast="0"/>
      <w:bookmarkEnd w:id="32"/>
      <w:r>
        <w:rPr>
          <w:sz w:val="22"/>
          <w:szCs w:val="22"/>
        </w:rPr>
        <w:t xml:space="preserve">Scope </w:t>
      </w:r>
      <w:proofErr w:type="gramStart"/>
      <w:r>
        <w:rPr>
          <w:sz w:val="22"/>
          <w:szCs w:val="22"/>
        </w:rPr>
        <w:t>Of</w:t>
      </w:r>
      <w:proofErr w:type="gramEnd"/>
      <w:r>
        <w:rPr>
          <w:sz w:val="22"/>
          <w:szCs w:val="22"/>
        </w:rPr>
        <w:t xml:space="preserve"> Requirement </w:t>
      </w:r>
    </w:p>
    <w:p w14:paraId="000000EF"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To move our current process of spend forecasting from manual to automated:</w:t>
      </w:r>
    </w:p>
    <w:p w14:paraId="000000F0" w14:textId="77777777" w:rsidR="00FF4893" w:rsidRDefault="001D1A3D">
      <w:pPr>
        <w:pStyle w:val="Heading3"/>
        <w:keepNext w:val="0"/>
        <w:keepLines w:val="0"/>
        <w:widowControl/>
        <w:numPr>
          <w:ilvl w:val="2"/>
          <w:numId w:val="3"/>
        </w:numPr>
        <w:spacing w:before="0" w:after="120"/>
        <w:jc w:val="both"/>
        <w:rPr>
          <w:b w:val="0"/>
          <w:sz w:val="22"/>
          <w:szCs w:val="22"/>
        </w:rPr>
      </w:pPr>
      <w:r>
        <w:rPr>
          <w:b w:val="0"/>
          <w:sz w:val="22"/>
          <w:szCs w:val="22"/>
        </w:rPr>
        <w:t>All available data sources should be included and manual sign offs, for ownership, and intervention where required;</w:t>
      </w:r>
    </w:p>
    <w:p w14:paraId="000000F1" w14:textId="77777777" w:rsidR="00FF4893" w:rsidRDefault="001D1A3D">
      <w:pPr>
        <w:pStyle w:val="Heading3"/>
        <w:keepNext w:val="0"/>
        <w:keepLines w:val="0"/>
        <w:widowControl/>
        <w:numPr>
          <w:ilvl w:val="2"/>
          <w:numId w:val="3"/>
        </w:numPr>
        <w:spacing w:before="0" w:after="120"/>
        <w:jc w:val="both"/>
        <w:rPr>
          <w:b w:val="0"/>
          <w:sz w:val="22"/>
          <w:szCs w:val="22"/>
        </w:rPr>
      </w:pPr>
      <w:r>
        <w:rPr>
          <w:b w:val="0"/>
          <w:sz w:val="22"/>
          <w:szCs w:val="22"/>
        </w:rPr>
        <w:t>It is not expected that we will use or purchase new software; and</w:t>
      </w:r>
    </w:p>
    <w:p w14:paraId="000000F2" w14:textId="77777777" w:rsidR="00FF4893" w:rsidRDefault="001D1A3D">
      <w:pPr>
        <w:pStyle w:val="Heading3"/>
        <w:keepNext w:val="0"/>
        <w:keepLines w:val="0"/>
        <w:widowControl/>
        <w:numPr>
          <w:ilvl w:val="2"/>
          <w:numId w:val="3"/>
        </w:numPr>
        <w:spacing w:before="0" w:after="120"/>
        <w:jc w:val="both"/>
        <w:rPr>
          <w:b w:val="0"/>
          <w:sz w:val="22"/>
          <w:szCs w:val="22"/>
        </w:rPr>
      </w:pPr>
      <w:r>
        <w:rPr>
          <w:b w:val="0"/>
          <w:sz w:val="22"/>
          <w:szCs w:val="22"/>
        </w:rPr>
        <w:t xml:space="preserve">The use of the </w:t>
      </w:r>
      <w:proofErr w:type="gramStart"/>
      <w:r>
        <w:rPr>
          <w:b w:val="0"/>
          <w:sz w:val="22"/>
          <w:szCs w:val="22"/>
        </w:rPr>
        <w:t>authorities</w:t>
      </w:r>
      <w:proofErr w:type="gramEnd"/>
      <w:r>
        <w:rPr>
          <w:b w:val="0"/>
          <w:sz w:val="22"/>
          <w:szCs w:val="22"/>
        </w:rPr>
        <w:t xml:space="preserve"> language and programming tools must be used</w:t>
      </w:r>
    </w:p>
    <w:p w14:paraId="000000F3" w14:textId="77777777" w:rsidR="00FF4893" w:rsidRDefault="001D1A3D">
      <w:pPr>
        <w:widowControl/>
        <w:numPr>
          <w:ilvl w:val="2"/>
          <w:numId w:val="3"/>
        </w:numPr>
        <w:spacing w:after="240"/>
      </w:pPr>
      <w:r>
        <w:t xml:space="preserve">The supplier will be expected to use the </w:t>
      </w:r>
      <w:proofErr w:type="gramStart"/>
      <w:r>
        <w:t>authorities</w:t>
      </w:r>
      <w:proofErr w:type="gramEnd"/>
      <w:r>
        <w:t xml:space="preserve"> IT system to allow access to data sources</w:t>
      </w:r>
    </w:p>
    <w:p w14:paraId="000000F4" w14:textId="77777777" w:rsidR="00FF4893" w:rsidRDefault="001D1A3D">
      <w:pPr>
        <w:pStyle w:val="Heading1"/>
        <w:keepLines w:val="0"/>
        <w:widowControl/>
        <w:numPr>
          <w:ilvl w:val="0"/>
          <w:numId w:val="3"/>
        </w:numPr>
        <w:spacing w:before="0" w:after="120"/>
        <w:jc w:val="both"/>
        <w:rPr>
          <w:sz w:val="22"/>
          <w:szCs w:val="22"/>
        </w:rPr>
      </w:pPr>
      <w:bookmarkStart w:id="33" w:name="_heading=h.17dp8vu" w:colFirst="0" w:colLast="0"/>
      <w:bookmarkEnd w:id="33"/>
      <w:r>
        <w:rPr>
          <w:sz w:val="22"/>
          <w:szCs w:val="22"/>
        </w:rPr>
        <w:t>The Requirement</w:t>
      </w:r>
    </w:p>
    <w:p w14:paraId="000000F5"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 xml:space="preserve">The solution must be delivered as a modular design principle which will be handed over to the Authority with full guidance so they are able to iterate and maintain </w:t>
      </w:r>
    </w:p>
    <w:p w14:paraId="000000F6"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The solution must bring several data sources together, engineer them into an appropriate format for modelling and generate a prediction, the output data must be granular enough to split out for business planning purposes</w:t>
      </w:r>
    </w:p>
    <w:p w14:paraId="000000F7"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The capture of user needs, already captured through a discovery phase by the Authority and further stakeholder interviews as required, and prioritisation of those needs to deliver a functional MVP, allowing the authority to add further complexity if required</w:t>
      </w:r>
    </w:p>
    <w:p w14:paraId="000000F8" w14:textId="77777777" w:rsidR="00FF4893" w:rsidRDefault="001D1A3D">
      <w:pPr>
        <w:widowControl/>
        <w:numPr>
          <w:ilvl w:val="1"/>
          <w:numId w:val="3"/>
        </w:numPr>
        <w:spacing w:after="240"/>
      </w:pPr>
      <w:r>
        <w:t>The supplier must be able to show experience of:</w:t>
      </w:r>
    </w:p>
    <w:p w14:paraId="000000F9" w14:textId="77777777" w:rsidR="00FF4893" w:rsidRDefault="001D1A3D">
      <w:pPr>
        <w:widowControl/>
        <w:numPr>
          <w:ilvl w:val="2"/>
          <w:numId w:val="3"/>
        </w:numPr>
        <w:spacing w:after="240"/>
      </w:pPr>
      <w:r>
        <w:t>time-series forecasting,</w:t>
      </w:r>
    </w:p>
    <w:p w14:paraId="000000FA" w14:textId="77777777" w:rsidR="00FF4893" w:rsidRDefault="001D1A3D">
      <w:pPr>
        <w:widowControl/>
        <w:numPr>
          <w:ilvl w:val="2"/>
          <w:numId w:val="3"/>
        </w:numPr>
        <w:spacing w:after="240"/>
      </w:pPr>
      <w:r>
        <w:t>data reprocessing,</w:t>
      </w:r>
    </w:p>
    <w:p w14:paraId="000000FB" w14:textId="77777777" w:rsidR="00FF4893" w:rsidRDefault="001D1A3D">
      <w:pPr>
        <w:widowControl/>
        <w:numPr>
          <w:ilvl w:val="2"/>
          <w:numId w:val="3"/>
        </w:numPr>
        <w:spacing w:after="240"/>
      </w:pPr>
      <w:r>
        <w:t>feature engineering,</w:t>
      </w:r>
    </w:p>
    <w:p w14:paraId="000000FC" w14:textId="77777777" w:rsidR="00FF4893" w:rsidRDefault="001D1A3D">
      <w:pPr>
        <w:widowControl/>
        <w:numPr>
          <w:ilvl w:val="2"/>
          <w:numId w:val="3"/>
        </w:numPr>
        <w:spacing w:after="240"/>
      </w:pPr>
      <w:r>
        <w:t>creating processes with influence from sales pipelines,</w:t>
      </w:r>
    </w:p>
    <w:p w14:paraId="000000FD" w14:textId="77777777" w:rsidR="00FF4893" w:rsidRDefault="001D1A3D">
      <w:pPr>
        <w:widowControl/>
        <w:numPr>
          <w:ilvl w:val="2"/>
          <w:numId w:val="3"/>
        </w:numPr>
        <w:spacing w:after="240"/>
      </w:pPr>
      <w:r>
        <w:t>using Azure environments for modelling,</w:t>
      </w:r>
    </w:p>
    <w:p w14:paraId="000000FE" w14:textId="77777777" w:rsidR="00FF4893" w:rsidRDefault="001D1A3D">
      <w:pPr>
        <w:widowControl/>
        <w:numPr>
          <w:ilvl w:val="2"/>
          <w:numId w:val="3"/>
        </w:numPr>
        <w:spacing w:after="240"/>
      </w:pPr>
      <w:r>
        <w:t>implementing KPIs to show performance of the solution against a baseline.</w:t>
      </w:r>
    </w:p>
    <w:p w14:paraId="000000FF" w14:textId="77777777" w:rsidR="00FF4893" w:rsidRDefault="001D1A3D">
      <w:pPr>
        <w:pStyle w:val="Heading1"/>
        <w:keepLines w:val="0"/>
        <w:widowControl/>
        <w:numPr>
          <w:ilvl w:val="0"/>
          <w:numId w:val="3"/>
        </w:numPr>
        <w:spacing w:before="0" w:after="120"/>
        <w:jc w:val="both"/>
        <w:rPr>
          <w:sz w:val="22"/>
          <w:szCs w:val="22"/>
        </w:rPr>
      </w:pPr>
      <w:bookmarkStart w:id="34" w:name="_heading=h.3rdcrjn" w:colFirst="0" w:colLast="0"/>
      <w:bookmarkEnd w:id="34"/>
      <w:r>
        <w:rPr>
          <w:sz w:val="22"/>
          <w:szCs w:val="22"/>
        </w:rPr>
        <w:t xml:space="preserve">Key Milestones </w:t>
      </w:r>
      <w:proofErr w:type="gramStart"/>
      <w:r>
        <w:rPr>
          <w:sz w:val="22"/>
          <w:szCs w:val="22"/>
        </w:rPr>
        <w:t>And</w:t>
      </w:r>
      <w:proofErr w:type="gramEnd"/>
      <w:r>
        <w:rPr>
          <w:sz w:val="22"/>
          <w:szCs w:val="22"/>
        </w:rPr>
        <w:t xml:space="preserve"> Deliverables</w:t>
      </w:r>
    </w:p>
    <w:p w14:paraId="00000100" w14:textId="77777777" w:rsidR="00FF4893" w:rsidRDefault="001D1A3D">
      <w:pPr>
        <w:pStyle w:val="Heading2"/>
        <w:keepNext w:val="0"/>
        <w:keepLines w:val="0"/>
        <w:widowControl/>
        <w:numPr>
          <w:ilvl w:val="1"/>
          <w:numId w:val="3"/>
        </w:numPr>
        <w:spacing w:before="0" w:after="120"/>
        <w:jc w:val="both"/>
        <w:rPr>
          <w:b w:val="0"/>
          <w:sz w:val="22"/>
          <w:szCs w:val="22"/>
        </w:rPr>
      </w:pPr>
      <w:bookmarkStart w:id="35" w:name="_heading=h.9u8tj184ob0l" w:colFirst="0" w:colLast="0"/>
      <w:bookmarkEnd w:id="35"/>
      <w:r>
        <w:rPr>
          <w:b w:val="0"/>
          <w:sz w:val="22"/>
          <w:szCs w:val="22"/>
        </w:rPr>
        <w:t>The following indicative contract milestones/deliverables shall apply:</w:t>
      </w:r>
    </w:p>
    <w:tbl>
      <w:tblPr>
        <w:tblStyle w:val="a1"/>
        <w:tblW w:w="79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31"/>
        <w:gridCol w:w="4112"/>
        <w:gridCol w:w="2262"/>
      </w:tblGrid>
      <w:tr w:rsidR="00FF4893" w14:paraId="427DE916" w14:textId="77777777">
        <w:trPr>
          <w:trHeight w:val="1239"/>
        </w:trPr>
        <w:tc>
          <w:tcPr>
            <w:tcW w:w="1531"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00000101" w14:textId="77777777" w:rsidR="00FF4893" w:rsidRDefault="001D1A3D">
            <w:pPr>
              <w:pStyle w:val="Heading3"/>
              <w:spacing w:after="120"/>
              <w:jc w:val="center"/>
              <w:rPr>
                <w:b w:val="0"/>
                <w:sz w:val="22"/>
                <w:szCs w:val="22"/>
              </w:rPr>
            </w:pPr>
            <w:r>
              <w:rPr>
                <w:b w:val="0"/>
                <w:sz w:val="22"/>
                <w:szCs w:val="22"/>
              </w:rPr>
              <w:lastRenderedPageBreak/>
              <w:t>Milestone/Deliverable</w:t>
            </w:r>
          </w:p>
        </w:tc>
        <w:tc>
          <w:tcPr>
            <w:tcW w:w="4112"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00000102" w14:textId="77777777" w:rsidR="00FF4893" w:rsidRDefault="001D1A3D">
            <w:pPr>
              <w:pStyle w:val="Heading3"/>
              <w:spacing w:after="120"/>
              <w:jc w:val="center"/>
              <w:rPr>
                <w:b w:val="0"/>
                <w:sz w:val="22"/>
                <w:szCs w:val="22"/>
              </w:rPr>
            </w:pPr>
            <w:r>
              <w:rPr>
                <w:b w:val="0"/>
                <w:sz w:val="22"/>
                <w:szCs w:val="22"/>
              </w:rPr>
              <w:t>Description</w:t>
            </w:r>
          </w:p>
        </w:tc>
        <w:tc>
          <w:tcPr>
            <w:tcW w:w="2262"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00000103" w14:textId="77777777" w:rsidR="00FF4893" w:rsidRDefault="001D1A3D">
            <w:pPr>
              <w:pStyle w:val="Heading3"/>
              <w:spacing w:after="120"/>
              <w:jc w:val="center"/>
              <w:rPr>
                <w:b w:val="0"/>
                <w:sz w:val="22"/>
                <w:szCs w:val="22"/>
              </w:rPr>
            </w:pPr>
            <w:r>
              <w:rPr>
                <w:b w:val="0"/>
                <w:sz w:val="22"/>
                <w:szCs w:val="22"/>
              </w:rPr>
              <w:t>Timeframe or Delivery Date</w:t>
            </w:r>
          </w:p>
        </w:tc>
      </w:tr>
      <w:tr w:rsidR="00FF4893" w14:paraId="7363C9DB" w14:textId="77777777">
        <w:tc>
          <w:tcPr>
            <w:tcW w:w="1531" w:type="dxa"/>
            <w:tcBorders>
              <w:top w:val="single" w:sz="6" w:space="0" w:color="000000"/>
              <w:left w:val="single" w:sz="24" w:space="0" w:color="000000"/>
              <w:bottom w:val="single" w:sz="6" w:space="0" w:color="000000"/>
              <w:right w:val="single" w:sz="6" w:space="0" w:color="000000"/>
            </w:tcBorders>
            <w:vAlign w:val="center"/>
          </w:tcPr>
          <w:p w14:paraId="00000104" w14:textId="77777777" w:rsidR="00FF4893" w:rsidRDefault="001D1A3D">
            <w:pPr>
              <w:pStyle w:val="Heading3"/>
              <w:spacing w:after="120"/>
              <w:jc w:val="center"/>
              <w:rPr>
                <w:b w:val="0"/>
                <w:sz w:val="22"/>
                <w:szCs w:val="22"/>
              </w:rPr>
            </w:pPr>
            <w:r>
              <w:rPr>
                <w:b w:val="0"/>
                <w:sz w:val="22"/>
                <w:szCs w:val="22"/>
              </w:rPr>
              <w:t>1</w:t>
            </w:r>
          </w:p>
        </w:tc>
        <w:tc>
          <w:tcPr>
            <w:tcW w:w="4112" w:type="dxa"/>
            <w:tcBorders>
              <w:top w:val="single" w:sz="6" w:space="0" w:color="000000"/>
              <w:left w:val="single" w:sz="6" w:space="0" w:color="000000"/>
              <w:bottom w:val="single" w:sz="6" w:space="0" w:color="000000"/>
              <w:right w:val="single" w:sz="6" w:space="0" w:color="000000"/>
            </w:tcBorders>
            <w:vAlign w:val="center"/>
          </w:tcPr>
          <w:p w14:paraId="00000105" w14:textId="77777777" w:rsidR="00FF4893" w:rsidRDefault="001D1A3D">
            <w:pPr>
              <w:pStyle w:val="Heading3"/>
              <w:spacing w:after="120"/>
              <w:rPr>
                <w:b w:val="0"/>
                <w:sz w:val="22"/>
                <w:szCs w:val="22"/>
              </w:rPr>
            </w:pPr>
            <w:r>
              <w:rPr>
                <w:b w:val="0"/>
                <w:sz w:val="22"/>
                <w:szCs w:val="22"/>
              </w:rPr>
              <w:t>Awarding of contract</w:t>
            </w:r>
          </w:p>
        </w:tc>
        <w:tc>
          <w:tcPr>
            <w:tcW w:w="2262" w:type="dxa"/>
            <w:tcBorders>
              <w:top w:val="single" w:sz="6" w:space="0" w:color="000000"/>
              <w:left w:val="single" w:sz="6" w:space="0" w:color="000000"/>
              <w:bottom w:val="single" w:sz="6" w:space="0" w:color="000000"/>
              <w:right w:val="single" w:sz="24" w:space="0" w:color="000000"/>
            </w:tcBorders>
            <w:vAlign w:val="center"/>
          </w:tcPr>
          <w:p w14:paraId="00000106" w14:textId="77777777" w:rsidR="00FF4893" w:rsidRDefault="001D1A3D">
            <w:pPr>
              <w:pStyle w:val="Heading3"/>
              <w:spacing w:after="120"/>
              <w:jc w:val="center"/>
              <w:rPr>
                <w:b w:val="0"/>
                <w:sz w:val="22"/>
                <w:szCs w:val="22"/>
              </w:rPr>
            </w:pPr>
            <w:r>
              <w:rPr>
                <w:b w:val="0"/>
                <w:sz w:val="22"/>
                <w:szCs w:val="22"/>
              </w:rPr>
              <w:t>24/10/22</w:t>
            </w:r>
          </w:p>
        </w:tc>
      </w:tr>
      <w:tr w:rsidR="00FF4893" w14:paraId="5643C0BB" w14:textId="77777777">
        <w:tc>
          <w:tcPr>
            <w:tcW w:w="1531" w:type="dxa"/>
            <w:tcBorders>
              <w:top w:val="single" w:sz="6" w:space="0" w:color="000000"/>
              <w:left w:val="single" w:sz="24" w:space="0" w:color="000000"/>
              <w:bottom w:val="single" w:sz="6" w:space="0" w:color="000000"/>
              <w:right w:val="single" w:sz="6" w:space="0" w:color="000000"/>
            </w:tcBorders>
            <w:vAlign w:val="center"/>
          </w:tcPr>
          <w:p w14:paraId="00000107" w14:textId="77777777" w:rsidR="00FF4893" w:rsidRDefault="001D1A3D">
            <w:pPr>
              <w:pStyle w:val="Heading3"/>
              <w:spacing w:after="120"/>
              <w:jc w:val="center"/>
              <w:rPr>
                <w:b w:val="0"/>
                <w:sz w:val="22"/>
                <w:szCs w:val="22"/>
              </w:rPr>
            </w:pPr>
            <w:bookmarkStart w:id="36" w:name="_heading=h.ts9w3d4kj8z" w:colFirst="0" w:colLast="0"/>
            <w:bookmarkEnd w:id="36"/>
            <w:r>
              <w:rPr>
                <w:b w:val="0"/>
                <w:sz w:val="22"/>
                <w:szCs w:val="22"/>
              </w:rPr>
              <w:t>2</w:t>
            </w:r>
          </w:p>
        </w:tc>
        <w:tc>
          <w:tcPr>
            <w:tcW w:w="4112" w:type="dxa"/>
            <w:tcBorders>
              <w:top w:val="single" w:sz="6" w:space="0" w:color="000000"/>
              <w:left w:val="single" w:sz="6" w:space="0" w:color="000000"/>
              <w:bottom w:val="single" w:sz="6" w:space="0" w:color="000000"/>
              <w:right w:val="single" w:sz="6" w:space="0" w:color="000000"/>
            </w:tcBorders>
            <w:vAlign w:val="center"/>
          </w:tcPr>
          <w:p w14:paraId="00000108" w14:textId="77777777" w:rsidR="00FF4893" w:rsidRDefault="001D1A3D">
            <w:pPr>
              <w:pStyle w:val="Heading3"/>
              <w:spacing w:after="120"/>
              <w:rPr>
                <w:b w:val="0"/>
                <w:sz w:val="22"/>
                <w:szCs w:val="22"/>
              </w:rPr>
            </w:pPr>
            <w:r>
              <w:rPr>
                <w:b w:val="0"/>
                <w:sz w:val="22"/>
                <w:szCs w:val="22"/>
              </w:rPr>
              <w:t>Onboarding process</w:t>
            </w:r>
          </w:p>
        </w:tc>
        <w:tc>
          <w:tcPr>
            <w:tcW w:w="2262" w:type="dxa"/>
            <w:tcBorders>
              <w:top w:val="single" w:sz="6" w:space="0" w:color="000000"/>
              <w:left w:val="single" w:sz="6" w:space="0" w:color="000000"/>
              <w:bottom w:val="single" w:sz="6" w:space="0" w:color="000000"/>
              <w:right w:val="single" w:sz="24" w:space="0" w:color="000000"/>
            </w:tcBorders>
            <w:vAlign w:val="center"/>
          </w:tcPr>
          <w:p w14:paraId="00000109" w14:textId="77777777" w:rsidR="00FF4893" w:rsidRDefault="001D1A3D">
            <w:pPr>
              <w:pStyle w:val="Heading3"/>
              <w:spacing w:after="120"/>
              <w:jc w:val="center"/>
              <w:rPr>
                <w:b w:val="0"/>
                <w:sz w:val="22"/>
                <w:szCs w:val="22"/>
              </w:rPr>
            </w:pPr>
            <w:r>
              <w:rPr>
                <w:b w:val="0"/>
                <w:sz w:val="22"/>
                <w:szCs w:val="22"/>
              </w:rPr>
              <w:t>27/10/22</w:t>
            </w:r>
          </w:p>
        </w:tc>
      </w:tr>
      <w:tr w:rsidR="00FF4893" w14:paraId="0045AE9D" w14:textId="77777777">
        <w:tc>
          <w:tcPr>
            <w:tcW w:w="1531" w:type="dxa"/>
            <w:tcBorders>
              <w:top w:val="single" w:sz="6" w:space="0" w:color="000000"/>
              <w:left w:val="single" w:sz="24" w:space="0" w:color="000000"/>
              <w:bottom w:val="single" w:sz="6" w:space="0" w:color="000000"/>
              <w:right w:val="single" w:sz="6" w:space="0" w:color="000000"/>
            </w:tcBorders>
            <w:vAlign w:val="center"/>
          </w:tcPr>
          <w:p w14:paraId="0000010A" w14:textId="77777777" w:rsidR="00FF4893" w:rsidRDefault="001D1A3D">
            <w:pPr>
              <w:pStyle w:val="Heading3"/>
              <w:spacing w:after="120"/>
              <w:jc w:val="center"/>
              <w:rPr>
                <w:b w:val="0"/>
                <w:sz w:val="22"/>
                <w:szCs w:val="22"/>
              </w:rPr>
            </w:pPr>
            <w:r>
              <w:rPr>
                <w:b w:val="0"/>
                <w:sz w:val="22"/>
                <w:szCs w:val="22"/>
              </w:rPr>
              <w:t>3</w:t>
            </w:r>
          </w:p>
        </w:tc>
        <w:tc>
          <w:tcPr>
            <w:tcW w:w="4112" w:type="dxa"/>
            <w:tcBorders>
              <w:top w:val="single" w:sz="6" w:space="0" w:color="000000"/>
              <w:left w:val="single" w:sz="6" w:space="0" w:color="000000"/>
              <w:bottom w:val="single" w:sz="6" w:space="0" w:color="000000"/>
              <w:right w:val="single" w:sz="6" w:space="0" w:color="000000"/>
            </w:tcBorders>
            <w:vAlign w:val="center"/>
          </w:tcPr>
          <w:p w14:paraId="0000010B" w14:textId="77777777" w:rsidR="00FF4893" w:rsidRDefault="001D1A3D">
            <w:pPr>
              <w:pStyle w:val="Heading3"/>
              <w:spacing w:after="120"/>
              <w:rPr>
                <w:b w:val="0"/>
                <w:sz w:val="22"/>
                <w:szCs w:val="22"/>
              </w:rPr>
            </w:pPr>
            <w:r>
              <w:rPr>
                <w:b w:val="0"/>
                <w:sz w:val="22"/>
                <w:szCs w:val="22"/>
              </w:rPr>
              <w:t>Investigation work completed to include user research and prioritisation of needs</w:t>
            </w:r>
          </w:p>
        </w:tc>
        <w:tc>
          <w:tcPr>
            <w:tcW w:w="2262" w:type="dxa"/>
            <w:tcBorders>
              <w:top w:val="single" w:sz="6" w:space="0" w:color="000000"/>
              <w:left w:val="single" w:sz="6" w:space="0" w:color="000000"/>
              <w:bottom w:val="single" w:sz="6" w:space="0" w:color="000000"/>
              <w:right w:val="single" w:sz="24" w:space="0" w:color="000000"/>
            </w:tcBorders>
            <w:vAlign w:val="center"/>
          </w:tcPr>
          <w:p w14:paraId="0000010C" w14:textId="77777777" w:rsidR="00FF4893" w:rsidRDefault="001D1A3D">
            <w:pPr>
              <w:pStyle w:val="Heading3"/>
              <w:spacing w:after="120"/>
              <w:jc w:val="center"/>
              <w:rPr>
                <w:b w:val="0"/>
                <w:sz w:val="22"/>
                <w:szCs w:val="22"/>
              </w:rPr>
            </w:pPr>
            <w:r>
              <w:rPr>
                <w:b w:val="0"/>
                <w:sz w:val="22"/>
                <w:szCs w:val="22"/>
              </w:rPr>
              <w:t>09/11/22</w:t>
            </w:r>
          </w:p>
        </w:tc>
      </w:tr>
      <w:tr w:rsidR="00FF4893" w14:paraId="0C486700" w14:textId="77777777">
        <w:tc>
          <w:tcPr>
            <w:tcW w:w="1531" w:type="dxa"/>
            <w:tcBorders>
              <w:top w:val="single" w:sz="6" w:space="0" w:color="000000"/>
              <w:left w:val="single" w:sz="24" w:space="0" w:color="000000"/>
              <w:bottom w:val="single" w:sz="6" w:space="0" w:color="000000"/>
              <w:right w:val="single" w:sz="6" w:space="0" w:color="000000"/>
            </w:tcBorders>
            <w:vAlign w:val="center"/>
          </w:tcPr>
          <w:p w14:paraId="0000010D" w14:textId="77777777" w:rsidR="00FF4893" w:rsidRDefault="001D1A3D">
            <w:pPr>
              <w:pStyle w:val="Heading3"/>
              <w:spacing w:after="120"/>
              <w:jc w:val="center"/>
              <w:rPr>
                <w:b w:val="0"/>
                <w:sz w:val="22"/>
                <w:szCs w:val="22"/>
              </w:rPr>
            </w:pPr>
            <w:r>
              <w:rPr>
                <w:b w:val="0"/>
                <w:sz w:val="22"/>
                <w:szCs w:val="22"/>
              </w:rPr>
              <w:t>4</w:t>
            </w:r>
          </w:p>
        </w:tc>
        <w:tc>
          <w:tcPr>
            <w:tcW w:w="4112" w:type="dxa"/>
            <w:tcBorders>
              <w:top w:val="single" w:sz="6" w:space="0" w:color="000000"/>
              <w:left w:val="single" w:sz="6" w:space="0" w:color="000000"/>
              <w:bottom w:val="single" w:sz="6" w:space="0" w:color="000000"/>
              <w:right w:val="single" w:sz="6" w:space="0" w:color="000000"/>
            </w:tcBorders>
            <w:vAlign w:val="center"/>
          </w:tcPr>
          <w:p w14:paraId="0000010E" w14:textId="77777777" w:rsidR="00FF4893" w:rsidRDefault="001D1A3D">
            <w:pPr>
              <w:pStyle w:val="Heading3"/>
              <w:spacing w:after="120"/>
              <w:rPr>
                <w:b w:val="0"/>
                <w:sz w:val="22"/>
                <w:szCs w:val="22"/>
              </w:rPr>
            </w:pPr>
            <w:r>
              <w:rPr>
                <w:b w:val="0"/>
                <w:sz w:val="22"/>
                <w:szCs w:val="22"/>
              </w:rPr>
              <w:t>Process designs and testing</w:t>
            </w:r>
          </w:p>
        </w:tc>
        <w:tc>
          <w:tcPr>
            <w:tcW w:w="2262" w:type="dxa"/>
            <w:tcBorders>
              <w:top w:val="single" w:sz="6" w:space="0" w:color="000000"/>
              <w:left w:val="single" w:sz="6" w:space="0" w:color="000000"/>
              <w:bottom w:val="single" w:sz="6" w:space="0" w:color="000000"/>
              <w:right w:val="single" w:sz="24" w:space="0" w:color="000000"/>
            </w:tcBorders>
            <w:vAlign w:val="center"/>
          </w:tcPr>
          <w:p w14:paraId="0000010F" w14:textId="77777777" w:rsidR="00FF4893" w:rsidRDefault="001D1A3D">
            <w:pPr>
              <w:pStyle w:val="Heading3"/>
              <w:spacing w:after="120"/>
              <w:jc w:val="center"/>
              <w:rPr>
                <w:b w:val="0"/>
                <w:sz w:val="22"/>
                <w:szCs w:val="22"/>
              </w:rPr>
            </w:pPr>
            <w:r>
              <w:rPr>
                <w:b w:val="0"/>
                <w:sz w:val="22"/>
                <w:szCs w:val="22"/>
              </w:rPr>
              <w:t>09/12/22</w:t>
            </w:r>
          </w:p>
        </w:tc>
      </w:tr>
      <w:tr w:rsidR="00FF4893" w14:paraId="50A413B0" w14:textId="77777777">
        <w:tc>
          <w:tcPr>
            <w:tcW w:w="1531" w:type="dxa"/>
            <w:tcBorders>
              <w:top w:val="single" w:sz="6" w:space="0" w:color="000000"/>
              <w:left w:val="single" w:sz="24" w:space="0" w:color="000000"/>
              <w:bottom w:val="single" w:sz="6" w:space="0" w:color="000000"/>
              <w:right w:val="single" w:sz="6" w:space="0" w:color="000000"/>
            </w:tcBorders>
            <w:vAlign w:val="center"/>
          </w:tcPr>
          <w:p w14:paraId="00000110" w14:textId="77777777" w:rsidR="00FF4893" w:rsidRDefault="001D1A3D">
            <w:pPr>
              <w:pStyle w:val="Heading3"/>
              <w:spacing w:after="120"/>
              <w:jc w:val="center"/>
              <w:rPr>
                <w:b w:val="0"/>
                <w:sz w:val="22"/>
                <w:szCs w:val="22"/>
              </w:rPr>
            </w:pPr>
            <w:r>
              <w:rPr>
                <w:b w:val="0"/>
                <w:sz w:val="22"/>
                <w:szCs w:val="22"/>
              </w:rPr>
              <w:t>5</w:t>
            </w:r>
          </w:p>
        </w:tc>
        <w:tc>
          <w:tcPr>
            <w:tcW w:w="4112" w:type="dxa"/>
            <w:tcBorders>
              <w:top w:val="single" w:sz="6" w:space="0" w:color="000000"/>
              <w:left w:val="single" w:sz="6" w:space="0" w:color="000000"/>
              <w:bottom w:val="single" w:sz="6" w:space="0" w:color="000000"/>
              <w:right w:val="single" w:sz="6" w:space="0" w:color="000000"/>
            </w:tcBorders>
            <w:vAlign w:val="center"/>
          </w:tcPr>
          <w:p w14:paraId="00000111" w14:textId="77777777" w:rsidR="00FF4893" w:rsidRDefault="001D1A3D">
            <w:pPr>
              <w:pStyle w:val="Heading3"/>
              <w:spacing w:after="120"/>
              <w:rPr>
                <w:b w:val="0"/>
                <w:sz w:val="22"/>
                <w:szCs w:val="22"/>
              </w:rPr>
            </w:pPr>
            <w:r>
              <w:rPr>
                <w:b w:val="0"/>
                <w:sz w:val="22"/>
                <w:szCs w:val="22"/>
              </w:rPr>
              <w:t>Deliver functional MVP</w:t>
            </w:r>
          </w:p>
        </w:tc>
        <w:tc>
          <w:tcPr>
            <w:tcW w:w="2262" w:type="dxa"/>
            <w:tcBorders>
              <w:top w:val="single" w:sz="6" w:space="0" w:color="000000"/>
              <w:left w:val="single" w:sz="6" w:space="0" w:color="000000"/>
              <w:bottom w:val="single" w:sz="6" w:space="0" w:color="000000"/>
              <w:right w:val="single" w:sz="24" w:space="0" w:color="000000"/>
            </w:tcBorders>
            <w:vAlign w:val="center"/>
          </w:tcPr>
          <w:p w14:paraId="00000112" w14:textId="77777777" w:rsidR="00FF4893" w:rsidRDefault="001D1A3D">
            <w:pPr>
              <w:pStyle w:val="Heading3"/>
              <w:spacing w:after="120"/>
              <w:jc w:val="center"/>
              <w:rPr>
                <w:b w:val="0"/>
                <w:sz w:val="22"/>
                <w:szCs w:val="22"/>
              </w:rPr>
            </w:pPr>
            <w:r>
              <w:rPr>
                <w:b w:val="0"/>
                <w:sz w:val="22"/>
                <w:szCs w:val="22"/>
              </w:rPr>
              <w:t>14/12/22</w:t>
            </w:r>
          </w:p>
        </w:tc>
      </w:tr>
      <w:tr w:rsidR="00FF4893" w14:paraId="419420FE" w14:textId="77777777">
        <w:tc>
          <w:tcPr>
            <w:tcW w:w="1531" w:type="dxa"/>
            <w:tcBorders>
              <w:top w:val="single" w:sz="6" w:space="0" w:color="000000"/>
              <w:left w:val="single" w:sz="24" w:space="0" w:color="000000"/>
              <w:bottom w:val="single" w:sz="24" w:space="0" w:color="000000"/>
              <w:right w:val="single" w:sz="6" w:space="0" w:color="000000"/>
            </w:tcBorders>
            <w:vAlign w:val="center"/>
          </w:tcPr>
          <w:p w14:paraId="00000113" w14:textId="77777777" w:rsidR="00FF4893" w:rsidRDefault="001D1A3D">
            <w:pPr>
              <w:pStyle w:val="Heading3"/>
              <w:spacing w:after="120"/>
              <w:jc w:val="center"/>
              <w:rPr>
                <w:b w:val="0"/>
                <w:sz w:val="22"/>
                <w:szCs w:val="22"/>
              </w:rPr>
            </w:pPr>
            <w:r>
              <w:rPr>
                <w:b w:val="0"/>
                <w:sz w:val="22"/>
                <w:szCs w:val="22"/>
              </w:rPr>
              <w:t>6</w:t>
            </w:r>
          </w:p>
        </w:tc>
        <w:tc>
          <w:tcPr>
            <w:tcW w:w="4112" w:type="dxa"/>
            <w:tcBorders>
              <w:top w:val="single" w:sz="6" w:space="0" w:color="000000"/>
              <w:left w:val="single" w:sz="6" w:space="0" w:color="000000"/>
              <w:bottom w:val="single" w:sz="24" w:space="0" w:color="000000"/>
              <w:right w:val="single" w:sz="6" w:space="0" w:color="000000"/>
            </w:tcBorders>
            <w:vAlign w:val="center"/>
          </w:tcPr>
          <w:p w14:paraId="00000114" w14:textId="77777777" w:rsidR="00FF4893" w:rsidRDefault="001D1A3D">
            <w:pPr>
              <w:pStyle w:val="Heading3"/>
              <w:spacing w:after="120"/>
              <w:rPr>
                <w:b w:val="0"/>
                <w:sz w:val="22"/>
                <w:szCs w:val="22"/>
              </w:rPr>
            </w:pPr>
            <w:r>
              <w:rPr>
                <w:b w:val="0"/>
                <w:sz w:val="22"/>
                <w:szCs w:val="22"/>
              </w:rPr>
              <w:t>SOPS updated and insight provided to handover to the Authority for future development</w:t>
            </w:r>
          </w:p>
        </w:tc>
        <w:tc>
          <w:tcPr>
            <w:tcW w:w="2262" w:type="dxa"/>
            <w:tcBorders>
              <w:top w:val="single" w:sz="6" w:space="0" w:color="000000"/>
              <w:left w:val="single" w:sz="6" w:space="0" w:color="000000"/>
              <w:bottom w:val="single" w:sz="24" w:space="0" w:color="000000"/>
              <w:right w:val="single" w:sz="24" w:space="0" w:color="000000"/>
            </w:tcBorders>
            <w:vAlign w:val="center"/>
          </w:tcPr>
          <w:p w14:paraId="00000115" w14:textId="77777777" w:rsidR="00FF4893" w:rsidRDefault="001D1A3D">
            <w:pPr>
              <w:pStyle w:val="Heading3"/>
              <w:spacing w:after="120"/>
              <w:jc w:val="center"/>
              <w:rPr>
                <w:b w:val="0"/>
                <w:sz w:val="22"/>
                <w:szCs w:val="22"/>
              </w:rPr>
            </w:pPr>
            <w:r>
              <w:rPr>
                <w:b w:val="0"/>
                <w:sz w:val="22"/>
                <w:szCs w:val="22"/>
              </w:rPr>
              <w:t>16/12/22</w:t>
            </w:r>
          </w:p>
        </w:tc>
      </w:tr>
    </w:tbl>
    <w:p w14:paraId="00000116" w14:textId="77777777" w:rsidR="00FF4893" w:rsidRDefault="00FF4893">
      <w:pPr>
        <w:pStyle w:val="Heading1"/>
        <w:spacing w:after="120"/>
        <w:rPr>
          <w:b w:val="0"/>
          <w:sz w:val="22"/>
          <w:szCs w:val="22"/>
        </w:rPr>
      </w:pPr>
      <w:bookmarkStart w:id="37" w:name="_heading=h.26in1rg" w:colFirst="0" w:colLast="0"/>
      <w:bookmarkEnd w:id="37"/>
    </w:p>
    <w:p w14:paraId="00000117" w14:textId="77777777" w:rsidR="00FF4893" w:rsidRDefault="001D1A3D">
      <w:pPr>
        <w:pStyle w:val="Heading1"/>
        <w:keepLines w:val="0"/>
        <w:widowControl/>
        <w:numPr>
          <w:ilvl w:val="0"/>
          <w:numId w:val="3"/>
        </w:numPr>
        <w:spacing w:before="0" w:after="120"/>
        <w:ind w:left="709" w:hanging="709"/>
        <w:jc w:val="both"/>
        <w:rPr>
          <w:sz w:val="22"/>
          <w:szCs w:val="22"/>
        </w:rPr>
      </w:pPr>
      <w:bookmarkStart w:id="38" w:name="_heading=h.lnxbz9" w:colFirst="0" w:colLast="0"/>
      <w:bookmarkEnd w:id="38"/>
      <w:r>
        <w:rPr>
          <w:sz w:val="22"/>
          <w:szCs w:val="22"/>
        </w:rPr>
        <w:t>MANAGEMENT INFORMATION/reporting</w:t>
      </w:r>
    </w:p>
    <w:p w14:paraId="00000118" w14:textId="77777777" w:rsidR="00FF4893" w:rsidRDefault="001D1A3D">
      <w:pPr>
        <w:pStyle w:val="Heading2"/>
        <w:keepNext w:val="0"/>
        <w:keepLines w:val="0"/>
        <w:widowControl/>
        <w:numPr>
          <w:ilvl w:val="1"/>
          <w:numId w:val="3"/>
        </w:numPr>
        <w:spacing w:before="0" w:after="120"/>
        <w:jc w:val="both"/>
        <w:rPr>
          <w:b w:val="0"/>
          <w:sz w:val="22"/>
          <w:szCs w:val="22"/>
        </w:rPr>
      </w:pPr>
      <w:bookmarkStart w:id="39" w:name="_heading=h.h7dk8jglizkb" w:colFirst="0" w:colLast="0"/>
      <w:bookmarkEnd w:id="39"/>
      <w:r>
        <w:rPr>
          <w:b w:val="0"/>
          <w:sz w:val="22"/>
          <w:szCs w:val="22"/>
        </w:rPr>
        <w:t xml:space="preserve">The dedicated authority PM will manage the stakeholder relationship and reporting.  The PM will facilitate authority elements of the project to assist delivery.  The PM must be included at all relevant stand-ups and receive detailed weekly briefings.  </w:t>
      </w:r>
    </w:p>
    <w:p w14:paraId="00000119" w14:textId="77777777" w:rsidR="00FF4893" w:rsidRDefault="001D1A3D">
      <w:pPr>
        <w:pStyle w:val="Heading1"/>
        <w:keepLines w:val="0"/>
        <w:widowControl/>
        <w:numPr>
          <w:ilvl w:val="0"/>
          <w:numId w:val="3"/>
        </w:numPr>
        <w:spacing w:before="0" w:after="120"/>
        <w:ind w:left="709" w:hanging="709"/>
        <w:jc w:val="both"/>
        <w:rPr>
          <w:sz w:val="22"/>
          <w:szCs w:val="22"/>
        </w:rPr>
      </w:pPr>
      <w:bookmarkStart w:id="40" w:name="_heading=h.35nkun2" w:colFirst="0" w:colLast="0"/>
      <w:bookmarkEnd w:id="40"/>
      <w:r>
        <w:rPr>
          <w:sz w:val="22"/>
          <w:szCs w:val="22"/>
        </w:rPr>
        <w:t>Volumes</w:t>
      </w:r>
    </w:p>
    <w:p w14:paraId="0000011A" w14:textId="77777777" w:rsidR="00FF4893" w:rsidRDefault="001D1A3D">
      <w:pPr>
        <w:pStyle w:val="Heading2"/>
        <w:keepNext w:val="0"/>
        <w:keepLines w:val="0"/>
        <w:widowControl/>
        <w:numPr>
          <w:ilvl w:val="1"/>
          <w:numId w:val="3"/>
        </w:numPr>
        <w:spacing w:before="0" w:after="240"/>
        <w:jc w:val="both"/>
        <w:rPr>
          <w:b w:val="0"/>
          <w:sz w:val="22"/>
          <w:szCs w:val="22"/>
        </w:rPr>
      </w:pPr>
      <w:bookmarkStart w:id="41" w:name="_heading=h.1ksv4uv" w:colFirst="0" w:colLast="0"/>
      <w:bookmarkEnd w:id="41"/>
      <w:r>
        <w:rPr>
          <w:b w:val="0"/>
          <w:sz w:val="22"/>
          <w:szCs w:val="22"/>
        </w:rPr>
        <w:t>N/A</w:t>
      </w:r>
    </w:p>
    <w:p w14:paraId="0000011B" w14:textId="77777777" w:rsidR="00FF4893" w:rsidRDefault="001D1A3D">
      <w:pPr>
        <w:pStyle w:val="Heading1"/>
        <w:keepLines w:val="0"/>
        <w:widowControl/>
        <w:numPr>
          <w:ilvl w:val="0"/>
          <w:numId w:val="3"/>
        </w:numPr>
        <w:spacing w:before="0" w:after="120"/>
        <w:ind w:left="709" w:hanging="709"/>
        <w:jc w:val="both"/>
        <w:rPr>
          <w:sz w:val="22"/>
          <w:szCs w:val="22"/>
        </w:rPr>
      </w:pPr>
      <w:bookmarkStart w:id="42" w:name="_heading=h.44sinio" w:colFirst="0" w:colLast="0"/>
      <w:bookmarkEnd w:id="42"/>
      <w:r>
        <w:rPr>
          <w:sz w:val="22"/>
          <w:szCs w:val="22"/>
        </w:rPr>
        <w:t>Continuous Improvement</w:t>
      </w:r>
    </w:p>
    <w:p w14:paraId="0000011C" w14:textId="77777777" w:rsidR="00FF4893" w:rsidRDefault="001D1A3D">
      <w:pPr>
        <w:pStyle w:val="Heading2"/>
        <w:keepNext w:val="0"/>
        <w:keepLines w:val="0"/>
        <w:widowControl/>
        <w:numPr>
          <w:ilvl w:val="1"/>
          <w:numId w:val="3"/>
        </w:numPr>
        <w:spacing w:before="0" w:after="120"/>
        <w:jc w:val="both"/>
        <w:rPr>
          <w:b w:val="0"/>
          <w:sz w:val="22"/>
          <w:szCs w:val="22"/>
        </w:rPr>
      </w:pPr>
      <w:r>
        <w:rPr>
          <w:b w:val="0"/>
          <w:sz w:val="22"/>
          <w:szCs w:val="22"/>
        </w:rPr>
        <w:t>The Supplier will be expected to continually improve the way in which the required Services are to be delivered throughout the Contract duration.</w:t>
      </w:r>
    </w:p>
    <w:p w14:paraId="0000011D" w14:textId="77777777" w:rsidR="00FF4893" w:rsidRDefault="001D1A3D">
      <w:pPr>
        <w:pStyle w:val="Heading2"/>
        <w:keepNext w:val="0"/>
        <w:keepLines w:val="0"/>
        <w:widowControl/>
        <w:numPr>
          <w:ilvl w:val="1"/>
          <w:numId w:val="3"/>
        </w:numPr>
        <w:spacing w:before="0" w:after="120"/>
        <w:jc w:val="both"/>
        <w:rPr>
          <w:b w:val="0"/>
          <w:sz w:val="22"/>
          <w:szCs w:val="22"/>
        </w:rPr>
      </w:pPr>
      <w:r>
        <w:rPr>
          <w:b w:val="0"/>
          <w:sz w:val="22"/>
          <w:szCs w:val="22"/>
        </w:rPr>
        <w:t xml:space="preserve">The Supplier should present new ways of working to the Authority during monthly Contract review meetings. </w:t>
      </w:r>
    </w:p>
    <w:p w14:paraId="0000011E" w14:textId="77777777" w:rsidR="00FF4893" w:rsidRDefault="001D1A3D">
      <w:pPr>
        <w:pStyle w:val="Heading2"/>
        <w:keepNext w:val="0"/>
        <w:keepLines w:val="0"/>
        <w:widowControl/>
        <w:numPr>
          <w:ilvl w:val="1"/>
          <w:numId w:val="3"/>
        </w:numPr>
        <w:spacing w:before="0" w:after="120"/>
        <w:jc w:val="both"/>
        <w:rPr>
          <w:b w:val="0"/>
          <w:sz w:val="22"/>
          <w:szCs w:val="22"/>
        </w:rPr>
      </w:pPr>
      <w:r>
        <w:rPr>
          <w:b w:val="0"/>
          <w:sz w:val="22"/>
          <w:szCs w:val="22"/>
        </w:rPr>
        <w:t>Changes to the way in which the Services are to be delivered must be brought to the Authority’s attention and agreed prior to any changes being implemented.</w:t>
      </w:r>
    </w:p>
    <w:p w14:paraId="0000011F" w14:textId="77777777" w:rsidR="00FF4893" w:rsidRDefault="001D1A3D">
      <w:pPr>
        <w:pStyle w:val="Heading2"/>
        <w:keepNext w:val="0"/>
        <w:keepLines w:val="0"/>
        <w:widowControl/>
        <w:numPr>
          <w:ilvl w:val="1"/>
          <w:numId w:val="3"/>
        </w:numPr>
        <w:spacing w:before="0" w:after="120"/>
        <w:jc w:val="both"/>
        <w:rPr>
          <w:b w:val="0"/>
          <w:sz w:val="22"/>
          <w:szCs w:val="22"/>
        </w:rPr>
      </w:pPr>
      <w:bookmarkStart w:id="43" w:name="_heading=h.cduc844iw6am" w:colFirst="0" w:colLast="0"/>
      <w:bookmarkEnd w:id="43"/>
      <w:r>
        <w:rPr>
          <w:b w:val="0"/>
          <w:sz w:val="22"/>
          <w:szCs w:val="22"/>
        </w:rPr>
        <w:t>There will be an agreed process to identify and apply any change or enhancement identified/requested by the authority to enhance/amend project scope/ capability.  Where possible, change will be cost neutral; however, total for any authority-initiated change will not exceed 10% of the full contract price.</w:t>
      </w:r>
    </w:p>
    <w:p w14:paraId="00000120" w14:textId="77777777" w:rsidR="00FF4893" w:rsidRDefault="001D1A3D">
      <w:pPr>
        <w:pStyle w:val="Heading1"/>
        <w:keepLines w:val="0"/>
        <w:widowControl/>
        <w:numPr>
          <w:ilvl w:val="0"/>
          <w:numId w:val="3"/>
        </w:numPr>
        <w:spacing w:before="0"/>
        <w:jc w:val="both"/>
        <w:rPr>
          <w:sz w:val="22"/>
          <w:szCs w:val="22"/>
        </w:rPr>
      </w:pPr>
      <w:bookmarkStart w:id="44" w:name="_heading=h.2jxsxqh" w:colFirst="0" w:colLast="0"/>
      <w:bookmarkEnd w:id="44"/>
      <w:r>
        <w:rPr>
          <w:sz w:val="22"/>
          <w:szCs w:val="22"/>
        </w:rPr>
        <w:t>Sustainability</w:t>
      </w:r>
    </w:p>
    <w:p w14:paraId="00000121" w14:textId="77777777" w:rsidR="00FF4893" w:rsidRDefault="001D1A3D">
      <w:pPr>
        <w:pStyle w:val="Heading2"/>
        <w:keepNext w:val="0"/>
        <w:keepLines w:val="0"/>
        <w:widowControl/>
        <w:numPr>
          <w:ilvl w:val="1"/>
          <w:numId w:val="3"/>
        </w:numPr>
        <w:spacing w:before="0" w:after="240"/>
        <w:jc w:val="both"/>
        <w:rPr>
          <w:b w:val="0"/>
          <w:sz w:val="22"/>
          <w:szCs w:val="22"/>
        </w:rPr>
      </w:pPr>
      <w:r>
        <w:rPr>
          <w:b w:val="0"/>
          <w:sz w:val="22"/>
          <w:szCs w:val="22"/>
        </w:rPr>
        <w:t>N/A</w:t>
      </w:r>
    </w:p>
    <w:p w14:paraId="00000122" w14:textId="77777777" w:rsidR="00FF4893" w:rsidRDefault="001D1A3D">
      <w:pPr>
        <w:pStyle w:val="Heading1"/>
        <w:keepLines w:val="0"/>
        <w:widowControl/>
        <w:numPr>
          <w:ilvl w:val="0"/>
          <w:numId w:val="3"/>
        </w:numPr>
        <w:spacing w:before="0" w:after="120"/>
        <w:ind w:left="709" w:hanging="709"/>
        <w:jc w:val="both"/>
        <w:rPr>
          <w:sz w:val="22"/>
          <w:szCs w:val="22"/>
        </w:rPr>
      </w:pPr>
      <w:bookmarkStart w:id="45" w:name="_heading=h.z337ya" w:colFirst="0" w:colLast="0"/>
      <w:bookmarkEnd w:id="45"/>
      <w:r>
        <w:rPr>
          <w:sz w:val="22"/>
          <w:szCs w:val="22"/>
        </w:rPr>
        <w:t>QUALITY</w:t>
      </w:r>
    </w:p>
    <w:p w14:paraId="00000123" w14:textId="77777777" w:rsidR="00FF4893" w:rsidRDefault="001D1A3D">
      <w:pPr>
        <w:pStyle w:val="Heading2"/>
        <w:keepNext w:val="0"/>
        <w:keepLines w:val="0"/>
        <w:widowControl/>
        <w:numPr>
          <w:ilvl w:val="1"/>
          <w:numId w:val="3"/>
        </w:numPr>
        <w:spacing w:before="0" w:after="120"/>
        <w:rPr>
          <w:b w:val="0"/>
          <w:sz w:val="22"/>
          <w:szCs w:val="22"/>
        </w:rPr>
      </w:pPr>
      <w:r>
        <w:rPr>
          <w:b w:val="0"/>
          <w:sz w:val="22"/>
          <w:szCs w:val="22"/>
        </w:rPr>
        <w:t xml:space="preserve">As a product of the authority, it is expected that quality will be of the highest standard. </w:t>
      </w:r>
    </w:p>
    <w:p w14:paraId="00000124" w14:textId="77777777" w:rsidR="00FF4893" w:rsidRDefault="001D1A3D">
      <w:pPr>
        <w:pStyle w:val="Heading2"/>
        <w:keepNext w:val="0"/>
        <w:keepLines w:val="0"/>
        <w:widowControl/>
        <w:numPr>
          <w:ilvl w:val="1"/>
          <w:numId w:val="3"/>
        </w:numPr>
        <w:spacing w:before="0" w:after="120"/>
        <w:rPr>
          <w:b w:val="0"/>
          <w:sz w:val="22"/>
          <w:szCs w:val="22"/>
        </w:rPr>
      </w:pPr>
      <w:r>
        <w:rPr>
          <w:b w:val="0"/>
          <w:sz w:val="22"/>
          <w:szCs w:val="22"/>
        </w:rPr>
        <w:t>User research produced will test clear hypotheses and inform the project team approach to the documents identified.</w:t>
      </w:r>
    </w:p>
    <w:p w14:paraId="00000125" w14:textId="77777777" w:rsidR="00FF4893" w:rsidRDefault="001D1A3D">
      <w:pPr>
        <w:pStyle w:val="Heading2"/>
        <w:keepNext w:val="0"/>
        <w:keepLines w:val="0"/>
        <w:widowControl/>
        <w:numPr>
          <w:ilvl w:val="1"/>
          <w:numId w:val="3"/>
        </w:numPr>
        <w:spacing w:before="0" w:after="120"/>
        <w:rPr>
          <w:b w:val="0"/>
          <w:sz w:val="22"/>
          <w:szCs w:val="22"/>
        </w:rPr>
      </w:pPr>
      <w:r>
        <w:rPr>
          <w:b w:val="0"/>
          <w:sz w:val="22"/>
          <w:szCs w:val="22"/>
        </w:rPr>
        <w:lastRenderedPageBreak/>
        <w:t>All user research must be reported in a format that is easy to understand, and played back to the project team and the authority where appropriate.</w:t>
      </w:r>
    </w:p>
    <w:p w14:paraId="00000126" w14:textId="77777777" w:rsidR="00FF4893" w:rsidRDefault="001D1A3D">
      <w:pPr>
        <w:pStyle w:val="Heading2"/>
        <w:keepNext w:val="0"/>
        <w:keepLines w:val="0"/>
        <w:widowControl/>
        <w:numPr>
          <w:ilvl w:val="1"/>
          <w:numId w:val="3"/>
        </w:numPr>
        <w:spacing w:before="0" w:after="120"/>
        <w:rPr>
          <w:b w:val="0"/>
          <w:sz w:val="22"/>
          <w:szCs w:val="22"/>
        </w:rPr>
      </w:pPr>
      <w:bookmarkStart w:id="46" w:name="_heading=h.z9qbb237f6dr" w:colFirst="0" w:colLast="0"/>
      <w:bookmarkEnd w:id="46"/>
      <w:r>
        <w:rPr>
          <w:b w:val="0"/>
          <w:sz w:val="22"/>
          <w:szCs w:val="22"/>
        </w:rPr>
        <w:t>Products designed must follow the GDS design principles.</w:t>
      </w:r>
    </w:p>
    <w:p w14:paraId="00000127" w14:textId="77777777" w:rsidR="00FF4893" w:rsidRDefault="001D1A3D">
      <w:pPr>
        <w:pStyle w:val="Heading1"/>
        <w:keepLines w:val="0"/>
        <w:widowControl/>
        <w:numPr>
          <w:ilvl w:val="0"/>
          <w:numId w:val="3"/>
        </w:numPr>
        <w:spacing w:before="0" w:after="120"/>
        <w:ind w:left="709" w:hanging="709"/>
        <w:jc w:val="both"/>
        <w:rPr>
          <w:sz w:val="22"/>
          <w:szCs w:val="22"/>
        </w:rPr>
      </w:pPr>
      <w:bookmarkStart w:id="47" w:name="_heading=h.3j2qqm3" w:colFirst="0" w:colLast="0"/>
      <w:bookmarkEnd w:id="47"/>
      <w:r>
        <w:rPr>
          <w:sz w:val="22"/>
          <w:szCs w:val="22"/>
        </w:rPr>
        <w:t>PRICE</w:t>
      </w:r>
    </w:p>
    <w:p w14:paraId="00000128"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bookmarkStart w:id="48" w:name="_heading=h.s3tfk05wrbfg" w:colFirst="0" w:colLast="0"/>
      <w:bookmarkEnd w:id="48"/>
      <w:r>
        <w:rPr>
          <w:b w:val="0"/>
          <w:sz w:val="22"/>
          <w:szCs w:val="22"/>
        </w:rPr>
        <w:t>Pricing will be on a ‘fixed price’ basis. The final payment, which will not be less than 35% of the total price, will be held back by the Authority until the agreed deliverables have been delivered, confirmed as fit for purpose by the Authority and been proven as an agreed suitable product.</w:t>
      </w:r>
    </w:p>
    <w:p w14:paraId="00000129"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Prices are to be submitted via the e-Sourcing Suite Attachment 4 – Price Schedule excluding VAT and including all other expenses relating to Contract delivery.</w:t>
      </w:r>
    </w:p>
    <w:p w14:paraId="0000012A" w14:textId="77777777" w:rsidR="00FF4893" w:rsidRDefault="001D1A3D">
      <w:pPr>
        <w:pStyle w:val="Heading1"/>
        <w:keepLines w:val="0"/>
        <w:widowControl/>
        <w:numPr>
          <w:ilvl w:val="0"/>
          <w:numId w:val="3"/>
        </w:numPr>
        <w:spacing w:before="0" w:after="120"/>
        <w:ind w:left="709" w:hanging="709"/>
        <w:jc w:val="both"/>
        <w:rPr>
          <w:sz w:val="22"/>
          <w:szCs w:val="22"/>
        </w:rPr>
      </w:pPr>
      <w:bookmarkStart w:id="49" w:name="_heading=h.1y810tw" w:colFirst="0" w:colLast="0"/>
      <w:bookmarkEnd w:id="49"/>
      <w:r>
        <w:rPr>
          <w:sz w:val="22"/>
          <w:szCs w:val="22"/>
        </w:rPr>
        <w:t xml:space="preserve">Staff </w:t>
      </w:r>
      <w:proofErr w:type="gramStart"/>
      <w:r>
        <w:rPr>
          <w:sz w:val="22"/>
          <w:szCs w:val="22"/>
        </w:rPr>
        <w:t>And</w:t>
      </w:r>
      <w:proofErr w:type="gramEnd"/>
      <w:r>
        <w:rPr>
          <w:sz w:val="22"/>
          <w:szCs w:val="22"/>
        </w:rPr>
        <w:t xml:space="preserve"> Customer Service</w:t>
      </w:r>
    </w:p>
    <w:p w14:paraId="0000012B"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The Supplier shall provide a sufficient level of resource throughout the duration of the Contract in order to consistently deliver a quality service. This will include provision of support at relevant project meetings</w:t>
      </w:r>
    </w:p>
    <w:p w14:paraId="0000012C"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 xml:space="preserve">The Supplier’s staff assigned to the Contract shall have the relevant qualifications and experience to deliver the Contract to the required standard. </w:t>
      </w:r>
    </w:p>
    <w:p w14:paraId="0000012D"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The Supplier shall ensure that staff understand the Authority’s vision and objectives and will provide excellent customer service to the Authority throughout the duration of the Contract.</w:t>
      </w:r>
    </w:p>
    <w:p w14:paraId="0000012E" w14:textId="77777777" w:rsidR="00FF4893" w:rsidRDefault="001D1A3D">
      <w:pPr>
        <w:pStyle w:val="Heading2"/>
        <w:keepNext w:val="0"/>
        <w:keepLines w:val="0"/>
        <w:widowControl/>
        <w:numPr>
          <w:ilvl w:val="1"/>
          <w:numId w:val="3"/>
        </w:numPr>
        <w:spacing w:before="0" w:after="120"/>
        <w:jc w:val="both"/>
        <w:rPr>
          <w:b w:val="0"/>
          <w:sz w:val="22"/>
          <w:szCs w:val="22"/>
        </w:rPr>
      </w:pPr>
      <w:bookmarkStart w:id="50" w:name="_heading=h.925s4x8pnp5c" w:colFirst="0" w:colLast="0"/>
      <w:bookmarkEnd w:id="50"/>
      <w:r>
        <w:rPr>
          <w:b w:val="0"/>
          <w:sz w:val="22"/>
          <w:szCs w:val="22"/>
        </w:rPr>
        <w:t>The Supplier will ensure that the Authority’s project team has full daily contact with the provider's project team.</w:t>
      </w:r>
    </w:p>
    <w:p w14:paraId="0000012F" w14:textId="77777777" w:rsidR="00FF4893" w:rsidRDefault="00FF4893">
      <w:pPr>
        <w:ind w:left="720"/>
      </w:pPr>
    </w:p>
    <w:p w14:paraId="00000130" w14:textId="77777777" w:rsidR="00FF4893" w:rsidRDefault="001D1A3D">
      <w:pPr>
        <w:pStyle w:val="Heading1"/>
        <w:keepLines w:val="0"/>
        <w:widowControl/>
        <w:numPr>
          <w:ilvl w:val="0"/>
          <w:numId w:val="3"/>
        </w:numPr>
        <w:spacing w:before="0" w:after="120"/>
        <w:ind w:left="709" w:hanging="709"/>
        <w:jc w:val="both"/>
        <w:rPr>
          <w:sz w:val="22"/>
          <w:szCs w:val="22"/>
        </w:rPr>
      </w:pPr>
      <w:bookmarkStart w:id="51" w:name="_heading=h.4i7ojhp" w:colFirst="0" w:colLast="0"/>
      <w:bookmarkEnd w:id="51"/>
      <w:r>
        <w:rPr>
          <w:sz w:val="22"/>
          <w:szCs w:val="22"/>
        </w:rPr>
        <w:t xml:space="preserve">Service Levels </w:t>
      </w:r>
      <w:proofErr w:type="gramStart"/>
      <w:r>
        <w:rPr>
          <w:sz w:val="22"/>
          <w:szCs w:val="22"/>
        </w:rPr>
        <w:t>And</w:t>
      </w:r>
      <w:proofErr w:type="gramEnd"/>
      <w:r>
        <w:rPr>
          <w:sz w:val="22"/>
          <w:szCs w:val="22"/>
        </w:rPr>
        <w:t xml:space="preserve"> Performance</w:t>
      </w:r>
    </w:p>
    <w:p w14:paraId="00000131" w14:textId="77777777" w:rsidR="00FF4893" w:rsidRDefault="001D1A3D">
      <w:pPr>
        <w:pStyle w:val="Heading2"/>
        <w:keepNext w:val="0"/>
        <w:keepLines w:val="0"/>
        <w:widowControl/>
        <w:numPr>
          <w:ilvl w:val="1"/>
          <w:numId w:val="3"/>
        </w:numPr>
        <w:spacing w:before="0" w:after="120"/>
        <w:ind w:left="709" w:hanging="709"/>
        <w:jc w:val="both"/>
        <w:rPr>
          <w:b w:val="0"/>
          <w:sz w:val="22"/>
          <w:szCs w:val="22"/>
        </w:rPr>
      </w:pPr>
      <w:r>
        <w:rPr>
          <w:b w:val="0"/>
          <w:sz w:val="22"/>
          <w:szCs w:val="22"/>
        </w:rPr>
        <w:t>The Authority will measure the quality of the Supplier’s delivery by:</w:t>
      </w:r>
    </w:p>
    <w:p w14:paraId="00000132" w14:textId="77777777" w:rsidR="00FF4893" w:rsidRDefault="001D1A3D">
      <w:pPr>
        <w:pStyle w:val="Heading3"/>
        <w:keepNext w:val="0"/>
        <w:keepLines w:val="0"/>
        <w:widowControl/>
        <w:numPr>
          <w:ilvl w:val="2"/>
          <w:numId w:val="3"/>
        </w:numPr>
        <w:spacing w:before="0" w:after="120"/>
        <w:jc w:val="both"/>
        <w:rPr>
          <w:b w:val="0"/>
          <w:sz w:val="22"/>
          <w:szCs w:val="22"/>
        </w:rPr>
      </w:pPr>
      <w:bookmarkStart w:id="52" w:name="_heading=h.utggm62xip03" w:colFirst="0" w:colLast="0"/>
      <w:bookmarkEnd w:id="52"/>
      <w:r>
        <w:rPr>
          <w:b w:val="0"/>
          <w:sz w:val="22"/>
          <w:szCs w:val="22"/>
        </w:rPr>
        <w:t>The Potential Bidder will be required to achieve the following service levels and KPIs and against which the Supplier’s performance will be assessed.</w:t>
      </w:r>
    </w:p>
    <w:tbl>
      <w:tblPr>
        <w:tblStyle w:val="a2"/>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5"/>
        <w:gridCol w:w="3744"/>
        <w:gridCol w:w="1633"/>
      </w:tblGrid>
      <w:tr w:rsidR="00FF4893" w14:paraId="6AC28790" w14:textId="77777777">
        <w:tc>
          <w:tcPr>
            <w:tcW w:w="1163" w:type="dxa"/>
            <w:tcBorders>
              <w:top w:val="single" w:sz="24" w:space="0" w:color="000000"/>
              <w:left w:val="single" w:sz="24" w:space="0" w:color="000000"/>
              <w:bottom w:val="single" w:sz="6" w:space="0" w:color="000000"/>
              <w:right w:val="single" w:sz="6" w:space="0" w:color="000000"/>
            </w:tcBorders>
            <w:shd w:val="clear" w:color="auto" w:fill="B8CCE4"/>
          </w:tcPr>
          <w:p w14:paraId="00000133" w14:textId="77777777" w:rsidR="00FF4893" w:rsidRDefault="001D1A3D">
            <w:pPr>
              <w:pStyle w:val="Heading2"/>
              <w:ind w:left="360"/>
              <w:rPr>
                <w:b w:val="0"/>
                <w:sz w:val="22"/>
                <w:szCs w:val="22"/>
              </w:rPr>
            </w:pPr>
            <w:r>
              <w:rPr>
                <w:b w:val="0"/>
                <w:sz w:val="22"/>
                <w:szCs w:val="22"/>
              </w:rPr>
              <w:lastRenderedPageBreak/>
              <w:t>KPI/SLA</w:t>
            </w:r>
          </w:p>
        </w:tc>
        <w:tc>
          <w:tcPr>
            <w:tcW w:w="1755" w:type="dxa"/>
            <w:tcBorders>
              <w:top w:val="single" w:sz="24" w:space="0" w:color="000000"/>
              <w:left w:val="single" w:sz="6" w:space="0" w:color="000000"/>
              <w:bottom w:val="single" w:sz="6" w:space="0" w:color="000000"/>
              <w:right w:val="single" w:sz="6" w:space="0" w:color="000000"/>
            </w:tcBorders>
            <w:shd w:val="clear" w:color="auto" w:fill="B8CCE4"/>
          </w:tcPr>
          <w:p w14:paraId="00000134" w14:textId="77777777" w:rsidR="00FF4893" w:rsidRDefault="001D1A3D">
            <w:pPr>
              <w:pStyle w:val="Heading2"/>
              <w:ind w:left="360"/>
              <w:rPr>
                <w:b w:val="0"/>
                <w:sz w:val="22"/>
                <w:szCs w:val="22"/>
              </w:rPr>
            </w:pPr>
            <w:r>
              <w:rPr>
                <w:b w:val="0"/>
                <w:sz w:val="22"/>
                <w:szCs w:val="22"/>
              </w:rPr>
              <w:t>Service Area</w:t>
            </w:r>
          </w:p>
        </w:tc>
        <w:tc>
          <w:tcPr>
            <w:tcW w:w="3744" w:type="dxa"/>
            <w:tcBorders>
              <w:top w:val="single" w:sz="24" w:space="0" w:color="000000"/>
              <w:left w:val="single" w:sz="6" w:space="0" w:color="000000"/>
              <w:bottom w:val="single" w:sz="6" w:space="0" w:color="000000"/>
              <w:right w:val="single" w:sz="6" w:space="0" w:color="000000"/>
            </w:tcBorders>
            <w:shd w:val="clear" w:color="auto" w:fill="B8CCE4"/>
          </w:tcPr>
          <w:p w14:paraId="00000135" w14:textId="77777777" w:rsidR="00FF4893" w:rsidRDefault="001D1A3D">
            <w:pPr>
              <w:pStyle w:val="Heading2"/>
              <w:ind w:left="360"/>
              <w:rPr>
                <w:b w:val="0"/>
                <w:sz w:val="22"/>
                <w:szCs w:val="22"/>
              </w:rPr>
            </w:pPr>
            <w:r>
              <w:rPr>
                <w:b w:val="0"/>
                <w:sz w:val="22"/>
                <w:szCs w:val="22"/>
              </w:rPr>
              <w:t>KPI/SLA description</w:t>
            </w:r>
          </w:p>
        </w:tc>
        <w:tc>
          <w:tcPr>
            <w:tcW w:w="1633" w:type="dxa"/>
            <w:tcBorders>
              <w:top w:val="single" w:sz="24" w:space="0" w:color="000000"/>
              <w:left w:val="single" w:sz="6" w:space="0" w:color="000000"/>
              <w:bottom w:val="single" w:sz="6" w:space="0" w:color="000000"/>
              <w:right w:val="single" w:sz="24" w:space="0" w:color="000000"/>
            </w:tcBorders>
            <w:shd w:val="clear" w:color="auto" w:fill="B8CCE4"/>
          </w:tcPr>
          <w:p w14:paraId="00000136" w14:textId="77777777" w:rsidR="00FF4893" w:rsidRDefault="001D1A3D">
            <w:pPr>
              <w:pStyle w:val="Heading2"/>
              <w:ind w:left="360"/>
              <w:rPr>
                <w:b w:val="0"/>
                <w:sz w:val="22"/>
                <w:szCs w:val="22"/>
              </w:rPr>
            </w:pPr>
            <w:r>
              <w:rPr>
                <w:b w:val="0"/>
                <w:sz w:val="22"/>
                <w:szCs w:val="22"/>
              </w:rPr>
              <w:t>Target</w:t>
            </w:r>
          </w:p>
        </w:tc>
      </w:tr>
      <w:tr w:rsidR="00FF4893" w14:paraId="43D7909B" w14:textId="77777777">
        <w:tc>
          <w:tcPr>
            <w:tcW w:w="1163" w:type="dxa"/>
            <w:tcBorders>
              <w:top w:val="single" w:sz="6" w:space="0" w:color="000000"/>
              <w:left w:val="single" w:sz="24" w:space="0" w:color="000000"/>
              <w:bottom w:val="single" w:sz="6" w:space="0" w:color="000000"/>
              <w:right w:val="single" w:sz="6" w:space="0" w:color="000000"/>
            </w:tcBorders>
          </w:tcPr>
          <w:p w14:paraId="00000137" w14:textId="77777777" w:rsidR="00FF4893" w:rsidRDefault="001D1A3D">
            <w:pPr>
              <w:pStyle w:val="Heading2"/>
              <w:ind w:left="360"/>
              <w:rPr>
                <w:b w:val="0"/>
                <w:sz w:val="22"/>
                <w:szCs w:val="22"/>
              </w:rPr>
            </w:pPr>
            <w:r>
              <w:rPr>
                <w:b w:val="0"/>
                <w:sz w:val="22"/>
                <w:szCs w:val="22"/>
              </w:rPr>
              <w:t>1</w:t>
            </w:r>
          </w:p>
        </w:tc>
        <w:tc>
          <w:tcPr>
            <w:tcW w:w="1755" w:type="dxa"/>
            <w:tcBorders>
              <w:top w:val="single" w:sz="6" w:space="0" w:color="000000"/>
              <w:left w:val="single" w:sz="6" w:space="0" w:color="000000"/>
              <w:bottom w:val="single" w:sz="6" w:space="0" w:color="000000"/>
              <w:right w:val="single" w:sz="6" w:space="0" w:color="000000"/>
            </w:tcBorders>
          </w:tcPr>
          <w:p w14:paraId="00000138" w14:textId="77777777" w:rsidR="00FF4893" w:rsidRDefault="001D1A3D">
            <w:r>
              <w:t>Service Delivery (SD)</w:t>
            </w:r>
          </w:p>
        </w:tc>
        <w:tc>
          <w:tcPr>
            <w:tcW w:w="3744" w:type="dxa"/>
            <w:tcBorders>
              <w:top w:val="single" w:sz="6" w:space="0" w:color="000000"/>
              <w:left w:val="single" w:sz="6" w:space="0" w:color="000000"/>
              <w:bottom w:val="single" w:sz="6" w:space="0" w:color="000000"/>
              <w:right w:val="single" w:sz="6" w:space="0" w:color="000000"/>
            </w:tcBorders>
          </w:tcPr>
          <w:p w14:paraId="00000139" w14:textId="77777777" w:rsidR="00FF4893" w:rsidRDefault="001D1A3D">
            <w:r>
              <w:t>Investigation outputs including provision of intel into the appropriateness of current data sources and accuracy of automation outputs</w:t>
            </w:r>
          </w:p>
        </w:tc>
        <w:tc>
          <w:tcPr>
            <w:tcW w:w="1633" w:type="dxa"/>
            <w:tcBorders>
              <w:top w:val="single" w:sz="6" w:space="0" w:color="000000"/>
              <w:left w:val="single" w:sz="6" w:space="0" w:color="000000"/>
              <w:bottom w:val="single" w:sz="6" w:space="0" w:color="000000"/>
              <w:right w:val="single" w:sz="24" w:space="0" w:color="000000"/>
            </w:tcBorders>
          </w:tcPr>
          <w:p w14:paraId="0000013A" w14:textId="77777777" w:rsidR="00FF4893" w:rsidRDefault="001D1A3D">
            <w:r>
              <w:t xml:space="preserve">100% </w:t>
            </w:r>
          </w:p>
        </w:tc>
      </w:tr>
      <w:tr w:rsidR="00FF4893" w14:paraId="3FD3565C" w14:textId="77777777">
        <w:tc>
          <w:tcPr>
            <w:tcW w:w="1163" w:type="dxa"/>
            <w:tcBorders>
              <w:top w:val="single" w:sz="6" w:space="0" w:color="000000"/>
              <w:left w:val="single" w:sz="24" w:space="0" w:color="000000"/>
              <w:bottom w:val="single" w:sz="6" w:space="0" w:color="000000"/>
              <w:right w:val="single" w:sz="6" w:space="0" w:color="000000"/>
            </w:tcBorders>
          </w:tcPr>
          <w:p w14:paraId="0000013B" w14:textId="77777777" w:rsidR="00FF4893" w:rsidRDefault="001D1A3D">
            <w:pPr>
              <w:pStyle w:val="Heading2"/>
              <w:ind w:left="360"/>
              <w:rPr>
                <w:b w:val="0"/>
                <w:sz w:val="22"/>
                <w:szCs w:val="22"/>
              </w:rPr>
            </w:pPr>
            <w:r>
              <w:rPr>
                <w:b w:val="0"/>
                <w:sz w:val="22"/>
                <w:szCs w:val="22"/>
              </w:rPr>
              <w:t>2</w:t>
            </w:r>
          </w:p>
        </w:tc>
        <w:tc>
          <w:tcPr>
            <w:tcW w:w="1755" w:type="dxa"/>
            <w:tcBorders>
              <w:top w:val="single" w:sz="6" w:space="0" w:color="000000"/>
              <w:left w:val="single" w:sz="6" w:space="0" w:color="000000"/>
              <w:bottom w:val="single" w:sz="6" w:space="0" w:color="000000"/>
              <w:right w:val="single" w:sz="6" w:space="0" w:color="000000"/>
            </w:tcBorders>
          </w:tcPr>
          <w:p w14:paraId="0000013C" w14:textId="77777777" w:rsidR="00FF4893" w:rsidRDefault="001D1A3D">
            <w:r>
              <w:t>SD</w:t>
            </w:r>
          </w:p>
        </w:tc>
        <w:tc>
          <w:tcPr>
            <w:tcW w:w="3744" w:type="dxa"/>
            <w:tcBorders>
              <w:top w:val="single" w:sz="6" w:space="0" w:color="000000"/>
              <w:left w:val="single" w:sz="6" w:space="0" w:color="000000"/>
              <w:bottom w:val="single" w:sz="6" w:space="0" w:color="000000"/>
              <w:right w:val="single" w:sz="6" w:space="0" w:color="000000"/>
            </w:tcBorders>
          </w:tcPr>
          <w:p w14:paraId="0000013D" w14:textId="77777777" w:rsidR="00FF4893" w:rsidRDefault="001D1A3D">
            <w:r>
              <w:t>Iterative delivery of automated design and data modelling</w:t>
            </w:r>
          </w:p>
        </w:tc>
        <w:tc>
          <w:tcPr>
            <w:tcW w:w="1633" w:type="dxa"/>
            <w:tcBorders>
              <w:top w:val="single" w:sz="6" w:space="0" w:color="000000"/>
              <w:left w:val="single" w:sz="6" w:space="0" w:color="000000"/>
              <w:bottom w:val="single" w:sz="6" w:space="0" w:color="000000"/>
              <w:right w:val="single" w:sz="18" w:space="0" w:color="000000"/>
            </w:tcBorders>
          </w:tcPr>
          <w:p w14:paraId="0000013E" w14:textId="77777777" w:rsidR="00FF4893" w:rsidRDefault="001D1A3D">
            <w:r>
              <w:t>100%</w:t>
            </w:r>
          </w:p>
        </w:tc>
      </w:tr>
      <w:tr w:rsidR="00FF4893" w14:paraId="29A4EF46" w14:textId="77777777">
        <w:tc>
          <w:tcPr>
            <w:tcW w:w="1163" w:type="dxa"/>
            <w:tcBorders>
              <w:top w:val="single" w:sz="6" w:space="0" w:color="000000"/>
              <w:left w:val="single" w:sz="24" w:space="0" w:color="000000"/>
              <w:bottom w:val="single" w:sz="6" w:space="0" w:color="000000"/>
              <w:right w:val="single" w:sz="6" w:space="0" w:color="000000"/>
            </w:tcBorders>
          </w:tcPr>
          <w:p w14:paraId="0000013F" w14:textId="77777777" w:rsidR="00FF4893" w:rsidRDefault="001D1A3D">
            <w:pPr>
              <w:pStyle w:val="Heading2"/>
              <w:ind w:left="360"/>
              <w:rPr>
                <w:b w:val="0"/>
                <w:sz w:val="22"/>
                <w:szCs w:val="22"/>
              </w:rPr>
            </w:pPr>
            <w:r>
              <w:rPr>
                <w:b w:val="0"/>
                <w:sz w:val="22"/>
                <w:szCs w:val="22"/>
              </w:rPr>
              <w:t>3</w:t>
            </w:r>
          </w:p>
        </w:tc>
        <w:tc>
          <w:tcPr>
            <w:tcW w:w="1755" w:type="dxa"/>
            <w:tcBorders>
              <w:top w:val="single" w:sz="6" w:space="0" w:color="000000"/>
              <w:left w:val="single" w:sz="6" w:space="0" w:color="000000"/>
              <w:bottom w:val="single" w:sz="6" w:space="0" w:color="000000"/>
              <w:right w:val="single" w:sz="6" w:space="0" w:color="000000"/>
            </w:tcBorders>
          </w:tcPr>
          <w:p w14:paraId="00000140" w14:textId="77777777" w:rsidR="00FF4893" w:rsidRDefault="001D1A3D">
            <w:r>
              <w:t>SD</w:t>
            </w:r>
          </w:p>
        </w:tc>
        <w:tc>
          <w:tcPr>
            <w:tcW w:w="3744" w:type="dxa"/>
            <w:tcBorders>
              <w:top w:val="single" w:sz="6" w:space="0" w:color="000000"/>
              <w:left w:val="single" w:sz="6" w:space="0" w:color="000000"/>
              <w:bottom w:val="single" w:sz="6" w:space="0" w:color="000000"/>
              <w:right w:val="single" w:sz="6" w:space="0" w:color="000000"/>
            </w:tcBorders>
          </w:tcPr>
          <w:p w14:paraId="00000141" w14:textId="77777777" w:rsidR="00FF4893" w:rsidRDefault="001D1A3D">
            <w:r>
              <w:t>Report on integration with other processes and systems</w:t>
            </w:r>
          </w:p>
        </w:tc>
        <w:tc>
          <w:tcPr>
            <w:tcW w:w="1633" w:type="dxa"/>
            <w:tcBorders>
              <w:top w:val="single" w:sz="6" w:space="0" w:color="000000"/>
              <w:left w:val="single" w:sz="6" w:space="0" w:color="000000"/>
              <w:bottom w:val="single" w:sz="6" w:space="0" w:color="000000"/>
              <w:right w:val="single" w:sz="24" w:space="0" w:color="000000"/>
            </w:tcBorders>
          </w:tcPr>
          <w:p w14:paraId="00000142" w14:textId="77777777" w:rsidR="00FF4893" w:rsidRDefault="001D1A3D">
            <w:r>
              <w:t>100%</w:t>
            </w:r>
          </w:p>
        </w:tc>
      </w:tr>
      <w:tr w:rsidR="00FF4893" w14:paraId="377C20D4" w14:textId="77777777">
        <w:tc>
          <w:tcPr>
            <w:tcW w:w="1163" w:type="dxa"/>
            <w:tcBorders>
              <w:top w:val="single" w:sz="6" w:space="0" w:color="000000"/>
              <w:left w:val="single" w:sz="24" w:space="0" w:color="000000"/>
              <w:bottom w:val="single" w:sz="6" w:space="0" w:color="000000"/>
              <w:right w:val="single" w:sz="6" w:space="0" w:color="000000"/>
            </w:tcBorders>
          </w:tcPr>
          <w:p w14:paraId="00000143" w14:textId="77777777" w:rsidR="00FF4893" w:rsidRDefault="001D1A3D">
            <w:pPr>
              <w:pStyle w:val="Heading2"/>
              <w:ind w:left="360"/>
              <w:rPr>
                <w:b w:val="0"/>
                <w:sz w:val="22"/>
                <w:szCs w:val="22"/>
              </w:rPr>
            </w:pPr>
            <w:r>
              <w:rPr>
                <w:b w:val="0"/>
                <w:sz w:val="22"/>
                <w:szCs w:val="22"/>
              </w:rPr>
              <w:t>4</w:t>
            </w:r>
          </w:p>
        </w:tc>
        <w:tc>
          <w:tcPr>
            <w:tcW w:w="1755" w:type="dxa"/>
            <w:tcBorders>
              <w:top w:val="single" w:sz="6" w:space="0" w:color="000000"/>
              <w:left w:val="single" w:sz="6" w:space="0" w:color="000000"/>
              <w:bottom w:val="single" w:sz="6" w:space="0" w:color="000000"/>
              <w:right w:val="single" w:sz="6" w:space="0" w:color="000000"/>
            </w:tcBorders>
          </w:tcPr>
          <w:p w14:paraId="00000144" w14:textId="77777777" w:rsidR="00FF4893" w:rsidRDefault="001D1A3D">
            <w:r>
              <w:t>SD</w:t>
            </w:r>
          </w:p>
        </w:tc>
        <w:tc>
          <w:tcPr>
            <w:tcW w:w="3744" w:type="dxa"/>
            <w:tcBorders>
              <w:top w:val="single" w:sz="6" w:space="0" w:color="000000"/>
              <w:left w:val="single" w:sz="6" w:space="0" w:color="000000"/>
              <w:bottom w:val="single" w:sz="6" w:space="0" w:color="000000"/>
              <w:right w:val="single" w:sz="6" w:space="0" w:color="000000"/>
            </w:tcBorders>
          </w:tcPr>
          <w:p w14:paraId="00000145" w14:textId="77777777" w:rsidR="00FF4893" w:rsidRDefault="001D1A3D">
            <w:r>
              <w:t>Improvement log</w:t>
            </w:r>
          </w:p>
        </w:tc>
        <w:tc>
          <w:tcPr>
            <w:tcW w:w="1633" w:type="dxa"/>
            <w:tcBorders>
              <w:top w:val="single" w:sz="6" w:space="0" w:color="000000"/>
              <w:left w:val="single" w:sz="6" w:space="0" w:color="000000"/>
              <w:bottom w:val="single" w:sz="6" w:space="0" w:color="000000"/>
              <w:right w:val="single" w:sz="24" w:space="0" w:color="000000"/>
            </w:tcBorders>
          </w:tcPr>
          <w:p w14:paraId="00000146" w14:textId="77777777" w:rsidR="00FF4893" w:rsidRDefault="001D1A3D">
            <w:r>
              <w:t>100%</w:t>
            </w:r>
          </w:p>
        </w:tc>
      </w:tr>
      <w:tr w:rsidR="00FF4893" w14:paraId="30043B09" w14:textId="77777777">
        <w:tc>
          <w:tcPr>
            <w:tcW w:w="1163" w:type="dxa"/>
            <w:tcBorders>
              <w:top w:val="single" w:sz="6" w:space="0" w:color="000000"/>
              <w:left w:val="single" w:sz="24" w:space="0" w:color="000000"/>
              <w:bottom w:val="single" w:sz="6" w:space="0" w:color="000000"/>
              <w:right w:val="single" w:sz="6" w:space="0" w:color="000000"/>
            </w:tcBorders>
          </w:tcPr>
          <w:p w14:paraId="00000147" w14:textId="77777777" w:rsidR="00FF4893" w:rsidRDefault="001D1A3D">
            <w:pPr>
              <w:pStyle w:val="Heading2"/>
              <w:ind w:left="360"/>
              <w:rPr>
                <w:b w:val="0"/>
                <w:sz w:val="22"/>
                <w:szCs w:val="22"/>
              </w:rPr>
            </w:pPr>
            <w:r>
              <w:rPr>
                <w:b w:val="0"/>
                <w:sz w:val="22"/>
                <w:szCs w:val="22"/>
              </w:rPr>
              <w:t>5</w:t>
            </w:r>
          </w:p>
        </w:tc>
        <w:tc>
          <w:tcPr>
            <w:tcW w:w="1755" w:type="dxa"/>
            <w:tcBorders>
              <w:top w:val="single" w:sz="6" w:space="0" w:color="000000"/>
              <w:left w:val="single" w:sz="6" w:space="0" w:color="000000"/>
              <w:bottom w:val="single" w:sz="6" w:space="0" w:color="000000"/>
              <w:right w:val="single" w:sz="6" w:space="0" w:color="000000"/>
            </w:tcBorders>
          </w:tcPr>
          <w:p w14:paraId="00000148" w14:textId="77777777" w:rsidR="00FF4893" w:rsidRDefault="001D1A3D">
            <w:r>
              <w:t>SD</w:t>
            </w:r>
          </w:p>
        </w:tc>
        <w:tc>
          <w:tcPr>
            <w:tcW w:w="3744" w:type="dxa"/>
            <w:tcBorders>
              <w:top w:val="single" w:sz="6" w:space="0" w:color="000000"/>
              <w:left w:val="single" w:sz="6" w:space="0" w:color="000000"/>
              <w:bottom w:val="single" w:sz="6" w:space="0" w:color="000000"/>
              <w:right w:val="single" w:sz="6" w:space="0" w:color="000000"/>
            </w:tcBorders>
          </w:tcPr>
          <w:p w14:paraId="00000149" w14:textId="77777777" w:rsidR="00FF4893" w:rsidRDefault="001D1A3D">
            <w:r>
              <w:t>Guidance and standard operating procedures (Including a handover prepared for a future training provider)</w:t>
            </w:r>
          </w:p>
        </w:tc>
        <w:tc>
          <w:tcPr>
            <w:tcW w:w="1633" w:type="dxa"/>
            <w:tcBorders>
              <w:top w:val="single" w:sz="6" w:space="0" w:color="000000"/>
              <w:left w:val="single" w:sz="6" w:space="0" w:color="000000"/>
              <w:bottom w:val="single" w:sz="6" w:space="0" w:color="000000"/>
              <w:right w:val="single" w:sz="24" w:space="0" w:color="000000"/>
            </w:tcBorders>
          </w:tcPr>
          <w:p w14:paraId="0000014A" w14:textId="77777777" w:rsidR="00FF4893" w:rsidRDefault="001D1A3D">
            <w:r>
              <w:t>100%</w:t>
            </w:r>
          </w:p>
        </w:tc>
      </w:tr>
      <w:tr w:rsidR="00FF4893" w14:paraId="2D598FD4" w14:textId="77777777">
        <w:tc>
          <w:tcPr>
            <w:tcW w:w="1163" w:type="dxa"/>
            <w:tcBorders>
              <w:top w:val="single" w:sz="6" w:space="0" w:color="000000"/>
              <w:left w:val="single" w:sz="24" w:space="0" w:color="000000"/>
              <w:bottom w:val="single" w:sz="24" w:space="0" w:color="000000"/>
              <w:right w:val="single" w:sz="6" w:space="0" w:color="000000"/>
            </w:tcBorders>
          </w:tcPr>
          <w:p w14:paraId="0000014B" w14:textId="77777777" w:rsidR="00FF4893" w:rsidRDefault="001D1A3D">
            <w:pPr>
              <w:pStyle w:val="Heading2"/>
              <w:ind w:left="360"/>
              <w:rPr>
                <w:b w:val="0"/>
                <w:sz w:val="22"/>
                <w:szCs w:val="22"/>
              </w:rPr>
            </w:pPr>
            <w:r>
              <w:rPr>
                <w:b w:val="0"/>
                <w:sz w:val="22"/>
                <w:szCs w:val="22"/>
              </w:rPr>
              <w:t>6</w:t>
            </w:r>
          </w:p>
        </w:tc>
        <w:tc>
          <w:tcPr>
            <w:tcW w:w="1755" w:type="dxa"/>
            <w:tcBorders>
              <w:top w:val="single" w:sz="6" w:space="0" w:color="000000"/>
              <w:left w:val="single" w:sz="6" w:space="0" w:color="000000"/>
              <w:bottom w:val="single" w:sz="24" w:space="0" w:color="000000"/>
              <w:right w:val="single" w:sz="6" w:space="0" w:color="000000"/>
            </w:tcBorders>
          </w:tcPr>
          <w:p w14:paraId="0000014C" w14:textId="77777777" w:rsidR="00FF4893" w:rsidRDefault="001D1A3D">
            <w:r>
              <w:t>SD</w:t>
            </w:r>
          </w:p>
        </w:tc>
        <w:tc>
          <w:tcPr>
            <w:tcW w:w="3744" w:type="dxa"/>
            <w:tcBorders>
              <w:top w:val="single" w:sz="6" w:space="0" w:color="000000"/>
              <w:left w:val="single" w:sz="6" w:space="0" w:color="000000"/>
              <w:bottom w:val="single" w:sz="24" w:space="0" w:color="000000"/>
              <w:right w:val="single" w:sz="6" w:space="0" w:color="000000"/>
            </w:tcBorders>
          </w:tcPr>
          <w:p w14:paraId="0000014D" w14:textId="77777777" w:rsidR="00FF4893" w:rsidRDefault="001D1A3D">
            <w:r>
              <w:t>Invoicing/Billing - Compliant and fully transparent breakdown in costs and shall accurately reflect the services provided.</w:t>
            </w:r>
          </w:p>
          <w:p w14:paraId="0000014E" w14:textId="77777777" w:rsidR="00FF4893" w:rsidRDefault="001D1A3D">
            <w:r>
              <w:t>Frequency: monthly in arrears</w:t>
            </w:r>
          </w:p>
        </w:tc>
        <w:tc>
          <w:tcPr>
            <w:tcW w:w="1633" w:type="dxa"/>
            <w:tcBorders>
              <w:top w:val="single" w:sz="6" w:space="0" w:color="000000"/>
              <w:left w:val="single" w:sz="6" w:space="0" w:color="000000"/>
              <w:bottom w:val="single" w:sz="24" w:space="0" w:color="000000"/>
              <w:right w:val="single" w:sz="24" w:space="0" w:color="000000"/>
            </w:tcBorders>
          </w:tcPr>
          <w:p w14:paraId="0000014F" w14:textId="77777777" w:rsidR="00FF4893" w:rsidRDefault="001D1A3D">
            <w:r>
              <w:t>100%</w:t>
            </w:r>
          </w:p>
        </w:tc>
      </w:tr>
    </w:tbl>
    <w:p w14:paraId="00000150" w14:textId="77777777" w:rsidR="00FF4893" w:rsidRDefault="00FF4893">
      <w:pPr>
        <w:pStyle w:val="Heading2"/>
        <w:ind w:left="360" w:hanging="360"/>
        <w:rPr>
          <w:b w:val="0"/>
          <w:sz w:val="22"/>
          <w:szCs w:val="22"/>
        </w:rPr>
      </w:pPr>
    </w:p>
    <w:p w14:paraId="00000151" w14:textId="77777777" w:rsidR="00FF4893" w:rsidRDefault="001D1A3D">
      <w:pPr>
        <w:pStyle w:val="Heading2"/>
        <w:keepNext w:val="0"/>
        <w:keepLines w:val="0"/>
        <w:widowControl/>
        <w:numPr>
          <w:ilvl w:val="1"/>
          <w:numId w:val="3"/>
        </w:numPr>
        <w:spacing w:before="0" w:after="240"/>
        <w:jc w:val="both"/>
        <w:rPr>
          <w:b w:val="0"/>
          <w:sz w:val="22"/>
          <w:szCs w:val="22"/>
        </w:rPr>
      </w:pPr>
      <w:bookmarkStart w:id="53" w:name="_heading=h.pasmh0epnxrw" w:colFirst="0" w:colLast="0"/>
      <w:bookmarkEnd w:id="53"/>
      <w:r>
        <w:rPr>
          <w:b w:val="0"/>
          <w:sz w:val="22"/>
          <w:szCs w:val="22"/>
        </w:rPr>
        <w:t xml:space="preserve">35% of the total cost for the Spend Forecasting project will be paid following delivery of an effective, competent service which meets customer need and which conforms with the stipulated </w:t>
      </w:r>
      <w:proofErr w:type="spellStart"/>
      <w:r>
        <w:rPr>
          <w:b w:val="0"/>
          <w:sz w:val="22"/>
          <w:szCs w:val="22"/>
        </w:rPr>
        <w:t>SoR’s</w:t>
      </w:r>
      <w:proofErr w:type="spellEnd"/>
      <w:r>
        <w:rPr>
          <w:b w:val="0"/>
          <w:sz w:val="22"/>
          <w:szCs w:val="22"/>
        </w:rPr>
        <w:t>.  Should the provided requirements not be delivered to specification within the agreed timescale an element/or all of the final payment will be retained as compensation in lieu of service.</w:t>
      </w:r>
    </w:p>
    <w:p w14:paraId="00000152" w14:textId="77777777" w:rsidR="00FF4893" w:rsidRDefault="001D1A3D">
      <w:pPr>
        <w:pStyle w:val="Heading3"/>
        <w:keepNext w:val="0"/>
        <w:keepLines w:val="0"/>
        <w:widowControl/>
        <w:numPr>
          <w:ilvl w:val="1"/>
          <w:numId w:val="3"/>
        </w:numPr>
        <w:spacing w:before="0" w:after="240"/>
        <w:jc w:val="both"/>
        <w:rPr>
          <w:b w:val="0"/>
          <w:sz w:val="22"/>
          <w:szCs w:val="22"/>
        </w:rPr>
      </w:pPr>
      <w:r>
        <w:rPr>
          <w:b w:val="0"/>
          <w:sz w:val="22"/>
          <w:szCs w:val="22"/>
        </w:rPr>
        <w:t>Where the Contracting Authority identifies poor performance (3 consecutive agreed failures in any rolling 2-month period against agreed service delivery and SLAs, the Supplier shall be required to attend a performance review meeting to understand the issues and how to rectify them. The performance review meeting shall be at an agreed time no later than 5 working days from the date of notification. This may take place virtually or at the Contracting Authority’s premises.</w:t>
      </w:r>
    </w:p>
    <w:p w14:paraId="00000153" w14:textId="77777777" w:rsidR="00FF4893" w:rsidRDefault="001D1A3D">
      <w:pPr>
        <w:pStyle w:val="Heading3"/>
        <w:keepNext w:val="0"/>
        <w:keepLines w:val="0"/>
        <w:widowControl/>
        <w:numPr>
          <w:ilvl w:val="1"/>
          <w:numId w:val="3"/>
        </w:numPr>
        <w:spacing w:before="0" w:after="240"/>
        <w:jc w:val="both"/>
        <w:rPr>
          <w:b w:val="0"/>
          <w:sz w:val="22"/>
          <w:szCs w:val="22"/>
        </w:rPr>
      </w:pPr>
      <w:bookmarkStart w:id="54" w:name="_heading=h.4rqinm2k162q" w:colFirst="0" w:colLast="0"/>
      <w:bookmarkEnd w:id="54"/>
      <w:r>
        <w:rPr>
          <w:b w:val="0"/>
          <w:sz w:val="22"/>
          <w:szCs w:val="22"/>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will be subject to amendment following a performance review meeting and will be agreed by both parties prior to implementation.</w:t>
      </w:r>
    </w:p>
    <w:p w14:paraId="00000154" w14:textId="77777777" w:rsidR="00FF4893" w:rsidRDefault="001D1A3D">
      <w:pPr>
        <w:pStyle w:val="Heading3"/>
        <w:keepNext w:val="0"/>
        <w:keepLines w:val="0"/>
        <w:widowControl/>
        <w:numPr>
          <w:ilvl w:val="1"/>
          <w:numId w:val="3"/>
        </w:numPr>
        <w:spacing w:before="0" w:after="240"/>
        <w:jc w:val="both"/>
        <w:rPr>
          <w:b w:val="0"/>
          <w:sz w:val="22"/>
          <w:szCs w:val="22"/>
        </w:rPr>
      </w:pPr>
      <w:bookmarkStart w:id="55" w:name="_heading=h.7c52v6yflyj1" w:colFirst="0" w:colLast="0"/>
      <w:bookmarkEnd w:id="55"/>
      <w:r>
        <w:rPr>
          <w:b w:val="0"/>
          <w:sz w:val="22"/>
          <w:szCs w:val="22"/>
        </w:rPr>
        <w:t xml:space="preserve">The Contracting Authority will work with the Supplier to resolve any service failures; however, it will remain the Supplier’s responsibility to resolve any/all service failure issues to ensure the service is delivered against the agreed milestones. </w:t>
      </w:r>
    </w:p>
    <w:p w14:paraId="00000155" w14:textId="77777777" w:rsidR="00FF4893" w:rsidRDefault="001D1A3D">
      <w:pPr>
        <w:pStyle w:val="Heading1"/>
        <w:keepLines w:val="0"/>
        <w:widowControl/>
        <w:numPr>
          <w:ilvl w:val="0"/>
          <w:numId w:val="3"/>
        </w:numPr>
        <w:spacing w:before="0" w:after="120"/>
        <w:jc w:val="both"/>
        <w:rPr>
          <w:sz w:val="22"/>
          <w:szCs w:val="22"/>
        </w:rPr>
      </w:pPr>
      <w:bookmarkStart w:id="56" w:name="_heading=h.1ci93xb" w:colFirst="0" w:colLast="0"/>
      <w:bookmarkEnd w:id="56"/>
      <w:r>
        <w:rPr>
          <w:sz w:val="22"/>
          <w:szCs w:val="22"/>
        </w:rPr>
        <w:t>Security and CONFIDENTIALITY requirements</w:t>
      </w:r>
    </w:p>
    <w:p w14:paraId="00000156" w14:textId="77777777" w:rsidR="00FF4893" w:rsidRDefault="001D1A3D">
      <w:pPr>
        <w:pStyle w:val="Heading2"/>
        <w:keepNext w:val="0"/>
        <w:keepLines w:val="0"/>
        <w:widowControl/>
        <w:numPr>
          <w:ilvl w:val="1"/>
          <w:numId w:val="3"/>
        </w:numPr>
        <w:spacing w:before="0" w:after="120"/>
        <w:jc w:val="both"/>
        <w:rPr>
          <w:b w:val="0"/>
          <w:sz w:val="22"/>
          <w:szCs w:val="22"/>
        </w:rPr>
      </w:pPr>
      <w:bookmarkStart w:id="57" w:name="_heading=h.plzxc8jqlib" w:colFirst="0" w:colLast="0"/>
      <w:bookmarkEnd w:id="57"/>
      <w:r>
        <w:rPr>
          <w:b w:val="0"/>
          <w:sz w:val="22"/>
          <w:szCs w:val="22"/>
        </w:rPr>
        <w:t>Staff working on the project at a minimum would need to be BPSS checked in order to work in a government environment. The staff will also be expected to abide by standard confidentiality agreements.</w:t>
      </w:r>
    </w:p>
    <w:p w14:paraId="00000157" w14:textId="77777777" w:rsidR="00FF4893" w:rsidRDefault="001D1A3D">
      <w:pPr>
        <w:pStyle w:val="Heading1"/>
        <w:keepLines w:val="0"/>
        <w:widowControl/>
        <w:numPr>
          <w:ilvl w:val="0"/>
          <w:numId w:val="3"/>
        </w:numPr>
        <w:spacing w:before="0" w:after="120"/>
        <w:ind w:left="709" w:hanging="709"/>
        <w:jc w:val="both"/>
        <w:rPr>
          <w:sz w:val="22"/>
          <w:szCs w:val="22"/>
        </w:rPr>
      </w:pPr>
      <w:bookmarkStart w:id="58" w:name="_heading=h.3whwml4" w:colFirst="0" w:colLast="0"/>
      <w:bookmarkEnd w:id="58"/>
      <w:r>
        <w:rPr>
          <w:sz w:val="22"/>
          <w:szCs w:val="22"/>
        </w:rPr>
        <w:lastRenderedPageBreak/>
        <w:t xml:space="preserve">Payment AND INVOICING </w:t>
      </w:r>
    </w:p>
    <w:p w14:paraId="00000158" w14:textId="77777777" w:rsidR="00FF4893" w:rsidRDefault="001D1A3D">
      <w:pPr>
        <w:pStyle w:val="Heading2"/>
        <w:keepNext w:val="0"/>
        <w:keepLines w:val="0"/>
        <w:widowControl/>
        <w:numPr>
          <w:ilvl w:val="1"/>
          <w:numId w:val="3"/>
        </w:numPr>
        <w:spacing w:before="0" w:after="240"/>
        <w:jc w:val="both"/>
        <w:rPr>
          <w:b w:val="0"/>
          <w:sz w:val="22"/>
          <w:szCs w:val="22"/>
        </w:rPr>
      </w:pPr>
      <w:r>
        <w:rPr>
          <w:b w:val="0"/>
          <w:sz w:val="22"/>
          <w:szCs w:val="22"/>
        </w:rPr>
        <w:t xml:space="preserve">Payment can only be made following satisfactory delivery of pre-agreed certified products and deliverables. </w:t>
      </w:r>
    </w:p>
    <w:p w14:paraId="00000159" w14:textId="77777777" w:rsidR="00FF4893" w:rsidRDefault="001D1A3D">
      <w:pPr>
        <w:pStyle w:val="Heading2"/>
        <w:keepNext w:val="0"/>
        <w:keepLines w:val="0"/>
        <w:widowControl/>
        <w:numPr>
          <w:ilvl w:val="1"/>
          <w:numId w:val="3"/>
        </w:numPr>
        <w:spacing w:before="0" w:after="240"/>
        <w:jc w:val="both"/>
        <w:rPr>
          <w:b w:val="0"/>
          <w:sz w:val="22"/>
          <w:szCs w:val="22"/>
        </w:rPr>
      </w:pPr>
      <w:bookmarkStart w:id="59" w:name="_heading=h.u7sy4s4fjro6" w:colFirst="0" w:colLast="0"/>
      <w:bookmarkEnd w:id="59"/>
      <w:r>
        <w:rPr>
          <w:b w:val="0"/>
          <w:sz w:val="22"/>
          <w:szCs w:val="22"/>
        </w:rPr>
        <w:t xml:space="preserve">Before payment can be considered, each invoice must include a detailed elemental breakdown of work completed and the associated costs. </w:t>
      </w:r>
    </w:p>
    <w:p w14:paraId="38EBB86C" w14:textId="638FB12F" w:rsidR="001B67E9" w:rsidRPr="001B67E9" w:rsidRDefault="001D1A3D" w:rsidP="001B67E9">
      <w:pPr>
        <w:pStyle w:val="ListParagraph"/>
        <w:numPr>
          <w:ilvl w:val="1"/>
          <w:numId w:val="3"/>
        </w:numPr>
        <w:pBdr>
          <w:top w:val="nil"/>
          <w:left w:val="nil"/>
          <w:bottom w:val="nil"/>
          <w:right w:val="nil"/>
          <w:between w:val="nil"/>
        </w:pBdr>
        <w:rPr>
          <w:color w:val="000000"/>
        </w:rPr>
      </w:pPr>
      <w:bookmarkStart w:id="60" w:name="_heading=h.fbemwegbav2q" w:colFirst="0" w:colLast="0"/>
      <w:bookmarkEnd w:id="60"/>
      <w:r>
        <w:t xml:space="preserve">Invoices should be submitted to: </w:t>
      </w:r>
      <w:r w:rsidR="001B67E9" w:rsidRPr="001B67E9">
        <w:rPr>
          <w:b/>
          <w:bCs/>
          <w:color w:val="FF0000"/>
        </w:rPr>
        <w:t>REDACTED TEXT under FOIA Section 40, Personal Information</w:t>
      </w:r>
      <w:bookmarkStart w:id="61" w:name="_heading=h.2bn6wsx" w:colFirst="0" w:colLast="0"/>
      <w:bookmarkEnd w:id="61"/>
      <w:r w:rsidR="001B67E9">
        <w:rPr>
          <w:b/>
          <w:bCs/>
          <w:color w:val="FF0000"/>
        </w:rPr>
        <w:t xml:space="preserve"> </w:t>
      </w:r>
      <w:bookmarkStart w:id="62" w:name="_GoBack"/>
      <w:r w:rsidR="001B67E9" w:rsidRPr="001B67E9">
        <w:rPr>
          <w:bCs/>
        </w:rPr>
        <w:t>and</w:t>
      </w:r>
      <w:r w:rsidR="001B67E9" w:rsidRPr="001B67E9">
        <w:rPr>
          <w:b/>
          <w:bCs/>
        </w:rPr>
        <w:t xml:space="preserve"> </w:t>
      </w:r>
      <w:bookmarkEnd w:id="62"/>
      <w:r w:rsidR="001B67E9" w:rsidRPr="001B67E9">
        <w:rPr>
          <w:b/>
          <w:bCs/>
          <w:color w:val="FF0000"/>
        </w:rPr>
        <w:t>REDACTED TEXT under FOIA Section 40, Personal Information</w:t>
      </w:r>
    </w:p>
    <w:p w14:paraId="0000015B" w14:textId="77777777" w:rsidR="00FF4893" w:rsidRDefault="001D1A3D">
      <w:pPr>
        <w:pStyle w:val="Heading1"/>
        <w:keepLines w:val="0"/>
        <w:widowControl/>
        <w:numPr>
          <w:ilvl w:val="0"/>
          <w:numId w:val="3"/>
        </w:numPr>
        <w:spacing w:before="0" w:after="120"/>
        <w:ind w:left="709" w:hanging="709"/>
        <w:jc w:val="both"/>
        <w:rPr>
          <w:sz w:val="22"/>
          <w:szCs w:val="22"/>
        </w:rPr>
      </w:pPr>
      <w:r>
        <w:rPr>
          <w:sz w:val="22"/>
          <w:szCs w:val="22"/>
        </w:rPr>
        <w:t xml:space="preserve">CONTRACT MANAGEMENT </w:t>
      </w:r>
    </w:p>
    <w:p w14:paraId="0000015C" w14:textId="77777777" w:rsidR="00FF4893" w:rsidRDefault="001D1A3D">
      <w:pPr>
        <w:pStyle w:val="Heading2"/>
        <w:keepNext w:val="0"/>
        <w:keepLines w:val="0"/>
        <w:widowControl/>
        <w:numPr>
          <w:ilvl w:val="1"/>
          <w:numId w:val="3"/>
        </w:numPr>
        <w:spacing w:before="0" w:after="240"/>
        <w:jc w:val="both"/>
        <w:rPr>
          <w:b w:val="0"/>
          <w:sz w:val="22"/>
          <w:szCs w:val="22"/>
        </w:rPr>
      </w:pPr>
      <w:bookmarkStart w:id="63" w:name="_heading=h.c7yw8zs0vh8h" w:colFirst="0" w:colLast="0"/>
      <w:bookmarkEnd w:id="63"/>
      <w:r>
        <w:rPr>
          <w:b w:val="0"/>
          <w:sz w:val="22"/>
          <w:szCs w:val="22"/>
        </w:rPr>
        <w:t>The Authority is content that initial meetings between the Authority and Successful Supplier will take place virtually within one week of contract commencement.</w:t>
      </w:r>
    </w:p>
    <w:p w14:paraId="0000015D" w14:textId="77777777" w:rsidR="00FF4893" w:rsidRDefault="001D1A3D">
      <w:pPr>
        <w:pStyle w:val="Heading2"/>
        <w:keepNext w:val="0"/>
        <w:keepLines w:val="0"/>
        <w:widowControl/>
        <w:numPr>
          <w:ilvl w:val="1"/>
          <w:numId w:val="3"/>
        </w:numPr>
        <w:spacing w:before="0" w:after="120"/>
        <w:jc w:val="both"/>
        <w:rPr>
          <w:b w:val="0"/>
          <w:sz w:val="22"/>
          <w:szCs w:val="22"/>
        </w:rPr>
      </w:pPr>
      <w:bookmarkStart w:id="64" w:name="_heading=h.9cllw769e4i4" w:colFirst="0" w:colLast="0"/>
      <w:bookmarkEnd w:id="64"/>
      <w:r>
        <w:rPr>
          <w:b w:val="0"/>
          <w:sz w:val="22"/>
          <w:szCs w:val="22"/>
        </w:rPr>
        <w:t>Attendance at Contract and Project Review meetings will be at the Supplier’s own expense.</w:t>
      </w:r>
    </w:p>
    <w:p w14:paraId="0000015E" w14:textId="77777777" w:rsidR="00FF4893" w:rsidRDefault="001D1A3D">
      <w:pPr>
        <w:pStyle w:val="Heading1"/>
        <w:keepLines w:val="0"/>
        <w:widowControl/>
        <w:numPr>
          <w:ilvl w:val="0"/>
          <w:numId w:val="3"/>
        </w:numPr>
        <w:spacing w:before="0" w:after="120"/>
        <w:jc w:val="both"/>
        <w:rPr>
          <w:sz w:val="22"/>
          <w:szCs w:val="22"/>
        </w:rPr>
      </w:pPr>
      <w:bookmarkStart w:id="65" w:name="_heading=h.qsh70q" w:colFirst="0" w:colLast="0"/>
      <w:bookmarkEnd w:id="65"/>
      <w:r>
        <w:rPr>
          <w:sz w:val="22"/>
          <w:szCs w:val="22"/>
        </w:rPr>
        <w:t xml:space="preserve">Location </w:t>
      </w:r>
    </w:p>
    <w:p w14:paraId="0000015F" w14:textId="77777777" w:rsidR="00FF4893" w:rsidRDefault="001D1A3D">
      <w:pPr>
        <w:pStyle w:val="Heading2"/>
        <w:keepNext w:val="0"/>
        <w:keepLines w:val="0"/>
        <w:widowControl/>
        <w:numPr>
          <w:ilvl w:val="1"/>
          <w:numId w:val="3"/>
        </w:numPr>
        <w:spacing w:before="0" w:after="120"/>
        <w:jc w:val="both"/>
        <w:rPr>
          <w:b w:val="0"/>
          <w:sz w:val="22"/>
          <w:szCs w:val="22"/>
        </w:rPr>
      </w:pPr>
      <w:bookmarkStart w:id="66" w:name="_heading=h.cguq3mfd7knk" w:colFirst="0" w:colLast="0"/>
      <w:bookmarkEnd w:id="66"/>
      <w:r>
        <w:rPr>
          <w:b w:val="0"/>
          <w:sz w:val="22"/>
          <w:szCs w:val="22"/>
        </w:rPr>
        <w:t>The Authority is content for work to be completed from the supplier’s own premises and or from an individual's home location. Where specific permission for access to a website is required for auditing or research, this can be arranged by the Authority’s project manager.</w:t>
      </w:r>
    </w:p>
    <w:p w14:paraId="00000160" w14:textId="77777777" w:rsidR="00FF4893" w:rsidRDefault="00FF4893">
      <w:pPr>
        <w:pBdr>
          <w:top w:val="nil"/>
          <w:left w:val="nil"/>
          <w:bottom w:val="nil"/>
          <w:right w:val="nil"/>
          <w:between w:val="nil"/>
        </w:pBdr>
        <w:spacing w:before="120" w:after="120"/>
        <w:rPr>
          <w:color w:val="000000"/>
        </w:rPr>
      </w:pPr>
    </w:p>
    <w:p w14:paraId="00000161" w14:textId="77777777" w:rsidR="00FF4893" w:rsidRDefault="00FF4893">
      <w:pPr>
        <w:pBdr>
          <w:top w:val="nil"/>
          <w:left w:val="nil"/>
          <w:bottom w:val="nil"/>
          <w:right w:val="nil"/>
          <w:between w:val="nil"/>
        </w:pBdr>
        <w:spacing w:before="120" w:after="120"/>
        <w:rPr>
          <w:color w:val="000000"/>
        </w:rPr>
      </w:pPr>
    </w:p>
    <w:p w14:paraId="00000162" w14:textId="77777777" w:rsidR="00FF4893" w:rsidRDefault="00FF4893">
      <w:pPr>
        <w:pBdr>
          <w:top w:val="nil"/>
          <w:left w:val="nil"/>
          <w:bottom w:val="nil"/>
          <w:right w:val="nil"/>
          <w:between w:val="nil"/>
        </w:pBdr>
        <w:spacing w:before="120" w:after="120"/>
        <w:rPr>
          <w:b/>
          <w:color w:val="000000"/>
        </w:rPr>
      </w:pPr>
    </w:p>
    <w:p w14:paraId="00000163" w14:textId="77777777" w:rsidR="00FF4893" w:rsidRDefault="001D1A3D">
      <w:pPr>
        <w:pBdr>
          <w:top w:val="nil"/>
          <w:left w:val="nil"/>
          <w:bottom w:val="nil"/>
          <w:right w:val="nil"/>
          <w:between w:val="nil"/>
        </w:pBdr>
        <w:spacing w:before="120" w:after="120"/>
        <w:rPr>
          <w:color w:val="000000"/>
        </w:rPr>
      </w:pPr>
      <w:r>
        <w:rPr>
          <w:color w:val="000000"/>
        </w:rPr>
        <w:t>BY SIGNING this Statement of Work, the Parties agree that it shall be incorporated into Appendix 1 of the Order Form and incorporated into the Call-Off Contract and be legally binding on the Parties:</w:t>
      </w:r>
    </w:p>
    <w:p w14:paraId="00000164" w14:textId="77777777" w:rsidR="00FF4893" w:rsidRDefault="001D1A3D">
      <w:pPr>
        <w:pBdr>
          <w:top w:val="nil"/>
          <w:left w:val="nil"/>
          <w:bottom w:val="nil"/>
          <w:right w:val="nil"/>
          <w:between w:val="nil"/>
        </w:pBdr>
        <w:spacing w:before="120" w:after="120"/>
        <w:rPr>
          <w:color w:val="000000"/>
        </w:rPr>
      </w:pPr>
      <w:r>
        <w:rPr>
          <w:b/>
          <w:color w:val="000000"/>
        </w:rPr>
        <w:t>For and on behalf of the Supplier</w:t>
      </w:r>
    </w:p>
    <w:p w14:paraId="00000165" w14:textId="77777777" w:rsidR="00FF4893" w:rsidRDefault="001D1A3D">
      <w:pPr>
        <w:pBdr>
          <w:top w:val="nil"/>
          <w:left w:val="nil"/>
          <w:bottom w:val="nil"/>
          <w:right w:val="nil"/>
          <w:between w:val="nil"/>
        </w:pBdr>
        <w:spacing w:before="120" w:after="120"/>
        <w:rPr>
          <w:color w:val="000000"/>
        </w:rPr>
      </w:pPr>
      <w:r>
        <w:rPr>
          <w:color w:val="000000"/>
        </w:rPr>
        <w:t>Name:</w:t>
      </w:r>
    </w:p>
    <w:p w14:paraId="00000166" w14:textId="77777777" w:rsidR="00FF4893" w:rsidRDefault="001D1A3D">
      <w:pPr>
        <w:pBdr>
          <w:top w:val="nil"/>
          <w:left w:val="nil"/>
          <w:bottom w:val="nil"/>
          <w:right w:val="nil"/>
          <w:between w:val="nil"/>
        </w:pBdr>
        <w:spacing w:before="120" w:after="120"/>
        <w:rPr>
          <w:color w:val="000000"/>
        </w:rPr>
      </w:pPr>
      <w:r>
        <w:rPr>
          <w:color w:val="000000"/>
        </w:rPr>
        <w:t>Title:</w:t>
      </w:r>
    </w:p>
    <w:p w14:paraId="00000167" w14:textId="77777777" w:rsidR="00FF4893" w:rsidRDefault="001D1A3D">
      <w:pPr>
        <w:pBdr>
          <w:top w:val="nil"/>
          <w:left w:val="nil"/>
          <w:bottom w:val="nil"/>
          <w:right w:val="nil"/>
          <w:between w:val="nil"/>
        </w:pBdr>
        <w:spacing w:before="120" w:after="120"/>
        <w:rPr>
          <w:color w:val="000000"/>
        </w:rPr>
      </w:pPr>
      <w:r>
        <w:rPr>
          <w:color w:val="000000"/>
        </w:rPr>
        <w:t>Date:</w:t>
      </w:r>
    </w:p>
    <w:p w14:paraId="00000168" w14:textId="77777777" w:rsidR="00FF4893" w:rsidRDefault="001D1A3D">
      <w:pPr>
        <w:pBdr>
          <w:top w:val="nil"/>
          <w:left w:val="nil"/>
          <w:bottom w:val="nil"/>
          <w:right w:val="nil"/>
          <w:between w:val="nil"/>
        </w:pBdr>
        <w:spacing w:before="120" w:after="120"/>
        <w:rPr>
          <w:color w:val="000000"/>
        </w:rPr>
      </w:pPr>
      <w:r>
        <w:rPr>
          <w:color w:val="000000"/>
        </w:rPr>
        <w:t>Signature:</w:t>
      </w:r>
    </w:p>
    <w:p w14:paraId="00000169" w14:textId="77777777" w:rsidR="00FF4893" w:rsidRDefault="001D1A3D">
      <w:pPr>
        <w:pBdr>
          <w:top w:val="nil"/>
          <w:left w:val="nil"/>
          <w:bottom w:val="nil"/>
          <w:right w:val="nil"/>
          <w:between w:val="nil"/>
        </w:pBdr>
        <w:spacing w:before="120" w:after="120"/>
        <w:rPr>
          <w:color w:val="000000"/>
        </w:rPr>
      </w:pPr>
      <w:r>
        <w:rPr>
          <w:b/>
          <w:color w:val="000000"/>
        </w:rPr>
        <w:t>For and on behalf of the Buyer</w:t>
      </w:r>
    </w:p>
    <w:p w14:paraId="0000016A" w14:textId="77777777" w:rsidR="00FF4893" w:rsidRDefault="001D1A3D">
      <w:pPr>
        <w:pBdr>
          <w:top w:val="nil"/>
          <w:left w:val="nil"/>
          <w:bottom w:val="nil"/>
          <w:right w:val="nil"/>
          <w:between w:val="nil"/>
        </w:pBdr>
        <w:spacing w:before="120" w:after="120"/>
        <w:rPr>
          <w:color w:val="000000"/>
        </w:rPr>
      </w:pPr>
      <w:r>
        <w:rPr>
          <w:color w:val="000000"/>
        </w:rPr>
        <w:t>Name:</w:t>
      </w:r>
    </w:p>
    <w:p w14:paraId="0000016B" w14:textId="77777777" w:rsidR="00FF4893" w:rsidRDefault="001D1A3D">
      <w:pPr>
        <w:pBdr>
          <w:top w:val="nil"/>
          <w:left w:val="nil"/>
          <w:bottom w:val="nil"/>
          <w:right w:val="nil"/>
          <w:between w:val="nil"/>
        </w:pBdr>
        <w:spacing w:before="120" w:after="120"/>
        <w:rPr>
          <w:color w:val="000000"/>
        </w:rPr>
      </w:pPr>
      <w:r>
        <w:rPr>
          <w:color w:val="000000"/>
        </w:rPr>
        <w:t>Title:</w:t>
      </w:r>
    </w:p>
    <w:p w14:paraId="0000016C" w14:textId="77777777" w:rsidR="00FF4893" w:rsidRDefault="001D1A3D">
      <w:pPr>
        <w:pBdr>
          <w:top w:val="nil"/>
          <w:left w:val="nil"/>
          <w:bottom w:val="nil"/>
          <w:right w:val="nil"/>
          <w:between w:val="nil"/>
        </w:pBdr>
        <w:spacing w:before="120" w:after="120"/>
        <w:rPr>
          <w:color w:val="000000"/>
        </w:rPr>
      </w:pPr>
      <w:r>
        <w:rPr>
          <w:color w:val="000000"/>
        </w:rPr>
        <w:t>Date:</w:t>
      </w:r>
    </w:p>
    <w:p w14:paraId="0000016D" w14:textId="77777777" w:rsidR="00FF4893" w:rsidRDefault="001D1A3D">
      <w:pPr>
        <w:pBdr>
          <w:top w:val="nil"/>
          <w:left w:val="nil"/>
          <w:bottom w:val="nil"/>
          <w:right w:val="nil"/>
          <w:between w:val="nil"/>
        </w:pBdr>
        <w:spacing w:before="120" w:after="120"/>
        <w:rPr>
          <w:color w:val="000000"/>
        </w:rPr>
      </w:pPr>
      <w:r>
        <w:rPr>
          <w:color w:val="000000"/>
        </w:rPr>
        <w:t>Signature:</w:t>
      </w:r>
    </w:p>
    <w:p w14:paraId="0000016E" w14:textId="77777777" w:rsidR="00FF4893" w:rsidRDefault="00FF4893">
      <w:pPr>
        <w:widowControl/>
        <w:pBdr>
          <w:top w:val="nil"/>
          <w:left w:val="nil"/>
          <w:bottom w:val="nil"/>
          <w:right w:val="nil"/>
          <w:between w:val="nil"/>
        </w:pBdr>
        <w:spacing w:after="160" w:line="249" w:lineRule="auto"/>
        <w:rPr>
          <w:b/>
          <w:color w:val="000000"/>
          <w:sz w:val="36"/>
          <w:szCs w:val="36"/>
        </w:rPr>
      </w:pPr>
    </w:p>
    <w:p w14:paraId="0000016F" w14:textId="77777777" w:rsidR="00FF4893" w:rsidRDefault="00B33CD8">
      <w:pPr>
        <w:pStyle w:val="Heading3"/>
        <w:pageBreakBefore/>
      </w:pPr>
      <w:sdt>
        <w:sdtPr>
          <w:tag w:val="goog_rdk_0"/>
          <w:id w:val="-1075969195"/>
        </w:sdtPr>
        <w:sdtEndPr/>
        <w:sdtContent/>
      </w:sdt>
      <w:r w:rsidR="001D1A3D">
        <w:t>Annex 1</w:t>
      </w:r>
    </w:p>
    <w:p w14:paraId="00000170" w14:textId="77777777" w:rsidR="00FF4893" w:rsidRDefault="001D1A3D">
      <w:pPr>
        <w:pStyle w:val="Heading3"/>
      </w:pPr>
      <w:r>
        <w:t>Data Processing</w:t>
      </w:r>
    </w:p>
    <w:p w14:paraId="00000171" w14:textId="77777777" w:rsidR="00FF4893" w:rsidRDefault="001D1A3D">
      <w:pPr>
        <w:pBdr>
          <w:top w:val="nil"/>
          <w:left w:val="nil"/>
          <w:bottom w:val="nil"/>
          <w:right w:val="nil"/>
          <w:between w:val="nil"/>
        </w:pBdr>
        <w:spacing w:before="120" w:after="120"/>
        <w:rPr>
          <w:color w:val="000000"/>
        </w:rPr>
      </w:pPr>
      <w:r>
        <w:rPr>
          <w:color w:val="000000"/>
        </w:rPr>
        <w:t xml:space="preserve">Prior to the execution of this Statement of Work, the Parties shall review Annex 1 of Joint Schedule 11 (Processing Data) and if the contents of Annex 1 </w:t>
      </w:r>
      <w:proofErr w:type="gramStart"/>
      <w:r>
        <w:rPr>
          <w:color w:val="000000"/>
        </w:rPr>
        <w:t>does</w:t>
      </w:r>
      <w:proofErr w:type="gramEnd"/>
      <w:r>
        <w:rPr>
          <w:color w:val="000000"/>
        </w:rP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00000172" w14:textId="77777777" w:rsidR="00FF4893" w:rsidRDefault="001D1A3D">
      <w:pPr>
        <w:pBdr>
          <w:top w:val="nil"/>
          <w:left w:val="nil"/>
          <w:bottom w:val="nil"/>
          <w:right w:val="nil"/>
          <w:between w:val="nil"/>
        </w:pBdr>
        <w:spacing w:before="120" w:after="120"/>
        <w:rPr>
          <w:color w:val="000000"/>
        </w:rPr>
      </w:pPr>
      <w:bookmarkStart w:id="67" w:name="_heading=h.3znysh7" w:colFirst="0" w:colLast="0"/>
      <w:bookmarkEnd w:id="67"/>
      <w:r>
        <w:rPr>
          <w:color w:val="000000"/>
        </w:rPr>
        <w:t>[Template Annex 1 of Joint Schedule 11 (Processing Data) Below]</w:t>
      </w:r>
    </w:p>
    <w:p w14:paraId="00000173" w14:textId="77777777" w:rsidR="00FF4893" w:rsidRDefault="00FF4893">
      <w:pPr>
        <w:pBdr>
          <w:top w:val="nil"/>
          <w:left w:val="nil"/>
          <w:bottom w:val="nil"/>
          <w:right w:val="nil"/>
          <w:between w:val="nil"/>
        </w:pBdr>
        <w:spacing w:before="120" w:after="120"/>
        <w:rPr>
          <w:color w:val="000000"/>
        </w:rPr>
      </w:pPr>
    </w:p>
    <w:tbl>
      <w:tblPr>
        <w:tblStyle w:val="a3"/>
        <w:tblW w:w="9686" w:type="dxa"/>
        <w:tblInd w:w="-5" w:type="dxa"/>
        <w:tblLayout w:type="fixed"/>
        <w:tblLook w:val="0000" w:firstRow="0" w:lastRow="0" w:firstColumn="0" w:lastColumn="0" w:noHBand="0" w:noVBand="0"/>
      </w:tblPr>
      <w:tblGrid>
        <w:gridCol w:w="2693"/>
        <w:gridCol w:w="6993"/>
      </w:tblGrid>
      <w:tr w:rsidR="00FF4893" w14:paraId="75F3EABF"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0174" w14:textId="77777777" w:rsidR="00FF4893" w:rsidRDefault="001D1A3D">
            <w:pPr>
              <w:pBdr>
                <w:top w:val="nil"/>
                <w:left w:val="nil"/>
                <w:bottom w:val="nil"/>
                <w:right w:val="nil"/>
                <w:between w:val="nil"/>
              </w:pBdr>
              <w:spacing w:before="120" w:after="120"/>
              <w:rPr>
                <w:color w:val="000000"/>
              </w:rPr>
            </w:pPr>
            <w:r>
              <w:rPr>
                <w:b/>
                <w:color w:val="000000"/>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0175" w14:textId="77777777" w:rsidR="00FF4893" w:rsidRDefault="001D1A3D">
            <w:pPr>
              <w:pBdr>
                <w:top w:val="nil"/>
                <w:left w:val="nil"/>
                <w:bottom w:val="nil"/>
                <w:right w:val="nil"/>
                <w:between w:val="nil"/>
              </w:pBdr>
              <w:spacing w:before="120" w:after="120"/>
              <w:rPr>
                <w:color w:val="000000"/>
              </w:rPr>
            </w:pPr>
            <w:r>
              <w:rPr>
                <w:b/>
                <w:color w:val="000000"/>
              </w:rPr>
              <w:t>Details</w:t>
            </w:r>
          </w:p>
        </w:tc>
      </w:tr>
      <w:tr w:rsidR="00FF4893" w14:paraId="29819394"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6" w14:textId="77777777" w:rsidR="00FF4893" w:rsidRDefault="001D1A3D">
            <w:pPr>
              <w:pBdr>
                <w:top w:val="nil"/>
                <w:left w:val="nil"/>
                <w:bottom w:val="nil"/>
                <w:right w:val="nil"/>
                <w:between w:val="nil"/>
              </w:pBdr>
              <w:spacing w:before="120" w:after="120"/>
              <w:rPr>
                <w:color w:val="000000"/>
              </w:rPr>
            </w:pPr>
            <w:r>
              <w:rPr>
                <w:color w:val="000000"/>
              </w:rP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8" w14:textId="2E144367" w:rsidR="00FF4893" w:rsidRPr="00824420" w:rsidRDefault="001D1A3D">
            <w:pPr>
              <w:pBdr>
                <w:top w:val="nil"/>
                <w:left w:val="nil"/>
                <w:bottom w:val="nil"/>
                <w:right w:val="nil"/>
                <w:between w:val="nil"/>
              </w:pBdr>
              <w:spacing w:before="120" w:after="120"/>
              <w:rPr>
                <w:b/>
                <w:color w:val="000000"/>
              </w:rPr>
            </w:pPr>
            <w:r>
              <w:rPr>
                <w:b/>
                <w:color w:val="000000"/>
              </w:rPr>
              <w:t xml:space="preserve">The Relevant Authority is Controller and the Supplier is Processor - </w:t>
            </w:r>
          </w:p>
          <w:p w14:paraId="00000179" w14:textId="77777777" w:rsidR="00FF4893" w:rsidRDefault="001D1A3D">
            <w:pPr>
              <w:pBdr>
                <w:top w:val="nil"/>
                <w:left w:val="nil"/>
                <w:bottom w:val="nil"/>
                <w:right w:val="nil"/>
                <w:between w:val="nil"/>
              </w:pBdr>
              <w:spacing w:before="120" w:after="120"/>
              <w:rPr>
                <w:color w:val="000000"/>
              </w:rPr>
            </w:pPr>
            <w:r>
              <w:rPr>
                <w:color w:val="000000"/>
              </w:rPr>
              <w:t>The Parties acknowledge that in accordance with paragraph 2 to paragraph 15 and for the purposes of the Data Protection Legislation, the Relevant Authority is the Controller and the Supplier is the Processor of the following Personal Data:</w:t>
            </w:r>
          </w:p>
          <w:p w14:paraId="0000017A" w14:textId="5439AEAE" w:rsidR="00FF4893" w:rsidRPr="00824420" w:rsidRDefault="00A110FC">
            <w:pPr>
              <w:numPr>
                <w:ilvl w:val="0"/>
                <w:numId w:val="4"/>
              </w:numPr>
              <w:pBdr>
                <w:top w:val="nil"/>
                <w:left w:val="nil"/>
                <w:bottom w:val="nil"/>
                <w:right w:val="nil"/>
                <w:between w:val="nil"/>
              </w:pBdr>
              <w:spacing w:before="120" w:after="120"/>
            </w:pPr>
            <w:r>
              <w:rPr>
                <w:color w:val="000000"/>
              </w:rPr>
              <w:t>Business contact details – email</w:t>
            </w:r>
            <w:r w:rsidR="00824420">
              <w:rPr>
                <w:color w:val="000000"/>
              </w:rPr>
              <w:t xml:space="preserve"> for CCS and supplier.</w:t>
            </w:r>
          </w:p>
          <w:p w14:paraId="43EF1B1C" w14:textId="50E1879A" w:rsidR="00824420" w:rsidRDefault="00824420">
            <w:pPr>
              <w:numPr>
                <w:ilvl w:val="0"/>
                <w:numId w:val="4"/>
              </w:numPr>
              <w:pBdr>
                <w:top w:val="nil"/>
                <w:left w:val="nil"/>
                <w:bottom w:val="nil"/>
                <w:right w:val="nil"/>
                <w:between w:val="nil"/>
              </w:pBdr>
              <w:spacing w:before="120" w:after="120"/>
            </w:pPr>
            <w:r>
              <w:t>Personal information related to data sources such as public datasets such as Contracts Finder.</w:t>
            </w:r>
          </w:p>
          <w:p w14:paraId="0000017B" w14:textId="77777777" w:rsidR="00FF4893" w:rsidRDefault="001D1A3D">
            <w:pPr>
              <w:pBdr>
                <w:top w:val="nil"/>
                <w:left w:val="nil"/>
                <w:bottom w:val="nil"/>
                <w:right w:val="nil"/>
                <w:between w:val="nil"/>
              </w:pBdr>
              <w:spacing w:before="120" w:after="120"/>
              <w:rPr>
                <w:color w:val="000000"/>
              </w:rPr>
            </w:pPr>
            <w:r>
              <w:rPr>
                <w:b/>
                <w:color w:val="000000"/>
              </w:rPr>
              <w:t>The Supplier is Controller and the Relevant Authority is Processor</w:t>
            </w:r>
          </w:p>
          <w:p w14:paraId="0000017C" w14:textId="77777777" w:rsidR="00FF4893" w:rsidRDefault="001D1A3D">
            <w:pPr>
              <w:pBdr>
                <w:top w:val="nil"/>
                <w:left w:val="nil"/>
                <w:bottom w:val="nil"/>
                <w:right w:val="nil"/>
                <w:between w:val="nil"/>
              </w:pBdr>
              <w:spacing w:before="120" w:after="120"/>
              <w:rPr>
                <w:color w:val="000000"/>
              </w:rPr>
            </w:pPr>
            <w:r>
              <w:rPr>
                <w:color w:val="000000"/>
              </w:rPr>
              <w:t>The Parties acknowledge that for the purposes of the Data Protection Legislation, the Supplier is the Controller and the Relevant Authority is the Processor in accordance with paragraph 2 to paragraph 15 of the following Personal Data:</w:t>
            </w:r>
          </w:p>
          <w:p w14:paraId="0000017D" w14:textId="1154E410" w:rsidR="00FF4893" w:rsidRDefault="00824420">
            <w:pPr>
              <w:numPr>
                <w:ilvl w:val="0"/>
                <w:numId w:val="4"/>
              </w:numPr>
              <w:pBdr>
                <w:top w:val="nil"/>
                <w:left w:val="nil"/>
                <w:bottom w:val="nil"/>
                <w:right w:val="nil"/>
                <w:between w:val="nil"/>
              </w:pBdr>
              <w:spacing w:before="120" w:after="120"/>
            </w:pPr>
            <w:r>
              <w:rPr>
                <w:color w:val="000000"/>
              </w:rPr>
              <w:t>N/A</w:t>
            </w:r>
          </w:p>
          <w:p w14:paraId="0000017E" w14:textId="77777777" w:rsidR="00FF4893" w:rsidRDefault="001D1A3D">
            <w:pPr>
              <w:pBdr>
                <w:top w:val="nil"/>
                <w:left w:val="nil"/>
                <w:bottom w:val="nil"/>
                <w:right w:val="nil"/>
                <w:between w:val="nil"/>
              </w:pBdr>
              <w:spacing w:before="120" w:after="120"/>
              <w:rPr>
                <w:color w:val="000000"/>
              </w:rPr>
            </w:pPr>
            <w:r>
              <w:rPr>
                <w:b/>
                <w:color w:val="000000"/>
              </w:rPr>
              <w:t>The Parties are Joint Controllers</w:t>
            </w:r>
          </w:p>
          <w:p w14:paraId="0000017F" w14:textId="77777777" w:rsidR="00FF4893" w:rsidRDefault="001D1A3D">
            <w:pPr>
              <w:pBdr>
                <w:top w:val="nil"/>
                <w:left w:val="nil"/>
                <w:bottom w:val="nil"/>
                <w:right w:val="nil"/>
                <w:between w:val="nil"/>
              </w:pBdr>
              <w:spacing w:before="120" w:after="120"/>
              <w:rPr>
                <w:color w:val="000000"/>
              </w:rPr>
            </w:pPr>
            <w:r>
              <w:rPr>
                <w:color w:val="000000"/>
              </w:rPr>
              <w:t>The Parties acknowledge that they are Joint Controllers for the purposes of the Data Protection Legislation in respect of:</w:t>
            </w:r>
          </w:p>
          <w:p w14:paraId="00000180" w14:textId="0D50BE61" w:rsidR="00FF4893" w:rsidRDefault="00824420">
            <w:pPr>
              <w:numPr>
                <w:ilvl w:val="0"/>
                <w:numId w:val="4"/>
              </w:numPr>
              <w:pBdr>
                <w:top w:val="nil"/>
                <w:left w:val="nil"/>
                <w:bottom w:val="nil"/>
                <w:right w:val="nil"/>
                <w:between w:val="nil"/>
              </w:pBdr>
              <w:spacing w:before="120" w:after="120"/>
            </w:pPr>
            <w:r>
              <w:rPr>
                <w:color w:val="000000"/>
              </w:rPr>
              <w:t>N/A</w:t>
            </w:r>
          </w:p>
          <w:p w14:paraId="00000181" w14:textId="77777777" w:rsidR="00FF4893" w:rsidRDefault="001D1A3D">
            <w:pPr>
              <w:pBdr>
                <w:top w:val="nil"/>
                <w:left w:val="nil"/>
                <w:bottom w:val="nil"/>
                <w:right w:val="nil"/>
                <w:between w:val="nil"/>
              </w:pBdr>
              <w:spacing w:before="120" w:after="120"/>
              <w:rPr>
                <w:color w:val="000000"/>
              </w:rPr>
            </w:pPr>
            <w:r>
              <w:rPr>
                <w:b/>
                <w:color w:val="000000"/>
              </w:rPr>
              <w:t>The Parties are Independent Controllers of Personal Data</w:t>
            </w:r>
          </w:p>
          <w:p w14:paraId="00000182" w14:textId="77777777" w:rsidR="00FF4893" w:rsidRDefault="001D1A3D">
            <w:pPr>
              <w:pBdr>
                <w:top w:val="nil"/>
                <w:left w:val="nil"/>
                <w:bottom w:val="nil"/>
                <w:right w:val="nil"/>
                <w:between w:val="nil"/>
              </w:pBdr>
              <w:spacing w:before="120" w:after="120"/>
              <w:rPr>
                <w:color w:val="000000"/>
              </w:rPr>
            </w:pPr>
            <w:r>
              <w:rPr>
                <w:color w:val="000000"/>
              </w:rPr>
              <w:t>The Parties acknowledge that they are Independent Controllers for the purposes of the Data Protection Legislation in respect of:</w:t>
            </w:r>
          </w:p>
          <w:p w14:paraId="00000183" w14:textId="77777777" w:rsidR="00FF4893" w:rsidRDefault="001D1A3D">
            <w:pPr>
              <w:numPr>
                <w:ilvl w:val="0"/>
                <w:numId w:val="4"/>
              </w:numPr>
              <w:pBdr>
                <w:top w:val="nil"/>
                <w:left w:val="nil"/>
                <w:bottom w:val="nil"/>
                <w:right w:val="nil"/>
                <w:between w:val="nil"/>
              </w:pBdr>
              <w:spacing w:before="120" w:after="120"/>
            </w:pPr>
            <w:r>
              <w:rPr>
                <w:color w:val="000000"/>
              </w:rPr>
              <w:t>Business contact details of Supplier Personnel for which the Supplier is the Controller,</w:t>
            </w:r>
          </w:p>
          <w:p w14:paraId="00000184" w14:textId="77777777" w:rsidR="00FF4893" w:rsidRDefault="001D1A3D">
            <w:pPr>
              <w:numPr>
                <w:ilvl w:val="0"/>
                <w:numId w:val="4"/>
              </w:numPr>
              <w:pBdr>
                <w:top w:val="nil"/>
                <w:left w:val="nil"/>
                <w:bottom w:val="nil"/>
                <w:right w:val="nil"/>
                <w:between w:val="nil"/>
              </w:pBdr>
              <w:spacing w:before="120" w:after="120"/>
            </w:pPr>
            <w:r>
              <w:rPr>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00000185" w14:textId="7257D1B0" w:rsidR="00FF4893" w:rsidRDefault="00824420">
            <w:pPr>
              <w:numPr>
                <w:ilvl w:val="0"/>
                <w:numId w:val="4"/>
              </w:numPr>
              <w:pBdr>
                <w:top w:val="nil"/>
                <w:left w:val="nil"/>
                <w:bottom w:val="nil"/>
                <w:right w:val="nil"/>
                <w:between w:val="nil"/>
              </w:pBdr>
              <w:spacing w:before="120" w:after="120"/>
            </w:pPr>
            <w:r>
              <w:rPr>
                <w:color w:val="000000"/>
              </w:rPr>
              <w:t>N/A</w:t>
            </w:r>
          </w:p>
          <w:p w14:paraId="00000186" w14:textId="77777777" w:rsidR="00FF4893" w:rsidRDefault="00FF4893">
            <w:pPr>
              <w:pBdr>
                <w:top w:val="nil"/>
                <w:left w:val="nil"/>
                <w:bottom w:val="nil"/>
                <w:right w:val="nil"/>
                <w:between w:val="nil"/>
              </w:pBdr>
              <w:spacing w:before="120" w:after="120"/>
              <w:rPr>
                <w:color w:val="000000"/>
              </w:rPr>
            </w:pPr>
          </w:p>
        </w:tc>
      </w:tr>
      <w:tr w:rsidR="00FF4893" w14:paraId="6B0767B5"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7" w14:textId="77777777" w:rsidR="00FF4893" w:rsidRDefault="001D1A3D">
            <w:pPr>
              <w:pBdr>
                <w:top w:val="nil"/>
                <w:left w:val="nil"/>
                <w:bottom w:val="nil"/>
                <w:right w:val="nil"/>
                <w:between w:val="nil"/>
              </w:pBdr>
              <w:spacing w:before="120" w:after="120"/>
              <w:rPr>
                <w:color w:val="000000"/>
              </w:rPr>
            </w:pPr>
            <w:r>
              <w:rPr>
                <w:color w:val="000000"/>
              </w:rP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8" w14:textId="234CA346" w:rsidR="00FF4893" w:rsidRDefault="00824420">
            <w:pPr>
              <w:pBdr>
                <w:top w:val="nil"/>
                <w:left w:val="nil"/>
                <w:bottom w:val="nil"/>
                <w:right w:val="nil"/>
                <w:between w:val="nil"/>
              </w:pBdr>
              <w:spacing w:before="120" w:after="120"/>
              <w:rPr>
                <w:color w:val="000000"/>
              </w:rPr>
            </w:pPr>
            <w:r>
              <w:rPr>
                <w:color w:val="000000"/>
              </w:rPr>
              <w:t>10 weeks</w:t>
            </w:r>
          </w:p>
        </w:tc>
      </w:tr>
      <w:tr w:rsidR="00FF4893" w14:paraId="16228DE2"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9" w14:textId="77777777" w:rsidR="00FF4893" w:rsidRDefault="001D1A3D">
            <w:pPr>
              <w:pBdr>
                <w:top w:val="nil"/>
                <w:left w:val="nil"/>
                <w:bottom w:val="nil"/>
                <w:right w:val="nil"/>
                <w:between w:val="nil"/>
              </w:pBdr>
              <w:spacing w:before="120" w:after="120"/>
              <w:rPr>
                <w:color w:val="000000"/>
              </w:rPr>
            </w:pPr>
            <w:r>
              <w:rPr>
                <w:color w:val="000000"/>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A" w14:textId="5FF3D287" w:rsidR="00FF4893" w:rsidRDefault="00824420">
            <w:pPr>
              <w:pBdr>
                <w:top w:val="nil"/>
                <w:left w:val="nil"/>
                <w:bottom w:val="nil"/>
                <w:right w:val="nil"/>
                <w:between w:val="nil"/>
              </w:pBdr>
              <w:spacing w:before="120" w:after="120"/>
              <w:rPr>
                <w:color w:val="000000"/>
              </w:rPr>
            </w:pPr>
            <w:r>
              <w:rPr>
                <w:color w:val="000000"/>
              </w:rPr>
              <w:t>In development of automated predictive models for spend forecasting. Processing takes input sources to produce a new output file</w:t>
            </w:r>
          </w:p>
        </w:tc>
      </w:tr>
      <w:tr w:rsidR="00FF4893" w14:paraId="46A9C5C8"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B" w14:textId="77777777" w:rsidR="00FF4893" w:rsidRDefault="001D1A3D">
            <w:pPr>
              <w:pBdr>
                <w:top w:val="nil"/>
                <w:left w:val="nil"/>
                <w:bottom w:val="nil"/>
                <w:right w:val="nil"/>
                <w:between w:val="nil"/>
              </w:pBdr>
              <w:spacing w:before="120" w:after="120"/>
              <w:rPr>
                <w:color w:val="000000"/>
              </w:rPr>
            </w:pPr>
            <w:r>
              <w:rPr>
                <w:color w:val="000000"/>
              </w:rP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C" w14:textId="1591F24A" w:rsidR="00FF4893" w:rsidRDefault="00824420">
            <w:pPr>
              <w:pBdr>
                <w:top w:val="nil"/>
                <w:left w:val="nil"/>
                <w:bottom w:val="nil"/>
                <w:right w:val="nil"/>
                <w:between w:val="nil"/>
              </w:pBdr>
              <w:spacing w:before="120" w:after="120"/>
              <w:rPr>
                <w:color w:val="000000"/>
              </w:rPr>
            </w:pPr>
            <w:r>
              <w:rPr>
                <w:color w:val="000000"/>
              </w:rPr>
              <w:t>Business contact details</w:t>
            </w:r>
          </w:p>
        </w:tc>
      </w:tr>
      <w:tr w:rsidR="00FF4893" w14:paraId="7A1569B6"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D" w14:textId="77777777" w:rsidR="00FF4893" w:rsidRDefault="001D1A3D">
            <w:pPr>
              <w:pBdr>
                <w:top w:val="nil"/>
                <w:left w:val="nil"/>
                <w:bottom w:val="nil"/>
                <w:right w:val="nil"/>
                <w:between w:val="nil"/>
              </w:pBdr>
              <w:spacing w:before="120" w:after="120"/>
              <w:rPr>
                <w:color w:val="000000"/>
              </w:rPr>
            </w:pPr>
            <w:r>
              <w:rPr>
                <w:color w:val="000000"/>
              </w:rP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E" w14:textId="067403D7" w:rsidR="00FF4893" w:rsidRDefault="00824420">
            <w:pPr>
              <w:pBdr>
                <w:top w:val="nil"/>
                <w:left w:val="nil"/>
                <w:bottom w:val="nil"/>
                <w:right w:val="nil"/>
                <w:between w:val="nil"/>
              </w:pBdr>
              <w:spacing w:before="120" w:after="120"/>
              <w:rPr>
                <w:color w:val="000000"/>
              </w:rPr>
            </w:pPr>
            <w:r>
              <w:rPr>
                <w:color w:val="000000"/>
              </w:rPr>
              <w:t>General PII – not special category data</w:t>
            </w:r>
          </w:p>
        </w:tc>
      </w:tr>
      <w:tr w:rsidR="00FF4893" w14:paraId="22856614"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F" w14:textId="77777777" w:rsidR="00FF4893" w:rsidRDefault="001D1A3D">
            <w:pPr>
              <w:pBdr>
                <w:top w:val="nil"/>
                <w:left w:val="nil"/>
                <w:bottom w:val="nil"/>
                <w:right w:val="nil"/>
                <w:between w:val="nil"/>
              </w:pBdr>
              <w:spacing w:before="120" w:after="120"/>
              <w:rPr>
                <w:color w:val="000000"/>
              </w:rPr>
            </w:pPr>
            <w:r>
              <w:rPr>
                <w:color w:val="000000"/>
              </w:rPr>
              <w:t>Plan for return and destruction of the data once the Processing is complete</w:t>
            </w:r>
          </w:p>
          <w:p w14:paraId="00000190" w14:textId="77777777" w:rsidR="00FF4893" w:rsidRDefault="001D1A3D">
            <w:pPr>
              <w:pBdr>
                <w:top w:val="nil"/>
                <w:left w:val="nil"/>
                <w:bottom w:val="nil"/>
                <w:right w:val="nil"/>
                <w:between w:val="nil"/>
              </w:pBdr>
              <w:spacing w:before="120" w:after="120"/>
              <w:rPr>
                <w:color w:val="000000"/>
              </w:rPr>
            </w:pPr>
            <w:r>
              <w:rPr>
                <w:color w:val="000000"/>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91" w14:textId="4E5ADD41" w:rsidR="00FF4893" w:rsidRDefault="00824420">
            <w:pPr>
              <w:pBdr>
                <w:top w:val="nil"/>
                <w:left w:val="nil"/>
                <w:bottom w:val="nil"/>
                <w:right w:val="nil"/>
                <w:between w:val="nil"/>
              </w:pBdr>
              <w:spacing w:before="120" w:after="120"/>
              <w:rPr>
                <w:color w:val="000000"/>
              </w:rPr>
            </w:pPr>
            <w:r>
              <w:rPr>
                <w:color w:val="000000"/>
              </w:rPr>
              <w:t>Data will not be transferred during work only accessed on CCS systems</w:t>
            </w:r>
          </w:p>
        </w:tc>
      </w:tr>
    </w:tbl>
    <w:p w14:paraId="00000192" w14:textId="77777777" w:rsidR="00FF4893" w:rsidRDefault="00FF4893">
      <w:pPr>
        <w:pBdr>
          <w:top w:val="nil"/>
          <w:left w:val="nil"/>
          <w:bottom w:val="nil"/>
          <w:right w:val="nil"/>
          <w:between w:val="nil"/>
        </w:pBdr>
        <w:tabs>
          <w:tab w:val="right" w:pos="9026"/>
        </w:tabs>
        <w:spacing w:before="120" w:after="120"/>
        <w:rPr>
          <w:color w:val="000000"/>
        </w:rPr>
      </w:pPr>
    </w:p>
    <w:sectPr w:rsidR="00FF4893">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6AD8" w14:textId="77777777" w:rsidR="00B33CD8" w:rsidRDefault="00B33CD8">
      <w:r>
        <w:separator/>
      </w:r>
    </w:p>
  </w:endnote>
  <w:endnote w:type="continuationSeparator" w:id="0">
    <w:p w14:paraId="5207340D" w14:textId="77777777" w:rsidR="00B33CD8" w:rsidRDefault="00B3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94" w14:textId="74DA7915" w:rsidR="00FF4893" w:rsidRDefault="001D1A3D">
    <w:pPr>
      <w:pBdr>
        <w:top w:val="nil"/>
        <w:left w:val="nil"/>
        <w:bottom w:val="nil"/>
        <w:right w:val="nil"/>
        <w:between w:val="nil"/>
      </w:pBdr>
      <w:tabs>
        <w:tab w:val="center" w:pos="4870"/>
        <w:tab w:val="right" w:pos="9383"/>
      </w:tabs>
      <w:ind w:left="357"/>
      <w:jc w:val="right"/>
      <w:rPr>
        <w:color w:val="000000"/>
      </w:rPr>
    </w:pPr>
    <w:r>
      <w:rPr>
        <w:color w:val="000000"/>
      </w:rPr>
      <w:fldChar w:fldCharType="begin"/>
    </w:r>
    <w:r>
      <w:rPr>
        <w:color w:val="000000"/>
      </w:rPr>
      <w:instrText>PAGE</w:instrText>
    </w:r>
    <w:r>
      <w:rPr>
        <w:color w:val="000000"/>
      </w:rPr>
      <w:fldChar w:fldCharType="separate"/>
    </w:r>
    <w:r w:rsidR="00A110FC">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ACC45" w14:textId="77777777" w:rsidR="00B33CD8" w:rsidRDefault="00B33CD8">
      <w:r>
        <w:separator/>
      </w:r>
    </w:p>
  </w:footnote>
  <w:footnote w:type="continuationSeparator" w:id="0">
    <w:p w14:paraId="06A0BCD2" w14:textId="77777777" w:rsidR="00B33CD8" w:rsidRDefault="00B3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93" w14:textId="77777777" w:rsidR="00FF4893" w:rsidRDefault="001D1A3D">
    <w:pPr>
      <w:pBdr>
        <w:top w:val="nil"/>
        <w:left w:val="nil"/>
        <w:bottom w:val="nil"/>
        <w:right w:val="nil"/>
        <w:between w:val="nil"/>
      </w:pBdr>
      <w:tabs>
        <w:tab w:val="center" w:pos="4513"/>
        <w:tab w:val="right" w:pos="9026"/>
      </w:tabs>
      <w:rPr>
        <w:color w:val="000000"/>
      </w:rPr>
    </w:pPr>
    <w:r>
      <w:rPr>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A5D57"/>
    <w:multiLevelType w:val="multilevel"/>
    <w:tmpl w:val="3418032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A91F68"/>
    <w:multiLevelType w:val="multilevel"/>
    <w:tmpl w:val="00F06B6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AF2B1A"/>
    <w:multiLevelType w:val="multilevel"/>
    <w:tmpl w:val="91B09D2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2A542316"/>
    <w:multiLevelType w:val="multilevel"/>
    <w:tmpl w:val="8FD44DB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AEA539C"/>
    <w:multiLevelType w:val="multilevel"/>
    <w:tmpl w:val="AC36287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BFD142A"/>
    <w:multiLevelType w:val="multilevel"/>
    <w:tmpl w:val="8B14EC72"/>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93"/>
    <w:rsid w:val="001B67E9"/>
    <w:rsid w:val="001D1A3D"/>
    <w:rsid w:val="003B68E3"/>
    <w:rsid w:val="003E4D66"/>
    <w:rsid w:val="00723902"/>
    <w:rsid w:val="00810267"/>
    <w:rsid w:val="00824420"/>
    <w:rsid w:val="008D7FBA"/>
    <w:rsid w:val="00A110FC"/>
    <w:rsid w:val="00B33CD8"/>
    <w:rsid w:val="00FF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0F97"/>
  <w15:docId w15:val="{D60E3ED4-0AD8-4FFB-AA0A-EF778F5B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customStyle="1" w:styleId="Standard">
    <w:name w:val="Standard"/>
    <w:pPr>
      <w:suppressAutoHyphens/>
      <w:spacing w:before="120" w:after="120"/>
      <w:ind w:left="357"/>
    </w:pPr>
    <w:rPr>
      <w:rFonts w:eastAsia="Calibri"/>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NoSpacing">
    <w:name w:val="No Spacing"/>
    <w:autoRedefine/>
    <w:pPr>
      <w:suppressAutoHyphens/>
      <w:spacing w:before="120"/>
      <w:ind w:left="792" w:hanging="432"/>
    </w:pPr>
    <w:rPr>
      <w:rFonts w:eastAsia="Calibri" w:cs="Calibri"/>
      <w:sz w:val="24"/>
      <w:szCs w:val="24"/>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49"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left="357" w:hanging="357"/>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style>
  <w:style w:type="numbering" w:customStyle="1" w:styleId="CCSListStyle">
    <w:name w:val="CCS List 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
    <w:name w:val="WWNum7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
    <w:name w:val="WWNum8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
    <w:name w:val="WWNum9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
    <w:name w:val="WWNum101"/>
    <w:basedOn w:val="NoList"/>
  </w:style>
  <w:style w:type="numbering" w:customStyle="1" w:styleId="WWNum102">
    <w:name w:val="WWNum102"/>
    <w:basedOn w:val="NoList"/>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MwFs2bmisvq4DdiLxGWdb2mSQ==">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Charlie Beresford</cp:lastModifiedBy>
  <cp:revision>3</cp:revision>
  <dcterms:created xsi:type="dcterms:W3CDTF">2022-10-26T13:23:00Z</dcterms:created>
  <dcterms:modified xsi:type="dcterms:W3CDTF">2022-10-26T13:35:00Z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