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38D53" w14:textId="7BA07029" w:rsidR="00415FB7" w:rsidRPr="001A2912" w:rsidRDefault="000B7418">
      <w:pPr>
        <w:rPr>
          <w:b/>
          <w:bCs/>
          <w:u w:val="single"/>
        </w:rPr>
      </w:pPr>
      <w:r w:rsidRPr="001A2912">
        <w:rPr>
          <w:b/>
          <w:bCs/>
          <w:u w:val="single"/>
        </w:rPr>
        <w:t xml:space="preserve">Annex </w:t>
      </w:r>
      <w:r w:rsidR="004C7806">
        <w:rPr>
          <w:b/>
          <w:bCs/>
          <w:u w:val="single"/>
        </w:rPr>
        <w:t>G</w:t>
      </w:r>
      <w:r w:rsidRPr="001A2912">
        <w:rPr>
          <w:b/>
          <w:bCs/>
          <w:u w:val="single"/>
        </w:rPr>
        <w:t>: Preliminary Design Assessment Criteria</w:t>
      </w:r>
    </w:p>
    <w:p w14:paraId="1409EEC3" w14:textId="5E5990AC" w:rsidR="00127903" w:rsidRPr="00C01659" w:rsidRDefault="000B7418" w:rsidP="6DBEE950">
      <w:pPr>
        <w:rPr>
          <w:rFonts w:ascii="Arial" w:eastAsia="Arial" w:hAnsi="Arial" w:cs="Arial"/>
        </w:rPr>
      </w:pPr>
      <w:r w:rsidRPr="00C01659">
        <w:rPr>
          <w:rFonts w:ascii="Arial" w:eastAsia="Arial" w:hAnsi="Arial" w:cs="Arial"/>
        </w:rPr>
        <w:t xml:space="preserve">This Annex presents the minimum accepted acceptance criteria for </w:t>
      </w:r>
      <w:r w:rsidR="7A56E1D2" w:rsidRPr="00C01659">
        <w:rPr>
          <w:rFonts w:ascii="Arial" w:eastAsia="Arial" w:hAnsi="Arial" w:cs="Arial"/>
        </w:rPr>
        <w:t>any</w:t>
      </w:r>
      <w:r w:rsidRPr="00C01659">
        <w:rPr>
          <w:rFonts w:ascii="Arial" w:eastAsia="Arial" w:hAnsi="Arial" w:cs="Arial"/>
        </w:rPr>
        <w:t xml:space="preserve"> Preliminary Design</w:t>
      </w:r>
      <w:r w:rsidR="3B1DD997" w:rsidRPr="00C01659">
        <w:rPr>
          <w:rFonts w:ascii="Arial" w:eastAsia="Arial" w:hAnsi="Arial" w:cs="Arial"/>
        </w:rPr>
        <w:t>(s)</w:t>
      </w:r>
      <w:r w:rsidRPr="00C01659">
        <w:rPr>
          <w:rFonts w:ascii="Arial" w:eastAsia="Arial" w:hAnsi="Arial" w:cs="Arial"/>
        </w:rPr>
        <w:t xml:space="preserve"> (PD) delivered to UKSA</w:t>
      </w:r>
      <w:r w:rsidR="00A40BED">
        <w:rPr>
          <w:rFonts w:ascii="Arial" w:eastAsia="Arial" w:hAnsi="Arial" w:cs="Arial"/>
        </w:rPr>
        <w:t>.</w:t>
      </w:r>
    </w:p>
    <w:p w14:paraId="392F77B8" w14:textId="4BBE00C1" w:rsidR="00127903" w:rsidRPr="00C01659" w:rsidRDefault="00127903" w:rsidP="6DBEE950">
      <w:pPr>
        <w:rPr>
          <w:rFonts w:ascii="Arial" w:eastAsia="Arial" w:hAnsi="Arial" w:cs="Arial"/>
        </w:rPr>
      </w:pPr>
      <w:r w:rsidRPr="00C01659">
        <w:rPr>
          <w:rFonts w:ascii="Arial" w:eastAsia="Arial" w:hAnsi="Arial" w:cs="Arial"/>
        </w:rPr>
        <w:t>The expectation is that the successful organisation will have met a PDR level of maturity who’s exit criteria meet ECSS-M-ST-10C Rev. 1</w:t>
      </w:r>
      <w:r w:rsidR="008C242F">
        <w:rPr>
          <w:rStyle w:val="FootnoteReference"/>
          <w:rFonts w:eastAsia="Times New Roman"/>
        </w:rPr>
        <w:footnoteReference w:id="2"/>
      </w:r>
      <w:r w:rsidRPr="00C01659">
        <w:rPr>
          <w:rFonts w:ascii="Arial" w:eastAsia="Arial" w:hAnsi="Arial" w:cs="Arial"/>
        </w:rPr>
        <w:t xml:space="preserve"> and this will act as a starting point to allow for further refinement</w:t>
      </w:r>
      <w:r w:rsidR="008C242F" w:rsidRPr="00C01659">
        <w:rPr>
          <w:rFonts w:ascii="Arial" w:eastAsia="Arial" w:hAnsi="Arial" w:cs="Arial"/>
        </w:rPr>
        <w:t xml:space="preserve"> during this project. </w:t>
      </w:r>
    </w:p>
    <w:p w14:paraId="459E6F7A" w14:textId="1985279F" w:rsidR="000B7418" w:rsidRDefault="00680BD3" w:rsidP="000B7418">
      <w:pPr>
        <w:keepNext/>
        <w:keepLines/>
        <w:widowControl w:val="0"/>
        <w:numPr>
          <w:ilvl w:val="1"/>
          <w:numId w:val="19"/>
        </w:numPr>
        <w:tabs>
          <w:tab w:val="left" w:pos="1134"/>
        </w:tabs>
        <w:spacing w:before="40" w:after="0"/>
        <w:outlineLvl w:val="2"/>
        <w:rPr>
          <w:rFonts w:ascii="Arial" w:eastAsia="Arial" w:hAnsi="Arial" w:cs="Arial"/>
          <w:b/>
          <w:bCs/>
          <w:color w:val="000000"/>
          <w:kern w:val="0"/>
          <w:sz w:val="28"/>
          <w:szCs w:val="28"/>
          <w14:ligatures w14:val="none"/>
        </w:rPr>
      </w:pPr>
      <w:bookmarkStart w:id="0" w:name="_Ref165449832"/>
      <w:r w:rsidRPr="00680BD3">
        <w:rPr>
          <w:b/>
          <w:bCs/>
          <w:sz w:val="24"/>
          <w:szCs w:val="24"/>
        </w:rPr>
        <w:t>Review Objectives</w:t>
      </w:r>
      <w:bookmarkEnd w:id="0"/>
    </w:p>
    <w:p w14:paraId="55C6C84B" w14:textId="77777777" w:rsidR="00874AE9" w:rsidRPr="005E0239" w:rsidRDefault="00874AE9" w:rsidP="00874AE9">
      <w:pPr>
        <w:keepNext/>
        <w:keepLines/>
        <w:widowControl w:val="0"/>
        <w:tabs>
          <w:tab w:val="left" w:pos="1134"/>
        </w:tabs>
        <w:spacing w:before="40" w:after="0"/>
        <w:outlineLvl w:val="2"/>
        <w:rPr>
          <w:rFonts w:ascii="Arial" w:eastAsia="Arial" w:hAnsi="Arial" w:cs="Arial"/>
          <w:b/>
          <w:bCs/>
          <w:color w:val="000000"/>
          <w:kern w:val="0"/>
          <w:sz w:val="28"/>
          <w:szCs w:val="28"/>
          <w14:ligatures w14:val="none"/>
        </w:rPr>
      </w:pPr>
    </w:p>
    <w:p w14:paraId="24AFFE12" w14:textId="57A7128B" w:rsidR="00AB079F" w:rsidRPr="005E0239" w:rsidRDefault="000B7418" w:rsidP="000B7418">
      <w:pPr>
        <w:rPr>
          <w:rFonts w:ascii="Arial" w:hAnsi="Arial" w:cs="Arial"/>
        </w:rPr>
      </w:pPr>
      <w:r w:rsidRPr="005E0239">
        <w:rPr>
          <w:rFonts w:ascii="Arial" w:hAnsi="Arial" w:cs="Arial"/>
        </w:rPr>
        <w:t xml:space="preserve">The objectives listed below are the fundamental assessment criteria for the PD review. </w:t>
      </w:r>
      <w:r w:rsidR="00AB079F" w:rsidRPr="005E0239">
        <w:rPr>
          <w:rFonts w:ascii="Arial" w:hAnsi="Arial" w:cs="Arial"/>
        </w:rPr>
        <w:t xml:space="preserve">Applicants </w:t>
      </w:r>
      <w:r w:rsidR="00990E5F" w:rsidRPr="005E0239">
        <w:rPr>
          <w:rFonts w:ascii="Arial" w:hAnsi="Arial" w:cs="Arial"/>
        </w:rPr>
        <w:t xml:space="preserve">must be able to demonstrate achievement of all review objectives to achieve a minimally credible PD submission. </w:t>
      </w:r>
      <w:r w:rsidR="00732965">
        <w:rPr>
          <w:rFonts w:ascii="Arial" w:hAnsi="Arial" w:cs="Arial"/>
        </w:rPr>
        <w:t xml:space="preserve">Compliance to these objectives will underpin </w:t>
      </w:r>
      <w:r w:rsidR="00573210">
        <w:rPr>
          <w:rFonts w:ascii="Arial" w:hAnsi="Arial" w:cs="Arial"/>
        </w:rPr>
        <w:t xml:space="preserve">technical assessment of the supplied datapack. </w:t>
      </w:r>
    </w:p>
    <w:p w14:paraId="057086EF" w14:textId="1D88B239" w:rsidR="00BE0F24" w:rsidRPr="00C01659" w:rsidRDefault="00BE0F24" w:rsidP="6DBEE950">
      <w:pPr>
        <w:pStyle w:val="ListParagraph"/>
        <w:numPr>
          <w:ilvl w:val="0"/>
          <w:numId w:val="16"/>
        </w:numPr>
        <w:rPr>
          <w:rFonts w:ascii="Arial" w:eastAsia="Arial" w:hAnsi="Arial" w:cs="Arial"/>
        </w:rPr>
      </w:pPr>
      <w:r w:rsidRPr="6DBEE950">
        <w:rPr>
          <w:rFonts w:ascii="Arial" w:hAnsi="Arial" w:cs="Arial"/>
        </w:rPr>
        <w:t>D</w:t>
      </w:r>
      <w:r w:rsidRPr="00C01659">
        <w:rPr>
          <w:rFonts w:ascii="Arial" w:eastAsia="Arial" w:hAnsi="Arial" w:cs="Arial"/>
        </w:rPr>
        <w:t>emonstrate that the predicted performances of the design at all levels are compliant to UKSA's requirements for all mission phases.</w:t>
      </w:r>
      <w:r w:rsidR="002B10AB" w:rsidRPr="00C01659">
        <w:rPr>
          <w:rFonts w:ascii="Arial" w:eastAsia="Arial" w:hAnsi="Arial" w:cs="Arial"/>
        </w:rPr>
        <w:t xml:space="preserve"> </w:t>
      </w:r>
      <w:r w:rsidR="004D336A" w:rsidRPr="00C01659">
        <w:rPr>
          <w:rFonts w:ascii="Arial" w:eastAsia="Arial" w:hAnsi="Arial" w:cs="Arial"/>
        </w:rPr>
        <w:t>Any non-compliance with these requirements shall be highlighted</w:t>
      </w:r>
      <w:r w:rsidR="00AE61EE" w:rsidRPr="00C01659">
        <w:rPr>
          <w:rFonts w:ascii="Arial" w:eastAsia="Arial" w:hAnsi="Arial" w:cs="Arial"/>
        </w:rPr>
        <w:t xml:space="preserve">, with an assessment of the </w:t>
      </w:r>
      <w:r w:rsidR="00996848" w:rsidRPr="00C01659">
        <w:rPr>
          <w:rFonts w:ascii="Arial" w:eastAsia="Arial" w:hAnsi="Arial" w:cs="Arial"/>
        </w:rPr>
        <w:t>impact of said non-compliance</w:t>
      </w:r>
      <w:r w:rsidR="004D336A" w:rsidRPr="00C01659">
        <w:rPr>
          <w:rFonts w:ascii="Arial" w:eastAsia="Arial" w:hAnsi="Arial" w:cs="Arial"/>
        </w:rPr>
        <w:t>. The severity and implications of the non-compliance shall be consideration in the evaluation of the proposal.   </w:t>
      </w:r>
    </w:p>
    <w:p w14:paraId="2163EB6A" w14:textId="25B5BEB8" w:rsidR="000B7418" w:rsidRPr="005E0239" w:rsidRDefault="000B7418" w:rsidP="001A2912">
      <w:pPr>
        <w:pStyle w:val="ListParagraph"/>
        <w:numPr>
          <w:ilvl w:val="0"/>
          <w:numId w:val="16"/>
        </w:numPr>
        <w:rPr>
          <w:rFonts w:ascii="Arial" w:hAnsi="Arial" w:cs="Arial"/>
        </w:rPr>
      </w:pPr>
      <w:r w:rsidRPr="00C01659">
        <w:rPr>
          <w:rFonts w:ascii="Arial" w:eastAsia="Arial" w:hAnsi="Arial" w:cs="Arial"/>
        </w:rPr>
        <w:t xml:space="preserve">Confirm the adequacy of the preliminary design down to subsystem </w:t>
      </w:r>
      <w:r w:rsidR="001A2912" w:rsidRPr="00C01659">
        <w:rPr>
          <w:rFonts w:ascii="Arial" w:eastAsia="Arial" w:hAnsi="Arial" w:cs="Arial"/>
        </w:rPr>
        <w:t xml:space="preserve">level, </w:t>
      </w:r>
      <w:r w:rsidR="0078339F" w:rsidRPr="00C01659">
        <w:rPr>
          <w:rFonts w:ascii="Arial" w:eastAsia="Arial" w:hAnsi="Arial" w:cs="Arial"/>
        </w:rPr>
        <w:t>demonstrating</w:t>
      </w:r>
      <w:r w:rsidR="001A2912" w:rsidRPr="00C01659">
        <w:rPr>
          <w:rFonts w:ascii="Arial" w:eastAsia="Arial" w:hAnsi="Arial" w:cs="Arial"/>
        </w:rPr>
        <w:t xml:space="preserve"> </w:t>
      </w:r>
      <w:r w:rsidRPr="00C01659">
        <w:rPr>
          <w:rFonts w:ascii="Arial" w:eastAsia="Arial" w:hAnsi="Arial" w:cs="Arial"/>
        </w:rPr>
        <w:t>that the maturity required to move into Pha</w:t>
      </w:r>
      <w:r w:rsidRPr="6DBEE950">
        <w:rPr>
          <w:rFonts w:ascii="Arial" w:hAnsi="Arial" w:cs="Arial"/>
        </w:rPr>
        <w:t>se C has been achieved</w:t>
      </w:r>
      <w:r w:rsidR="001A2912" w:rsidRPr="6DBEE950">
        <w:rPr>
          <w:rFonts w:ascii="Arial" w:hAnsi="Arial" w:cs="Arial"/>
        </w:rPr>
        <w:t>, including consideration of design to an equipment level</w:t>
      </w:r>
      <w:r w:rsidRPr="6DBEE950">
        <w:rPr>
          <w:rFonts w:ascii="Arial" w:hAnsi="Arial" w:cs="Arial"/>
        </w:rPr>
        <w:t xml:space="preserve">.  </w:t>
      </w:r>
    </w:p>
    <w:p w14:paraId="46E46963" w14:textId="49FDDD1D" w:rsidR="000B7418" w:rsidRPr="005E0239" w:rsidRDefault="000B7418" w:rsidP="001A2912">
      <w:pPr>
        <w:pStyle w:val="ListParagraph"/>
        <w:numPr>
          <w:ilvl w:val="0"/>
          <w:numId w:val="16"/>
        </w:numPr>
        <w:rPr>
          <w:rFonts w:ascii="Arial" w:hAnsi="Arial" w:cs="Arial"/>
        </w:rPr>
      </w:pPr>
      <w:r w:rsidRPr="005E0239">
        <w:rPr>
          <w:rFonts w:ascii="Arial" w:hAnsi="Arial" w:cs="Arial"/>
        </w:rPr>
        <w:t xml:space="preserve">Verify the completeness, </w:t>
      </w:r>
      <w:proofErr w:type="gramStart"/>
      <w:r w:rsidRPr="005E0239">
        <w:rPr>
          <w:rFonts w:ascii="Arial" w:hAnsi="Arial" w:cs="Arial"/>
        </w:rPr>
        <w:t>adequacy</w:t>
      </w:r>
      <w:proofErr w:type="gramEnd"/>
      <w:r w:rsidRPr="005E0239">
        <w:rPr>
          <w:rFonts w:ascii="Arial" w:hAnsi="Arial" w:cs="Arial"/>
        </w:rPr>
        <w:t xml:space="preserve"> and consistency of </w:t>
      </w:r>
      <w:r w:rsidR="0024686B" w:rsidRPr="005E0239">
        <w:rPr>
          <w:rFonts w:ascii="Arial" w:hAnsi="Arial" w:cs="Arial"/>
        </w:rPr>
        <w:t>mission</w:t>
      </w:r>
      <w:r w:rsidRPr="005E0239">
        <w:rPr>
          <w:rFonts w:ascii="Arial" w:hAnsi="Arial" w:cs="Arial"/>
        </w:rPr>
        <w:t xml:space="preserve"> plans (</w:t>
      </w:r>
      <w:r w:rsidR="001A2912" w:rsidRPr="005E0239">
        <w:rPr>
          <w:rFonts w:ascii="Arial" w:hAnsi="Arial" w:cs="Arial"/>
        </w:rPr>
        <w:t xml:space="preserve">including </w:t>
      </w:r>
      <w:r w:rsidRPr="005E0239">
        <w:rPr>
          <w:rFonts w:ascii="Arial" w:hAnsi="Arial" w:cs="Arial"/>
        </w:rPr>
        <w:t xml:space="preserve">Design Development and Verification Plan, Product Assurance Plan, Risk Management Plan), and in consistency with the project schedule.  </w:t>
      </w:r>
    </w:p>
    <w:p w14:paraId="3488180F" w14:textId="083F555A" w:rsidR="000B7418" w:rsidRPr="005E0239" w:rsidRDefault="0024686B" w:rsidP="001A2912">
      <w:pPr>
        <w:pStyle w:val="ListParagraph"/>
        <w:numPr>
          <w:ilvl w:val="0"/>
          <w:numId w:val="16"/>
        </w:numPr>
        <w:rPr>
          <w:rFonts w:ascii="Arial" w:hAnsi="Arial" w:cs="Arial"/>
        </w:rPr>
      </w:pPr>
      <w:r w:rsidRPr="005E0239">
        <w:rPr>
          <w:rFonts w:ascii="Arial" w:hAnsi="Arial" w:cs="Arial"/>
        </w:rPr>
        <w:t xml:space="preserve">Deliver </w:t>
      </w:r>
      <w:r w:rsidR="000B7418" w:rsidRPr="005E0239">
        <w:rPr>
          <w:rFonts w:ascii="Arial" w:hAnsi="Arial" w:cs="Arial"/>
        </w:rPr>
        <w:t xml:space="preserve">Design, Development and Validation Plan, including model philosophy and verification approach at all levels, </w:t>
      </w:r>
      <w:r w:rsidR="001A62EC" w:rsidRPr="005E0239">
        <w:rPr>
          <w:rFonts w:ascii="Arial" w:hAnsi="Arial" w:cs="Arial"/>
        </w:rPr>
        <w:t xml:space="preserve">and identify </w:t>
      </w:r>
      <w:r w:rsidR="000B7418" w:rsidRPr="005E0239">
        <w:rPr>
          <w:rFonts w:ascii="Arial" w:hAnsi="Arial" w:cs="Arial"/>
        </w:rPr>
        <w:t xml:space="preserve">GSE and test equipment requirements and test facilities.  </w:t>
      </w:r>
    </w:p>
    <w:p w14:paraId="4A28403B" w14:textId="527C1E9D" w:rsidR="000B7418" w:rsidRPr="005E0239" w:rsidRDefault="000B7418" w:rsidP="001A2912">
      <w:pPr>
        <w:pStyle w:val="ListParagraph"/>
        <w:numPr>
          <w:ilvl w:val="0"/>
          <w:numId w:val="16"/>
        </w:numPr>
        <w:rPr>
          <w:rFonts w:ascii="Arial" w:hAnsi="Arial" w:cs="Arial"/>
        </w:rPr>
      </w:pPr>
      <w:r w:rsidRPr="005E0239">
        <w:rPr>
          <w:rFonts w:ascii="Arial" w:hAnsi="Arial" w:cs="Arial"/>
        </w:rPr>
        <w:t>Verify the completeness and adequacy of the Product Assurance and safety documentation, including the Critical Item List (</w:t>
      </w:r>
      <w:r w:rsidR="001360B7">
        <w:rPr>
          <w:rFonts w:ascii="Arial" w:hAnsi="Arial" w:cs="Arial"/>
        </w:rPr>
        <w:t xml:space="preserve">which may be delivered as part </w:t>
      </w:r>
      <w:r w:rsidRPr="005E0239">
        <w:rPr>
          <w:rFonts w:ascii="Arial" w:hAnsi="Arial" w:cs="Arial"/>
        </w:rPr>
        <w:t xml:space="preserve">of the risk register) and the Qualification Status List.  </w:t>
      </w:r>
    </w:p>
    <w:p w14:paraId="5D9CBF22" w14:textId="76AE8263" w:rsidR="000B7418" w:rsidRPr="005E0239" w:rsidRDefault="000B7418" w:rsidP="001A2912">
      <w:pPr>
        <w:pStyle w:val="ListParagraph"/>
        <w:numPr>
          <w:ilvl w:val="0"/>
          <w:numId w:val="16"/>
        </w:numPr>
        <w:rPr>
          <w:rFonts w:ascii="Arial" w:hAnsi="Arial" w:cs="Arial"/>
        </w:rPr>
      </w:pPr>
      <w:r w:rsidRPr="005E0239">
        <w:rPr>
          <w:rFonts w:ascii="Arial" w:hAnsi="Arial" w:cs="Arial"/>
        </w:rPr>
        <w:t xml:space="preserve">Verify the completeness of the risk register and that adequate mitigation actions are in place.  </w:t>
      </w:r>
    </w:p>
    <w:p w14:paraId="542CCF63" w14:textId="1FCD12CB" w:rsidR="000B7418" w:rsidRPr="005E0239" w:rsidRDefault="000B7418" w:rsidP="001A2912">
      <w:pPr>
        <w:pStyle w:val="ListParagraph"/>
        <w:numPr>
          <w:ilvl w:val="0"/>
          <w:numId w:val="16"/>
        </w:numPr>
        <w:rPr>
          <w:rFonts w:ascii="Arial" w:hAnsi="Arial" w:cs="Arial"/>
        </w:rPr>
      </w:pPr>
      <w:r w:rsidRPr="005E0239">
        <w:rPr>
          <w:rFonts w:ascii="Arial" w:hAnsi="Arial" w:cs="Arial"/>
        </w:rPr>
        <w:t xml:space="preserve">Verify the adequacy of the performances and resources allocated in the consolidated technical budgets (mass, power, etc).  </w:t>
      </w:r>
    </w:p>
    <w:p w14:paraId="2D9D45DA" w14:textId="1956AEEB" w:rsidR="000B7418" w:rsidRPr="005E0239" w:rsidRDefault="000B7418" w:rsidP="001A2912">
      <w:pPr>
        <w:pStyle w:val="ListParagraph"/>
        <w:numPr>
          <w:ilvl w:val="0"/>
          <w:numId w:val="16"/>
        </w:numPr>
        <w:rPr>
          <w:rFonts w:ascii="Arial" w:hAnsi="Arial" w:cs="Arial"/>
        </w:rPr>
      </w:pPr>
      <w:r w:rsidRPr="005E0239">
        <w:rPr>
          <w:rFonts w:ascii="Arial" w:hAnsi="Arial" w:cs="Arial"/>
        </w:rPr>
        <w:t xml:space="preserve">Confirm the compatibility of the servicer with the baseline and proposed backup launchers.  </w:t>
      </w:r>
    </w:p>
    <w:p w14:paraId="2473E0ED" w14:textId="3DD109F5" w:rsidR="000B7418" w:rsidRPr="005E0239" w:rsidRDefault="000B7418" w:rsidP="001A2912">
      <w:pPr>
        <w:pStyle w:val="ListParagraph"/>
        <w:numPr>
          <w:ilvl w:val="0"/>
          <w:numId w:val="16"/>
        </w:numPr>
        <w:rPr>
          <w:rFonts w:ascii="Arial" w:hAnsi="Arial" w:cs="Arial"/>
        </w:rPr>
      </w:pPr>
      <w:r w:rsidRPr="005E0239">
        <w:rPr>
          <w:rFonts w:ascii="Arial" w:hAnsi="Arial" w:cs="Arial"/>
        </w:rPr>
        <w:t>Verify that all internal</w:t>
      </w:r>
      <w:r w:rsidR="001A2912" w:rsidRPr="005E0239">
        <w:rPr>
          <w:rFonts w:ascii="Arial" w:hAnsi="Arial" w:cs="Arial"/>
        </w:rPr>
        <w:t xml:space="preserve"> </w:t>
      </w:r>
      <w:r w:rsidRPr="005E0239">
        <w:rPr>
          <w:rFonts w:ascii="Arial" w:hAnsi="Arial" w:cs="Arial"/>
        </w:rPr>
        <w:t xml:space="preserve">and external interfaces are consolidated and shown to be compatible.  </w:t>
      </w:r>
    </w:p>
    <w:p w14:paraId="710E9E58" w14:textId="513CEF51" w:rsidR="000B7418" w:rsidRPr="005E0239" w:rsidRDefault="000B7418" w:rsidP="001A2912">
      <w:pPr>
        <w:pStyle w:val="ListParagraph"/>
        <w:numPr>
          <w:ilvl w:val="0"/>
          <w:numId w:val="16"/>
        </w:numPr>
        <w:rPr>
          <w:rFonts w:ascii="Arial" w:hAnsi="Arial" w:cs="Arial"/>
        </w:rPr>
      </w:pPr>
      <w:r w:rsidRPr="005E0239">
        <w:rPr>
          <w:rFonts w:ascii="Arial" w:hAnsi="Arial" w:cs="Arial"/>
        </w:rPr>
        <w:t xml:space="preserve">Verify that all identified critical technologies and associated development plans are compatible with the mission schedule, with clearly identified TRL levels.  </w:t>
      </w:r>
    </w:p>
    <w:p w14:paraId="4780AB9C" w14:textId="29B5E120" w:rsidR="000B7418" w:rsidRPr="005E0239" w:rsidRDefault="000B7418" w:rsidP="001A2912">
      <w:pPr>
        <w:pStyle w:val="ListParagraph"/>
        <w:numPr>
          <w:ilvl w:val="0"/>
          <w:numId w:val="16"/>
        </w:numPr>
        <w:rPr>
          <w:rFonts w:ascii="Arial" w:hAnsi="Arial" w:cs="Arial"/>
        </w:rPr>
      </w:pPr>
      <w:r w:rsidRPr="005E0239">
        <w:rPr>
          <w:rFonts w:ascii="Arial" w:hAnsi="Arial" w:cs="Arial"/>
        </w:rPr>
        <w:t xml:space="preserve">Verify the adequacy of the project implementation planning resulting in a consolidated project schedule (Gantt Chart) with clearly identification of the Long Lead Items, key procurements, including software developments, with indication of the critical path and credible with the target launch date presented.  </w:t>
      </w:r>
    </w:p>
    <w:p w14:paraId="116C8E45" w14:textId="72F657A9" w:rsidR="000B7418" w:rsidRPr="005E0239" w:rsidRDefault="000B7418" w:rsidP="001A2912">
      <w:pPr>
        <w:pStyle w:val="ListParagraph"/>
        <w:numPr>
          <w:ilvl w:val="0"/>
          <w:numId w:val="16"/>
        </w:numPr>
        <w:rPr>
          <w:rFonts w:ascii="Arial" w:hAnsi="Arial" w:cs="Arial"/>
        </w:rPr>
      </w:pPr>
      <w:r w:rsidRPr="005E0239">
        <w:rPr>
          <w:rFonts w:ascii="Arial" w:hAnsi="Arial" w:cs="Arial"/>
        </w:rPr>
        <w:t xml:space="preserve">Verify the completeness and adequacy of the preparation activities for supporting the Satellite and Payload Operations.  </w:t>
      </w:r>
    </w:p>
    <w:p w14:paraId="4F9E46AA" w14:textId="17025DFC" w:rsidR="000B7418" w:rsidRPr="005E0239" w:rsidRDefault="000B7418" w:rsidP="000B7418">
      <w:pPr>
        <w:pStyle w:val="ListParagraph"/>
        <w:numPr>
          <w:ilvl w:val="0"/>
          <w:numId w:val="16"/>
        </w:numPr>
        <w:rPr>
          <w:rFonts w:ascii="Arial" w:hAnsi="Arial" w:cs="Arial"/>
        </w:rPr>
      </w:pPr>
      <w:r w:rsidRPr="005E0239">
        <w:rPr>
          <w:rFonts w:ascii="Arial" w:hAnsi="Arial" w:cs="Arial"/>
        </w:rPr>
        <w:lastRenderedPageBreak/>
        <w:t xml:space="preserve">Verify the completeness and adequacy of the Space Debris Mitigation and Disposal Plan. </w:t>
      </w:r>
    </w:p>
    <w:p w14:paraId="4AEEB20C" w14:textId="04EDE759" w:rsidR="000B7418" w:rsidRPr="005E0239" w:rsidRDefault="005E0239" w:rsidP="000B7418">
      <w:pPr>
        <w:rPr>
          <w:rFonts w:ascii="Arial" w:hAnsi="Arial" w:cs="Arial"/>
          <w:sz w:val="18"/>
          <w:szCs w:val="18"/>
        </w:rPr>
      </w:pPr>
      <w:r w:rsidRPr="005E0239">
        <w:rPr>
          <w:rFonts w:ascii="Arial" w:hAnsi="Arial" w:cs="Arial"/>
        </w:rPr>
        <w:t>Per standard accepted engineering definitions, a</w:t>
      </w:r>
      <w:r w:rsidR="000B7418" w:rsidRPr="005E0239">
        <w:rPr>
          <w:rFonts w:ascii="Arial" w:hAnsi="Arial" w:cs="Arial"/>
        </w:rPr>
        <w:t xml:space="preserve"> system’s PD</w:t>
      </w:r>
      <w:r w:rsidR="00CB47EB">
        <w:rPr>
          <w:rFonts w:ascii="Arial" w:hAnsi="Arial" w:cs="Arial"/>
        </w:rPr>
        <w:t xml:space="preserve"> </w:t>
      </w:r>
      <w:r w:rsidR="00892468">
        <w:rPr>
          <w:rFonts w:ascii="Arial" w:hAnsi="Arial" w:cs="Arial"/>
        </w:rPr>
        <w:t>submission</w:t>
      </w:r>
      <w:r w:rsidR="000B7418" w:rsidRPr="005E0239">
        <w:rPr>
          <w:rFonts w:ascii="Arial" w:hAnsi="Arial" w:cs="Arial"/>
        </w:rPr>
        <w:t xml:space="preserve"> </w:t>
      </w:r>
      <w:r w:rsidR="000B7418" w:rsidRPr="005E0239">
        <w:rPr>
          <w:rStyle w:val="normaltextrun"/>
          <w:rFonts w:ascii="Arial" w:eastAsiaTheme="majorEastAsia" w:hAnsi="Arial" w:cs="Arial"/>
          <w:kern w:val="0"/>
          <w:lang w:eastAsia="en-GB"/>
          <w14:ligatures w14:val="none"/>
        </w:rPr>
        <w:t xml:space="preserve">must </w:t>
      </w:r>
      <w:r w:rsidR="000B7418" w:rsidRPr="005E0239">
        <w:rPr>
          <w:rStyle w:val="normaltextrun"/>
          <w:rFonts w:ascii="Arial" w:hAnsi="Arial" w:cs="Arial"/>
        </w:rPr>
        <w:t>encompass the entire mission and system perimeter (i.e. ground, launch and space segments, including all payloads, ancillary equipment, GSE, prototypes, operations). </w:t>
      </w:r>
      <w:r w:rsidR="000B7418" w:rsidRPr="005E0239">
        <w:rPr>
          <w:rStyle w:val="eop"/>
          <w:rFonts w:ascii="Arial" w:hAnsi="Arial" w:cs="Arial"/>
        </w:rPr>
        <w:t> </w:t>
      </w:r>
    </w:p>
    <w:p w14:paraId="442BBE22" w14:textId="77777777" w:rsidR="00276E4D" w:rsidRDefault="00276E4D" w:rsidP="000B7418"/>
    <w:p w14:paraId="0B15EDC5" w14:textId="77777777" w:rsidR="00251B60" w:rsidRDefault="00374CA5" w:rsidP="00251B60">
      <w:pPr>
        <w:keepNext/>
        <w:keepLines/>
        <w:widowControl w:val="0"/>
        <w:numPr>
          <w:ilvl w:val="1"/>
          <w:numId w:val="19"/>
        </w:numPr>
        <w:tabs>
          <w:tab w:val="left" w:pos="1134"/>
        </w:tabs>
        <w:spacing w:before="40" w:after="0"/>
        <w:outlineLvl w:val="2"/>
        <w:rPr>
          <w:rFonts w:ascii="Arial" w:eastAsia="Arial" w:hAnsi="Arial" w:cs="Arial"/>
          <w:b/>
          <w:bCs/>
          <w:color w:val="000000"/>
          <w:kern w:val="0"/>
          <w:sz w:val="28"/>
          <w:szCs w:val="28"/>
          <w14:ligatures w14:val="none"/>
        </w:rPr>
      </w:pPr>
      <w:r w:rsidRPr="00874AE9">
        <w:rPr>
          <w:b/>
          <w:bCs/>
          <w:sz w:val="24"/>
          <w:szCs w:val="24"/>
        </w:rPr>
        <w:t>Preliminary Design Documentation</w:t>
      </w:r>
    </w:p>
    <w:p w14:paraId="443DD216" w14:textId="77777777" w:rsidR="00251B60" w:rsidRDefault="00251B60" w:rsidP="00251B60">
      <w:pPr>
        <w:keepNext/>
        <w:keepLines/>
        <w:widowControl w:val="0"/>
        <w:tabs>
          <w:tab w:val="left" w:pos="1134"/>
        </w:tabs>
        <w:spacing w:before="40" w:after="0"/>
        <w:outlineLvl w:val="2"/>
        <w:rPr>
          <w:rFonts w:ascii="Arial" w:eastAsia="Arial" w:hAnsi="Arial" w:cs="Arial"/>
          <w:b/>
          <w:bCs/>
          <w:color w:val="000000"/>
          <w:kern w:val="0"/>
          <w:sz w:val="28"/>
          <w:szCs w:val="28"/>
          <w14:ligatures w14:val="none"/>
        </w:rPr>
      </w:pPr>
    </w:p>
    <w:p w14:paraId="33113ADA" w14:textId="7E3F9C9A" w:rsidR="00251B60" w:rsidRDefault="00251B60" w:rsidP="00251B60">
      <w:pPr>
        <w:keepNext/>
        <w:keepLines/>
        <w:widowControl w:val="0"/>
        <w:tabs>
          <w:tab w:val="left" w:pos="1134"/>
        </w:tabs>
        <w:spacing w:before="40" w:after="0"/>
        <w:outlineLvl w:val="2"/>
        <w:rPr>
          <w:rStyle w:val="normaltextrun"/>
          <w:rFonts w:ascii="Arial" w:hAnsi="Arial" w:cs="Arial"/>
        </w:rPr>
      </w:pPr>
      <w:r w:rsidRPr="00251B60">
        <w:rPr>
          <w:rStyle w:val="normaltextrun"/>
          <w:rFonts w:ascii="Arial" w:hAnsi="Arial" w:cs="Arial"/>
        </w:rPr>
        <w:t xml:space="preserve">As stated in </w:t>
      </w:r>
      <w:r w:rsidR="009E3F4E">
        <w:rPr>
          <w:rStyle w:val="normaltextrun"/>
          <w:rFonts w:ascii="Arial" w:hAnsi="Arial" w:cs="Arial"/>
        </w:rPr>
        <w:t xml:space="preserve">the Project Specification, the following documents </w:t>
      </w:r>
      <w:r w:rsidR="00AC284A">
        <w:rPr>
          <w:rStyle w:val="normaltextrun"/>
          <w:rFonts w:ascii="Arial" w:hAnsi="Arial" w:cs="Arial"/>
        </w:rPr>
        <w:t xml:space="preserve">should be delivered as part of the PD datapack. </w:t>
      </w:r>
    </w:p>
    <w:p w14:paraId="2759CC39" w14:textId="77777777" w:rsidR="0004326A" w:rsidRDefault="0004326A" w:rsidP="00251B60">
      <w:pPr>
        <w:keepNext/>
        <w:keepLines/>
        <w:widowControl w:val="0"/>
        <w:tabs>
          <w:tab w:val="left" w:pos="1134"/>
        </w:tabs>
        <w:spacing w:before="40" w:after="0"/>
        <w:outlineLvl w:val="2"/>
        <w:rPr>
          <w:rStyle w:val="normaltextrun"/>
          <w:rFonts w:ascii="Arial" w:hAnsi="Arial" w:cs="Arial"/>
        </w:rPr>
      </w:pPr>
    </w:p>
    <w:p w14:paraId="00E84E8C" w14:textId="4C3C1E96" w:rsidR="0004326A" w:rsidRDefault="0004326A" w:rsidP="00251B60">
      <w:pPr>
        <w:keepNext/>
        <w:keepLines/>
        <w:widowControl w:val="0"/>
        <w:tabs>
          <w:tab w:val="left" w:pos="1134"/>
        </w:tabs>
        <w:spacing w:before="40" w:after="0"/>
        <w:outlineLvl w:val="2"/>
        <w:rPr>
          <w:rStyle w:val="normaltextrun"/>
          <w:rFonts w:ascii="Arial" w:hAnsi="Arial" w:cs="Arial"/>
        </w:rPr>
      </w:pPr>
      <w:r w:rsidRPr="7094A283">
        <w:rPr>
          <w:rStyle w:val="normaltextrun"/>
          <w:rFonts w:ascii="Arial" w:hAnsi="Arial" w:cs="Arial"/>
        </w:rPr>
        <w:t>Applicants may use ECSS as a basis for understanding</w:t>
      </w:r>
      <w:r w:rsidR="00773356" w:rsidRPr="7094A283">
        <w:rPr>
          <w:rStyle w:val="normaltextrun"/>
          <w:rFonts w:ascii="Arial" w:hAnsi="Arial" w:cs="Arial"/>
        </w:rPr>
        <w:t xml:space="preserve"> of quality expectations and</w:t>
      </w:r>
      <w:r w:rsidRPr="7094A283">
        <w:rPr>
          <w:rStyle w:val="normaltextrun"/>
          <w:rFonts w:ascii="Arial" w:hAnsi="Arial" w:cs="Arial"/>
        </w:rPr>
        <w:t xml:space="preserve"> requirements of each document listed below, however UKSA do not mandate compliance to ECSS for technical delivery.</w:t>
      </w:r>
    </w:p>
    <w:p w14:paraId="0AAF795F" w14:textId="77777777" w:rsidR="00DA2575" w:rsidRDefault="00DA2575" w:rsidP="00251B60">
      <w:pPr>
        <w:keepNext/>
        <w:keepLines/>
        <w:widowControl w:val="0"/>
        <w:tabs>
          <w:tab w:val="left" w:pos="1134"/>
        </w:tabs>
        <w:spacing w:before="40" w:after="0"/>
        <w:outlineLvl w:val="2"/>
        <w:rPr>
          <w:rStyle w:val="normaltextrun"/>
          <w:rFonts w:ascii="Arial" w:hAnsi="Arial" w:cs="Arial"/>
        </w:rPr>
      </w:pPr>
    </w:p>
    <w:p w14:paraId="1AB066DB" w14:textId="51BB3E87" w:rsidR="00DA2575" w:rsidRPr="00DA2575" w:rsidRDefault="00DA2575" w:rsidP="00DA2575">
      <w:pPr>
        <w:rPr>
          <w:rStyle w:val="normaltextrun"/>
          <w:rFonts w:ascii="Arial" w:eastAsia="Arial" w:hAnsi="Arial" w:cs="Arial"/>
        </w:rPr>
      </w:pPr>
      <w:r>
        <w:rPr>
          <w:rFonts w:ascii="Arial" w:eastAsia="Arial" w:hAnsi="Arial" w:cs="Arial"/>
        </w:rPr>
        <w:t xml:space="preserve">If applicants have submitted a mission requirement compliant preliminary design to UKSA on any previous occasion, please highlight any differences in this submission in a clear and easily indexable way. </w:t>
      </w:r>
    </w:p>
    <w:p w14:paraId="319EB617" w14:textId="77777777" w:rsidR="00874AE9" w:rsidRPr="00874AE9" w:rsidRDefault="00874AE9" w:rsidP="00874AE9">
      <w:pPr>
        <w:keepNext/>
        <w:keepLines/>
        <w:widowControl w:val="0"/>
        <w:tabs>
          <w:tab w:val="left" w:pos="1134"/>
        </w:tabs>
        <w:spacing w:before="40" w:after="0"/>
        <w:outlineLvl w:val="2"/>
        <w:rPr>
          <w:rFonts w:ascii="Arial" w:eastAsia="Arial" w:hAnsi="Arial" w:cs="Arial"/>
          <w:b/>
          <w:bCs/>
          <w:color w:val="000000"/>
          <w:kern w:val="0"/>
          <w:sz w:val="28"/>
          <w:szCs w:val="28"/>
          <w14:ligatures w14:val="none"/>
        </w:rPr>
      </w:pPr>
    </w:p>
    <w:tbl>
      <w:tblPr>
        <w:tblStyle w:val="TableGrid"/>
        <w:tblW w:w="0" w:type="auto"/>
        <w:tblInd w:w="100" w:type="dxa"/>
        <w:tblLook w:val="04A0" w:firstRow="1" w:lastRow="0" w:firstColumn="1" w:lastColumn="0" w:noHBand="0" w:noVBand="1"/>
      </w:tblPr>
      <w:tblGrid>
        <w:gridCol w:w="8916"/>
      </w:tblGrid>
      <w:tr w:rsidR="009A77E5" w:rsidRPr="00385AE3" w14:paraId="27207707" w14:textId="77777777" w:rsidTr="666D20AB">
        <w:tc>
          <w:tcPr>
            <w:tcW w:w="8916" w:type="dxa"/>
            <w:shd w:val="clear" w:color="auto" w:fill="B3E5A1" w:themeFill="accent6" w:themeFillTint="66"/>
          </w:tcPr>
          <w:p w14:paraId="79B81C3E" w14:textId="77777777" w:rsidR="009A77E5" w:rsidRPr="00385AE3" w:rsidRDefault="009A77E5">
            <w:pPr>
              <w:rPr>
                <w:rFonts w:ascii="Arial" w:eastAsia="Arial" w:hAnsi="Arial" w:cs="Arial"/>
                <w:b/>
                <w:bCs/>
              </w:rPr>
            </w:pPr>
            <w:r w:rsidRPr="00385AE3">
              <w:rPr>
                <w:rFonts w:ascii="Arial" w:eastAsia="Arial" w:hAnsi="Arial" w:cs="Arial"/>
                <w:b/>
                <w:bCs/>
              </w:rPr>
              <w:t>Deliverable 1-1.</w:t>
            </w:r>
            <w:r w:rsidRPr="00385AE3">
              <w:rPr>
                <w:rFonts w:ascii="Arial" w:eastAsia="Arial" w:hAnsi="Arial" w:cs="Arial"/>
                <w:b/>
                <w:bCs/>
              </w:rPr>
              <w:tab/>
              <w:t>Requirements Analysis/Consolidation &amp; Breadboarding</w:t>
            </w:r>
          </w:p>
        </w:tc>
      </w:tr>
      <w:tr w:rsidR="009A77E5" w14:paraId="3F705046" w14:textId="77777777" w:rsidTr="666D20AB">
        <w:tc>
          <w:tcPr>
            <w:tcW w:w="8916" w:type="dxa"/>
          </w:tcPr>
          <w:p w14:paraId="23830ECD" w14:textId="77777777" w:rsidR="009A77E5" w:rsidRPr="00385AE3" w:rsidRDefault="009A77E5">
            <w:pPr>
              <w:suppressAutoHyphens/>
              <w:autoSpaceDN w:val="0"/>
              <w:textAlignment w:val="baseline"/>
              <w:rPr>
                <w:rFonts w:ascii="Arial" w:eastAsia="Arial" w:hAnsi="Arial" w:cs="Arial"/>
                <w:b/>
                <w:bCs/>
              </w:rPr>
            </w:pPr>
            <w:r w:rsidRPr="00385AE3">
              <w:rPr>
                <w:rFonts w:ascii="Arial" w:eastAsia="Arial" w:hAnsi="Arial" w:cs="Arial"/>
                <w:b/>
                <w:bCs/>
              </w:rPr>
              <w:t>Outputs</w:t>
            </w:r>
            <w:r>
              <w:rPr>
                <w:rFonts w:ascii="Arial" w:eastAsia="Arial" w:hAnsi="Arial" w:cs="Arial"/>
                <w:b/>
                <w:bCs/>
              </w:rPr>
              <w:t>:</w:t>
            </w:r>
          </w:p>
          <w:p w14:paraId="75DB9E58" w14:textId="77777777" w:rsidR="009A77E5" w:rsidRPr="00706DEE" w:rsidRDefault="009A77E5" w:rsidP="009A77E5">
            <w:pPr>
              <w:numPr>
                <w:ilvl w:val="1"/>
                <w:numId w:val="18"/>
              </w:numPr>
              <w:suppressAutoHyphens/>
              <w:autoSpaceDN w:val="0"/>
              <w:textAlignment w:val="baseline"/>
              <w:rPr>
                <w:rFonts w:ascii="Arial" w:eastAsia="Arial" w:hAnsi="Arial" w:cs="Arial"/>
              </w:rPr>
            </w:pPr>
            <w:r w:rsidRPr="00706DEE">
              <w:rPr>
                <w:rFonts w:ascii="Arial" w:eastAsia="Arial" w:hAnsi="Arial" w:cs="Arial"/>
              </w:rPr>
              <w:t xml:space="preserve">Technical Requirements Specification Documents (TRS) </w:t>
            </w:r>
            <w:r>
              <w:rPr>
                <w:rFonts w:ascii="Arial" w:eastAsia="Arial" w:hAnsi="Arial" w:cs="Arial"/>
              </w:rPr>
              <w:t>to include:</w:t>
            </w:r>
          </w:p>
          <w:p w14:paraId="055687F0" w14:textId="77777777" w:rsidR="009A77E5" w:rsidRPr="00706DEE" w:rsidRDefault="009A77E5" w:rsidP="009A77E5">
            <w:pPr>
              <w:numPr>
                <w:ilvl w:val="2"/>
                <w:numId w:val="18"/>
              </w:numPr>
              <w:suppressAutoHyphens/>
              <w:autoSpaceDN w:val="0"/>
              <w:textAlignment w:val="baseline"/>
              <w:rPr>
                <w:rFonts w:ascii="Arial" w:eastAsia="Arial" w:hAnsi="Arial" w:cs="Arial"/>
              </w:rPr>
            </w:pPr>
            <w:r w:rsidRPr="00706DEE">
              <w:rPr>
                <w:rFonts w:ascii="Arial" w:eastAsia="Arial" w:hAnsi="Arial" w:cs="Arial"/>
              </w:rPr>
              <w:t xml:space="preserve">Mission Requirements </w:t>
            </w:r>
          </w:p>
          <w:p w14:paraId="63A9C04D" w14:textId="77777777" w:rsidR="009A77E5" w:rsidRPr="00706DEE" w:rsidRDefault="009A77E5" w:rsidP="009A77E5">
            <w:pPr>
              <w:numPr>
                <w:ilvl w:val="2"/>
                <w:numId w:val="18"/>
              </w:numPr>
              <w:suppressAutoHyphens/>
              <w:autoSpaceDN w:val="0"/>
              <w:textAlignment w:val="baseline"/>
              <w:rPr>
                <w:rFonts w:ascii="Arial" w:eastAsia="Arial" w:hAnsi="Arial" w:cs="Arial"/>
              </w:rPr>
            </w:pPr>
            <w:r w:rsidRPr="00706DEE">
              <w:rPr>
                <w:rFonts w:ascii="Arial" w:eastAsia="Arial" w:hAnsi="Arial" w:cs="Arial"/>
              </w:rPr>
              <w:t xml:space="preserve">Space System (Segment) Requirements </w:t>
            </w:r>
          </w:p>
          <w:p w14:paraId="02433A12" w14:textId="77777777" w:rsidR="009A77E5" w:rsidRPr="00706DEE" w:rsidRDefault="009A77E5" w:rsidP="009A77E5">
            <w:pPr>
              <w:numPr>
                <w:ilvl w:val="2"/>
                <w:numId w:val="18"/>
              </w:numPr>
              <w:suppressAutoHyphens/>
              <w:autoSpaceDN w:val="0"/>
              <w:textAlignment w:val="baseline"/>
              <w:rPr>
                <w:rFonts w:ascii="Arial" w:eastAsia="Arial" w:hAnsi="Arial" w:cs="Arial"/>
              </w:rPr>
            </w:pPr>
            <w:r w:rsidRPr="00706DEE">
              <w:rPr>
                <w:rFonts w:ascii="Arial" w:eastAsia="Arial" w:hAnsi="Arial" w:cs="Arial"/>
              </w:rPr>
              <w:t xml:space="preserve">Ground Segment Requirements </w:t>
            </w:r>
          </w:p>
          <w:p w14:paraId="68176DD3" w14:textId="77777777" w:rsidR="009A77E5" w:rsidRPr="00706DEE" w:rsidRDefault="009A77E5" w:rsidP="009A77E5">
            <w:pPr>
              <w:numPr>
                <w:ilvl w:val="2"/>
                <w:numId w:val="18"/>
              </w:numPr>
              <w:suppressAutoHyphens/>
              <w:autoSpaceDN w:val="0"/>
              <w:textAlignment w:val="baseline"/>
              <w:rPr>
                <w:rFonts w:ascii="Arial" w:eastAsia="Arial" w:hAnsi="Arial" w:cs="Arial"/>
              </w:rPr>
            </w:pPr>
            <w:r w:rsidRPr="00706DEE">
              <w:rPr>
                <w:rFonts w:ascii="Arial" w:eastAsia="Arial" w:hAnsi="Arial" w:cs="Arial"/>
              </w:rPr>
              <w:t xml:space="preserve">Subsystem Requirements (Space and Ground segment, including software specifications) </w:t>
            </w:r>
          </w:p>
          <w:p w14:paraId="65DD14B7" w14:textId="77777777" w:rsidR="009A77E5" w:rsidRPr="00706DEE" w:rsidRDefault="009A77E5" w:rsidP="009A77E5">
            <w:pPr>
              <w:numPr>
                <w:ilvl w:val="2"/>
                <w:numId w:val="18"/>
              </w:numPr>
              <w:suppressAutoHyphens/>
              <w:autoSpaceDN w:val="0"/>
              <w:textAlignment w:val="baseline"/>
              <w:rPr>
                <w:rFonts w:ascii="Arial" w:eastAsia="Arial" w:hAnsi="Arial" w:cs="Arial"/>
              </w:rPr>
            </w:pPr>
            <w:r w:rsidRPr="00706DEE">
              <w:rPr>
                <w:rFonts w:ascii="Arial" w:eastAsia="Arial" w:hAnsi="Arial" w:cs="Arial"/>
              </w:rPr>
              <w:t xml:space="preserve">Operational Requirements </w:t>
            </w:r>
          </w:p>
          <w:p w14:paraId="6D7091E3" w14:textId="77777777" w:rsidR="009A77E5" w:rsidRPr="00706DEE" w:rsidRDefault="009A77E5" w:rsidP="009A77E5">
            <w:pPr>
              <w:numPr>
                <w:ilvl w:val="2"/>
                <w:numId w:val="18"/>
              </w:numPr>
              <w:suppressAutoHyphens/>
              <w:autoSpaceDN w:val="0"/>
              <w:textAlignment w:val="baseline"/>
              <w:rPr>
                <w:rFonts w:ascii="Arial" w:eastAsia="Arial" w:hAnsi="Arial" w:cs="Arial"/>
              </w:rPr>
            </w:pPr>
            <w:r w:rsidRPr="00706DEE">
              <w:rPr>
                <w:rFonts w:ascii="Arial" w:eastAsia="Arial" w:hAnsi="Arial" w:cs="Arial"/>
              </w:rPr>
              <w:t xml:space="preserve">All Ground Support Equipment (GSE) Requirements </w:t>
            </w:r>
          </w:p>
          <w:p w14:paraId="12999067" w14:textId="77777777" w:rsidR="009A77E5" w:rsidRPr="00706DEE" w:rsidRDefault="009A77E5" w:rsidP="009A77E5">
            <w:pPr>
              <w:numPr>
                <w:ilvl w:val="1"/>
                <w:numId w:val="18"/>
              </w:numPr>
              <w:suppressAutoHyphens/>
              <w:autoSpaceDN w:val="0"/>
              <w:textAlignment w:val="baseline"/>
              <w:rPr>
                <w:rFonts w:ascii="Arial" w:eastAsia="Arial" w:hAnsi="Arial" w:cs="Arial"/>
              </w:rPr>
            </w:pPr>
            <w:r w:rsidRPr="00706DEE">
              <w:rPr>
                <w:rFonts w:ascii="Arial" w:eastAsia="Arial" w:hAnsi="Arial" w:cs="Arial"/>
              </w:rPr>
              <w:t xml:space="preserve">Interface Requirements Documents </w:t>
            </w:r>
          </w:p>
          <w:p w14:paraId="2845784A" w14:textId="77777777" w:rsidR="009A77E5" w:rsidRPr="00706DEE" w:rsidRDefault="009A77E5" w:rsidP="009A77E5">
            <w:pPr>
              <w:numPr>
                <w:ilvl w:val="1"/>
                <w:numId w:val="18"/>
              </w:numPr>
              <w:suppressAutoHyphens/>
              <w:autoSpaceDN w:val="0"/>
              <w:textAlignment w:val="baseline"/>
              <w:rPr>
                <w:rFonts w:ascii="Arial" w:eastAsia="Arial" w:hAnsi="Arial" w:cs="Arial"/>
              </w:rPr>
            </w:pPr>
            <w:r w:rsidRPr="00706DEE">
              <w:rPr>
                <w:rFonts w:ascii="Arial" w:eastAsia="Arial" w:hAnsi="Arial" w:cs="Arial"/>
              </w:rPr>
              <w:t xml:space="preserve">Environmental specification (all mission phases) </w:t>
            </w:r>
          </w:p>
          <w:p w14:paraId="6FD79BCD" w14:textId="7C197254" w:rsidR="009A77E5" w:rsidRPr="00706DEE" w:rsidRDefault="009A77E5" w:rsidP="00DC19E8">
            <w:pPr>
              <w:numPr>
                <w:ilvl w:val="1"/>
                <w:numId w:val="18"/>
              </w:numPr>
              <w:suppressAutoHyphens/>
              <w:autoSpaceDN w:val="0"/>
              <w:textAlignment w:val="baseline"/>
              <w:rPr>
                <w:rFonts w:ascii="Arial" w:eastAsia="Arial" w:hAnsi="Arial" w:cs="Arial"/>
              </w:rPr>
            </w:pPr>
            <w:r w:rsidRPr="00706DEE">
              <w:rPr>
                <w:rFonts w:ascii="Arial" w:eastAsia="Arial" w:hAnsi="Arial" w:cs="Arial"/>
              </w:rPr>
              <w:t>Breadboarding Report</w:t>
            </w:r>
            <w:r w:rsidR="00DC19E8">
              <w:rPr>
                <w:rFonts w:ascii="Arial" w:eastAsia="Arial" w:hAnsi="Arial" w:cs="Arial"/>
              </w:rPr>
              <w:t xml:space="preserve"> of any tests completed to date</w:t>
            </w:r>
          </w:p>
          <w:p w14:paraId="3D80F0AC" w14:textId="6F94FC24" w:rsidR="009A77E5" w:rsidRDefault="009A77E5" w:rsidP="009A77E5">
            <w:pPr>
              <w:numPr>
                <w:ilvl w:val="1"/>
                <w:numId w:val="18"/>
              </w:numPr>
              <w:suppressAutoHyphens/>
              <w:autoSpaceDN w:val="0"/>
              <w:textAlignment w:val="baseline"/>
              <w:rPr>
                <w:rFonts w:ascii="Arial" w:eastAsia="Arial" w:hAnsi="Arial" w:cs="Arial"/>
              </w:rPr>
            </w:pPr>
            <w:r w:rsidRPr="00706DEE">
              <w:rPr>
                <w:rFonts w:ascii="Arial" w:eastAsia="Arial" w:hAnsi="Arial" w:cs="Arial"/>
              </w:rPr>
              <w:t>Request for Waiver/Deviation (</w:t>
            </w:r>
            <w:proofErr w:type="spellStart"/>
            <w:r w:rsidRPr="00706DEE">
              <w:rPr>
                <w:rFonts w:ascii="Arial" w:eastAsia="Arial" w:hAnsi="Arial" w:cs="Arial"/>
              </w:rPr>
              <w:t>RfW</w:t>
            </w:r>
            <w:proofErr w:type="spellEnd"/>
            <w:r w:rsidRPr="00706DEE">
              <w:rPr>
                <w:rFonts w:ascii="Arial" w:eastAsia="Arial" w:hAnsi="Arial" w:cs="Arial"/>
              </w:rPr>
              <w:t>/</w:t>
            </w:r>
            <w:proofErr w:type="spellStart"/>
            <w:r w:rsidRPr="00706DEE">
              <w:rPr>
                <w:rFonts w:ascii="Arial" w:eastAsia="Arial" w:hAnsi="Arial" w:cs="Arial"/>
              </w:rPr>
              <w:t>RfD</w:t>
            </w:r>
            <w:proofErr w:type="spellEnd"/>
            <w:r w:rsidRPr="00706DEE">
              <w:rPr>
                <w:rFonts w:ascii="Arial" w:eastAsia="Arial" w:hAnsi="Arial" w:cs="Arial"/>
              </w:rPr>
              <w:t>)</w:t>
            </w:r>
            <w:r w:rsidR="00DC19E8">
              <w:rPr>
                <w:rFonts w:ascii="Arial" w:eastAsia="Arial" w:hAnsi="Arial" w:cs="Arial"/>
              </w:rPr>
              <w:t xml:space="preserve"> </w:t>
            </w:r>
            <w:r w:rsidRPr="00706DEE">
              <w:rPr>
                <w:rFonts w:ascii="Arial" w:eastAsia="Arial" w:hAnsi="Arial" w:cs="Arial"/>
              </w:rPr>
              <w:t>– as necessary</w:t>
            </w:r>
          </w:p>
          <w:p w14:paraId="169DD13A" w14:textId="77777777" w:rsidR="009A77E5" w:rsidRDefault="009A77E5">
            <w:pPr>
              <w:pStyle w:val="BodyText"/>
              <w:tabs>
                <w:tab w:val="left" w:pos="2261"/>
              </w:tabs>
              <w:spacing w:before="165" w:line="252" w:lineRule="exact"/>
              <w:ind w:left="0" w:firstLine="0"/>
              <w:rPr>
                <w:rFonts w:cs="Arial"/>
                <w:b/>
                <w:bCs/>
                <w:lang w:val="en-GB"/>
              </w:rPr>
            </w:pPr>
          </w:p>
        </w:tc>
      </w:tr>
      <w:tr w:rsidR="009A77E5" w:rsidRPr="00385AE3" w14:paraId="51FFE7A7" w14:textId="77777777" w:rsidTr="666D20AB">
        <w:tc>
          <w:tcPr>
            <w:tcW w:w="8916" w:type="dxa"/>
            <w:shd w:val="clear" w:color="auto" w:fill="B3E5A1" w:themeFill="accent6" w:themeFillTint="66"/>
            <w:vAlign w:val="center"/>
          </w:tcPr>
          <w:p w14:paraId="52C45BBB" w14:textId="77777777" w:rsidR="009A77E5" w:rsidRPr="00385AE3" w:rsidRDefault="009A77E5">
            <w:pPr>
              <w:pStyle w:val="BodyText"/>
              <w:tabs>
                <w:tab w:val="left" w:pos="2261"/>
              </w:tabs>
              <w:spacing w:before="165" w:line="252" w:lineRule="exact"/>
              <w:ind w:left="0" w:firstLine="0"/>
              <w:rPr>
                <w:rFonts w:cs="Arial"/>
                <w:b/>
                <w:bCs/>
              </w:rPr>
            </w:pPr>
            <w:r>
              <w:rPr>
                <w:rFonts w:cs="Arial"/>
                <w:b/>
                <w:bCs/>
              </w:rPr>
              <w:t>D</w:t>
            </w:r>
            <w:r w:rsidRPr="00050DEE">
              <w:rPr>
                <w:rFonts w:cs="Arial"/>
                <w:b/>
                <w:bCs/>
              </w:rPr>
              <w:t>eliverable 1-2. Consolidated Mission Analysis and Operations Definition</w:t>
            </w:r>
          </w:p>
        </w:tc>
      </w:tr>
      <w:tr w:rsidR="009A77E5" w14:paraId="4CCCB21A" w14:textId="77777777" w:rsidTr="666D20AB">
        <w:tc>
          <w:tcPr>
            <w:tcW w:w="8916" w:type="dxa"/>
          </w:tcPr>
          <w:p w14:paraId="6166DFE3" w14:textId="77777777" w:rsidR="009A77E5" w:rsidRDefault="009A77E5">
            <w:pPr>
              <w:suppressAutoHyphens/>
              <w:autoSpaceDN w:val="0"/>
              <w:textAlignment w:val="baseline"/>
              <w:rPr>
                <w:rFonts w:ascii="Arial" w:eastAsia="Arial" w:hAnsi="Arial" w:cs="Arial"/>
              </w:rPr>
            </w:pPr>
            <w:r>
              <w:rPr>
                <w:rFonts w:ascii="Arial" w:eastAsia="Arial" w:hAnsi="Arial" w:cs="Arial"/>
                <w:b/>
                <w:bCs/>
              </w:rPr>
              <w:t>Outputs:</w:t>
            </w:r>
          </w:p>
          <w:p w14:paraId="42A7E8B9" w14:textId="77777777" w:rsidR="009A77E5" w:rsidRPr="0097283D" w:rsidRDefault="009A77E5" w:rsidP="009A77E5">
            <w:pPr>
              <w:numPr>
                <w:ilvl w:val="1"/>
                <w:numId w:val="18"/>
              </w:numPr>
              <w:suppressAutoHyphens/>
              <w:autoSpaceDN w:val="0"/>
              <w:textAlignment w:val="baseline"/>
              <w:rPr>
                <w:rFonts w:ascii="Arial" w:eastAsia="Arial" w:hAnsi="Arial" w:cs="Arial"/>
              </w:rPr>
            </w:pPr>
            <w:r w:rsidRPr="0097283D">
              <w:rPr>
                <w:rFonts w:ascii="Arial" w:eastAsia="Arial" w:hAnsi="Arial" w:cs="Arial"/>
              </w:rPr>
              <w:t xml:space="preserve">Mission Analysis Report </w:t>
            </w:r>
          </w:p>
          <w:p w14:paraId="3E97D234" w14:textId="77777777" w:rsidR="009A77E5" w:rsidRPr="0097283D" w:rsidRDefault="009A77E5" w:rsidP="009A77E5">
            <w:pPr>
              <w:numPr>
                <w:ilvl w:val="1"/>
                <w:numId w:val="18"/>
              </w:numPr>
              <w:suppressAutoHyphens/>
              <w:autoSpaceDN w:val="0"/>
              <w:textAlignment w:val="baseline"/>
              <w:rPr>
                <w:rFonts w:ascii="Arial" w:eastAsia="Arial" w:hAnsi="Arial" w:cs="Arial"/>
              </w:rPr>
            </w:pPr>
            <w:r w:rsidRPr="0097283D">
              <w:rPr>
                <w:rFonts w:ascii="Arial" w:eastAsia="Arial" w:hAnsi="Arial" w:cs="Arial"/>
              </w:rPr>
              <w:t xml:space="preserve">CONOPS Report </w:t>
            </w:r>
          </w:p>
          <w:p w14:paraId="6167FC4A" w14:textId="77777777" w:rsidR="009A77E5" w:rsidRPr="0097283D" w:rsidRDefault="009A77E5" w:rsidP="009A77E5">
            <w:pPr>
              <w:numPr>
                <w:ilvl w:val="1"/>
                <w:numId w:val="18"/>
              </w:numPr>
              <w:suppressAutoHyphens/>
              <w:autoSpaceDN w:val="0"/>
              <w:textAlignment w:val="baseline"/>
              <w:rPr>
                <w:rFonts w:ascii="Arial" w:eastAsia="Arial" w:hAnsi="Arial" w:cs="Arial"/>
              </w:rPr>
            </w:pPr>
            <w:r w:rsidRPr="0097283D">
              <w:rPr>
                <w:rFonts w:ascii="Arial" w:eastAsia="Arial" w:hAnsi="Arial" w:cs="Arial"/>
              </w:rPr>
              <w:t xml:space="preserve">Space Debris Mitigation and Disposal Plan </w:t>
            </w:r>
          </w:p>
          <w:p w14:paraId="6D469632" w14:textId="77777777" w:rsidR="009A77E5" w:rsidRDefault="009A77E5" w:rsidP="009A77E5">
            <w:pPr>
              <w:numPr>
                <w:ilvl w:val="1"/>
                <w:numId w:val="18"/>
              </w:numPr>
              <w:suppressAutoHyphens/>
              <w:autoSpaceDN w:val="0"/>
              <w:textAlignment w:val="baseline"/>
              <w:rPr>
                <w:rFonts w:ascii="Arial" w:eastAsia="Arial" w:hAnsi="Arial" w:cs="Arial"/>
              </w:rPr>
            </w:pPr>
            <w:r w:rsidRPr="0097283D">
              <w:rPr>
                <w:rFonts w:ascii="Arial" w:eastAsia="Arial" w:hAnsi="Arial" w:cs="Arial"/>
              </w:rPr>
              <w:t>Ground Segment Design Report (to include supporting analyses as annexes)</w:t>
            </w:r>
          </w:p>
          <w:p w14:paraId="47FCEAE8" w14:textId="77777777" w:rsidR="009A77E5" w:rsidRDefault="009A77E5">
            <w:pPr>
              <w:pStyle w:val="BodyText"/>
              <w:tabs>
                <w:tab w:val="left" w:pos="2261"/>
              </w:tabs>
              <w:spacing w:before="165" w:line="252" w:lineRule="exact"/>
              <w:ind w:left="0" w:firstLine="0"/>
              <w:rPr>
                <w:rFonts w:cs="Arial"/>
                <w:b/>
                <w:bCs/>
                <w:lang w:val="en-GB"/>
              </w:rPr>
            </w:pPr>
          </w:p>
        </w:tc>
      </w:tr>
      <w:tr w:rsidR="009A77E5" w:rsidRPr="00385AE3" w14:paraId="28D96DF9" w14:textId="77777777" w:rsidTr="666D20AB">
        <w:tc>
          <w:tcPr>
            <w:tcW w:w="8916" w:type="dxa"/>
            <w:shd w:val="clear" w:color="auto" w:fill="B3E5A1" w:themeFill="accent6" w:themeFillTint="66"/>
          </w:tcPr>
          <w:p w14:paraId="63D977E5" w14:textId="77777777" w:rsidR="009A77E5" w:rsidRPr="00385AE3" w:rsidRDefault="009A77E5">
            <w:pPr>
              <w:suppressAutoHyphens/>
              <w:autoSpaceDN w:val="0"/>
              <w:textAlignment w:val="baseline"/>
              <w:rPr>
                <w:rFonts w:ascii="Arial" w:eastAsia="Arial" w:hAnsi="Arial" w:cs="Arial"/>
                <w:b/>
                <w:bCs/>
              </w:rPr>
            </w:pPr>
            <w:r>
              <w:rPr>
                <w:rFonts w:ascii="Arial" w:eastAsia="Arial" w:hAnsi="Arial" w:cs="Arial"/>
                <w:b/>
                <w:bCs/>
              </w:rPr>
              <w:t>D</w:t>
            </w:r>
            <w:r w:rsidRPr="002F2C8E">
              <w:rPr>
                <w:rFonts w:ascii="Arial" w:eastAsia="Arial" w:hAnsi="Arial" w:cs="Arial"/>
                <w:b/>
                <w:bCs/>
              </w:rPr>
              <w:t>eliverable 1-3. Design and analysis of payload(s)</w:t>
            </w:r>
          </w:p>
        </w:tc>
      </w:tr>
      <w:tr w:rsidR="009A77E5" w14:paraId="3154FE7F" w14:textId="77777777" w:rsidTr="666D20AB">
        <w:tc>
          <w:tcPr>
            <w:tcW w:w="8916" w:type="dxa"/>
          </w:tcPr>
          <w:p w14:paraId="385CC4DF" w14:textId="77777777" w:rsidR="009A77E5" w:rsidRPr="00385AE3" w:rsidRDefault="009A77E5">
            <w:pPr>
              <w:suppressAutoHyphens/>
              <w:autoSpaceDN w:val="0"/>
              <w:textAlignment w:val="baseline"/>
              <w:rPr>
                <w:rFonts w:ascii="Arial" w:eastAsia="Arial" w:hAnsi="Arial" w:cs="Arial"/>
                <w:b/>
                <w:bCs/>
              </w:rPr>
            </w:pPr>
            <w:r w:rsidRPr="00385AE3">
              <w:rPr>
                <w:rFonts w:ascii="Arial" w:eastAsia="Arial" w:hAnsi="Arial" w:cs="Arial"/>
                <w:b/>
                <w:bCs/>
              </w:rPr>
              <w:t>Outputs:</w:t>
            </w:r>
          </w:p>
          <w:p w14:paraId="59F96990" w14:textId="16107A1A" w:rsidR="009A77E5" w:rsidRPr="00ED6946" w:rsidRDefault="009A77E5" w:rsidP="009A77E5">
            <w:pPr>
              <w:numPr>
                <w:ilvl w:val="1"/>
                <w:numId w:val="18"/>
              </w:numPr>
              <w:suppressAutoHyphens/>
              <w:autoSpaceDN w:val="0"/>
              <w:textAlignment w:val="baseline"/>
              <w:rPr>
                <w:rFonts w:ascii="Arial" w:eastAsia="Arial" w:hAnsi="Arial" w:cs="Arial"/>
              </w:rPr>
            </w:pPr>
            <w:r w:rsidRPr="00ED6946">
              <w:rPr>
                <w:rFonts w:ascii="Arial" w:eastAsia="Arial" w:hAnsi="Arial" w:cs="Arial"/>
              </w:rPr>
              <w:lastRenderedPageBreak/>
              <w:t>Payload(s) systems analysis and design report</w:t>
            </w:r>
            <w:r w:rsidR="00691905">
              <w:rPr>
                <w:rStyle w:val="FootnoteReference"/>
                <w:rFonts w:ascii="Arial" w:eastAsia="Arial" w:hAnsi="Arial" w:cs="Arial"/>
              </w:rPr>
              <w:footnoteReference w:id="3"/>
            </w:r>
          </w:p>
          <w:p w14:paraId="35770058" w14:textId="77777777" w:rsidR="009A77E5" w:rsidRDefault="009A77E5" w:rsidP="00691905">
            <w:pPr>
              <w:suppressAutoHyphens/>
              <w:autoSpaceDN w:val="0"/>
              <w:textAlignment w:val="baseline"/>
              <w:rPr>
                <w:rFonts w:cs="Arial"/>
                <w:b/>
                <w:bCs/>
              </w:rPr>
            </w:pPr>
          </w:p>
        </w:tc>
      </w:tr>
      <w:tr w:rsidR="009A77E5" w:rsidRPr="00ED6946" w14:paraId="1419D607" w14:textId="77777777" w:rsidTr="666D20AB">
        <w:tc>
          <w:tcPr>
            <w:tcW w:w="8916" w:type="dxa"/>
            <w:shd w:val="clear" w:color="auto" w:fill="B3E5A1" w:themeFill="accent6" w:themeFillTint="66"/>
          </w:tcPr>
          <w:p w14:paraId="24B40F67" w14:textId="77777777" w:rsidR="009A77E5" w:rsidRPr="00562504" w:rsidRDefault="009A77E5">
            <w:pPr>
              <w:suppressAutoHyphens/>
              <w:autoSpaceDN w:val="0"/>
              <w:textAlignment w:val="baseline"/>
              <w:rPr>
                <w:rFonts w:ascii="Arial" w:eastAsia="Arial" w:hAnsi="Arial" w:cs="Arial"/>
                <w:b/>
                <w:bCs/>
              </w:rPr>
            </w:pPr>
            <w:r>
              <w:rPr>
                <w:rFonts w:ascii="Arial" w:eastAsia="Arial" w:hAnsi="Arial" w:cs="Arial"/>
                <w:b/>
                <w:bCs/>
              </w:rPr>
              <w:lastRenderedPageBreak/>
              <w:t>D</w:t>
            </w:r>
            <w:r w:rsidRPr="00562504">
              <w:rPr>
                <w:rFonts w:ascii="Arial" w:eastAsia="Arial" w:hAnsi="Arial" w:cs="Arial"/>
                <w:b/>
                <w:bCs/>
              </w:rPr>
              <w:t>eliverable 1-</w:t>
            </w:r>
            <w:r>
              <w:rPr>
                <w:rFonts w:ascii="Arial" w:eastAsia="Arial" w:hAnsi="Arial" w:cs="Arial"/>
                <w:b/>
                <w:bCs/>
              </w:rPr>
              <w:t>4</w:t>
            </w:r>
            <w:r w:rsidRPr="00562504">
              <w:rPr>
                <w:rFonts w:ascii="Arial" w:eastAsia="Arial" w:hAnsi="Arial" w:cs="Arial"/>
                <w:b/>
                <w:bCs/>
              </w:rPr>
              <w:t xml:space="preserve">. Platform analysis and design definition </w:t>
            </w:r>
          </w:p>
          <w:p w14:paraId="2ABF9DEA" w14:textId="77777777" w:rsidR="009A77E5" w:rsidRPr="00ED6946" w:rsidRDefault="009A77E5">
            <w:pPr>
              <w:suppressAutoHyphens/>
              <w:autoSpaceDN w:val="0"/>
              <w:textAlignment w:val="baseline"/>
              <w:rPr>
                <w:rFonts w:ascii="Arial" w:eastAsia="Arial" w:hAnsi="Arial" w:cs="Arial"/>
              </w:rPr>
            </w:pPr>
          </w:p>
        </w:tc>
      </w:tr>
      <w:tr w:rsidR="009A77E5" w:rsidRPr="00ED6946" w14:paraId="7D4C10EA" w14:textId="77777777" w:rsidTr="666D20AB">
        <w:tc>
          <w:tcPr>
            <w:tcW w:w="8916" w:type="dxa"/>
          </w:tcPr>
          <w:p w14:paraId="3E3490FA" w14:textId="77777777" w:rsidR="009A77E5" w:rsidRPr="00385AE3" w:rsidRDefault="009A77E5">
            <w:pPr>
              <w:suppressAutoHyphens/>
              <w:autoSpaceDN w:val="0"/>
              <w:textAlignment w:val="baseline"/>
              <w:rPr>
                <w:rFonts w:ascii="Arial" w:eastAsia="Arial" w:hAnsi="Arial" w:cs="Arial"/>
                <w:b/>
                <w:bCs/>
              </w:rPr>
            </w:pPr>
            <w:r w:rsidRPr="00385AE3">
              <w:rPr>
                <w:rFonts w:ascii="Arial" w:eastAsia="Arial" w:hAnsi="Arial" w:cs="Arial"/>
                <w:b/>
                <w:bCs/>
              </w:rPr>
              <w:t>Output</w:t>
            </w:r>
            <w:r>
              <w:rPr>
                <w:rFonts w:ascii="Arial" w:eastAsia="Arial" w:hAnsi="Arial" w:cs="Arial"/>
                <w:b/>
                <w:bCs/>
              </w:rPr>
              <w:t>s</w:t>
            </w:r>
            <w:r w:rsidRPr="00385AE3">
              <w:rPr>
                <w:rFonts w:ascii="Arial" w:eastAsia="Arial" w:hAnsi="Arial" w:cs="Arial"/>
                <w:b/>
                <w:bCs/>
              </w:rPr>
              <w:t>:</w:t>
            </w:r>
          </w:p>
          <w:p w14:paraId="01AA96C6" w14:textId="77777777" w:rsidR="009A77E5" w:rsidRPr="006D4EE1" w:rsidRDefault="009A77E5" w:rsidP="009A77E5">
            <w:pPr>
              <w:numPr>
                <w:ilvl w:val="1"/>
                <w:numId w:val="18"/>
              </w:numPr>
              <w:suppressAutoHyphens/>
              <w:autoSpaceDN w:val="0"/>
              <w:textAlignment w:val="baseline"/>
              <w:rPr>
                <w:rFonts w:ascii="Arial" w:eastAsia="Arial" w:hAnsi="Arial" w:cs="Arial"/>
              </w:rPr>
            </w:pPr>
            <w:r w:rsidRPr="006D4EE1">
              <w:rPr>
                <w:rFonts w:ascii="Arial" w:eastAsia="Arial" w:hAnsi="Arial" w:cs="Arial"/>
              </w:rPr>
              <w:t>Satellite Design Definition File, including:</w:t>
            </w:r>
          </w:p>
          <w:p w14:paraId="0866D624"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Satellite Design Description (</w:t>
            </w:r>
            <w:proofErr w:type="spellStart"/>
            <w:r w:rsidRPr="006D4EE1">
              <w:rPr>
                <w:rFonts w:ascii="Arial" w:eastAsia="Arial" w:hAnsi="Arial" w:cs="Arial"/>
              </w:rPr>
              <w:t>incld</w:t>
            </w:r>
            <w:proofErr w:type="spellEnd"/>
            <w:r w:rsidRPr="006D4EE1">
              <w:rPr>
                <w:rFonts w:ascii="Arial" w:eastAsia="Arial" w:hAnsi="Arial" w:cs="Arial"/>
              </w:rPr>
              <w:t>. payloads)</w:t>
            </w:r>
          </w:p>
          <w:p w14:paraId="6C31DCFF" w14:textId="4199E105"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CONOPS (in summary – detail to be provided in CONOPS Report)</w:t>
            </w:r>
          </w:p>
          <w:p w14:paraId="4FF82321"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Function Tree</w:t>
            </w:r>
          </w:p>
          <w:p w14:paraId="7D688752"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Product Tree</w:t>
            </w:r>
          </w:p>
          <w:p w14:paraId="2E1C48EE"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Specification Tree (down to at least subsystem level)</w:t>
            </w:r>
          </w:p>
          <w:p w14:paraId="0E269AEC"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 xml:space="preserve">Technical Budgets </w:t>
            </w:r>
          </w:p>
          <w:p w14:paraId="7A11F5A5"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 xml:space="preserve">Co-ordinate system </w:t>
            </w:r>
          </w:p>
          <w:p w14:paraId="1E09B7B3" w14:textId="34CA08BD" w:rsidR="009A77E5" w:rsidRPr="006D4EE1" w:rsidRDefault="009A77E5" w:rsidP="009A77E5">
            <w:pPr>
              <w:numPr>
                <w:ilvl w:val="1"/>
                <w:numId w:val="18"/>
              </w:numPr>
              <w:suppressAutoHyphens/>
              <w:autoSpaceDN w:val="0"/>
              <w:textAlignment w:val="baseline"/>
              <w:rPr>
                <w:rFonts w:ascii="Arial" w:eastAsia="Arial" w:hAnsi="Arial" w:cs="Arial"/>
              </w:rPr>
            </w:pPr>
            <w:r w:rsidRPr="006D4EE1">
              <w:rPr>
                <w:rFonts w:ascii="Arial" w:eastAsia="Arial" w:hAnsi="Arial" w:cs="Arial"/>
              </w:rPr>
              <w:t xml:space="preserve"> Satellite Interface Control Document, including</w:t>
            </w:r>
            <w:r w:rsidR="0038168C">
              <w:rPr>
                <w:rFonts w:ascii="Arial" w:eastAsia="Arial" w:hAnsi="Arial" w:cs="Arial"/>
              </w:rPr>
              <w:t>:</w:t>
            </w:r>
          </w:p>
          <w:p w14:paraId="75D91222"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Satellite/launcher interfaces</w:t>
            </w:r>
          </w:p>
          <w:p w14:paraId="2399A6D4"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Subsystem interfaces</w:t>
            </w:r>
          </w:p>
          <w:p w14:paraId="58A1CBE3"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Satellite/ground/segment interfaces</w:t>
            </w:r>
          </w:p>
          <w:p w14:paraId="52179822" w14:textId="77777777" w:rsidR="009A77E5" w:rsidRPr="006D4EE1" w:rsidRDefault="009A77E5" w:rsidP="009A77E5">
            <w:pPr>
              <w:numPr>
                <w:ilvl w:val="1"/>
                <w:numId w:val="18"/>
              </w:numPr>
              <w:suppressAutoHyphens/>
              <w:autoSpaceDN w:val="0"/>
              <w:textAlignment w:val="baseline"/>
              <w:rPr>
                <w:rFonts w:ascii="Arial" w:eastAsia="Arial" w:hAnsi="Arial" w:cs="Arial"/>
              </w:rPr>
            </w:pPr>
            <w:r w:rsidRPr="006D4EE1">
              <w:rPr>
                <w:rFonts w:ascii="Arial" w:eastAsia="Arial" w:hAnsi="Arial" w:cs="Arial"/>
              </w:rPr>
              <w:t xml:space="preserve">Satellite Design Justification File </w:t>
            </w:r>
          </w:p>
          <w:p w14:paraId="6E3433EE" w14:textId="77777777" w:rsidR="009A77E5" w:rsidRPr="006D4EE1" w:rsidRDefault="009A77E5" w:rsidP="009A77E5">
            <w:pPr>
              <w:numPr>
                <w:ilvl w:val="2"/>
                <w:numId w:val="18"/>
              </w:numPr>
              <w:suppressAutoHyphens/>
              <w:autoSpaceDN w:val="0"/>
              <w:textAlignment w:val="baseline"/>
              <w:rPr>
                <w:rFonts w:ascii="Arial" w:eastAsia="Arial" w:hAnsi="Arial" w:cs="Arial"/>
              </w:rPr>
            </w:pPr>
            <w:r w:rsidRPr="006D4EE1">
              <w:rPr>
                <w:rFonts w:ascii="Arial" w:eastAsia="Arial" w:hAnsi="Arial" w:cs="Arial"/>
              </w:rPr>
              <w:t xml:space="preserve">This shall be a summary of the trade-offs/selections/decisions that have resulted in the baseline design. This should be a narrative document refencing other analysis/reports etc that allows the reader to understand the process that has led to the baseline design, it should not be a sum of pre-existing technical (analysis/assessment) documentation but rather a concise summary of them. </w:t>
            </w:r>
          </w:p>
          <w:p w14:paraId="63B91AA9" w14:textId="7EB2B3EE" w:rsidR="009A77E5" w:rsidRPr="006D4EE1" w:rsidRDefault="009A77E5" w:rsidP="009A77E5">
            <w:pPr>
              <w:numPr>
                <w:ilvl w:val="1"/>
                <w:numId w:val="18"/>
              </w:numPr>
              <w:suppressAutoHyphens/>
              <w:autoSpaceDN w:val="0"/>
              <w:textAlignment w:val="baseline"/>
              <w:rPr>
                <w:rFonts w:ascii="Arial" w:eastAsia="Arial" w:hAnsi="Arial" w:cs="Arial"/>
              </w:rPr>
            </w:pPr>
            <w:r w:rsidRPr="006D4EE1">
              <w:rPr>
                <w:rFonts w:ascii="Arial" w:eastAsia="Arial" w:hAnsi="Arial" w:cs="Arial"/>
              </w:rPr>
              <w:t>All models used for establishing the baseline design (e.g. thermal, mechanical, electrical models) including CAD files of the baseline configuration</w:t>
            </w:r>
            <w:r w:rsidR="00016E33">
              <w:rPr>
                <w:rFonts w:ascii="Arial" w:eastAsia="Arial" w:hAnsi="Arial" w:cs="Arial"/>
              </w:rPr>
              <w:t xml:space="preserve"> </w:t>
            </w:r>
            <w:r w:rsidRPr="006D4EE1">
              <w:rPr>
                <w:rFonts w:ascii="Arial" w:eastAsia="Arial" w:hAnsi="Arial" w:cs="Arial"/>
                <w:vertAlign w:val="superscript"/>
              </w:rPr>
              <w:footnoteReference w:id="4"/>
            </w:r>
            <w:r w:rsidR="00016E33">
              <w:rPr>
                <w:rFonts w:ascii="Arial" w:eastAsia="Arial" w:hAnsi="Arial" w:cs="Arial"/>
              </w:rPr>
              <w:t xml:space="preserve"> </w:t>
            </w:r>
            <w:r w:rsidRPr="006D4EE1">
              <w:rPr>
                <w:rFonts w:ascii="Arial" w:eastAsia="Arial" w:hAnsi="Arial" w:cs="Arial"/>
                <w:vertAlign w:val="superscript"/>
              </w:rPr>
              <w:footnoteReference w:id="5"/>
            </w:r>
          </w:p>
          <w:p w14:paraId="4F40A022" w14:textId="77777777" w:rsidR="009A77E5" w:rsidRPr="00ED6946" w:rsidRDefault="009A77E5">
            <w:pPr>
              <w:suppressAutoHyphens/>
              <w:autoSpaceDN w:val="0"/>
              <w:textAlignment w:val="baseline"/>
              <w:rPr>
                <w:rFonts w:ascii="Arial" w:eastAsia="Arial" w:hAnsi="Arial" w:cs="Arial"/>
              </w:rPr>
            </w:pPr>
          </w:p>
        </w:tc>
      </w:tr>
      <w:tr w:rsidR="009A77E5" w:rsidRPr="00ED6946" w14:paraId="49346AFB" w14:textId="77777777" w:rsidTr="666D20AB">
        <w:tc>
          <w:tcPr>
            <w:tcW w:w="8916" w:type="dxa"/>
            <w:shd w:val="clear" w:color="auto" w:fill="B3E5A1" w:themeFill="accent6" w:themeFillTint="66"/>
          </w:tcPr>
          <w:p w14:paraId="6A31D5AB" w14:textId="77777777" w:rsidR="009A77E5" w:rsidRDefault="009A77E5">
            <w:pPr>
              <w:suppressAutoHyphens/>
              <w:autoSpaceDN w:val="0"/>
              <w:textAlignment w:val="baseline"/>
              <w:rPr>
                <w:rFonts w:ascii="Arial" w:eastAsia="Arial" w:hAnsi="Arial" w:cs="Arial"/>
                <w:b/>
                <w:bCs/>
              </w:rPr>
            </w:pPr>
            <w:r>
              <w:rPr>
                <w:rFonts w:ascii="Arial" w:eastAsia="Arial" w:hAnsi="Arial" w:cs="Arial"/>
                <w:b/>
                <w:bCs/>
              </w:rPr>
              <w:t>D</w:t>
            </w:r>
            <w:r w:rsidRPr="00024202">
              <w:rPr>
                <w:rFonts w:ascii="Arial" w:eastAsia="Arial" w:hAnsi="Arial" w:cs="Arial"/>
                <w:b/>
                <w:bCs/>
              </w:rPr>
              <w:t>eliverable 1-5</w:t>
            </w:r>
            <w:r>
              <w:rPr>
                <w:rFonts w:ascii="Arial" w:eastAsia="Arial" w:hAnsi="Arial" w:cs="Arial"/>
                <w:b/>
                <w:bCs/>
              </w:rPr>
              <w:t xml:space="preserve">. </w:t>
            </w:r>
            <w:r w:rsidRPr="00024202">
              <w:rPr>
                <w:rFonts w:ascii="Arial" w:eastAsia="Arial" w:hAnsi="Arial" w:cs="Arial"/>
                <w:b/>
                <w:bCs/>
              </w:rPr>
              <w:t xml:space="preserve"> Development and Verification Approach </w:t>
            </w:r>
          </w:p>
          <w:p w14:paraId="14DEFA48" w14:textId="77777777" w:rsidR="009A77E5" w:rsidRPr="00ED6946" w:rsidRDefault="009A77E5">
            <w:pPr>
              <w:suppressAutoHyphens/>
              <w:autoSpaceDN w:val="0"/>
              <w:textAlignment w:val="baseline"/>
              <w:rPr>
                <w:rFonts w:ascii="Arial" w:eastAsia="Arial" w:hAnsi="Arial" w:cs="Arial"/>
              </w:rPr>
            </w:pPr>
          </w:p>
        </w:tc>
      </w:tr>
      <w:tr w:rsidR="009A77E5" w:rsidRPr="00ED6946" w14:paraId="1B33FB5F" w14:textId="77777777" w:rsidTr="666D20AB">
        <w:tc>
          <w:tcPr>
            <w:tcW w:w="8916" w:type="dxa"/>
          </w:tcPr>
          <w:p w14:paraId="7AF8FC51" w14:textId="77777777" w:rsidR="009A77E5" w:rsidRPr="00385AE3" w:rsidRDefault="009A77E5">
            <w:pPr>
              <w:suppressAutoHyphens/>
              <w:autoSpaceDN w:val="0"/>
              <w:textAlignment w:val="baseline"/>
              <w:rPr>
                <w:rFonts w:ascii="Arial" w:eastAsia="Arial" w:hAnsi="Arial" w:cs="Arial"/>
                <w:b/>
                <w:bCs/>
              </w:rPr>
            </w:pPr>
            <w:r w:rsidRPr="00385AE3">
              <w:rPr>
                <w:rFonts w:ascii="Arial" w:eastAsia="Arial" w:hAnsi="Arial" w:cs="Arial"/>
                <w:b/>
                <w:bCs/>
              </w:rPr>
              <w:t xml:space="preserve">Output: </w:t>
            </w:r>
          </w:p>
          <w:p w14:paraId="3CF4A729" w14:textId="77777777" w:rsidR="009A77E5" w:rsidRPr="000635C6" w:rsidRDefault="009A77E5" w:rsidP="009A77E5">
            <w:pPr>
              <w:numPr>
                <w:ilvl w:val="1"/>
                <w:numId w:val="18"/>
              </w:numPr>
              <w:suppressAutoHyphens/>
              <w:autoSpaceDN w:val="0"/>
              <w:textAlignment w:val="baseline"/>
              <w:rPr>
                <w:rFonts w:ascii="Arial" w:eastAsia="Arial" w:hAnsi="Arial" w:cs="Arial"/>
              </w:rPr>
            </w:pPr>
            <w:r w:rsidRPr="000635C6">
              <w:rPr>
                <w:rFonts w:ascii="Arial" w:eastAsia="Arial" w:hAnsi="Arial" w:cs="Arial"/>
              </w:rPr>
              <w:t xml:space="preserve">Technology Matrix (defining TRL level for each technology, with justification) </w:t>
            </w:r>
            <w:r w:rsidRPr="000635C6">
              <w:rPr>
                <w:rFonts w:ascii="Arial" w:eastAsia="Arial" w:hAnsi="Arial" w:cs="Arial"/>
                <w:vertAlign w:val="superscript"/>
              </w:rPr>
              <w:footnoteReference w:id="6"/>
            </w:r>
          </w:p>
          <w:p w14:paraId="10BDB3ED" w14:textId="77777777" w:rsidR="009A77E5" w:rsidRPr="000635C6" w:rsidRDefault="009A77E5" w:rsidP="009A77E5">
            <w:pPr>
              <w:numPr>
                <w:ilvl w:val="1"/>
                <w:numId w:val="18"/>
              </w:numPr>
              <w:suppressAutoHyphens/>
              <w:autoSpaceDN w:val="0"/>
              <w:textAlignment w:val="baseline"/>
              <w:rPr>
                <w:rFonts w:ascii="Arial" w:eastAsia="Arial" w:hAnsi="Arial" w:cs="Arial"/>
              </w:rPr>
            </w:pPr>
            <w:r w:rsidRPr="000635C6">
              <w:rPr>
                <w:rFonts w:ascii="Arial" w:eastAsia="Arial" w:hAnsi="Arial" w:cs="Arial"/>
              </w:rPr>
              <w:t xml:space="preserve">Technology Development Plan </w:t>
            </w:r>
          </w:p>
          <w:p w14:paraId="58AC5161" w14:textId="77777777" w:rsidR="009A77E5" w:rsidRPr="000635C6" w:rsidRDefault="009A77E5" w:rsidP="009A77E5">
            <w:pPr>
              <w:numPr>
                <w:ilvl w:val="1"/>
                <w:numId w:val="18"/>
              </w:numPr>
              <w:suppressAutoHyphens/>
              <w:autoSpaceDN w:val="0"/>
              <w:textAlignment w:val="baseline"/>
              <w:rPr>
                <w:rFonts w:ascii="Arial" w:eastAsia="Arial" w:hAnsi="Arial" w:cs="Arial"/>
              </w:rPr>
            </w:pPr>
            <w:r w:rsidRPr="000635C6">
              <w:rPr>
                <w:rFonts w:ascii="Arial" w:eastAsia="Arial" w:hAnsi="Arial" w:cs="Arial"/>
              </w:rPr>
              <w:t xml:space="preserve">Design and Development and Verification Plan </w:t>
            </w:r>
          </w:p>
          <w:p w14:paraId="65BADE9D" w14:textId="77777777" w:rsidR="009A77E5" w:rsidRPr="000635C6" w:rsidRDefault="009A77E5" w:rsidP="009A77E5">
            <w:pPr>
              <w:numPr>
                <w:ilvl w:val="1"/>
                <w:numId w:val="18"/>
              </w:numPr>
              <w:suppressAutoHyphens/>
              <w:autoSpaceDN w:val="0"/>
              <w:textAlignment w:val="baseline"/>
              <w:rPr>
                <w:rFonts w:ascii="Arial" w:eastAsia="Arial" w:hAnsi="Arial" w:cs="Arial"/>
              </w:rPr>
            </w:pPr>
            <w:r w:rsidRPr="000635C6">
              <w:rPr>
                <w:rFonts w:ascii="Arial" w:eastAsia="Arial" w:hAnsi="Arial" w:cs="Arial"/>
              </w:rPr>
              <w:t>Qualification Status List (QSL)</w:t>
            </w:r>
          </w:p>
          <w:p w14:paraId="4CFB07D9" w14:textId="77777777" w:rsidR="009A77E5" w:rsidRPr="000635C6" w:rsidRDefault="009A77E5" w:rsidP="009A77E5">
            <w:pPr>
              <w:numPr>
                <w:ilvl w:val="1"/>
                <w:numId w:val="18"/>
              </w:numPr>
              <w:suppressAutoHyphens/>
              <w:autoSpaceDN w:val="0"/>
              <w:textAlignment w:val="baseline"/>
              <w:rPr>
                <w:rFonts w:ascii="Arial" w:eastAsia="Arial" w:hAnsi="Arial" w:cs="Arial"/>
              </w:rPr>
            </w:pPr>
            <w:r w:rsidRPr="000635C6">
              <w:rPr>
                <w:rFonts w:ascii="Arial" w:eastAsia="Arial" w:hAnsi="Arial" w:cs="Arial"/>
              </w:rPr>
              <w:lastRenderedPageBreak/>
              <w:t>Critical Item List (CIL)</w:t>
            </w:r>
          </w:p>
          <w:p w14:paraId="5568EF5D" w14:textId="77777777" w:rsidR="009A77E5" w:rsidRPr="000635C6" w:rsidRDefault="009A77E5" w:rsidP="009A77E5">
            <w:pPr>
              <w:numPr>
                <w:ilvl w:val="1"/>
                <w:numId w:val="18"/>
              </w:numPr>
              <w:suppressAutoHyphens/>
              <w:autoSpaceDN w:val="0"/>
              <w:textAlignment w:val="baseline"/>
              <w:rPr>
                <w:rFonts w:ascii="Arial" w:eastAsia="Arial" w:hAnsi="Arial" w:cs="Arial"/>
              </w:rPr>
            </w:pPr>
            <w:r w:rsidRPr="000635C6">
              <w:rPr>
                <w:rFonts w:ascii="Arial" w:eastAsia="Arial" w:hAnsi="Arial" w:cs="Arial"/>
              </w:rPr>
              <w:t xml:space="preserve">Project Gantt Chart (from Phase B to Phase F inclusive) </w:t>
            </w:r>
          </w:p>
          <w:p w14:paraId="35B3B354" w14:textId="61D0396D" w:rsidR="009A77E5" w:rsidRPr="000635C6" w:rsidRDefault="009A77E5" w:rsidP="009A77E5">
            <w:pPr>
              <w:numPr>
                <w:ilvl w:val="1"/>
                <w:numId w:val="18"/>
              </w:numPr>
              <w:suppressAutoHyphens/>
              <w:autoSpaceDN w:val="0"/>
              <w:textAlignment w:val="baseline"/>
              <w:rPr>
                <w:rFonts w:ascii="Arial" w:eastAsia="Arial" w:hAnsi="Arial" w:cs="Arial"/>
              </w:rPr>
            </w:pPr>
            <w:r w:rsidRPr="000635C6">
              <w:rPr>
                <w:rFonts w:ascii="Arial" w:eastAsia="Arial" w:hAnsi="Arial" w:cs="Arial"/>
              </w:rPr>
              <w:t xml:space="preserve">ROM Cost Estimate (from Phase B to Phase F inclusive) </w:t>
            </w:r>
          </w:p>
          <w:p w14:paraId="49F3709C" w14:textId="77777777" w:rsidR="009A77E5" w:rsidRPr="00ED6946" w:rsidRDefault="009A77E5">
            <w:pPr>
              <w:suppressAutoHyphens/>
              <w:autoSpaceDN w:val="0"/>
              <w:textAlignment w:val="baseline"/>
              <w:rPr>
                <w:rFonts w:ascii="Arial" w:eastAsia="Arial" w:hAnsi="Arial" w:cs="Arial"/>
              </w:rPr>
            </w:pPr>
          </w:p>
        </w:tc>
      </w:tr>
      <w:tr w:rsidR="009A77E5" w:rsidRPr="00ED6946" w14:paraId="4172A5C8" w14:textId="77777777" w:rsidTr="666D20AB">
        <w:tc>
          <w:tcPr>
            <w:tcW w:w="8916" w:type="dxa"/>
            <w:shd w:val="clear" w:color="auto" w:fill="B3E5A1" w:themeFill="accent6" w:themeFillTint="66"/>
          </w:tcPr>
          <w:p w14:paraId="343F382A" w14:textId="77777777" w:rsidR="009A77E5" w:rsidRDefault="009A77E5">
            <w:pPr>
              <w:suppressAutoHyphens/>
              <w:autoSpaceDN w:val="0"/>
              <w:textAlignment w:val="baseline"/>
              <w:rPr>
                <w:rFonts w:ascii="Arial" w:eastAsia="Arial" w:hAnsi="Arial" w:cs="Arial"/>
                <w:b/>
                <w:bCs/>
              </w:rPr>
            </w:pPr>
            <w:r>
              <w:rPr>
                <w:rFonts w:ascii="Arial" w:eastAsia="Arial" w:hAnsi="Arial" w:cs="Arial"/>
                <w:b/>
                <w:bCs/>
              </w:rPr>
              <w:lastRenderedPageBreak/>
              <w:t>D</w:t>
            </w:r>
            <w:r w:rsidRPr="00DE08A4">
              <w:rPr>
                <w:rFonts w:ascii="Arial" w:eastAsia="Arial" w:hAnsi="Arial" w:cs="Arial"/>
                <w:b/>
                <w:bCs/>
              </w:rPr>
              <w:t>eliverable 1-</w:t>
            </w:r>
            <w:r>
              <w:rPr>
                <w:rFonts w:ascii="Arial" w:eastAsia="Arial" w:hAnsi="Arial" w:cs="Arial"/>
                <w:b/>
                <w:bCs/>
              </w:rPr>
              <w:t>6</w:t>
            </w:r>
            <w:r w:rsidRPr="00DE08A4">
              <w:rPr>
                <w:rFonts w:ascii="Arial" w:eastAsia="Arial" w:hAnsi="Arial" w:cs="Arial"/>
                <w:b/>
                <w:bCs/>
              </w:rPr>
              <w:t>.</w:t>
            </w:r>
            <w:r>
              <w:rPr>
                <w:rFonts w:ascii="Arial" w:eastAsia="Arial" w:hAnsi="Arial" w:cs="Arial"/>
                <w:b/>
                <w:bCs/>
              </w:rPr>
              <w:t xml:space="preserve"> Product assurance and risk.</w:t>
            </w:r>
          </w:p>
          <w:p w14:paraId="785A7620" w14:textId="77777777" w:rsidR="009A77E5" w:rsidRPr="00ED6946" w:rsidRDefault="009A77E5">
            <w:pPr>
              <w:suppressAutoHyphens/>
              <w:autoSpaceDN w:val="0"/>
              <w:textAlignment w:val="baseline"/>
              <w:rPr>
                <w:rFonts w:ascii="Arial" w:eastAsia="Arial" w:hAnsi="Arial" w:cs="Arial"/>
              </w:rPr>
            </w:pPr>
          </w:p>
        </w:tc>
      </w:tr>
      <w:tr w:rsidR="009A77E5" w:rsidRPr="00ED6946" w14:paraId="3B3E7DF6" w14:textId="77777777" w:rsidTr="666D20AB">
        <w:tc>
          <w:tcPr>
            <w:tcW w:w="8916" w:type="dxa"/>
          </w:tcPr>
          <w:p w14:paraId="664EC2BE" w14:textId="77777777" w:rsidR="009A77E5" w:rsidRDefault="009A77E5">
            <w:pPr>
              <w:suppressAutoHyphens/>
              <w:autoSpaceDN w:val="0"/>
              <w:textAlignment w:val="baseline"/>
              <w:rPr>
                <w:rFonts w:ascii="Arial" w:eastAsia="Arial" w:hAnsi="Arial" w:cs="Arial"/>
                <w:b/>
                <w:bCs/>
              </w:rPr>
            </w:pPr>
            <w:r w:rsidRPr="00385AE3">
              <w:rPr>
                <w:rFonts w:ascii="Arial" w:eastAsia="Arial" w:hAnsi="Arial" w:cs="Arial"/>
                <w:b/>
                <w:bCs/>
              </w:rPr>
              <w:t>Output:</w:t>
            </w:r>
          </w:p>
          <w:p w14:paraId="1A5011D5" w14:textId="77777777" w:rsidR="00587CBA" w:rsidRPr="00385AE3" w:rsidRDefault="00587CBA">
            <w:pPr>
              <w:suppressAutoHyphens/>
              <w:autoSpaceDN w:val="0"/>
              <w:textAlignment w:val="baseline"/>
              <w:rPr>
                <w:rFonts w:ascii="Arial" w:eastAsia="Arial" w:hAnsi="Arial" w:cs="Arial"/>
                <w:b/>
                <w:bCs/>
              </w:rPr>
            </w:pPr>
          </w:p>
          <w:p w14:paraId="7691F219" w14:textId="77777777" w:rsidR="009A77E5" w:rsidRPr="0082749A" w:rsidRDefault="009A77E5" w:rsidP="009A77E5">
            <w:pPr>
              <w:numPr>
                <w:ilvl w:val="1"/>
                <w:numId w:val="18"/>
              </w:numPr>
              <w:suppressAutoHyphens/>
              <w:autoSpaceDN w:val="0"/>
              <w:textAlignment w:val="baseline"/>
              <w:rPr>
                <w:rFonts w:ascii="Arial" w:eastAsia="Arial" w:hAnsi="Arial" w:cs="Arial"/>
              </w:rPr>
            </w:pPr>
            <w:r w:rsidRPr="0082749A">
              <w:rPr>
                <w:rFonts w:ascii="Arial" w:eastAsia="Arial" w:hAnsi="Arial" w:cs="Arial"/>
              </w:rPr>
              <w:t xml:space="preserve">Product Assurance Plan </w:t>
            </w:r>
          </w:p>
          <w:p w14:paraId="5801ABAE" w14:textId="0A1A3F5A" w:rsidR="009A77E5" w:rsidRPr="0082749A" w:rsidRDefault="009A77E5" w:rsidP="009A77E5">
            <w:pPr>
              <w:numPr>
                <w:ilvl w:val="1"/>
                <w:numId w:val="18"/>
              </w:numPr>
              <w:suppressAutoHyphens/>
              <w:autoSpaceDN w:val="0"/>
              <w:textAlignment w:val="baseline"/>
              <w:rPr>
                <w:rFonts w:ascii="Arial" w:eastAsia="Arial" w:hAnsi="Arial" w:cs="Arial"/>
              </w:rPr>
            </w:pPr>
            <w:r w:rsidRPr="666D20AB">
              <w:rPr>
                <w:rFonts w:ascii="Arial" w:eastAsia="Arial" w:hAnsi="Arial" w:cs="Arial"/>
              </w:rPr>
              <w:t xml:space="preserve">Safety Analysis Report </w:t>
            </w:r>
          </w:p>
          <w:p w14:paraId="53242321" w14:textId="77777777" w:rsidR="009A77E5" w:rsidRPr="0082749A" w:rsidRDefault="009A77E5" w:rsidP="009A77E5">
            <w:pPr>
              <w:numPr>
                <w:ilvl w:val="1"/>
                <w:numId w:val="18"/>
              </w:numPr>
              <w:suppressAutoHyphens/>
              <w:autoSpaceDN w:val="0"/>
              <w:textAlignment w:val="baseline"/>
              <w:rPr>
                <w:rFonts w:ascii="Arial" w:eastAsia="Arial" w:hAnsi="Arial" w:cs="Arial"/>
              </w:rPr>
            </w:pPr>
            <w:r w:rsidRPr="0082749A">
              <w:rPr>
                <w:rFonts w:ascii="Arial" w:eastAsia="Arial" w:hAnsi="Arial" w:cs="Arial"/>
              </w:rPr>
              <w:t>Risk Management Plan and Report (including risk register)</w:t>
            </w:r>
          </w:p>
          <w:p w14:paraId="25720268" w14:textId="631565E9" w:rsidR="009A77E5" w:rsidRPr="001A5870" w:rsidRDefault="009A77E5">
            <w:pPr>
              <w:numPr>
                <w:ilvl w:val="1"/>
                <w:numId w:val="18"/>
              </w:numPr>
              <w:suppressAutoHyphens/>
              <w:autoSpaceDN w:val="0"/>
              <w:textAlignment w:val="baseline"/>
              <w:rPr>
                <w:rFonts w:ascii="Arial" w:eastAsia="Arial" w:hAnsi="Arial" w:cs="Arial"/>
              </w:rPr>
            </w:pPr>
            <w:r w:rsidRPr="0082749A">
              <w:rPr>
                <w:rFonts w:ascii="Arial" w:eastAsia="Arial" w:hAnsi="Arial" w:cs="Arial"/>
              </w:rPr>
              <w:t>Proposed Standards Baseline Report</w:t>
            </w:r>
            <w:r w:rsidRPr="001A5870">
              <w:rPr>
                <w:rFonts w:ascii="Arial" w:eastAsia="Arial" w:hAnsi="Arial" w:cs="Arial"/>
              </w:rPr>
              <w:t xml:space="preserve"> </w:t>
            </w:r>
          </w:p>
          <w:p w14:paraId="21D31E4F" w14:textId="77777777" w:rsidR="009A77E5" w:rsidRPr="00ED6946" w:rsidRDefault="009A77E5">
            <w:pPr>
              <w:suppressAutoHyphens/>
              <w:autoSpaceDN w:val="0"/>
              <w:textAlignment w:val="baseline"/>
              <w:rPr>
                <w:rFonts w:ascii="Arial" w:eastAsia="Arial" w:hAnsi="Arial" w:cs="Arial"/>
              </w:rPr>
            </w:pPr>
          </w:p>
        </w:tc>
      </w:tr>
    </w:tbl>
    <w:p w14:paraId="42294016" w14:textId="3ADB4858" w:rsidR="63C2784F" w:rsidRDefault="63C2784F"/>
    <w:p w14:paraId="060D6175" w14:textId="77777777" w:rsidR="00DC40BD" w:rsidRDefault="00DC40BD" w:rsidP="000B7418"/>
    <w:p w14:paraId="010DB109" w14:textId="26CEEEC3" w:rsidR="009A4878" w:rsidRDefault="00276E4D" w:rsidP="000B7418">
      <w:r>
        <w:t xml:space="preserve">The contract applicant may choose to provide additional documentation to support their </w:t>
      </w:r>
      <w:proofErr w:type="gramStart"/>
      <w:r>
        <w:t>submission, and</w:t>
      </w:r>
      <w:proofErr w:type="gramEnd"/>
      <w:r>
        <w:t xml:space="preserve"> strengthen evidence they meet the </w:t>
      </w:r>
      <w:r w:rsidR="00DC40BD">
        <w:t xml:space="preserve">review criteria presented in Section </w:t>
      </w:r>
      <w:r w:rsidR="009A4878">
        <w:fldChar w:fldCharType="begin"/>
      </w:r>
      <w:r w:rsidR="009A4878">
        <w:instrText xml:space="preserve"> REF _Ref165449832 \r \h </w:instrText>
      </w:r>
      <w:r w:rsidR="009A4878">
        <w:fldChar w:fldCharType="separate"/>
      </w:r>
      <w:r w:rsidR="009A4878">
        <w:t>1.1</w:t>
      </w:r>
      <w:r w:rsidR="009A4878">
        <w:fldChar w:fldCharType="end"/>
      </w:r>
      <w:r w:rsidR="009A4878">
        <w:t xml:space="preserve">. </w:t>
      </w:r>
    </w:p>
    <w:p w14:paraId="030B8AFA" w14:textId="77777777" w:rsidR="009A4878" w:rsidRDefault="009A4878" w:rsidP="000B7418"/>
    <w:sectPr w:rsidR="009A48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01A3" w14:textId="77777777" w:rsidR="00FC5C54" w:rsidRDefault="00FC5C54" w:rsidP="009A77E5">
      <w:pPr>
        <w:spacing w:after="0" w:line="240" w:lineRule="auto"/>
      </w:pPr>
      <w:r>
        <w:separator/>
      </w:r>
    </w:p>
  </w:endnote>
  <w:endnote w:type="continuationSeparator" w:id="0">
    <w:p w14:paraId="6182EFB5" w14:textId="77777777" w:rsidR="00FC5C54" w:rsidRDefault="00FC5C54" w:rsidP="009A77E5">
      <w:pPr>
        <w:spacing w:after="0" w:line="240" w:lineRule="auto"/>
      </w:pPr>
      <w:r>
        <w:continuationSeparator/>
      </w:r>
    </w:p>
  </w:endnote>
  <w:endnote w:type="continuationNotice" w:id="1">
    <w:p w14:paraId="7335F102" w14:textId="77777777" w:rsidR="00FC5C54" w:rsidRDefault="00FC5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93B94" w14:textId="77777777" w:rsidR="00FC5C54" w:rsidRDefault="00FC5C54" w:rsidP="009A77E5">
      <w:pPr>
        <w:spacing w:after="0" w:line="240" w:lineRule="auto"/>
      </w:pPr>
      <w:r>
        <w:separator/>
      </w:r>
    </w:p>
  </w:footnote>
  <w:footnote w:type="continuationSeparator" w:id="0">
    <w:p w14:paraId="41A9E81E" w14:textId="77777777" w:rsidR="00FC5C54" w:rsidRDefault="00FC5C54" w:rsidP="009A77E5">
      <w:pPr>
        <w:spacing w:after="0" w:line="240" w:lineRule="auto"/>
      </w:pPr>
      <w:r>
        <w:continuationSeparator/>
      </w:r>
    </w:p>
  </w:footnote>
  <w:footnote w:type="continuationNotice" w:id="1">
    <w:p w14:paraId="1AC7DDBD" w14:textId="77777777" w:rsidR="00FC5C54" w:rsidRDefault="00FC5C54">
      <w:pPr>
        <w:spacing w:after="0" w:line="240" w:lineRule="auto"/>
      </w:pPr>
    </w:p>
  </w:footnote>
  <w:footnote w:id="2">
    <w:p w14:paraId="532FDA8F" w14:textId="11FB8E7D" w:rsidR="008C242F" w:rsidRDefault="008C242F">
      <w:pPr>
        <w:pStyle w:val="FootnoteText"/>
      </w:pPr>
      <w:r>
        <w:rPr>
          <w:rStyle w:val="FootnoteReference"/>
        </w:rPr>
        <w:footnoteRef/>
      </w:r>
      <w:r w:rsidR="7094A283">
        <w:t xml:space="preserve"> Note whilst UKSA do not mandate compliance to ECSS throughout this project, this reference document provides an appropriate overview of expected quality and maturity for the Preliminary Design.</w:t>
      </w:r>
    </w:p>
  </w:footnote>
  <w:footnote w:id="3">
    <w:p w14:paraId="1128E1EF" w14:textId="21D8CD39" w:rsidR="00691905" w:rsidRPr="00691905" w:rsidRDefault="00691905" w:rsidP="00691905">
      <w:pPr>
        <w:suppressAutoHyphens/>
        <w:autoSpaceDN w:val="0"/>
        <w:textAlignment w:val="baseline"/>
        <w:rPr>
          <w:rFonts w:ascii="Arial" w:eastAsia="Arial" w:hAnsi="Arial" w:cs="Arial"/>
          <w:b/>
          <w:bCs/>
        </w:rPr>
      </w:pPr>
      <w:r>
        <w:rPr>
          <w:rStyle w:val="FootnoteReference"/>
        </w:rPr>
        <w:footnoteRef/>
      </w:r>
      <w:r>
        <w:t xml:space="preserve"> </w:t>
      </w:r>
      <w:r w:rsidRPr="001139D0">
        <w:rPr>
          <w:kern w:val="0"/>
          <w:sz w:val="20"/>
          <w:szCs w:val="20"/>
          <w14:ligatures w14:val="none"/>
        </w:rPr>
        <w:t>It is expected that if primary and secondary (or even tertiary) payloads are part of the design this report will cover all of them but the applicant may choose to issue separate reports for each payload. In this case the applicant must assure that one or more report provides an overall summary of all the payloads’ accommodation/budgets/operational concept such that overall consistency of the payloads’ design/operations can be easily understood.</w:t>
      </w:r>
    </w:p>
  </w:footnote>
  <w:footnote w:id="4">
    <w:p w14:paraId="352ACA55" w14:textId="006D3246" w:rsidR="009A77E5" w:rsidRDefault="009A77E5" w:rsidP="009A77E5">
      <w:pPr>
        <w:pStyle w:val="FootnoteText"/>
      </w:pPr>
      <w:r>
        <w:rPr>
          <w:rStyle w:val="FootnoteReference"/>
        </w:rPr>
        <w:footnoteRef/>
      </w:r>
      <w:r>
        <w:t xml:space="preserve"> </w:t>
      </w:r>
      <w:r w:rsidR="00A6217E" w:rsidRPr="00A6217E">
        <w:t xml:space="preserve">To allow acceptance of </w:t>
      </w:r>
      <w:r w:rsidR="00451F26">
        <w:t xml:space="preserve">all </w:t>
      </w:r>
      <w:r w:rsidR="00A6217E" w:rsidRPr="00A6217E">
        <w:t>deliverables</w:t>
      </w:r>
      <w:r w:rsidR="005B689F">
        <w:t xml:space="preserve"> milestones</w:t>
      </w:r>
      <w:r w:rsidR="00A6217E" w:rsidRPr="00A6217E">
        <w:t xml:space="preserve">, the Authority will require access to any document, data, procedure, </w:t>
      </w:r>
      <w:r w:rsidR="00DB3BE0" w:rsidRPr="00A6217E">
        <w:t>specification,</w:t>
      </w:r>
      <w:r w:rsidR="00A6217E" w:rsidRPr="00A6217E">
        <w:t xml:space="preserve"> or equivalent process/ document relied upon to demonstrate completion of the task. Documents will need to be provided to the Authority to allow for assurance to be undertaken and successful acceptance of deliverables. Failure to provide the Authority with access to any document, data etc. relied upon to demonstrate successful completion of a milestone, may result in the deliverable being rejected</w:t>
      </w:r>
      <w:r w:rsidRPr="00392F99">
        <w:t>.</w:t>
      </w:r>
    </w:p>
  </w:footnote>
  <w:footnote w:id="5">
    <w:p w14:paraId="45A0F173" w14:textId="77777777" w:rsidR="009A77E5" w:rsidRDefault="009A77E5" w:rsidP="009A77E5">
      <w:pPr>
        <w:pStyle w:val="FootnoteText"/>
      </w:pPr>
      <w:r>
        <w:rPr>
          <w:rStyle w:val="FootnoteReference"/>
        </w:rPr>
        <w:footnoteRef/>
      </w:r>
      <w:r>
        <w:t xml:space="preserve"> Format for these deliverables is up to the applicant but must be clear and be easily accessible.</w:t>
      </w:r>
    </w:p>
  </w:footnote>
  <w:footnote w:id="6">
    <w:p w14:paraId="4A5BA90F" w14:textId="77777777" w:rsidR="009A77E5" w:rsidRDefault="009A77E5" w:rsidP="009A77E5">
      <w:pPr>
        <w:pStyle w:val="FootnoteText"/>
      </w:pPr>
      <w:r>
        <w:rPr>
          <w:rStyle w:val="FootnoteReference"/>
        </w:rPr>
        <w:footnoteRef/>
      </w:r>
      <w:r>
        <w:t xml:space="preserve"> Contractor’s are encouraged to consult the ECSS TRL guidelines/handbook </w:t>
      </w:r>
      <w:r w:rsidRPr="00722CB7">
        <w:t>ECSS-E-HB-11A</w:t>
      </w:r>
      <w:r>
        <w:t xml:space="preserve"> when performing their TRL assessments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B91"/>
    <w:multiLevelType w:val="multilevel"/>
    <w:tmpl w:val="F80ECD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80EB1"/>
    <w:multiLevelType w:val="multilevel"/>
    <w:tmpl w:val="873435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35CDE"/>
    <w:multiLevelType w:val="multilevel"/>
    <w:tmpl w:val="E8709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22D27"/>
    <w:multiLevelType w:val="multilevel"/>
    <w:tmpl w:val="FFB46B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2EFA2"/>
    <w:multiLevelType w:val="hybridMultilevel"/>
    <w:tmpl w:val="FFFFFFFF"/>
    <w:lvl w:ilvl="0" w:tplc="82C8B9E6">
      <w:start w:val="1"/>
      <w:numFmt w:val="bullet"/>
      <w:lvlText w:val=""/>
      <w:lvlJc w:val="left"/>
      <w:pPr>
        <w:ind w:left="720" w:hanging="360"/>
      </w:pPr>
      <w:rPr>
        <w:rFonts w:ascii="Symbol" w:hAnsi="Symbol" w:hint="default"/>
      </w:rPr>
    </w:lvl>
    <w:lvl w:ilvl="1" w:tplc="55924BCA">
      <w:start w:val="1"/>
      <w:numFmt w:val="bullet"/>
      <w:lvlText w:val="o"/>
      <w:lvlJc w:val="left"/>
      <w:pPr>
        <w:ind w:left="1440" w:hanging="360"/>
      </w:pPr>
      <w:rPr>
        <w:rFonts w:ascii="Courier New" w:hAnsi="Courier New" w:hint="default"/>
      </w:rPr>
    </w:lvl>
    <w:lvl w:ilvl="2" w:tplc="02ACF0A8">
      <w:start w:val="1"/>
      <w:numFmt w:val="bullet"/>
      <w:lvlText w:val=""/>
      <w:lvlJc w:val="left"/>
      <w:pPr>
        <w:ind w:left="2160" w:hanging="360"/>
      </w:pPr>
      <w:rPr>
        <w:rFonts w:ascii="Wingdings" w:hAnsi="Wingdings" w:hint="default"/>
      </w:rPr>
    </w:lvl>
    <w:lvl w:ilvl="3" w:tplc="183655F6">
      <w:start w:val="1"/>
      <w:numFmt w:val="bullet"/>
      <w:lvlText w:val=""/>
      <w:lvlJc w:val="left"/>
      <w:pPr>
        <w:ind w:left="2880" w:hanging="360"/>
      </w:pPr>
      <w:rPr>
        <w:rFonts w:ascii="Symbol" w:hAnsi="Symbol" w:hint="default"/>
      </w:rPr>
    </w:lvl>
    <w:lvl w:ilvl="4" w:tplc="244E4DF8">
      <w:start w:val="1"/>
      <w:numFmt w:val="bullet"/>
      <w:lvlText w:val="o"/>
      <w:lvlJc w:val="left"/>
      <w:pPr>
        <w:ind w:left="3600" w:hanging="360"/>
      </w:pPr>
      <w:rPr>
        <w:rFonts w:ascii="Courier New" w:hAnsi="Courier New" w:hint="default"/>
      </w:rPr>
    </w:lvl>
    <w:lvl w:ilvl="5" w:tplc="733C2F76">
      <w:start w:val="1"/>
      <w:numFmt w:val="bullet"/>
      <w:lvlText w:val=""/>
      <w:lvlJc w:val="left"/>
      <w:pPr>
        <w:ind w:left="4320" w:hanging="360"/>
      </w:pPr>
      <w:rPr>
        <w:rFonts w:ascii="Wingdings" w:hAnsi="Wingdings" w:hint="default"/>
      </w:rPr>
    </w:lvl>
    <w:lvl w:ilvl="6" w:tplc="0FFC85AA">
      <w:start w:val="1"/>
      <w:numFmt w:val="bullet"/>
      <w:lvlText w:val=""/>
      <w:lvlJc w:val="left"/>
      <w:pPr>
        <w:ind w:left="5040" w:hanging="360"/>
      </w:pPr>
      <w:rPr>
        <w:rFonts w:ascii="Symbol" w:hAnsi="Symbol" w:hint="default"/>
      </w:rPr>
    </w:lvl>
    <w:lvl w:ilvl="7" w:tplc="37C00958">
      <w:start w:val="1"/>
      <w:numFmt w:val="bullet"/>
      <w:lvlText w:val="o"/>
      <w:lvlJc w:val="left"/>
      <w:pPr>
        <w:ind w:left="5760" w:hanging="360"/>
      </w:pPr>
      <w:rPr>
        <w:rFonts w:ascii="Courier New" w:hAnsi="Courier New" w:hint="default"/>
      </w:rPr>
    </w:lvl>
    <w:lvl w:ilvl="8" w:tplc="CFCA29AE">
      <w:start w:val="1"/>
      <w:numFmt w:val="bullet"/>
      <w:lvlText w:val=""/>
      <w:lvlJc w:val="left"/>
      <w:pPr>
        <w:ind w:left="6480" w:hanging="360"/>
      </w:pPr>
      <w:rPr>
        <w:rFonts w:ascii="Wingdings" w:hAnsi="Wingdings" w:hint="default"/>
      </w:rPr>
    </w:lvl>
  </w:abstractNum>
  <w:abstractNum w:abstractNumId="5" w15:restartNumberingAfterBreak="0">
    <w:nsid w:val="1C40020D"/>
    <w:multiLevelType w:val="multilevel"/>
    <w:tmpl w:val="BFC212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801B9"/>
    <w:multiLevelType w:val="multilevel"/>
    <w:tmpl w:val="9648C8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D7DBE"/>
    <w:multiLevelType w:val="multilevel"/>
    <w:tmpl w:val="76CAA9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96956"/>
    <w:multiLevelType w:val="multilevel"/>
    <w:tmpl w:val="CAC69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2202C"/>
    <w:multiLevelType w:val="hybridMultilevel"/>
    <w:tmpl w:val="C1FA3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0160E"/>
    <w:multiLevelType w:val="multilevel"/>
    <w:tmpl w:val="ACA0E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56522B"/>
    <w:multiLevelType w:val="multilevel"/>
    <w:tmpl w:val="264CA0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17E0C"/>
    <w:multiLevelType w:val="multilevel"/>
    <w:tmpl w:val="BA306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A03A4"/>
    <w:multiLevelType w:val="multilevel"/>
    <w:tmpl w:val="9B5C8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6A4644"/>
    <w:multiLevelType w:val="hybridMultilevel"/>
    <w:tmpl w:val="A19C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80A25"/>
    <w:multiLevelType w:val="multilevel"/>
    <w:tmpl w:val="BA54E2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902556"/>
    <w:multiLevelType w:val="multilevel"/>
    <w:tmpl w:val="3F1EF3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252BBB"/>
    <w:multiLevelType w:val="multilevel"/>
    <w:tmpl w:val="7C1CD482"/>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38B5E62"/>
    <w:multiLevelType w:val="hybridMultilevel"/>
    <w:tmpl w:val="0BA6623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04621605">
    <w:abstractNumId w:val="14"/>
  </w:num>
  <w:num w:numId="2" w16cid:durableId="1791237592">
    <w:abstractNumId w:val="16"/>
  </w:num>
  <w:num w:numId="3" w16cid:durableId="1721201153">
    <w:abstractNumId w:val="10"/>
  </w:num>
  <w:num w:numId="4" w16cid:durableId="1191337041">
    <w:abstractNumId w:val="13"/>
  </w:num>
  <w:num w:numId="5" w16cid:durableId="72511716">
    <w:abstractNumId w:val="8"/>
  </w:num>
  <w:num w:numId="6" w16cid:durableId="1896621185">
    <w:abstractNumId w:val="12"/>
  </w:num>
  <w:num w:numId="7" w16cid:durableId="251790305">
    <w:abstractNumId w:val="3"/>
  </w:num>
  <w:num w:numId="8" w16cid:durableId="376009770">
    <w:abstractNumId w:val="7"/>
  </w:num>
  <w:num w:numId="9" w16cid:durableId="1717847653">
    <w:abstractNumId w:val="6"/>
  </w:num>
  <w:num w:numId="10" w16cid:durableId="134107829">
    <w:abstractNumId w:val="2"/>
  </w:num>
  <w:num w:numId="11" w16cid:durableId="1725714962">
    <w:abstractNumId w:val="11"/>
  </w:num>
  <w:num w:numId="12" w16cid:durableId="423575578">
    <w:abstractNumId w:val="0"/>
  </w:num>
  <w:num w:numId="13" w16cid:durableId="1186560286">
    <w:abstractNumId w:val="5"/>
  </w:num>
  <w:num w:numId="14" w16cid:durableId="1001658700">
    <w:abstractNumId w:val="15"/>
  </w:num>
  <w:num w:numId="15" w16cid:durableId="1313215663">
    <w:abstractNumId w:val="1"/>
  </w:num>
  <w:num w:numId="16" w16cid:durableId="1796408461">
    <w:abstractNumId w:val="9"/>
  </w:num>
  <w:num w:numId="17" w16cid:durableId="256794298">
    <w:abstractNumId w:val="4"/>
  </w:num>
  <w:num w:numId="18" w16cid:durableId="643198400">
    <w:abstractNumId w:val="18"/>
  </w:num>
  <w:num w:numId="19" w16cid:durableId="949119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18"/>
    <w:rsid w:val="00000D0B"/>
    <w:rsid w:val="00016E33"/>
    <w:rsid w:val="00020CE4"/>
    <w:rsid w:val="00031BEC"/>
    <w:rsid w:val="000359F9"/>
    <w:rsid w:val="0004326A"/>
    <w:rsid w:val="00052916"/>
    <w:rsid w:val="00064DB1"/>
    <w:rsid w:val="000B192A"/>
    <w:rsid w:val="000B7418"/>
    <w:rsid w:val="000B7E3D"/>
    <w:rsid w:val="000D211B"/>
    <w:rsid w:val="00104D74"/>
    <w:rsid w:val="0011100A"/>
    <w:rsid w:val="001139D0"/>
    <w:rsid w:val="001142FC"/>
    <w:rsid w:val="00127903"/>
    <w:rsid w:val="00135362"/>
    <w:rsid w:val="001360B7"/>
    <w:rsid w:val="00165B55"/>
    <w:rsid w:val="00197CF0"/>
    <w:rsid w:val="001A0712"/>
    <w:rsid w:val="001A2912"/>
    <w:rsid w:val="001A5870"/>
    <w:rsid w:val="001A62EC"/>
    <w:rsid w:val="001A7310"/>
    <w:rsid w:val="001B466A"/>
    <w:rsid w:val="001D642F"/>
    <w:rsid w:val="001E075A"/>
    <w:rsid w:val="001E6AF6"/>
    <w:rsid w:val="001F3260"/>
    <w:rsid w:val="001F7208"/>
    <w:rsid w:val="00215A2A"/>
    <w:rsid w:val="002403E4"/>
    <w:rsid w:val="00244EA0"/>
    <w:rsid w:val="0024686B"/>
    <w:rsid w:val="00251B60"/>
    <w:rsid w:val="002620FE"/>
    <w:rsid w:val="00271DC5"/>
    <w:rsid w:val="00276E4D"/>
    <w:rsid w:val="002A1B7C"/>
    <w:rsid w:val="002A2313"/>
    <w:rsid w:val="002B10AB"/>
    <w:rsid w:val="002B2FC8"/>
    <w:rsid w:val="002C56A8"/>
    <w:rsid w:val="002D4550"/>
    <w:rsid w:val="002E6C6A"/>
    <w:rsid w:val="0030514E"/>
    <w:rsid w:val="00334587"/>
    <w:rsid w:val="00344138"/>
    <w:rsid w:val="00350000"/>
    <w:rsid w:val="00355F5F"/>
    <w:rsid w:val="003660BC"/>
    <w:rsid w:val="00374CA5"/>
    <w:rsid w:val="0038168C"/>
    <w:rsid w:val="00387B13"/>
    <w:rsid w:val="003940B6"/>
    <w:rsid w:val="003C0DA5"/>
    <w:rsid w:val="003C43CD"/>
    <w:rsid w:val="003D133B"/>
    <w:rsid w:val="003E394C"/>
    <w:rsid w:val="003F7222"/>
    <w:rsid w:val="003F7542"/>
    <w:rsid w:val="003F7DDD"/>
    <w:rsid w:val="00415FB7"/>
    <w:rsid w:val="00416795"/>
    <w:rsid w:val="00426CF1"/>
    <w:rsid w:val="00437AA9"/>
    <w:rsid w:val="00447C56"/>
    <w:rsid w:val="00451F26"/>
    <w:rsid w:val="00457F3D"/>
    <w:rsid w:val="0046378B"/>
    <w:rsid w:val="004831A7"/>
    <w:rsid w:val="004C7806"/>
    <w:rsid w:val="004D0966"/>
    <w:rsid w:val="004D336A"/>
    <w:rsid w:val="004F514B"/>
    <w:rsid w:val="00525E8C"/>
    <w:rsid w:val="00551E15"/>
    <w:rsid w:val="00565271"/>
    <w:rsid w:val="00573210"/>
    <w:rsid w:val="005835A5"/>
    <w:rsid w:val="0058361E"/>
    <w:rsid w:val="00587CBA"/>
    <w:rsid w:val="00595B03"/>
    <w:rsid w:val="005A1A7F"/>
    <w:rsid w:val="005A48FB"/>
    <w:rsid w:val="005A6833"/>
    <w:rsid w:val="005B689F"/>
    <w:rsid w:val="005C218C"/>
    <w:rsid w:val="005C650C"/>
    <w:rsid w:val="005D13E0"/>
    <w:rsid w:val="005D3613"/>
    <w:rsid w:val="005E0239"/>
    <w:rsid w:val="00602C11"/>
    <w:rsid w:val="006055F2"/>
    <w:rsid w:val="00625D13"/>
    <w:rsid w:val="00634FFD"/>
    <w:rsid w:val="00650911"/>
    <w:rsid w:val="00654C2B"/>
    <w:rsid w:val="006663F0"/>
    <w:rsid w:val="00680BD3"/>
    <w:rsid w:val="0068787B"/>
    <w:rsid w:val="00691905"/>
    <w:rsid w:val="006B2956"/>
    <w:rsid w:val="006C76C3"/>
    <w:rsid w:val="006E69CF"/>
    <w:rsid w:val="006F5942"/>
    <w:rsid w:val="00724AD9"/>
    <w:rsid w:val="00732965"/>
    <w:rsid w:val="00737CEF"/>
    <w:rsid w:val="007424F8"/>
    <w:rsid w:val="007679BA"/>
    <w:rsid w:val="00773356"/>
    <w:rsid w:val="007825EA"/>
    <w:rsid w:val="0078339F"/>
    <w:rsid w:val="007B7E35"/>
    <w:rsid w:val="007C5F7E"/>
    <w:rsid w:val="007F1B67"/>
    <w:rsid w:val="00803E61"/>
    <w:rsid w:val="0081707E"/>
    <w:rsid w:val="00831C37"/>
    <w:rsid w:val="0084020A"/>
    <w:rsid w:val="00874AE9"/>
    <w:rsid w:val="008818C4"/>
    <w:rsid w:val="00892468"/>
    <w:rsid w:val="00897472"/>
    <w:rsid w:val="008A7F21"/>
    <w:rsid w:val="008B5D35"/>
    <w:rsid w:val="008C242F"/>
    <w:rsid w:val="008D3A2F"/>
    <w:rsid w:val="008D3FA3"/>
    <w:rsid w:val="008F77DC"/>
    <w:rsid w:val="009038AF"/>
    <w:rsid w:val="00912BE5"/>
    <w:rsid w:val="0092006E"/>
    <w:rsid w:val="00922235"/>
    <w:rsid w:val="00924148"/>
    <w:rsid w:val="009256CD"/>
    <w:rsid w:val="009368CD"/>
    <w:rsid w:val="00957C7E"/>
    <w:rsid w:val="00965EFC"/>
    <w:rsid w:val="009822BC"/>
    <w:rsid w:val="00990E5F"/>
    <w:rsid w:val="0099288F"/>
    <w:rsid w:val="00996848"/>
    <w:rsid w:val="00996F73"/>
    <w:rsid w:val="009A1134"/>
    <w:rsid w:val="009A4878"/>
    <w:rsid w:val="009A5379"/>
    <w:rsid w:val="009A77E5"/>
    <w:rsid w:val="009B0237"/>
    <w:rsid w:val="009B0F67"/>
    <w:rsid w:val="009C1B47"/>
    <w:rsid w:val="009C74D8"/>
    <w:rsid w:val="009E3F4E"/>
    <w:rsid w:val="009F6F40"/>
    <w:rsid w:val="00A27575"/>
    <w:rsid w:val="00A40BED"/>
    <w:rsid w:val="00A6217E"/>
    <w:rsid w:val="00A6739F"/>
    <w:rsid w:val="00A762C5"/>
    <w:rsid w:val="00A94764"/>
    <w:rsid w:val="00AB079F"/>
    <w:rsid w:val="00AC284A"/>
    <w:rsid w:val="00AD149A"/>
    <w:rsid w:val="00AD4D5E"/>
    <w:rsid w:val="00AE61EE"/>
    <w:rsid w:val="00B2787C"/>
    <w:rsid w:val="00B46B2D"/>
    <w:rsid w:val="00B5713E"/>
    <w:rsid w:val="00B62A59"/>
    <w:rsid w:val="00B75293"/>
    <w:rsid w:val="00B924AB"/>
    <w:rsid w:val="00BA04AE"/>
    <w:rsid w:val="00BC07CA"/>
    <w:rsid w:val="00BE0F24"/>
    <w:rsid w:val="00C01659"/>
    <w:rsid w:val="00C21EC8"/>
    <w:rsid w:val="00C23FCE"/>
    <w:rsid w:val="00C67A11"/>
    <w:rsid w:val="00C879BB"/>
    <w:rsid w:val="00CB3EB1"/>
    <w:rsid w:val="00CB47EB"/>
    <w:rsid w:val="00CC48B0"/>
    <w:rsid w:val="00CC67C6"/>
    <w:rsid w:val="00CC6854"/>
    <w:rsid w:val="00CC7CFB"/>
    <w:rsid w:val="00CD0A19"/>
    <w:rsid w:val="00CE2AC8"/>
    <w:rsid w:val="00CE61BA"/>
    <w:rsid w:val="00D14354"/>
    <w:rsid w:val="00D43025"/>
    <w:rsid w:val="00D60B6A"/>
    <w:rsid w:val="00D81E59"/>
    <w:rsid w:val="00DA2575"/>
    <w:rsid w:val="00DA64E7"/>
    <w:rsid w:val="00DB3BE0"/>
    <w:rsid w:val="00DC19E8"/>
    <w:rsid w:val="00DC40BD"/>
    <w:rsid w:val="00DD0FB3"/>
    <w:rsid w:val="00DD3D37"/>
    <w:rsid w:val="00DD6881"/>
    <w:rsid w:val="00DE0C03"/>
    <w:rsid w:val="00DE4E2A"/>
    <w:rsid w:val="00DE68F7"/>
    <w:rsid w:val="00DE6AF9"/>
    <w:rsid w:val="00E03FC4"/>
    <w:rsid w:val="00E13C77"/>
    <w:rsid w:val="00E13F76"/>
    <w:rsid w:val="00E36F47"/>
    <w:rsid w:val="00E6489E"/>
    <w:rsid w:val="00E81149"/>
    <w:rsid w:val="00E95366"/>
    <w:rsid w:val="00E95899"/>
    <w:rsid w:val="00E97256"/>
    <w:rsid w:val="00EF5CF7"/>
    <w:rsid w:val="00F35E2B"/>
    <w:rsid w:val="00F62F09"/>
    <w:rsid w:val="00F81557"/>
    <w:rsid w:val="00F87DE3"/>
    <w:rsid w:val="00F92021"/>
    <w:rsid w:val="00FC3BAB"/>
    <w:rsid w:val="00FC5C54"/>
    <w:rsid w:val="0E2B859B"/>
    <w:rsid w:val="28843920"/>
    <w:rsid w:val="311093CC"/>
    <w:rsid w:val="3B1DD997"/>
    <w:rsid w:val="45741F59"/>
    <w:rsid w:val="51C614F0"/>
    <w:rsid w:val="528C08E2"/>
    <w:rsid w:val="5807F44B"/>
    <w:rsid w:val="63C2784F"/>
    <w:rsid w:val="666D20AB"/>
    <w:rsid w:val="694547E2"/>
    <w:rsid w:val="6DBEE950"/>
    <w:rsid w:val="7094A283"/>
    <w:rsid w:val="7A56E1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F5AC"/>
  <w15:chartTrackingRefBased/>
  <w15:docId w15:val="{1DF54EFE-1D07-4E65-8F1E-8C4E0ED9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418"/>
    <w:rPr>
      <w:rFonts w:eastAsiaTheme="majorEastAsia" w:cstheme="majorBidi"/>
      <w:color w:val="272727" w:themeColor="text1" w:themeTint="D8"/>
    </w:rPr>
  </w:style>
  <w:style w:type="paragraph" w:styleId="Title">
    <w:name w:val="Title"/>
    <w:basedOn w:val="Normal"/>
    <w:next w:val="Normal"/>
    <w:link w:val="TitleChar"/>
    <w:uiPriority w:val="10"/>
    <w:qFormat/>
    <w:rsid w:val="000B7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418"/>
    <w:pPr>
      <w:spacing w:before="160"/>
      <w:jc w:val="center"/>
    </w:pPr>
    <w:rPr>
      <w:i/>
      <w:iCs/>
      <w:color w:val="404040" w:themeColor="text1" w:themeTint="BF"/>
    </w:rPr>
  </w:style>
  <w:style w:type="character" w:customStyle="1" w:styleId="QuoteChar">
    <w:name w:val="Quote Char"/>
    <w:basedOn w:val="DefaultParagraphFont"/>
    <w:link w:val="Quote"/>
    <w:uiPriority w:val="29"/>
    <w:rsid w:val="000B7418"/>
    <w:rPr>
      <w:i/>
      <w:iCs/>
      <w:color w:val="404040" w:themeColor="text1" w:themeTint="BF"/>
    </w:rPr>
  </w:style>
  <w:style w:type="paragraph" w:styleId="ListParagraph">
    <w:name w:val="List Paragraph"/>
    <w:basedOn w:val="Normal"/>
    <w:uiPriority w:val="34"/>
    <w:qFormat/>
    <w:rsid w:val="000B7418"/>
    <w:pPr>
      <w:ind w:left="720"/>
      <w:contextualSpacing/>
    </w:pPr>
  </w:style>
  <w:style w:type="character" w:styleId="IntenseEmphasis">
    <w:name w:val="Intense Emphasis"/>
    <w:basedOn w:val="DefaultParagraphFont"/>
    <w:uiPriority w:val="21"/>
    <w:qFormat/>
    <w:rsid w:val="000B7418"/>
    <w:rPr>
      <w:i/>
      <w:iCs/>
      <w:color w:val="0F4761" w:themeColor="accent1" w:themeShade="BF"/>
    </w:rPr>
  </w:style>
  <w:style w:type="paragraph" w:styleId="IntenseQuote">
    <w:name w:val="Intense Quote"/>
    <w:basedOn w:val="Normal"/>
    <w:next w:val="Normal"/>
    <w:link w:val="IntenseQuoteChar"/>
    <w:uiPriority w:val="30"/>
    <w:qFormat/>
    <w:rsid w:val="000B7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418"/>
    <w:rPr>
      <w:i/>
      <w:iCs/>
      <w:color w:val="0F4761" w:themeColor="accent1" w:themeShade="BF"/>
    </w:rPr>
  </w:style>
  <w:style w:type="character" w:styleId="IntenseReference">
    <w:name w:val="Intense Reference"/>
    <w:basedOn w:val="DefaultParagraphFont"/>
    <w:uiPriority w:val="32"/>
    <w:qFormat/>
    <w:rsid w:val="000B7418"/>
    <w:rPr>
      <w:b/>
      <w:bCs/>
      <w:smallCaps/>
      <w:color w:val="0F4761" w:themeColor="accent1" w:themeShade="BF"/>
      <w:spacing w:val="5"/>
    </w:rPr>
  </w:style>
  <w:style w:type="paragraph" w:customStyle="1" w:styleId="paragraph">
    <w:name w:val="paragraph"/>
    <w:basedOn w:val="Normal"/>
    <w:rsid w:val="000B74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B7418"/>
  </w:style>
  <w:style w:type="character" w:customStyle="1" w:styleId="tabchar">
    <w:name w:val="tabchar"/>
    <w:basedOn w:val="DefaultParagraphFont"/>
    <w:rsid w:val="000B7418"/>
  </w:style>
  <w:style w:type="character" w:customStyle="1" w:styleId="eop">
    <w:name w:val="eop"/>
    <w:basedOn w:val="DefaultParagraphFont"/>
    <w:rsid w:val="000B7418"/>
  </w:style>
  <w:style w:type="character" w:styleId="CommentReference">
    <w:name w:val="annotation reference"/>
    <w:basedOn w:val="DefaultParagraphFont"/>
    <w:uiPriority w:val="99"/>
    <w:semiHidden/>
    <w:unhideWhenUsed/>
    <w:rsid w:val="000B7418"/>
    <w:rPr>
      <w:sz w:val="16"/>
      <w:szCs w:val="16"/>
    </w:rPr>
  </w:style>
  <w:style w:type="paragraph" w:styleId="CommentText">
    <w:name w:val="annotation text"/>
    <w:basedOn w:val="Normal"/>
    <w:link w:val="CommentTextChar"/>
    <w:uiPriority w:val="99"/>
    <w:unhideWhenUsed/>
    <w:rsid w:val="000B7418"/>
    <w:pPr>
      <w:spacing w:line="240" w:lineRule="auto"/>
    </w:pPr>
    <w:rPr>
      <w:sz w:val="20"/>
      <w:szCs w:val="20"/>
    </w:rPr>
  </w:style>
  <w:style w:type="character" w:customStyle="1" w:styleId="CommentTextChar">
    <w:name w:val="Comment Text Char"/>
    <w:basedOn w:val="DefaultParagraphFont"/>
    <w:link w:val="CommentText"/>
    <w:uiPriority w:val="99"/>
    <w:rsid w:val="000B7418"/>
    <w:rPr>
      <w:sz w:val="20"/>
      <w:szCs w:val="20"/>
    </w:rPr>
  </w:style>
  <w:style w:type="paragraph" w:styleId="CommentSubject">
    <w:name w:val="annotation subject"/>
    <w:basedOn w:val="CommentText"/>
    <w:next w:val="CommentText"/>
    <w:link w:val="CommentSubjectChar"/>
    <w:uiPriority w:val="99"/>
    <w:semiHidden/>
    <w:unhideWhenUsed/>
    <w:rsid w:val="000B7418"/>
    <w:rPr>
      <w:b/>
      <w:bCs/>
    </w:rPr>
  </w:style>
  <w:style w:type="character" w:customStyle="1" w:styleId="CommentSubjectChar">
    <w:name w:val="Comment Subject Char"/>
    <w:basedOn w:val="CommentTextChar"/>
    <w:link w:val="CommentSubject"/>
    <w:uiPriority w:val="99"/>
    <w:semiHidden/>
    <w:rsid w:val="000B7418"/>
    <w:rPr>
      <w:b/>
      <w:bCs/>
      <w:sz w:val="20"/>
      <w:szCs w:val="20"/>
    </w:rPr>
  </w:style>
  <w:style w:type="table" w:styleId="TableGrid">
    <w:name w:val="Table Grid"/>
    <w:basedOn w:val="TableNormal"/>
    <w:uiPriority w:val="39"/>
    <w:rsid w:val="009A77E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9A77E5"/>
    <w:rPr>
      <w:color w:val="2B579A"/>
      <w:shd w:val="clear" w:color="auto" w:fill="E1DFDD"/>
    </w:rPr>
  </w:style>
  <w:style w:type="paragraph" w:styleId="BodyText">
    <w:name w:val="Body Text"/>
    <w:basedOn w:val="Normal"/>
    <w:link w:val="BodyTextChar"/>
    <w:uiPriority w:val="1"/>
    <w:unhideWhenUsed/>
    <w:qFormat/>
    <w:rsid w:val="009A77E5"/>
    <w:pPr>
      <w:widowControl w:val="0"/>
      <w:spacing w:after="0" w:line="240" w:lineRule="auto"/>
      <w:ind w:left="100" w:hanging="360"/>
    </w:pPr>
    <w:rPr>
      <w:rFonts w:ascii="Arial" w:eastAsia="Arial" w:hAnsi="Arial"/>
      <w:kern w:val="0"/>
      <w:lang w:val="en-US"/>
      <w14:ligatures w14:val="none"/>
    </w:rPr>
  </w:style>
  <w:style w:type="character" w:customStyle="1" w:styleId="BodyTextChar">
    <w:name w:val="Body Text Char"/>
    <w:basedOn w:val="DefaultParagraphFont"/>
    <w:link w:val="BodyText"/>
    <w:uiPriority w:val="1"/>
    <w:rsid w:val="009A77E5"/>
    <w:rPr>
      <w:rFonts w:ascii="Arial" w:eastAsia="Arial" w:hAnsi="Arial"/>
      <w:kern w:val="0"/>
      <w:lang w:val="en-US"/>
      <w14:ligatures w14:val="none"/>
    </w:rPr>
  </w:style>
  <w:style w:type="paragraph" w:styleId="FootnoteText">
    <w:name w:val="footnote text"/>
    <w:basedOn w:val="Normal"/>
    <w:link w:val="FootnoteTextChar"/>
    <w:uiPriority w:val="99"/>
    <w:semiHidden/>
    <w:unhideWhenUsed/>
    <w:rsid w:val="009A77E5"/>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A77E5"/>
    <w:rPr>
      <w:kern w:val="0"/>
      <w:sz w:val="20"/>
      <w:szCs w:val="20"/>
      <w14:ligatures w14:val="none"/>
    </w:rPr>
  </w:style>
  <w:style w:type="character" w:styleId="FootnoteReference">
    <w:name w:val="footnote reference"/>
    <w:aliases w:val="SUPERS,Footnote symbol,Odwołanie przypisu,Footnote Reference Number,Footnote Reference Superscript,Times 10 Point,Exposant 3 Point,Ref,de nota al pie,Footnote reference number,note TESI,EN Footnote Reference, Exposant 3 Point"/>
    <w:basedOn w:val="DefaultParagraphFont"/>
    <w:uiPriority w:val="99"/>
    <w:unhideWhenUsed/>
    <w:qFormat/>
    <w:rsid w:val="009A77E5"/>
    <w:rPr>
      <w:vertAlign w:val="superscript"/>
    </w:rPr>
  </w:style>
  <w:style w:type="paragraph" w:styleId="Header">
    <w:name w:val="header"/>
    <w:basedOn w:val="Normal"/>
    <w:link w:val="HeaderChar"/>
    <w:uiPriority w:val="99"/>
    <w:semiHidden/>
    <w:unhideWhenUsed/>
    <w:rsid w:val="0089747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7472"/>
  </w:style>
  <w:style w:type="paragraph" w:styleId="Footer">
    <w:name w:val="footer"/>
    <w:basedOn w:val="Normal"/>
    <w:link w:val="FooterChar"/>
    <w:uiPriority w:val="99"/>
    <w:semiHidden/>
    <w:unhideWhenUsed/>
    <w:rsid w:val="008974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97472"/>
  </w:style>
  <w:style w:type="paragraph" w:styleId="Revision">
    <w:name w:val="Revision"/>
    <w:hidden/>
    <w:uiPriority w:val="99"/>
    <w:semiHidden/>
    <w:rsid w:val="00D6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834421">
      <w:bodyDiv w:val="1"/>
      <w:marLeft w:val="0"/>
      <w:marRight w:val="0"/>
      <w:marTop w:val="0"/>
      <w:marBottom w:val="0"/>
      <w:divBdr>
        <w:top w:val="none" w:sz="0" w:space="0" w:color="auto"/>
        <w:left w:val="none" w:sz="0" w:space="0" w:color="auto"/>
        <w:bottom w:val="none" w:sz="0" w:space="0" w:color="auto"/>
        <w:right w:val="none" w:sz="0" w:space="0" w:color="auto"/>
      </w:divBdr>
      <w:divsChild>
        <w:div w:id="93867328">
          <w:marLeft w:val="0"/>
          <w:marRight w:val="0"/>
          <w:marTop w:val="0"/>
          <w:marBottom w:val="0"/>
          <w:divBdr>
            <w:top w:val="none" w:sz="0" w:space="0" w:color="auto"/>
            <w:left w:val="none" w:sz="0" w:space="0" w:color="auto"/>
            <w:bottom w:val="none" w:sz="0" w:space="0" w:color="auto"/>
            <w:right w:val="none" w:sz="0" w:space="0" w:color="auto"/>
          </w:divBdr>
        </w:div>
        <w:div w:id="224680836">
          <w:marLeft w:val="0"/>
          <w:marRight w:val="0"/>
          <w:marTop w:val="0"/>
          <w:marBottom w:val="0"/>
          <w:divBdr>
            <w:top w:val="none" w:sz="0" w:space="0" w:color="auto"/>
            <w:left w:val="none" w:sz="0" w:space="0" w:color="auto"/>
            <w:bottom w:val="none" w:sz="0" w:space="0" w:color="auto"/>
            <w:right w:val="none" w:sz="0" w:space="0" w:color="auto"/>
          </w:divBdr>
        </w:div>
        <w:div w:id="494691150">
          <w:marLeft w:val="0"/>
          <w:marRight w:val="0"/>
          <w:marTop w:val="0"/>
          <w:marBottom w:val="0"/>
          <w:divBdr>
            <w:top w:val="none" w:sz="0" w:space="0" w:color="auto"/>
            <w:left w:val="none" w:sz="0" w:space="0" w:color="auto"/>
            <w:bottom w:val="none" w:sz="0" w:space="0" w:color="auto"/>
            <w:right w:val="none" w:sz="0" w:space="0" w:color="auto"/>
          </w:divBdr>
        </w:div>
        <w:div w:id="582226099">
          <w:marLeft w:val="0"/>
          <w:marRight w:val="0"/>
          <w:marTop w:val="0"/>
          <w:marBottom w:val="0"/>
          <w:divBdr>
            <w:top w:val="none" w:sz="0" w:space="0" w:color="auto"/>
            <w:left w:val="none" w:sz="0" w:space="0" w:color="auto"/>
            <w:bottom w:val="none" w:sz="0" w:space="0" w:color="auto"/>
            <w:right w:val="none" w:sz="0" w:space="0" w:color="auto"/>
          </w:divBdr>
        </w:div>
        <w:div w:id="710613199">
          <w:marLeft w:val="0"/>
          <w:marRight w:val="0"/>
          <w:marTop w:val="0"/>
          <w:marBottom w:val="0"/>
          <w:divBdr>
            <w:top w:val="none" w:sz="0" w:space="0" w:color="auto"/>
            <w:left w:val="none" w:sz="0" w:space="0" w:color="auto"/>
            <w:bottom w:val="none" w:sz="0" w:space="0" w:color="auto"/>
            <w:right w:val="none" w:sz="0" w:space="0" w:color="auto"/>
          </w:divBdr>
        </w:div>
        <w:div w:id="788744418">
          <w:marLeft w:val="0"/>
          <w:marRight w:val="0"/>
          <w:marTop w:val="0"/>
          <w:marBottom w:val="0"/>
          <w:divBdr>
            <w:top w:val="none" w:sz="0" w:space="0" w:color="auto"/>
            <w:left w:val="none" w:sz="0" w:space="0" w:color="auto"/>
            <w:bottom w:val="none" w:sz="0" w:space="0" w:color="auto"/>
            <w:right w:val="none" w:sz="0" w:space="0" w:color="auto"/>
          </w:divBdr>
        </w:div>
        <w:div w:id="796026858">
          <w:marLeft w:val="0"/>
          <w:marRight w:val="0"/>
          <w:marTop w:val="0"/>
          <w:marBottom w:val="0"/>
          <w:divBdr>
            <w:top w:val="none" w:sz="0" w:space="0" w:color="auto"/>
            <w:left w:val="none" w:sz="0" w:space="0" w:color="auto"/>
            <w:bottom w:val="none" w:sz="0" w:space="0" w:color="auto"/>
            <w:right w:val="none" w:sz="0" w:space="0" w:color="auto"/>
          </w:divBdr>
        </w:div>
        <w:div w:id="829445044">
          <w:marLeft w:val="0"/>
          <w:marRight w:val="0"/>
          <w:marTop w:val="0"/>
          <w:marBottom w:val="0"/>
          <w:divBdr>
            <w:top w:val="none" w:sz="0" w:space="0" w:color="auto"/>
            <w:left w:val="none" w:sz="0" w:space="0" w:color="auto"/>
            <w:bottom w:val="none" w:sz="0" w:space="0" w:color="auto"/>
            <w:right w:val="none" w:sz="0" w:space="0" w:color="auto"/>
          </w:divBdr>
        </w:div>
        <w:div w:id="834610872">
          <w:marLeft w:val="0"/>
          <w:marRight w:val="0"/>
          <w:marTop w:val="0"/>
          <w:marBottom w:val="0"/>
          <w:divBdr>
            <w:top w:val="none" w:sz="0" w:space="0" w:color="auto"/>
            <w:left w:val="none" w:sz="0" w:space="0" w:color="auto"/>
            <w:bottom w:val="none" w:sz="0" w:space="0" w:color="auto"/>
            <w:right w:val="none" w:sz="0" w:space="0" w:color="auto"/>
          </w:divBdr>
        </w:div>
        <w:div w:id="857353336">
          <w:marLeft w:val="0"/>
          <w:marRight w:val="0"/>
          <w:marTop w:val="0"/>
          <w:marBottom w:val="0"/>
          <w:divBdr>
            <w:top w:val="none" w:sz="0" w:space="0" w:color="auto"/>
            <w:left w:val="none" w:sz="0" w:space="0" w:color="auto"/>
            <w:bottom w:val="none" w:sz="0" w:space="0" w:color="auto"/>
            <w:right w:val="none" w:sz="0" w:space="0" w:color="auto"/>
          </w:divBdr>
        </w:div>
        <w:div w:id="986207434">
          <w:marLeft w:val="0"/>
          <w:marRight w:val="0"/>
          <w:marTop w:val="0"/>
          <w:marBottom w:val="0"/>
          <w:divBdr>
            <w:top w:val="none" w:sz="0" w:space="0" w:color="auto"/>
            <w:left w:val="none" w:sz="0" w:space="0" w:color="auto"/>
            <w:bottom w:val="none" w:sz="0" w:space="0" w:color="auto"/>
            <w:right w:val="none" w:sz="0" w:space="0" w:color="auto"/>
          </w:divBdr>
        </w:div>
        <w:div w:id="1044133745">
          <w:marLeft w:val="0"/>
          <w:marRight w:val="0"/>
          <w:marTop w:val="0"/>
          <w:marBottom w:val="0"/>
          <w:divBdr>
            <w:top w:val="none" w:sz="0" w:space="0" w:color="auto"/>
            <w:left w:val="none" w:sz="0" w:space="0" w:color="auto"/>
            <w:bottom w:val="none" w:sz="0" w:space="0" w:color="auto"/>
            <w:right w:val="none" w:sz="0" w:space="0" w:color="auto"/>
          </w:divBdr>
        </w:div>
        <w:div w:id="1074274814">
          <w:marLeft w:val="0"/>
          <w:marRight w:val="0"/>
          <w:marTop w:val="0"/>
          <w:marBottom w:val="0"/>
          <w:divBdr>
            <w:top w:val="none" w:sz="0" w:space="0" w:color="auto"/>
            <w:left w:val="none" w:sz="0" w:space="0" w:color="auto"/>
            <w:bottom w:val="none" w:sz="0" w:space="0" w:color="auto"/>
            <w:right w:val="none" w:sz="0" w:space="0" w:color="auto"/>
          </w:divBdr>
        </w:div>
        <w:div w:id="1154222117">
          <w:marLeft w:val="0"/>
          <w:marRight w:val="0"/>
          <w:marTop w:val="0"/>
          <w:marBottom w:val="0"/>
          <w:divBdr>
            <w:top w:val="none" w:sz="0" w:space="0" w:color="auto"/>
            <w:left w:val="none" w:sz="0" w:space="0" w:color="auto"/>
            <w:bottom w:val="none" w:sz="0" w:space="0" w:color="auto"/>
            <w:right w:val="none" w:sz="0" w:space="0" w:color="auto"/>
          </w:divBdr>
        </w:div>
        <w:div w:id="1182545363">
          <w:marLeft w:val="0"/>
          <w:marRight w:val="0"/>
          <w:marTop w:val="0"/>
          <w:marBottom w:val="0"/>
          <w:divBdr>
            <w:top w:val="none" w:sz="0" w:space="0" w:color="auto"/>
            <w:left w:val="none" w:sz="0" w:space="0" w:color="auto"/>
            <w:bottom w:val="none" w:sz="0" w:space="0" w:color="auto"/>
            <w:right w:val="none" w:sz="0" w:space="0" w:color="auto"/>
          </w:divBdr>
        </w:div>
        <w:div w:id="1221283377">
          <w:marLeft w:val="0"/>
          <w:marRight w:val="0"/>
          <w:marTop w:val="0"/>
          <w:marBottom w:val="0"/>
          <w:divBdr>
            <w:top w:val="none" w:sz="0" w:space="0" w:color="auto"/>
            <w:left w:val="none" w:sz="0" w:space="0" w:color="auto"/>
            <w:bottom w:val="none" w:sz="0" w:space="0" w:color="auto"/>
            <w:right w:val="none" w:sz="0" w:space="0" w:color="auto"/>
          </w:divBdr>
        </w:div>
        <w:div w:id="1410343153">
          <w:marLeft w:val="0"/>
          <w:marRight w:val="0"/>
          <w:marTop w:val="0"/>
          <w:marBottom w:val="0"/>
          <w:divBdr>
            <w:top w:val="none" w:sz="0" w:space="0" w:color="auto"/>
            <w:left w:val="none" w:sz="0" w:space="0" w:color="auto"/>
            <w:bottom w:val="none" w:sz="0" w:space="0" w:color="auto"/>
            <w:right w:val="none" w:sz="0" w:space="0" w:color="auto"/>
          </w:divBdr>
        </w:div>
        <w:div w:id="1416127233">
          <w:marLeft w:val="0"/>
          <w:marRight w:val="0"/>
          <w:marTop w:val="0"/>
          <w:marBottom w:val="0"/>
          <w:divBdr>
            <w:top w:val="none" w:sz="0" w:space="0" w:color="auto"/>
            <w:left w:val="none" w:sz="0" w:space="0" w:color="auto"/>
            <w:bottom w:val="none" w:sz="0" w:space="0" w:color="auto"/>
            <w:right w:val="none" w:sz="0" w:space="0" w:color="auto"/>
          </w:divBdr>
        </w:div>
        <w:div w:id="1493566059">
          <w:marLeft w:val="0"/>
          <w:marRight w:val="0"/>
          <w:marTop w:val="0"/>
          <w:marBottom w:val="0"/>
          <w:divBdr>
            <w:top w:val="none" w:sz="0" w:space="0" w:color="auto"/>
            <w:left w:val="none" w:sz="0" w:space="0" w:color="auto"/>
            <w:bottom w:val="none" w:sz="0" w:space="0" w:color="auto"/>
            <w:right w:val="none" w:sz="0" w:space="0" w:color="auto"/>
          </w:divBdr>
        </w:div>
        <w:div w:id="1531576458">
          <w:marLeft w:val="0"/>
          <w:marRight w:val="0"/>
          <w:marTop w:val="0"/>
          <w:marBottom w:val="0"/>
          <w:divBdr>
            <w:top w:val="none" w:sz="0" w:space="0" w:color="auto"/>
            <w:left w:val="none" w:sz="0" w:space="0" w:color="auto"/>
            <w:bottom w:val="none" w:sz="0" w:space="0" w:color="auto"/>
            <w:right w:val="none" w:sz="0" w:space="0" w:color="auto"/>
          </w:divBdr>
        </w:div>
        <w:div w:id="1543974898">
          <w:marLeft w:val="0"/>
          <w:marRight w:val="0"/>
          <w:marTop w:val="0"/>
          <w:marBottom w:val="0"/>
          <w:divBdr>
            <w:top w:val="none" w:sz="0" w:space="0" w:color="auto"/>
            <w:left w:val="none" w:sz="0" w:space="0" w:color="auto"/>
            <w:bottom w:val="none" w:sz="0" w:space="0" w:color="auto"/>
            <w:right w:val="none" w:sz="0" w:space="0" w:color="auto"/>
          </w:divBdr>
        </w:div>
        <w:div w:id="1624188999">
          <w:marLeft w:val="0"/>
          <w:marRight w:val="0"/>
          <w:marTop w:val="0"/>
          <w:marBottom w:val="0"/>
          <w:divBdr>
            <w:top w:val="none" w:sz="0" w:space="0" w:color="auto"/>
            <w:left w:val="none" w:sz="0" w:space="0" w:color="auto"/>
            <w:bottom w:val="none" w:sz="0" w:space="0" w:color="auto"/>
            <w:right w:val="none" w:sz="0" w:space="0" w:color="auto"/>
          </w:divBdr>
        </w:div>
        <w:div w:id="1625503137">
          <w:marLeft w:val="0"/>
          <w:marRight w:val="0"/>
          <w:marTop w:val="0"/>
          <w:marBottom w:val="0"/>
          <w:divBdr>
            <w:top w:val="none" w:sz="0" w:space="0" w:color="auto"/>
            <w:left w:val="none" w:sz="0" w:space="0" w:color="auto"/>
            <w:bottom w:val="none" w:sz="0" w:space="0" w:color="auto"/>
            <w:right w:val="none" w:sz="0" w:space="0" w:color="auto"/>
          </w:divBdr>
        </w:div>
        <w:div w:id="1647199885">
          <w:marLeft w:val="0"/>
          <w:marRight w:val="0"/>
          <w:marTop w:val="0"/>
          <w:marBottom w:val="0"/>
          <w:divBdr>
            <w:top w:val="none" w:sz="0" w:space="0" w:color="auto"/>
            <w:left w:val="none" w:sz="0" w:space="0" w:color="auto"/>
            <w:bottom w:val="none" w:sz="0" w:space="0" w:color="auto"/>
            <w:right w:val="none" w:sz="0" w:space="0" w:color="auto"/>
          </w:divBdr>
        </w:div>
        <w:div w:id="1711300142">
          <w:marLeft w:val="0"/>
          <w:marRight w:val="0"/>
          <w:marTop w:val="0"/>
          <w:marBottom w:val="0"/>
          <w:divBdr>
            <w:top w:val="none" w:sz="0" w:space="0" w:color="auto"/>
            <w:left w:val="none" w:sz="0" w:space="0" w:color="auto"/>
            <w:bottom w:val="none" w:sz="0" w:space="0" w:color="auto"/>
            <w:right w:val="none" w:sz="0" w:space="0" w:color="auto"/>
          </w:divBdr>
        </w:div>
        <w:div w:id="1894851944">
          <w:marLeft w:val="0"/>
          <w:marRight w:val="0"/>
          <w:marTop w:val="0"/>
          <w:marBottom w:val="0"/>
          <w:divBdr>
            <w:top w:val="none" w:sz="0" w:space="0" w:color="auto"/>
            <w:left w:val="none" w:sz="0" w:space="0" w:color="auto"/>
            <w:bottom w:val="none" w:sz="0" w:space="0" w:color="auto"/>
            <w:right w:val="none" w:sz="0" w:space="0" w:color="auto"/>
          </w:divBdr>
        </w:div>
        <w:div w:id="2019965675">
          <w:marLeft w:val="0"/>
          <w:marRight w:val="0"/>
          <w:marTop w:val="0"/>
          <w:marBottom w:val="0"/>
          <w:divBdr>
            <w:top w:val="none" w:sz="0" w:space="0" w:color="auto"/>
            <w:left w:val="none" w:sz="0" w:space="0" w:color="auto"/>
            <w:bottom w:val="none" w:sz="0" w:space="0" w:color="auto"/>
            <w:right w:val="none" w:sz="0" w:space="0" w:color="auto"/>
          </w:divBdr>
        </w:div>
        <w:div w:id="2097435936">
          <w:marLeft w:val="0"/>
          <w:marRight w:val="0"/>
          <w:marTop w:val="0"/>
          <w:marBottom w:val="0"/>
          <w:divBdr>
            <w:top w:val="none" w:sz="0" w:space="0" w:color="auto"/>
            <w:left w:val="none" w:sz="0" w:space="0" w:color="auto"/>
            <w:bottom w:val="none" w:sz="0" w:space="0" w:color="auto"/>
            <w:right w:val="none" w:sz="0" w:space="0" w:color="auto"/>
          </w:divBdr>
        </w:div>
      </w:divsChild>
    </w:div>
    <w:div w:id="1734767345">
      <w:bodyDiv w:val="1"/>
      <w:marLeft w:val="0"/>
      <w:marRight w:val="0"/>
      <w:marTop w:val="0"/>
      <w:marBottom w:val="0"/>
      <w:divBdr>
        <w:top w:val="none" w:sz="0" w:space="0" w:color="auto"/>
        <w:left w:val="none" w:sz="0" w:space="0" w:color="auto"/>
        <w:bottom w:val="none" w:sz="0" w:space="0" w:color="auto"/>
        <w:right w:val="none" w:sz="0" w:space="0" w:color="auto"/>
      </w:divBdr>
      <w:divsChild>
        <w:div w:id="639385677">
          <w:marLeft w:val="0"/>
          <w:marRight w:val="0"/>
          <w:marTop w:val="0"/>
          <w:marBottom w:val="0"/>
          <w:divBdr>
            <w:top w:val="none" w:sz="0" w:space="0" w:color="auto"/>
            <w:left w:val="none" w:sz="0" w:space="0" w:color="auto"/>
            <w:bottom w:val="none" w:sz="0" w:space="0" w:color="auto"/>
            <w:right w:val="none" w:sz="0" w:space="0" w:color="auto"/>
          </w:divBdr>
        </w:div>
        <w:div w:id="144680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7" ma:contentTypeDescription="Create a new document." ma:contentTypeScope="" ma:versionID="35c355b03971c14a3c3c6e9f2c05516c">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693257a9f138e123579c64fd363e761f"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163288e-852c-4387-8edb-8382a6012faa}"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163288e-852c-4387-8edb-8382a6012faa}"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2024-05-01T07:52:54+00:00</Date_x0020_Opened>
    <LegacyData xmlns="aaacb922-5235-4a66-b188-303b9b46fbd7" xsi:nil="true"/>
    <Descriptor xmlns="0063f72e-ace3-48fb-9c1f-5b513408b31f" xsi:nil="true"/>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lcf76f155ced4ddcb4097134ff3c332f xmlns="19c35881-1946-4d14-9111-eb0c9f6f92d5">
      <Terms xmlns="http://schemas.microsoft.com/office/infopath/2007/PartnerControls"/>
    </lcf76f155ced4ddcb4097134ff3c332f>
    <Security_x0020_Classification xmlns="0063f72e-ace3-48fb-9c1f-5b513408b31f">OFFICIAL</Security_x0020_Classification>
    <TaxCatchAll xmlns="5b28aca4-1a3f-4435-8455-199cb477ca9d">
      <Value>1</Value>
    </TaxCatchAll>
    <Retention_x0020_Label xmlns="a8f60570-4bd3-4f2b-950b-a996de8ab151" xsi:nil="true"/>
    <Date_x0020_Closed xmlns="b413c3fd-5a3b-4239-b985-69032e371c04" xsi:nil="true"/>
    <_dlc_DocId xmlns="5b28aca4-1a3f-4435-8455-199cb477ca9d">67DW62HWEFTA-513911365-290810</_dlc_DocId>
    <_dlc_DocIdUrl xmlns="5b28aca4-1a3f-4435-8455-199cb477ca9d">
      <Url>https://beisgov.sharepoint.com/sites/UKSASpaceSurveillanceTracking/_layouts/15/DocIdRedir.aspx?ID=67DW62HWEFTA-513911365-290810</Url>
      <Description>67DW62HWEFTA-513911365-290810</Description>
    </_dlc_DocIdUrl>
  </documentManagement>
</p:properties>
</file>

<file path=customXml/itemProps1.xml><?xml version="1.0" encoding="utf-8"?>
<ds:datastoreItem xmlns:ds="http://schemas.openxmlformats.org/officeDocument/2006/customXml" ds:itemID="{55F2B2CE-E4D0-41B1-B652-4D7B2F148CCC}">
  <ds:schemaRefs>
    <ds:schemaRef ds:uri="http://schemas.microsoft.com/sharepoint/events"/>
  </ds:schemaRefs>
</ds:datastoreItem>
</file>

<file path=customXml/itemProps2.xml><?xml version="1.0" encoding="utf-8"?>
<ds:datastoreItem xmlns:ds="http://schemas.openxmlformats.org/officeDocument/2006/customXml" ds:itemID="{BC78D81B-A975-442D-9057-58643D70498F}">
  <ds:schemaRefs>
    <ds:schemaRef ds:uri="http://schemas.microsoft.com/sharepoint/v3/contenttype/forms"/>
  </ds:schemaRefs>
</ds:datastoreItem>
</file>

<file path=customXml/itemProps3.xml><?xml version="1.0" encoding="utf-8"?>
<ds:datastoreItem xmlns:ds="http://schemas.openxmlformats.org/officeDocument/2006/customXml" ds:itemID="{E458E619-9BC1-48D2-96A4-DACF1C60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C040A-D3F8-4846-BB7A-A48C472257D7}">
  <ds:schemaRefs>
    <ds:schemaRef ds:uri="http://schemas.openxmlformats.org/officeDocument/2006/bibliography"/>
  </ds:schemaRefs>
</ds:datastoreItem>
</file>

<file path=customXml/itemProps5.xml><?xml version="1.0" encoding="utf-8"?>
<ds:datastoreItem xmlns:ds="http://schemas.openxmlformats.org/officeDocument/2006/customXml" ds:itemID="{C3E53A03-81B4-476D-8FA0-D0F3B3553C4E}">
  <ds:schemaRefs>
    <ds:schemaRef ds:uri="aaacb922-5235-4a66-b188-303b9b46fbd7"/>
    <ds:schemaRef ds:uri="http://purl.org/dc/elements/1.1/"/>
    <ds:schemaRef ds:uri="http://purl.org/dc/dcmitype/"/>
    <ds:schemaRef ds:uri="a8f60570-4bd3-4f2b-950b-a996de8ab151"/>
    <ds:schemaRef ds:uri="http://www.w3.org/XML/1998/namespace"/>
    <ds:schemaRef ds:uri="http://purl.org/dc/terms/"/>
    <ds:schemaRef ds:uri="http://schemas.microsoft.com/office/infopath/2007/PartnerControls"/>
    <ds:schemaRef ds:uri="0063f72e-ace3-48fb-9c1f-5b513408b31f"/>
    <ds:schemaRef ds:uri="http://schemas.microsoft.com/office/2006/documentManagement/types"/>
    <ds:schemaRef ds:uri="http://schemas.openxmlformats.org/package/2006/metadata/core-properties"/>
    <ds:schemaRef ds:uri="19c35881-1946-4d14-9111-eb0c9f6f92d5"/>
    <ds:schemaRef ds:uri="b413c3fd-5a3b-4239-b985-69032e371c04"/>
    <ds:schemaRef ds:uri="5b28aca4-1a3f-4435-8455-199cb477ca9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Jenny (UKSA)</dc:creator>
  <cp:keywords/>
  <dc:description/>
  <cp:lastModifiedBy>Nawrotek, Katarzyna (UKSA)</cp:lastModifiedBy>
  <cp:revision>96</cp:revision>
  <dcterms:created xsi:type="dcterms:W3CDTF">2024-05-02T07:35:00Z</dcterms:created>
  <dcterms:modified xsi:type="dcterms:W3CDTF">2024-05-07T13:45:00Z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2024-05-01T07:52:38Z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d8c3ad00-48ae-4a37-be98-e6ac9c57684c</vt:lpwstr>
  </property>
  <property fmtid="{D5CDD505-2E9C-101B-9397-08002B2CF9AE}" pid="8" name="MSIP_Label_ba62f585-b40f-4ab9-bafe-39150f03d124_ContentBits">
    <vt:lpwstr>0</vt:lpwstr>
  </property>
  <property fmtid="{D5CDD505-2E9C-101B-9397-08002B2CF9AE}" pid="9" name="ContentTypeId">
    <vt:lpwstr>0x010100F54C3EB26AF9C447B106C5BC6056A95F</vt:lpwstr>
  </property>
  <property fmtid="{D5CDD505-2E9C-101B-9397-08002B2CF9AE}" pid="10" name="Business Unit">
    <vt:lpwstr>1;#UK Space Agency|e94dee48-3a05-4a12-8e11-f3f2fb95bcf1</vt:lpwstr>
  </property>
  <property fmtid="{D5CDD505-2E9C-101B-9397-08002B2CF9AE}" pid="11" name="_dlc_DocIdItemGuid">
    <vt:lpwstr>de4b895f-027a-4431-8602-b99701c011da</vt:lpwstr>
  </property>
  <property fmtid="{D5CDD505-2E9C-101B-9397-08002B2CF9AE}" pid="12" name="MediaServiceImageTags">
    <vt:lpwstr/>
  </property>
</Properties>
</file>