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54" w:lineRule="auto"/>
        <w:ind w:left="720" w:firstLine="2268"/>
        <w:rPr>
          <w:rFonts w:ascii="Arial" w:cs="Arial" w:eastAsia="Arial" w:hAnsi="Arial"/>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187450" cy="9271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spacing w:after="0" w:line="240" w:lineRule="auto"/>
        <w:ind w:left="57" w:right="57" w:firstLine="0"/>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Framework Reference: RM6229</w:t>
      </w:r>
    </w:p>
    <w:p w:rsidR="00000000" w:rsidDel="00000000" w:rsidP="00000000" w:rsidRDefault="00000000" w:rsidRPr="00000000" w14:paraId="0000000A">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b w:val="1"/>
          <w:sz w:val="40"/>
          <w:szCs w:val="40"/>
          <w:rtl w:val="0"/>
        </w:rPr>
        <w:t xml:space="preserve">Permanent Recruitment 2 </w:t>
      </w:r>
      <w:r w:rsidDel="00000000" w:rsidR="00000000" w:rsidRPr="00000000">
        <w:rPr>
          <w:rtl w:val="0"/>
        </w:rPr>
      </w:r>
    </w:p>
    <w:p w:rsidR="00000000" w:rsidDel="00000000" w:rsidP="00000000" w:rsidRDefault="00000000" w:rsidRPr="00000000" w14:paraId="0000000B">
      <w:pPr>
        <w:spacing w:after="200" w:line="276" w:lineRule="auto"/>
        <w:rPr/>
      </w:pPr>
      <w:r w:rsidDel="00000000" w:rsidR="00000000" w:rsidRPr="00000000">
        <w:rPr>
          <w:rtl w:val="0"/>
        </w:rPr>
      </w:r>
    </w:p>
    <w:p w:rsidR="00000000" w:rsidDel="00000000" w:rsidP="00000000" w:rsidRDefault="00000000" w:rsidRPr="00000000" w14:paraId="0000000C">
      <w:pPr>
        <w:rPr>
          <w:rFonts w:ascii="Arial" w:cs="Arial" w:eastAsia="Arial" w:hAnsi="Arial"/>
          <w:sz w:val="40"/>
          <w:szCs w:val="40"/>
        </w:rPr>
      </w:pPr>
      <w:r w:rsidDel="00000000" w:rsidR="00000000" w:rsidRPr="00000000">
        <w:rPr>
          <w:rFonts w:ascii="Arial" w:cs="Arial" w:eastAsia="Arial" w:hAnsi="Arial"/>
          <w:b w:val="1"/>
          <w:sz w:val="40"/>
          <w:szCs w:val="40"/>
          <w:highlight w:val="yellow"/>
          <w:rtl w:val="0"/>
        </w:rPr>
        <w:t xml:space="preserve"> </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pos="9016"/>
            </w:tabs>
            <w:spacing w:after="100" w:lineRule="auto"/>
            <w:rPr>
              <w:rFonts w:ascii="Arial" w:cs="Arial" w:eastAsia="Arial" w:hAnsi="Arial"/>
              <w:color w:val="000000"/>
              <w:sz w:val="24"/>
              <w:szCs w:val="24"/>
            </w:rPr>
          </w:pPr>
          <w:r w:rsidDel="00000000" w:rsidR="00000000" w:rsidRPr="00000000">
            <w:fldChar w:fldCharType="begin"/>
            <w:instrText xml:space="preserve"> TOC \h \u \z </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r>
          </w:hyperlink>
          <w:r w:rsidDel="00000000" w:rsidR="00000000" w:rsidRPr="00000000">
            <w:rPr>
              <w:rFonts w:ascii="Arial" w:cs="Arial" w:eastAsia="Arial" w:hAnsi="Arial"/>
              <w:color w:val="000000"/>
              <w:sz w:val="24"/>
              <w:szCs w:val="24"/>
              <w:rtl w:val="0"/>
            </w:rPr>
            <w:t xml:space="preserve">2</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fob9te">
            <w:r w:rsidDel="00000000" w:rsidR="00000000" w:rsidRPr="00000000">
              <w:rPr>
                <w:rFonts w:ascii="Arial" w:cs="Arial" w:eastAsia="Arial" w:hAnsi="Arial"/>
                <w:color w:val="000000"/>
                <w:sz w:val="24"/>
                <w:szCs w:val="24"/>
                <w:rtl w:val="0"/>
              </w:rPr>
              <w:t xml:space="preserve">1.</w:t>
              <w:tab/>
              <w:t xml:space="preserve">What you need to know</w:t>
              <w:tab/>
            </w:r>
          </w:hyperlink>
          <w:r w:rsidDel="00000000" w:rsidR="00000000" w:rsidRPr="00000000">
            <w:rPr>
              <w:rFonts w:ascii="Arial" w:cs="Arial" w:eastAsia="Arial" w:hAnsi="Arial"/>
              <w:color w:val="000000"/>
              <w:sz w:val="24"/>
              <w:szCs w:val="24"/>
              <w:rtl w:val="0"/>
            </w:rPr>
            <w:t xml:space="preserve">4</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t xml:space="preserve">6</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t xml:space="preserve">6</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t xml:space="preserve">7</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t xml:space="preserve">8</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t xml:space="preserve">9</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t xml:space="preserve">9</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r>
          </w:hyperlink>
          <w:r w:rsidDel="00000000" w:rsidR="00000000" w:rsidRPr="00000000">
            <w:rPr>
              <w:rFonts w:ascii="Arial" w:cs="Arial" w:eastAsia="Arial" w:hAnsi="Arial"/>
              <w:color w:val="000000"/>
              <w:sz w:val="24"/>
              <w:szCs w:val="24"/>
              <w:rtl w:val="0"/>
            </w:rPr>
            <w:t xml:space="preserve">10</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w:t>
            </w:r>
          </w:hyperlink>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w:t>
            </w:r>
          </w:hyperlink>
          <w:r w:rsidDel="00000000" w:rsidR="00000000" w:rsidRPr="00000000">
            <w:rPr>
              <w:rFonts w:ascii="Arial" w:cs="Arial" w:eastAsia="Arial" w:hAnsi="Arial"/>
              <w:color w:val="000000"/>
              <w:sz w:val="24"/>
              <w:szCs w:val="24"/>
              <w:rtl w:val="0"/>
            </w:rPr>
            <w:t xml:space="preserve">4</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t xml:space="preserve">2</w:t>
            </w:r>
          </w:hyperlink>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color w:val="000000"/>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t xml:space="preserve">2</w:t>
            </w:r>
          </w:hyperlink>
          <w:r w:rsidDel="00000000" w:rsidR="00000000" w:rsidRPr="00000000">
            <w:rPr>
              <w:rFonts w:ascii="Arial" w:cs="Arial" w:eastAsia="Arial" w:hAnsi="Arial"/>
              <w:color w:val="000000"/>
              <w:sz w:val="24"/>
              <w:szCs w:val="24"/>
              <w:rtl w:val="0"/>
            </w:rPr>
            <w:t xml:space="preserve">1</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60" w:before="60" w:lineRule="auto"/>
        <w:ind w:left="720" w:firstLine="0"/>
        <w:jc w:val="right"/>
        <w:rPr>
          <w:sz w:val="24"/>
          <w:szCs w:val="24"/>
        </w:rPr>
      </w:pPr>
      <w:r w:rsidDel="00000000" w:rsidR="00000000" w:rsidRPr="00000000">
        <w:rPr>
          <w:rtl w:val="0"/>
        </w:rPr>
      </w:r>
    </w:p>
    <w:p w:rsidR="00000000" w:rsidDel="00000000" w:rsidP="00000000" w:rsidRDefault="00000000" w:rsidRPr="00000000" w14:paraId="00000022">
      <w:pPr>
        <w:pStyle w:val="Heading1"/>
        <w:spacing w:after="160" w:before="0" w:lineRule="auto"/>
        <w:rPr>
          <w:rFonts w:ascii="Arial" w:cs="Arial" w:eastAsia="Arial" w:hAnsi="Arial"/>
          <w:color w:val="000000"/>
        </w:rPr>
      </w:pPr>
      <w:bookmarkStart w:colFirst="0" w:colLast="0" w:name="_heading=h.30j0zll" w:id="1"/>
      <w:bookmarkEnd w:id="1"/>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Permanent Recruitment 2.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w:t>
      </w:r>
      <w:r w:rsidDel="00000000" w:rsidR="00000000" w:rsidRPr="00000000">
        <w:rPr>
          <w:rtl w:val="0"/>
        </w:rPr>
        <w:t xml:space="preserve">     </w:t>
      </w:r>
      <w:r w:rsidDel="00000000" w:rsidR="00000000" w:rsidRPr="00000000">
        <w:rPr>
          <w:rFonts w:ascii="Arial" w:cs="Arial" w:eastAsia="Arial" w:hAnsi="Arial"/>
          <w:sz w:val="24"/>
          <w:szCs w:val="24"/>
          <w:rtl w:val="0"/>
        </w:rPr>
        <w:t xml:space="preserve">divided into two main parts:</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5">
      <w:pPr>
        <w:numPr>
          <w:ilvl w:val="0"/>
          <w:numId w:val="2"/>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6">
      <w:pPr>
        <w:numPr>
          <w:ilvl w:val="0"/>
          <w:numId w:val="2"/>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8">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2A">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Specification </w:t>
      </w:r>
      <w:r w:rsidDel="00000000" w:rsidR="00000000" w:rsidRPr="00000000">
        <w:rPr>
          <w:rFonts w:ascii="Arial" w:cs="Arial" w:eastAsia="Arial" w:hAnsi="Arial"/>
          <w:sz w:val="24"/>
          <w:szCs w:val="24"/>
          <w:rtl w:val="0"/>
        </w:rPr>
        <w:t xml:space="preserve">– forms part of the Framework Contract and sets out the scope of the requirement. </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Suite (qualification envelope)</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Evidence of Previous Supply </w:t>
      </w:r>
      <w:r w:rsidDel="00000000" w:rsidR="00000000" w:rsidRPr="00000000">
        <w:rPr>
          <w:rFonts w:ascii="Arial" w:cs="Arial" w:eastAsia="Arial" w:hAnsi="Arial"/>
          <w:sz w:val="24"/>
          <w:szCs w:val="24"/>
          <w:rtl w:val="0"/>
        </w:rPr>
        <w:t xml:space="preserve">– you must complete the relevant tabs for each lot to provide evidence that you have undertaken similar recruitments for the Lot(s) that you are bidding for</w:t>
      </w:r>
    </w:p>
    <w:p w:rsidR="00000000" w:rsidDel="00000000" w:rsidP="00000000" w:rsidRDefault="00000000" w:rsidRPr="00000000" w14:paraId="0000003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2c Case Study – </w:t>
      </w:r>
      <w:r w:rsidDel="00000000" w:rsidR="00000000" w:rsidRPr="00000000">
        <w:rPr>
          <w:rFonts w:ascii="Arial" w:cs="Arial" w:eastAsia="Arial" w:hAnsi="Arial"/>
          <w:sz w:val="24"/>
          <w:szCs w:val="24"/>
          <w:rtl w:val="0"/>
        </w:rPr>
        <w:t xml:space="preserve">you must submit a </w:t>
      </w:r>
      <w:r w:rsidDel="00000000" w:rsidR="00000000" w:rsidRPr="00000000">
        <w:rPr>
          <w:rFonts w:ascii="Arial" w:cs="Arial" w:eastAsia="Arial" w:hAnsi="Arial"/>
          <w:color w:val="222222"/>
          <w:sz w:val="24"/>
          <w:szCs w:val="24"/>
          <w:highlight w:val="white"/>
          <w:rtl w:val="0"/>
        </w:rPr>
        <w:t xml:space="preserve">case study as an attachment to evidence your ability to both work with customers and demonstrate an understanding of their subjective campaign requirements. This applies to lot 2 General Recruitment (Non Clinical) only.</w:t>
      </w: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Model </w:t>
      </w:r>
      <w:r w:rsidDel="00000000" w:rsidR="00000000" w:rsidRPr="00000000">
        <w:rPr>
          <w:rFonts w:ascii="Arial" w:cs="Arial" w:eastAsia="Arial" w:hAnsi="Arial"/>
          <w:sz w:val="24"/>
          <w:szCs w:val="24"/>
          <w:rtl w:val="0"/>
        </w:rPr>
        <w:t xml:space="preserve">– you must complete the unlocked yellow cells in this attachment and upload to question PQ1 in the eSourcing Suite (commercial envelope) </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Suite (qualification envelope). </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Financial assessment template</w:t>
      </w:r>
      <w:r w:rsidDel="00000000" w:rsidR="00000000" w:rsidRPr="00000000">
        <w:rPr>
          <w:rFonts w:ascii="Arial" w:cs="Arial" w:eastAsia="Arial" w:hAnsi="Arial"/>
          <w:sz w:val="24"/>
          <w:szCs w:val="24"/>
          <w:rtl w:val="0"/>
        </w:rPr>
        <w:t xml:space="preserve"> – this is for information only, you do not need to populate this template as part of your bid</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 1.8.3 in the eSourcing Suite (qualification envelope).</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Subcontracts in your bid and attach to selection question 1.10.1 in the eSourcing Suite (qualification envelope) </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about the Framework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38">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3"/>
          <w:szCs w:val="23"/>
          <w:highlight w:val="white"/>
          <w:rtl w:val="0"/>
        </w:rPr>
        <w:t xml:space="preserve">Attachment 9</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Letter of intent to guarantee </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color w:val="222222"/>
          <w:sz w:val="24"/>
          <w:szCs w:val="24"/>
          <w:highlight w:val="white"/>
          <w:rtl w:val="0"/>
        </w:rPr>
        <w:t xml:space="preserve">If at question 1.18.3</w:t>
      </w:r>
      <w:r w:rsidDel="00000000" w:rsidR="00000000" w:rsidRPr="00000000">
        <w:rPr>
          <w:rFonts w:ascii="Arial" w:cs="Arial" w:eastAsia="Arial" w:hAnsi="Arial"/>
          <w:color w:val="ff0000"/>
          <w:sz w:val="24"/>
          <w:szCs w:val="24"/>
          <w:highlight w:val="white"/>
          <w:rtl w:val="0"/>
        </w:rPr>
        <w:t xml:space="preserve"> </w:t>
      </w:r>
      <w:r w:rsidDel="00000000" w:rsidR="00000000" w:rsidRPr="00000000">
        <w:rPr>
          <w:rFonts w:ascii="Arial" w:cs="Arial" w:eastAsia="Arial" w:hAnsi="Arial"/>
          <w:color w:val="222222"/>
          <w:sz w:val="24"/>
          <w:szCs w:val="24"/>
          <w:highlight w:val="white"/>
          <w:rtl w:val="0"/>
        </w:rPr>
        <w:t xml:space="preserve">you have confirmed that you would like to nominate a guarantor to provide additional assurance to a Buyer that you will meet their obligations under a Call off contract, you are required to submit the Letter of Intent to Guarantee at question 1.19.3 in addition to a Certified copy of the extract of the board minutes and/or resolution of the Guarantor approving the intention to enter into a Letter of Intent to Guarantee at question 1.19.4.</w:t>
      </w:r>
      <w:r w:rsidDel="00000000" w:rsidR="00000000" w:rsidRPr="00000000">
        <w:rPr>
          <w:rtl w:val="0"/>
        </w:rPr>
      </w:r>
    </w:p>
    <w:p w:rsidR="00000000" w:rsidDel="00000000" w:rsidP="00000000" w:rsidRDefault="00000000" w:rsidRPr="00000000" w14:paraId="00000039">
      <w:pPr>
        <w:rPr>
          <w:rFonts w:ascii="Arial" w:cs="Arial" w:eastAsia="Arial" w:hAnsi="Arial"/>
          <w:color w:val="000000"/>
          <w:sz w:val="23"/>
          <w:szCs w:val="23"/>
          <w:highlight w:val="white"/>
        </w:rPr>
      </w:pPr>
      <w:r w:rsidDel="00000000" w:rsidR="00000000" w:rsidRPr="00000000">
        <w:rPr>
          <w:rFonts w:ascii="Arial" w:cs="Arial" w:eastAsia="Arial" w:hAnsi="Arial"/>
          <w:b w:val="1"/>
          <w:color w:val="000000"/>
          <w:sz w:val="23"/>
          <w:szCs w:val="23"/>
          <w:highlight w:val="white"/>
          <w:rtl w:val="0"/>
        </w:rPr>
        <w:t xml:space="preserve">Attachment 10</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Framework Contract Documents –</w:t>
      </w:r>
      <w:r w:rsidDel="00000000" w:rsidR="00000000" w:rsidRPr="00000000">
        <w:rPr>
          <w:rFonts w:ascii="Arial" w:cs="Arial" w:eastAsia="Arial" w:hAnsi="Arial"/>
          <w:color w:val="000000"/>
          <w:sz w:val="23"/>
          <w:szCs w:val="23"/>
          <w:highlight w:val="white"/>
          <w:rtl w:val="0"/>
        </w:rPr>
        <w:t xml:space="preserve"> this folder forms the Framework Contract and consists of: </w:t>
      </w:r>
    </w:p>
    <w:p w:rsidR="00000000" w:rsidDel="00000000" w:rsidP="00000000" w:rsidRDefault="00000000" w:rsidRPr="00000000" w14:paraId="0000003A">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Core terms; </w:t>
      </w:r>
    </w:p>
    <w:p w:rsidR="00000000" w:rsidDel="00000000" w:rsidP="00000000" w:rsidRDefault="00000000" w:rsidRPr="00000000" w14:paraId="0000003B">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Framework schedules; </w:t>
      </w:r>
    </w:p>
    <w:p w:rsidR="00000000" w:rsidDel="00000000" w:rsidP="00000000" w:rsidRDefault="00000000" w:rsidRPr="00000000" w14:paraId="0000003C">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Joint schedules </w:t>
      </w:r>
    </w:p>
    <w:p w:rsidR="00000000" w:rsidDel="00000000" w:rsidP="00000000" w:rsidRDefault="00000000" w:rsidRPr="00000000" w14:paraId="0000003D">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Call Off schedules; and</w:t>
      </w:r>
    </w:p>
    <w:p w:rsidR="00000000" w:rsidDel="00000000" w:rsidP="00000000" w:rsidRDefault="00000000" w:rsidRPr="00000000" w14:paraId="0000003E">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Framework award form (CCS will populate this at framework award)</w:t>
      </w:r>
    </w:p>
    <w:p w:rsidR="00000000" w:rsidDel="00000000" w:rsidP="00000000" w:rsidRDefault="00000000" w:rsidRPr="00000000" w14:paraId="0000003F">
      <w:pPr>
        <w:rPr>
          <w:rFonts w:ascii="Arial" w:cs="Arial" w:eastAsia="Arial" w:hAnsi="Arial"/>
          <w:b w:val="1"/>
          <w:color w:val="000000"/>
          <w:sz w:val="24"/>
          <w:szCs w:val="24"/>
          <w:highlight w:val="yellow"/>
        </w:rPr>
      </w:pPr>
      <w:r w:rsidDel="00000000" w:rsidR="00000000" w:rsidRPr="00000000">
        <w:rPr>
          <w:rFonts w:ascii="Arial" w:cs="Arial" w:eastAsia="Arial" w:hAnsi="Arial"/>
          <w:b w:val="1"/>
          <w:color w:val="000000"/>
          <w:sz w:val="23"/>
          <w:szCs w:val="23"/>
          <w:highlight w:val="white"/>
          <w:rtl w:val="0"/>
        </w:rPr>
        <w:t xml:space="preserve">Attachment 1</w:t>
      </w:r>
      <w:r w:rsidDel="00000000" w:rsidR="00000000" w:rsidRPr="00000000">
        <w:rPr>
          <w:rFonts w:ascii="Arial" w:cs="Arial" w:eastAsia="Arial" w:hAnsi="Arial"/>
          <w:b w:val="1"/>
          <w:sz w:val="23"/>
          <w:szCs w:val="23"/>
          <w:highlight w:val="white"/>
          <w:rtl w:val="0"/>
        </w:rPr>
        <w:t xml:space="preserve">1</w:t>
      </w:r>
      <w:r w:rsidDel="00000000" w:rsidR="00000000" w:rsidRPr="00000000">
        <w:rPr>
          <w:rFonts w:ascii="Arial" w:cs="Arial" w:eastAsia="Arial" w:hAnsi="Arial"/>
          <w:b w:val="1"/>
          <w:color w:val="000000"/>
          <w:sz w:val="23"/>
          <w:szCs w:val="23"/>
          <w:highlight w:val="white"/>
          <w:rtl w:val="0"/>
        </w:rPr>
        <w:t xml:space="preserve">  Supplier Specialisms – </w:t>
      </w:r>
      <w:r w:rsidDel="00000000" w:rsidR="00000000" w:rsidRPr="00000000">
        <w:rPr>
          <w:rFonts w:ascii="Arial" w:cs="Arial" w:eastAsia="Arial" w:hAnsi="Arial"/>
          <w:color w:val="000000"/>
          <w:sz w:val="23"/>
          <w:szCs w:val="23"/>
          <w:highlight w:val="white"/>
          <w:rtl w:val="0"/>
        </w:rPr>
        <w:t xml:space="preserve">You will need to complete this template noting that a</w:t>
      </w:r>
      <w:r w:rsidDel="00000000" w:rsidR="00000000" w:rsidRPr="00000000">
        <w:rPr>
          <w:rFonts w:ascii="Arial" w:cs="Arial" w:eastAsia="Arial" w:hAnsi="Arial"/>
          <w:color w:val="000000"/>
          <w:sz w:val="24"/>
          <w:szCs w:val="24"/>
          <w:highlight w:val="white"/>
          <w:rtl w:val="0"/>
        </w:rPr>
        <w:t xml:space="preserve">ll information provided in this document will be used to make up the Supplier Capability Matrix enabling </w:t>
      </w:r>
      <w:r w:rsidDel="00000000" w:rsidR="00000000" w:rsidRPr="00000000">
        <w:rPr>
          <w:rtl w:val="0"/>
        </w:rPr>
        <w:t xml:space="preserve">     </w:t>
      </w:r>
      <w:r w:rsidDel="00000000" w:rsidR="00000000" w:rsidRPr="00000000">
        <w:rPr>
          <w:rFonts w:ascii="Arial" w:cs="Arial" w:eastAsia="Arial" w:hAnsi="Arial"/>
          <w:color w:val="000000"/>
          <w:sz w:val="24"/>
          <w:szCs w:val="24"/>
          <w:highlight w:val="white"/>
          <w:rtl w:val="0"/>
        </w:rPr>
        <w:t xml:space="preserve">to make informed decisions on who to include in Further Competition or place a Direct Award to.</w:t>
      </w:r>
      <w:r w:rsidDel="00000000" w:rsidR="00000000" w:rsidRPr="00000000">
        <w:rPr>
          <w:rtl w:val="0"/>
        </w:rPr>
      </w:r>
    </w:p>
    <w:p w:rsidR="00000000" w:rsidDel="00000000" w:rsidP="00000000" w:rsidRDefault="00000000" w:rsidRPr="00000000" w14:paraId="00000040">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3"/>
          <w:szCs w:val="23"/>
          <w:highlight w:val="white"/>
          <w:rtl w:val="0"/>
        </w:rPr>
        <w:t xml:space="preserve">Attachment 1</w:t>
      </w:r>
      <w:r w:rsidDel="00000000" w:rsidR="00000000" w:rsidRPr="00000000">
        <w:rPr>
          <w:rFonts w:ascii="Arial" w:cs="Arial" w:eastAsia="Arial" w:hAnsi="Arial"/>
          <w:b w:val="1"/>
          <w:sz w:val="23"/>
          <w:szCs w:val="23"/>
          <w:highlight w:val="white"/>
          <w:rtl w:val="0"/>
        </w:rPr>
        <w:t xml:space="preserve">2 </w:t>
      </w:r>
      <w:r w:rsidDel="00000000" w:rsidR="00000000" w:rsidRPr="00000000">
        <w:rPr>
          <w:rFonts w:ascii="Arial" w:cs="Arial" w:eastAsia="Arial" w:hAnsi="Arial"/>
          <w:b w:val="1"/>
          <w:color w:val="000000"/>
          <w:sz w:val="23"/>
          <w:szCs w:val="23"/>
          <w:highlight w:val="white"/>
          <w:rtl w:val="0"/>
        </w:rPr>
        <w:t xml:space="preserve"> Regional Coverage – </w:t>
      </w:r>
      <w:r w:rsidDel="00000000" w:rsidR="00000000" w:rsidRPr="00000000">
        <w:rPr>
          <w:rFonts w:ascii="Arial" w:cs="Arial" w:eastAsia="Arial" w:hAnsi="Arial"/>
          <w:color w:val="000000"/>
          <w:sz w:val="24"/>
          <w:szCs w:val="24"/>
          <w:highlight w:val="white"/>
          <w:rtl w:val="0"/>
        </w:rPr>
        <w:t xml:space="preserve">This document requires you to update and indicate using the table found in 'Tab 1. Regions' which geographical areas you are able to provide recruitment services.  This information will enable buyers</w:t>
      </w:r>
      <w:r w:rsidDel="00000000" w:rsidR="00000000" w:rsidRPr="00000000">
        <w:rPr>
          <w:rtl w:val="0"/>
        </w:rPr>
        <w:t xml:space="preserve"> </w:t>
      </w:r>
      <w:r w:rsidDel="00000000" w:rsidR="00000000" w:rsidRPr="00000000">
        <w:rPr>
          <w:rFonts w:ascii="Arial" w:cs="Arial" w:eastAsia="Arial" w:hAnsi="Arial"/>
          <w:color w:val="000000"/>
          <w:sz w:val="24"/>
          <w:szCs w:val="24"/>
          <w:highlight w:val="white"/>
          <w:rtl w:val="0"/>
        </w:rPr>
        <w:t xml:space="preserve">to identify suppliers for either Direct Award of Further Competition who can provide services aligned with their requirements.</w:t>
      </w:r>
    </w:p>
    <w:p w:rsidR="00000000" w:rsidDel="00000000" w:rsidP="00000000" w:rsidRDefault="00000000" w:rsidRPr="00000000" w14:paraId="00000041">
      <w:pPr>
        <w:rPr>
          <w:rFonts w:ascii="Arial" w:cs="Arial" w:eastAsia="Arial" w:hAnsi="Arial"/>
          <w:b w:val="1"/>
          <w:color w:val="000000"/>
          <w:sz w:val="24"/>
          <w:szCs w:val="24"/>
        </w:rPr>
      </w:pPr>
      <w:r w:rsidDel="00000000" w:rsidR="00000000" w:rsidRPr="00000000">
        <w:rPr>
          <w:rFonts w:ascii="Arial" w:cs="Arial" w:eastAsia="Arial" w:hAnsi="Arial"/>
          <w:b w:val="1"/>
          <w:color w:val="000000"/>
          <w:sz w:val="23"/>
          <w:szCs w:val="23"/>
          <w:rtl w:val="0"/>
        </w:rPr>
        <w:t xml:space="preserve">Attachment 1</w:t>
      </w:r>
      <w:r w:rsidDel="00000000" w:rsidR="00000000" w:rsidRPr="00000000">
        <w:rPr>
          <w:rFonts w:ascii="Arial" w:cs="Arial" w:eastAsia="Arial" w:hAnsi="Arial"/>
          <w:b w:val="1"/>
          <w:sz w:val="23"/>
          <w:szCs w:val="23"/>
          <w:rtl w:val="0"/>
        </w:rPr>
        <w:t xml:space="preserve">3</w:t>
      </w:r>
      <w:r w:rsidDel="00000000" w:rsidR="00000000" w:rsidRPr="00000000">
        <w:rPr>
          <w:rFonts w:ascii="Arial" w:cs="Arial" w:eastAsia="Arial" w:hAnsi="Arial"/>
          <w:b w:val="1"/>
          <w:color w:val="000000"/>
          <w:sz w:val="23"/>
          <w:szCs w:val="23"/>
          <w:rtl w:val="0"/>
        </w:rPr>
        <w:t xml:space="preserve"> Management Information Data – </w:t>
      </w:r>
      <w:r w:rsidDel="00000000" w:rsidR="00000000" w:rsidRPr="00000000">
        <w:rPr>
          <w:rFonts w:ascii="Arial" w:cs="Arial" w:eastAsia="Arial" w:hAnsi="Arial"/>
          <w:color w:val="202124"/>
          <w:sz w:val="24"/>
          <w:szCs w:val="24"/>
          <w:rtl w:val="0"/>
        </w:rPr>
        <w:t xml:space="preserve">This attachment indicates what management information will be required by CCS to manage supplier's delivery of services throughout the life of the Framework, via regular performance review meetings</w:t>
      </w: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bookmarkStart w:colFirst="0" w:colLast="0" w:name="_heading=h.lnxbz9" w:id="2"/>
      <w:bookmarkEnd w:id="2"/>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5">
      <w:pPr>
        <w:rPr>
          <w:rFonts w:ascii="Arial" w:cs="Arial" w:eastAsia="Arial" w:hAnsi="Arial"/>
          <w:sz w:val="24"/>
          <w:szCs w:val="24"/>
        </w:rPr>
      </w:pPr>
      <w:hyperlink r:id="rId11">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fob9te" w:id="3"/>
      <w:bookmarkEnd w:id="3"/>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4"/>
          <w:szCs w:val="24"/>
        </w:rPr>
      </w:pPr>
      <w:bookmarkStart w:colFirst="0" w:colLast="0" w:name="_heading=h.3znysh7" w:id="4"/>
      <w:bookmarkEnd w:id="4"/>
      <w:r w:rsidDel="00000000" w:rsidR="00000000" w:rsidRPr="00000000">
        <w:rPr>
          <w:rFonts w:ascii="Arial" w:cs="Arial" w:eastAsia="Arial" w:hAnsi="Arial"/>
          <w:color w:val="000000"/>
          <w:sz w:val="24"/>
          <w:szCs w:val="24"/>
          <w:rtl w:val="0"/>
        </w:rPr>
        <w:t xml:space="preserve">What ’we’ and ‘you’ means</w:t>
      </w:r>
    </w:p>
    <w:p w:rsidR="00000000" w:rsidDel="00000000" w:rsidP="00000000" w:rsidRDefault="00000000" w:rsidRPr="00000000" w14:paraId="0000004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4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4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4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4E">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4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sub-division of the deliverables which are the subject of this competition as described in the published contract notice.</w:t>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5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5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54">
      <w:pPr>
        <w:numPr>
          <w:ilvl w:val="0"/>
          <w:numId w:val="2"/>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5">
      <w:pPr>
        <w:numPr>
          <w:ilvl w:val="0"/>
          <w:numId w:val="2"/>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6">
      <w:pPr>
        <w:numPr>
          <w:ilvl w:val="0"/>
          <w:numId w:val="2"/>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5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5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5A">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5D">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5E">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5F">
      <w:pPr>
        <w:ind w:left="737" w:firstLine="0"/>
        <w:rPr>
          <w:rFonts w:ascii="Arial" w:cs="Arial" w:eastAsia="Arial" w:hAnsi="Arial"/>
          <w:sz w:val="24"/>
          <w:szCs w:val="24"/>
        </w:rPr>
      </w:pPr>
      <w:hyperlink r:id="rId12">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rFonts w:ascii="Arial" w:cs="Arial" w:eastAsia="Arial" w:hAnsi="Arial"/>
          <w:b w:val="1"/>
          <w:color w:val="000000"/>
          <w:sz w:val="32"/>
          <w:szCs w:val="32"/>
        </w:rPr>
      </w:pPr>
      <w:bookmarkStart w:colFirst="0" w:colLast="0" w:name="_heading=h.2et92p0" w:id="5"/>
      <w:bookmarkEnd w:id="5"/>
      <w:r w:rsidDel="00000000" w:rsidR="00000000" w:rsidRPr="00000000">
        <w:rPr>
          <w:rFonts w:ascii="Arial" w:cs="Arial" w:eastAsia="Arial" w:hAnsi="Arial"/>
          <w:b w:val="1"/>
          <w:color w:val="000000"/>
          <w:sz w:val="32"/>
          <w:szCs w:val="32"/>
          <w:rtl w:val="0"/>
        </w:rPr>
        <w:t xml:space="preserve">The opportunity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80"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This Framework Agreement covers the supply of, but not limited to: </w:t>
      </w:r>
      <w:r w:rsidDel="00000000" w:rsidR="00000000" w:rsidRPr="00000000">
        <w:rPr>
          <w:rtl w:val="0"/>
        </w:rPr>
      </w:r>
    </w:p>
    <w:p w:rsidR="00000000" w:rsidDel="00000000" w:rsidP="00000000" w:rsidRDefault="00000000" w:rsidRPr="00000000" w14:paraId="00000063">
      <w:pPr>
        <w:numPr>
          <w:ilvl w:val="0"/>
          <w:numId w:val="7"/>
        </w:numPr>
        <w:pBdr>
          <w:top w:space="0" w:sz="0" w:val="nil"/>
          <w:left w:space="0" w:sz="0" w:val="nil"/>
          <w:bottom w:space="0" w:sz="0" w:val="nil"/>
          <w:right w:space="0" w:sz="0" w:val="nil"/>
          <w:between w:space="0" w:sz="0" w:val="nil"/>
        </w:pBdr>
        <w:spacing w:after="28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Permanent Recruitment Services to UK public sector bodies including central government departments (and their arm’s length bodies and agencies) and non-departmental public bodies, as well as wider public sector organisations.</w:t>
      </w:r>
    </w:p>
    <w:p w:rsidR="00000000" w:rsidDel="00000000" w:rsidP="00000000" w:rsidRDefault="00000000" w:rsidRPr="00000000" w14:paraId="00000064">
      <w:pPr>
        <w:numPr>
          <w:ilvl w:val="0"/>
          <w:numId w:val="7"/>
        </w:numPr>
        <w:pBdr>
          <w:top w:space="0" w:sz="0" w:val="nil"/>
          <w:left w:space="0" w:sz="0" w:val="nil"/>
          <w:bottom w:space="0" w:sz="0" w:val="nil"/>
          <w:right w:space="0" w:sz="0" w:val="nil"/>
          <w:between w:space="0" w:sz="0" w:val="nil"/>
        </w:pBdr>
        <w:spacing w:after="28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UK coverage of recruitment for permanent appointments, fixed term appointments and inward secondments with buyers</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 (for the avoidance of doubt this includes England, Scotland, Wales and Northern Ireland). </w:t>
      </w:r>
    </w:p>
    <w:p w:rsidR="00000000" w:rsidDel="00000000" w:rsidP="00000000" w:rsidRDefault="00000000" w:rsidRPr="00000000" w14:paraId="00000065">
      <w:pPr>
        <w:numPr>
          <w:ilvl w:val="0"/>
          <w:numId w:val="7"/>
        </w:numPr>
        <w:pBdr>
          <w:top w:space="0" w:sz="0" w:val="nil"/>
          <w:left w:space="0" w:sz="0" w:val="nil"/>
          <w:bottom w:space="0" w:sz="0" w:val="nil"/>
          <w:right w:space="0" w:sz="0" w:val="nil"/>
          <w:between w:space="0" w:sz="0" w:val="nil"/>
        </w:pBdr>
        <w:spacing w:after="28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Bidders are not required to be able to provide on a national basis but shall be able to provide recruitment Services in geographic locations in and outside of London &amp; The South East, where Civil Service and wider Public Servants are located throughout the UK, not restricted to large cities, and adapting to changing locations for Public Bodies. </w:t>
      </w:r>
    </w:p>
    <w:p w:rsidR="00000000" w:rsidDel="00000000" w:rsidP="00000000" w:rsidRDefault="00000000" w:rsidRPr="00000000" w14:paraId="00000066">
      <w:pPr>
        <w:numPr>
          <w:ilvl w:val="0"/>
          <w:numId w:val="7"/>
        </w:numPr>
        <w:pBdr>
          <w:top w:space="0" w:sz="0" w:val="nil"/>
          <w:left w:space="0" w:sz="0" w:val="nil"/>
          <w:bottom w:space="0" w:sz="0" w:val="nil"/>
          <w:right w:space="0" w:sz="0" w:val="nil"/>
          <w:between w:space="0" w:sz="0" w:val="nil"/>
        </w:pBdr>
        <w:spacing w:after="28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Individual candidate placements for clinical and non-clinical roles</w:t>
      </w:r>
    </w:p>
    <w:p w:rsidR="00000000" w:rsidDel="00000000" w:rsidP="00000000" w:rsidRDefault="00000000" w:rsidRPr="00000000" w14:paraId="00000067">
      <w:pPr>
        <w:numPr>
          <w:ilvl w:val="0"/>
          <w:numId w:val="7"/>
        </w:numPr>
        <w:pBdr>
          <w:top w:space="0" w:sz="0" w:val="nil"/>
          <w:left w:space="0" w:sz="0" w:val="nil"/>
          <w:bottom w:space="0" w:sz="0" w:val="nil"/>
          <w:right w:space="0" w:sz="0" w:val="nil"/>
          <w:between w:space="0" w:sz="0" w:val="nil"/>
        </w:pBdr>
        <w:spacing w:after="28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Volume campaign requirements including project-based Recruitment Process Outsourcing (RPO)</w:t>
      </w:r>
    </w:p>
    <w:p w:rsidR="00000000" w:rsidDel="00000000" w:rsidP="00000000" w:rsidRDefault="00000000" w:rsidRPr="00000000" w14:paraId="00000068">
      <w:pPr>
        <w:numPr>
          <w:ilvl w:val="0"/>
          <w:numId w:val="7"/>
        </w:numPr>
        <w:pBdr>
          <w:top w:space="0" w:sz="0" w:val="nil"/>
          <w:left w:space="0" w:sz="0" w:val="nil"/>
          <w:bottom w:space="0" w:sz="0" w:val="nil"/>
          <w:right w:space="0" w:sz="0" w:val="nil"/>
          <w:between w:space="0" w:sz="0" w:val="nil"/>
        </w:pBdr>
        <w:spacing w:after="28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Strategy and Planning Services</w:t>
      </w:r>
    </w:p>
    <w:p w:rsidR="00000000" w:rsidDel="00000000" w:rsidP="00000000" w:rsidRDefault="00000000" w:rsidRPr="00000000" w14:paraId="00000069">
      <w:pPr>
        <w:numPr>
          <w:ilvl w:val="0"/>
          <w:numId w:val="7"/>
        </w:numPr>
        <w:pBdr>
          <w:top w:space="0" w:sz="0" w:val="nil"/>
          <w:left w:space="0" w:sz="0" w:val="nil"/>
          <w:bottom w:space="0" w:sz="0" w:val="nil"/>
          <w:right w:space="0" w:sz="0" w:val="nil"/>
          <w:between w:space="0" w:sz="0" w:val="nil"/>
        </w:pBdr>
        <w:spacing w:after="28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Talent Development Services</w:t>
      </w:r>
    </w:p>
    <w:p w:rsidR="00000000" w:rsidDel="00000000" w:rsidP="00000000" w:rsidRDefault="00000000" w:rsidRPr="00000000" w14:paraId="0000006A">
      <w:pPr>
        <w:numPr>
          <w:ilvl w:val="0"/>
          <w:numId w:val="7"/>
        </w:numPr>
        <w:pBdr>
          <w:top w:space="0" w:sz="0" w:val="nil"/>
          <w:left w:space="0" w:sz="0" w:val="nil"/>
          <w:bottom w:space="0" w:sz="0" w:val="nil"/>
          <w:right w:space="0" w:sz="0" w:val="nil"/>
          <w:between w:space="0" w:sz="0" w:val="nil"/>
        </w:pBdr>
        <w:spacing w:after="28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Technology Services</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8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Suppliers must be able to meet sector specific requirements, as detailed in the full Framework Specification (Framework Schedule 1), prior to and during the provision of Services.</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tyjcwt" w:id="6"/>
      <w:bookmarkEnd w:id="6"/>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6D">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 supplier Framework.</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6F">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tender (FTS). There may be multiple Call-Off agreements under one Framework.</w:t>
      </w:r>
    </w:p>
    <w:p w:rsidR="00000000" w:rsidDel="00000000" w:rsidP="00000000" w:rsidRDefault="00000000" w:rsidRPr="00000000" w14:paraId="00000071">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72">
      <w:pPr>
        <w:spacing w:after="120" w:before="120" w:lineRule="auto"/>
        <w:rPr/>
      </w:pPr>
      <w:bookmarkStart w:colFirst="0" w:colLast="0" w:name="_heading=h.3dy6vkm" w:id="7"/>
      <w:bookmarkEnd w:id="7"/>
      <w:r w:rsidDel="00000000" w:rsidR="00000000" w:rsidRPr="00000000">
        <w:rPr>
          <w:rtl w:val="0"/>
        </w:rPr>
      </w:r>
    </w:p>
    <w:p w:rsidR="00000000" w:rsidDel="00000000" w:rsidP="00000000" w:rsidRDefault="00000000" w:rsidRPr="00000000" w14:paraId="00000073">
      <w:pPr>
        <w:numPr>
          <w:ilvl w:val="0"/>
          <w:numId w:val="6"/>
        </w:numPr>
        <w:pBdr>
          <w:top w:space="0" w:sz="0" w:val="nil"/>
          <w:left w:space="0" w:sz="0" w:val="nil"/>
          <w:bottom w:space="0" w:sz="0" w:val="nil"/>
          <w:right w:space="0" w:sz="0" w:val="nil"/>
          <w:between w:space="0" w:sz="0" w:val="nil"/>
        </w:pBdr>
        <w:spacing w:after="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Framework will be established for up to 24 months with the option to extend for up to 2 periods, each of 12 months (2+1+1).</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222222"/>
          <w:sz w:val="24"/>
          <w:szCs w:val="24"/>
          <w:highlight w:val="yellow"/>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framework will commence when Lot 1 is awarded. </w:t>
      </w:r>
      <w:r w:rsidDel="00000000" w:rsidR="00000000" w:rsidRPr="00000000">
        <w:rPr>
          <w:rtl w:val="0"/>
        </w:rPr>
        <w:t xml:space="preserve">     </w:t>
      </w:r>
      <w:r w:rsidDel="00000000" w:rsidR="00000000" w:rsidRPr="00000000">
        <w:rPr>
          <w:rFonts w:ascii="Arial" w:cs="Arial" w:eastAsia="Arial" w:hAnsi="Arial"/>
          <w:color w:val="222222"/>
          <w:sz w:val="24"/>
          <w:szCs w:val="24"/>
          <w:rtl w:val="0"/>
        </w:rPr>
        <w:br w:type="textWrapping"/>
        <w:t xml:space="preserve">Lot 2 will commence </w:t>
      </w:r>
      <w:r w:rsidDel="00000000" w:rsidR="00000000" w:rsidRPr="00000000">
        <w:rPr>
          <w:rtl w:val="0"/>
        </w:rPr>
        <w:t xml:space="preserve">     </w:t>
      </w:r>
      <w:r w:rsidDel="00000000" w:rsidR="00000000" w:rsidRPr="00000000">
        <w:rPr>
          <w:rFonts w:ascii="Arial" w:cs="Arial" w:eastAsia="Arial" w:hAnsi="Arial"/>
          <w:color w:val="222222"/>
          <w:sz w:val="24"/>
          <w:szCs w:val="24"/>
          <w:rtl w:val="0"/>
        </w:rPr>
        <w:t xml:space="preserve">when the existing framework expires and will be awarded for a shorter initial duration, so that all lots will run co-terminously.  </w:t>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79">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7A">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7B">
            <w:pPr>
              <w:rPr/>
            </w:pPr>
            <w:r w:rsidDel="00000000" w:rsidR="00000000" w:rsidRPr="00000000">
              <w:rPr>
                <w:rtl w:val="0"/>
              </w:rPr>
              <w:t xml:space="preserve">Lot 1</w:t>
            </w:r>
          </w:p>
        </w:tc>
        <w:tc>
          <w:tcPr>
            <w:vAlign w:val="center"/>
          </w:tcPr>
          <w:p w:rsidR="00000000" w:rsidDel="00000000" w:rsidP="00000000" w:rsidRDefault="00000000" w:rsidRPr="00000000" w14:paraId="0000007C">
            <w:pPr>
              <w:rPr/>
            </w:pPr>
            <w:r w:rsidDel="00000000" w:rsidR="00000000" w:rsidRPr="00000000">
              <w:rPr>
                <w:rtl w:val="0"/>
              </w:rPr>
              <w:t xml:space="preserve">Clinical Recruitment</w:t>
            </w:r>
          </w:p>
        </w:tc>
      </w:tr>
      <w:tr>
        <w:trPr>
          <w:cantSplit w:val="0"/>
          <w:trHeight w:val="567" w:hRule="atLeast"/>
          <w:tblHeader w:val="0"/>
        </w:trPr>
        <w:tc>
          <w:tcPr>
            <w:vAlign w:val="center"/>
          </w:tcPr>
          <w:p w:rsidR="00000000" w:rsidDel="00000000" w:rsidP="00000000" w:rsidRDefault="00000000" w:rsidRPr="00000000" w14:paraId="0000007D">
            <w:pPr>
              <w:rPr/>
            </w:pPr>
            <w:r w:rsidDel="00000000" w:rsidR="00000000" w:rsidRPr="00000000">
              <w:rPr>
                <w:rtl w:val="0"/>
              </w:rPr>
              <w:t xml:space="preserve">Lot 2</w:t>
            </w:r>
          </w:p>
        </w:tc>
        <w:tc>
          <w:tcPr>
            <w:vAlign w:val="center"/>
          </w:tcPr>
          <w:p w:rsidR="00000000" w:rsidDel="00000000" w:rsidP="00000000" w:rsidRDefault="00000000" w:rsidRPr="00000000" w14:paraId="0000007E">
            <w:pPr>
              <w:rPr/>
            </w:pPr>
            <w:r w:rsidDel="00000000" w:rsidR="00000000" w:rsidRPr="00000000">
              <w:rPr>
                <w:rtl w:val="0"/>
              </w:rPr>
              <w:t xml:space="preserve">General Recruitment (Non Clinical)</w:t>
            </w:r>
          </w:p>
        </w:tc>
      </w:tr>
    </w:tbl>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Bidders can bid for one or both lots. There are no restrictions.</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If a bidder is successful on one or both lot(s) they will be awarded a Framework Contract for those lot(s). </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6"/>
        <w:gridCol w:w="6096"/>
        <w:tblGridChange w:id="0">
          <w:tblGrid>
            <w:gridCol w:w="2126"/>
            <w:gridCol w:w="6096"/>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84">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85">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86">
            <w:pPr>
              <w:rPr/>
            </w:pPr>
            <w:r w:rsidDel="00000000" w:rsidR="00000000" w:rsidRPr="00000000">
              <w:rPr>
                <w:rtl w:val="0"/>
              </w:rPr>
              <w:t xml:space="preserve">Lot 1</w:t>
            </w:r>
          </w:p>
        </w:tc>
        <w:tc>
          <w:tcPr>
            <w:vAlign w:val="center"/>
          </w:tcPr>
          <w:p w:rsidR="00000000" w:rsidDel="00000000" w:rsidP="00000000" w:rsidRDefault="00000000" w:rsidRPr="00000000" w14:paraId="00000087">
            <w:pPr>
              <w:rPr/>
            </w:pPr>
            <w:r w:rsidDel="00000000" w:rsidR="00000000" w:rsidRPr="00000000">
              <w:rPr>
                <w:rtl w:val="0"/>
              </w:rPr>
              <w:t xml:space="preserve">50</w:t>
            </w:r>
          </w:p>
        </w:tc>
      </w:tr>
      <w:tr>
        <w:trPr>
          <w:cantSplit w:val="0"/>
          <w:trHeight w:val="567" w:hRule="atLeast"/>
          <w:tblHeader w:val="0"/>
        </w:trPr>
        <w:tc>
          <w:tcPr>
            <w:vAlign w:val="center"/>
          </w:tcPr>
          <w:p w:rsidR="00000000" w:rsidDel="00000000" w:rsidP="00000000" w:rsidRDefault="00000000" w:rsidRPr="00000000" w14:paraId="00000088">
            <w:pPr>
              <w:rPr/>
            </w:pPr>
            <w:r w:rsidDel="00000000" w:rsidR="00000000" w:rsidRPr="00000000">
              <w:rPr>
                <w:rtl w:val="0"/>
              </w:rPr>
              <w:t xml:space="preserve">Lot 2</w:t>
            </w:r>
          </w:p>
        </w:tc>
        <w:tc>
          <w:tcPr>
            <w:vAlign w:val="center"/>
          </w:tcPr>
          <w:p w:rsidR="00000000" w:rsidDel="00000000" w:rsidP="00000000" w:rsidRDefault="00000000" w:rsidRPr="00000000" w14:paraId="00000089">
            <w:pPr>
              <w:rPr/>
            </w:pPr>
            <w:r w:rsidDel="00000000" w:rsidR="00000000" w:rsidRPr="00000000">
              <w:rPr>
                <w:rtl w:val="0"/>
              </w:rPr>
              <w:t xml:space="preserve">100</w:t>
            </w:r>
          </w:p>
        </w:tc>
      </w:tr>
    </w:tbl>
    <w:p w:rsidR="00000000" w:rsidDel="00000000" w:rsidP="00000000" w:rsidRDefault="00000000" w:rsidRPr="00000000" w14:paraId="0000008A">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t3h5sf" w:id="8"/>
      <w:bookmarkEnd w:id="8"/>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 contract notice can be found on Find a Tender (FTS) and our website https://www.crowncommercial.gov.uk/agreements/upcoming </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8F">
      <w:pPr>
        <w:numPr>
          <w:ilvl w:val="0"/>
          <w:numId w:val="2"/>
        </w:numPr>
        <w:pBdr>
          <w:top w:space="0" w:sz="0" w:val="nil"/>
          <w:left w:space="0" w:sz="0" w:val="nil"/>
          <w:bottom w:space="0" w:sz="0" w:val="nil"/>
          <w:right w:space="0" w:sz="0" w:val="nil"/>
          <w:between w:space="0" w:sz="0" w:val="nil"/>
        </w:pBdr>
        <w:spacing w:after="240" w:line="240" w:lineRule="auto"/>
        <w:ind w:left="89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pacing w:after="240" w:line="240" w:lineRule="auto"/>
        <w:ind w:left="89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 with named key subcontractors to deliver parts of the requirements. This applies whether you are bidding as a single legal entity or as a</w:t>
      </w:r>
      <w:r w:rsidDel="00000000" w:rsidR="00000000" w:rsidRPr="00000000">
        <w:rPr>
          <w:color w:val="000000"/>
          <w:rtl w:val="0"/>
        </w:rPr>
        <w:t xml:space="preserve"> </w:t>
      </w:r>
      <w:r w:rsidDel="00000000" w:rsidR="00000000" w:rsidRPr="00000000">
        <w:rPr>
          <w:rFonts w:ascii="Arial" w:cs="Arial" w:eastAsia="Arial" w:hAnsi="Arial"/>
          <w:color w:val="000000"/>
          <w:sz w:val="24"/>
          <w:szCs w:val="24"/>
          <w:rtl w:val="0"/>
        </w:rPr>
        <w:t xml:space="preserve">consortium.</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pos="1134"/>
        </w:tabs>
        <w:spacing w:after="120" w:before="120" w:line="240" w:lineRule="auto"/>
        <w:ind w:hanging="14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4d34og8" w:id="9"/>
      <w:bookmarkEnd w:id="9"/>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94">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95">
            <w:pPr>
              <w:spacing w:after="120" w:before="120" w:lineRule="auto"/>
              <w:rPr/>
            </w:pPr>
            <w:r w:rsidDel="00000000" w:rsidR="00000000" w:rsidRPr="00000000">
              <w:rPr>
                <w:rtl w:val="0"/>
              </w:rPr>
              <w:t xml:space="preserve">09/09/2021</w:t>
            </w:r>
          </w:p>
        </w:tc>
      </w:tr>
      <w:tr>
        <w:trPr>
          <w:cantSplit w:val="0"/>
          <w:tblHeader w:val="0"/>
        </w:trPr>
        <w:tc>
          <w:tcPr/>
          <w:p w:rsidR="00000000" w:rsidDel="00000000" w:rsidP="00000000" w:rsidRDefault="00000000" w:rsidRPr="00000000" w14:paraId="00000096">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97">
            <w:pPr>
              <w:spacing w:after="120" w:before="120" w:lineRule="auto"/>
              <w:rPr/>
            </w:pPr>
            <w:r w:rsidDel="00000000" w:rsidR="00000000" w:rsidRPr="00000000">
              <w:rPr>
                <w:rtl w:val="0"/>
              </w:rPr>
              <w:t xml:space="preserve">10/09/2021</w:t>
            </w:r>
          </w:p>
        </w:tc>
      </w:tr>
      <w:tr>
        <w:trPr>
          <w:cantSplit w:val="0"/>
          <w:tblHeader w:val="0"/>
        </w:trPr>
        <w:tc>
          <w:tcPr/>
          <w:p w:rsidR="00000000" w:rsidDel="00000000" w:rsidP="00000000" w:rsidRDefault="00000000" w:rsidRPr="00000000" w14:paraId="00000098">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99">
            <w:pPr>
              <w:rPr/>
            </w:pPr>
            <w:r w:rsidDel="00000000" w:rsidR="00000000" w:rsidRPr="00000000">
              <w:rPr>
                <w:rtl w:val="0"/>
              </w:rPr>
              <w:t xml:space="preserve">17:00 on27/09/2021</w:t>
            </w:r>
          </w:p>
        </w:tc>
      </w:tr>
      <w:tr>
        <w:trPr>
          <w:cantSplit w:val="0"/>
          <w:tblHeader w:val="0"/>
        </w:trPr>
        <w:tc>
          <w:tcPr/>
          <w:p w:rsidR="00000000" w:rsidDel="00000000" w:rsidP="00000000" w:rsidRDefault="00000000" w:rsidRPr="00000000" w14:paraId="0000009A">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9B">
            <w:pPr>
              <w:rPr/>
            </w:pPr>
            <w:r w:rsidDel="00000000" w:rsidR="00000000" w:rsidRPr="00000000">
              <w:rPr>
                <w:rtl w:val="0"/>
              </w:rPr>
              <w:t xml:space="preserve">17:00 on 04/10/2021</w:t>
            </w:r>
          </w:p>
        </w:tc>
      </w:tr>
      <w:tr>
        <w:trPr>
          <w:cantSplit w:val="0"/>
          <w:tblHeader w:val="0"/>
        </w:trPr>
        <w:tc>
          <w:tcPr/>
          <w:p w:rsidR="00000000" w:rsidDel="00000000" w:rsidP="00000000" w:rsidRDefault="00000000" w:rsidRPr="00000000" w14:paraId="0000009C">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9D">
            <w:pPr>
              <w:rPr/>
            </w:pPr>
            <w:r w:rsidDel="00000000" w:rsidR="00000000" w:rsidRPr="00000000">
              <w:rPr>
                <w:rtl w:val="0"/>
              </w:rPr>
              <w:t xml:space="preserve">15:00 on 12/10/2021</w:t>
            </w:r>
          </w:p>
        </w:tc>
      </w:tr>
      <w:tr>
        <w:trPr>
          <w:cantSplit w:val="0"/>
          <w:tblHeader w:val="0"/>
        </w:trPr>
        <w:tc>
          <w:tcPr>
            <w:vAlign w:val="center"/>
          </w:tcPr>
          <w:p w:rsidR="00000000" w:rsidDel="00000000" w:rsidP="00000000" w:rsidRDefault="00000000" w:rsidRPr="00000000" w14:paraId="0000009E">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9F">
            <w:pPr>
              <w:rPr/>
            </w:pPr>
            <w:r w:rsidDel="00000000" w:rsidR="00000000" w:rsidRPr="00000000">
              <w:rPr>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A0">
            <w:pPr>
              <w:spacing w:after="120" w:before="120" w:lineRule="auto"/>
              <w:rPr/>
            </w:pPr>
            <w:r w:rsidDel="00000000" w:rsidR="00000000" w:rsidRPr="00000000">
              <w:rPr>
                <w:rtl w:val="0"/>
              </w:rPr>
              <w:t xml:space="preserve">Issue of intention to award notices to successful and unsuccessful bidders</w:t>
            </w:r>
          </w:p>
          <w:p w:rsidR="00000000" w:rsidDel="00000000" w:rsidP="00000000" w:rsidRDefault="00000000" w:rsidRPr="00000000" w14:paraId="000000A1">
            <w:pPr>
              <w:spacing w:after="120" w:before="120" w:lineRule="auto"/>
              <w:rPr/>
            </w:pPr>
            <w:r w:rsidDel="00000000" w:rsidR="00000000" w:rsidRPr="00000000">
              <w:rPr>
                <w:rtl w:val="0"/>
              </w:rPr>
              <w:t xml:space="preserve">Lot 1</w:t>
            </w:r>
          </w:p>
          <w:p w:rsidR="00000000" w:rsidDel="00000000" w:rsidP="00000000" w:rsidRDefault="00000000" w:rsidRPr="00000000" w14:paraId="000000A2">
            <w:pPr>
              <w:spacing w:after="120" w:before="120" w:lineRule="auto"/>
              <w:rPr/>
            </w:pPr>
            <w:r w:rsidDel="00000000" w:rsidR="00000000" w:rsidRPr="00000000">
              <w:rPr>
                <w:rtl w:val="0"/>
              </w:rPr>
              <w:t xml:space="preserve">Lot 2</w:t>
            </w:r>
          </w:p>
        </w:tc>
        <w:tc>
          <w:tcPr>
            <w:vAlign w:val="center"/>
          </w:tcPr>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spacing w:after="120" w:before="120" w:lineRule="auto"/>
              <w:ind w:left="-28" w:firstLine="0"/>
              <w:rPr/>
            </w:pPr>
            <w:r w:rsidDel="00000000" w:rsidR="00000000" w:rsidRPr="00000000">
              <w:rPr>
                <w:rtl w:val="0"/>
              </w:rPr>
              <w:t xml:space="preserve">13/01/2022</w:t>
            </w:r>
          </w:p>
          <w:p w:rsidR="00000000" w:rsidDel="00000000" w:rsidP="00000000" w:rsidRDefault="00000000" w:rsidRPr="00000000" w14:paraId="000000A6">
            <w:pPr>
              <w:spacing w:after="120" w:before="120" w:lineRule="auto"/>
              <w:ind w:left="-28" w:firstLine="0"/>
              <w:rPr/>
            </w:pPr>
            <w:r w:rsidDel="00000000" w:rsidR="00000000" w:rsidRPr="00000000">
              <w:rPr>
                <w:rtl w:val="0"/>
              </w:rPr>
              <w:t xml:space="preserve">21/04/2022</w:t>
            </w:r>
          </w:p>
        </w:tc>
      </w:tr>
      <w:tr>
        <w:trPr>
          <w:cantSplit w:val="0"/>
          <w:trHeight w:val="737" w:hRule="atLeast"/>
          <w:tblHeader w:val="0"/>
        </w:trPr>
        <w:tc>
          <w:tcPr/>
          <w:p w:rsidR="00000000" w:rsidDel="00000000" w:rsidP="00000000" w:rsidRDefault="00000000" w:rsidRPr="00000000" w14:paraId="000000A7">
            <w:pPr>
              <w:spacing w:after="120" w:before="120" w:lineRule="auto"/>
              <w:rPr/>
            </w:pPr>
            <w:r w:rsidDel="00000000" w:rsidR="00000000" w:rsidRPr="00000000">
              <w:rPr>
                <w:rtl w:val="0"/>
              </w:rPr>
              <w:t xml:space="preserve">End of mandatory standstill period</w:t>
            </w:r>
          </w:p>
          <w:p w:rsidR="00000000" w:rsidDel="00000000" w:rsidP="00000000" w:rsidRDefault="00000000" w:rsidRPr="00000000" w14:paraId="000000A8">
            <w:pPr>
              <w:spacing w:after="120" w:before="120" w:lineRule="auto"/>
              <w:rPr/>
            </w:pPr>
            <w:r w:rsidDel="00000000" w:rsidR="00000000" w:rsidRPr="00000000">
              <w:rPr>
                <w:rtl w:val="0"/>
              </w:rPr>
              <w:t xml:space="preserve">Lot 1</w:t>
            </w:r>
          </w:p>
          <w:p w:rsidR="00000000" w:rsidDel="00000000" w:rsidP="00000000" w:rsidRDefault="00000000" w:rsidRPr="00000000" w14:paraId="000000A9">
            <w:pPr>
              <w:spacing w:after="120" w:before="120" w:lineRule="auto"/>
              <w:rPr/>
            </w:pPr>
            <w:r w:rsidDel="00000000" w:rsidR="00000000" w:rsidRPr="00000000">
              <w:rPr>
                <w:rtl w:val="0"/>
              </w:rPr>
              <w:t xml:space="preserve">Lot 2</w:t>
            </w:r>
          </w:p>
        </w:tc>
        <w:tc>
          <w:tcPr>
            <w:vAlign w:val="center"/>
          </w:tcPr>
          <w:p w:rsidR="00000000" w:rsidDel="00000000" w:rsidP="00000000" w:rsidRDefault="00000000" w:rsidRPr="00000000" w14:paraId="000000AA">
            <w:pPr>
              <w:spacing w:after="120" w:before="120" w:lineRule="auto"/>
              <w:ind w:left="-28" w:firstLine="0"/>
              <w:rPr/>
            </w:pPr>
            <w:r w:rsidDel="00000000" w:rsidR="00000000" w:rsidRPr="00000000">
              <w:rPr>
                <w:rtl w:val="0"/>
              </w:rPr>
              <w:t xml:space="preserve">midnight at the end of </w:t>
            </w:r>
          </w:p>
          <w:p w:rsidR="00000000" w:rsidDel="00000000" w:rsidP="00000000" w:rsidRDefault="00000000" w:rsidRPr="00000000" w14:paraId="000000AB">
            <w:pPr>
              <w:spacing w:after="120" w:before="120" w:lineRule="auto"/>
              <w:ind w:left="-28" w:firstLine="0"/>
              <w:rPr/>
            </w:pPr>
            <w:r w:rsidDel="00000000" w:rsidR="00000000" w:rsidRPr="00000000">
              <w:rPr>
                <w:rtl w:val="0"/>
              </w:rPr>
              <w:t xml:space="preserve">25/01/2022</w:t>
            </w:r>
          </w:p>
          <w:p w:rsidR="00000000" w:rsidDel="00000000" w:rsidP="00000000" w:rsidRDefault="00000000" w:rsidRPr="00000000" w14:paraId="000000AC">
            <w:pPr>
              <w:spacing w:after="120" w:before="120" w:lineRule="auto"/>
              <w:ind w:left="-28" w:firstLine="0"/>
              <w:rPr/>
            </w:pPr>
            <w:r w:rsidDel="00000000" w:rsidR="00000000" w:rsidRPr="00000000">
              <w:rPr>
                <w:rtl w:val="0"/>
              </w:rPr>
              <w:t xml:space="preserve">03/05/2022</w:t>
            </w:r>
          </w:p>
        </w:tc>
      </w:tr>
      <w:tr>
        <w:trPr>
          <w:cantSplit w:val="0"/>
          <w:tblHeader w:val="0"/>
        </w:trPr>
        <w:tc>
          <w:tcPr/>
          <w:p w:rsidR="00000000" w:rsidDel="00000000" w:rsidP="00000000" w:rsidRDefault="00000000" w:rsidRPr="00000000" w14:paraId="000000AD">
            <w:pPr>
              <w:spacing w:after="120" w:before="120" w:lineRule="auto"/>
              <w:rPr/>
            </w:pPr>
            <w:r w:rsidDel="00000000" w:rsidR="00000000" w:rsidRPr="00000000">
              <w:rPr>
                <w:rtl w:val="0"/>
              </w:rPr>
              <w:t xml:space="preserve">Award of Framework Contracts </w:t>
            </w:r>
          </w:p>
          <w:p w:rsidR="00000000" w:rsidDel="00000000" w:rsidP="00000000" w:rsidRDefault="00000000" w:rsidRPr="00000000" w14:paraId="000000AE">
            <w:pPr>
              <w:spacing w:after="120" w:before="120" w:lineRule="auto"/>
              <w:rPr/>
            </w:pPr>
            <w:r w:rsidDel="00000000" w:rsidR="00000000" w:rsidRPr="00000000">
              <w:rPr>
                <w:rtl w:val="0"/>
              </w:rPr>
              <w:t xml:space="preserve">Lot 1</w:t>
            </w:r>
          </w:p>
          <w:p w:rsidR="00000000" w:rsidDel="00000000" w:rsidP="00000000" w:rsidRDefault="00000000" w:rsidRPr="00000000" w14:paraId="000000AF">
            <w:pPr>
              <w:spacing w:after="120" w:before="120" w:lineRule="auto"/>
              <w:rPr/>
            </w:pPr>
            <w:r w:rsidDel="00000000" w:rsidR="00000000" w:rsidRPr="00000000">
              <w:rPr>
                <w:rtl w:val="0"/>
              </w:rPr>
              <w:t xml:space="preserve">Lot 2</w:t>
            </w:r>
          </w:p>
        </w:tc>
        <w:tc>
          <w:tcPr>
            <w:vAlign w:val="center"/>
          </w:tcPr>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spacing w:after="120" w:before="120" w:lineRule="auto"/>
              <w:ind w:left="0" w:firstLine="0"/>
              <w:rPr/>
            </w:pPr>
            <w:r w:rsidDel="00000000" w:rsidR="00000000" w:rsidRPr="00000000">
              <w:rPr>
                <w:rtl w:val="0"/>
              </w:rPr>
              <w:t xml:space="preserve">26/01/2022</w:t>
            </w:r>
          </w:p>
          <w:p w:rsidR="00000000" w:rsidDel="00000000" w:rsidP="00000000" w:rsidRDefault="00000000" w:rsidRPr="00000000" w14:paraId="000000B2">
            <w:pPr>
              <w:spacing w:after="120" w:before="120" w:lineRule="auto"/>
              <w:ind w:left="-28" w:firstLine="0"/>
              <w:rPr/>
            </w:pPr>
            <w:r w:rsidDel="00000000" w:rsidR="00000000" w:rsidRPr="00000000">
              <w:rPr>
                <w:rtl w:val="0"/>
              </w:rPr>
              <w:t xml:space="preserve">04/05/2022</w:t>
            </w:r>
          </w:p>
        </w:tc>
      </w:tr>
      <w:tr>
        <w:trPr>
          <w:cantSplit w:val="0"/>
          <w:tblHeader w:val="0"/>
        </w:trPr>
        <w:tc>
          <w:tcPr/>
          <w:p w:rsidR="00000000" w:rsidDel="00000000" w:rsidP="00000000" w:rsidRDefault="00000000" w:rsidRPr="00000000" w14:paraId="000000B3">
            <w:pPr>
              <w:spacing w:after="120" w:before="120" w:lineRule="auto"/>
              <w:rPr/>
            </w:pPr>
            <w:r w:rsidDel="00000000" w:rsidR="00000000" w:rsidRPr="00000000">
              <w:rPr>
                <w:rtl w:val="0"/>
              </w:rPr>
              <w:t xml:space="preserve">Framework start date (Estimated)</w:t>
            </w:r>
          </w:p>
          <w:p w:rsidR="00000000" w:rsidDel="00000000" w:rsidP="00000000" w:rsidRDefault="00000000" w:rsidRPr="00000000" w14:paraId="000000B4">
            <w:pPr>
              <w:spacing w:after="120" w:before="120" w:lineRule="auto"/>
              <w:rPr/>
            </w:pPr>
            <w:r w:rsidDel="00000000" w:rsidR="00000000" w:rsidRPr="00000000">
              <w:rPr>
                <w:rtl w:val="0"/>
              </w:rPr>
              <w:t xml:space="preserve">Lot 1</w:t>
            </w:r>
          </w:p>
          <w:p w:rsidR="00000000" w:rsidDel="00000000" w:rsidP="00000000" w:rsidRDefault="00000000" w:rsidRPr="00000000" w14:paraId="000000B5">
            <w:pPr>
              <w:spacing w:after="120" w:before="120" w:lineRule="auto"/>
              <w:rPr>
                <w:highlight w:val="green"/>
              </w:rPr>
            </w:pPr>
            <w:r w:rsidDel="00000000" w:rsidR="00000000" w:rsidRPr="00000000">
              <w:rPr>
                <w:rtl w:val="0"/>
              </w:rPr>
              <w:t xml:space="preserve">Lot 2</w:t>
            </w:r>
            <w:r w:rsidDel="00000000" w:rsidR="00000000" w:rsidRPr="00000000">
              <w:rPr>
                <w:rtl w:val="0"/>
              </w:rPr>
            </w:r>
          </w:p>
        </w:tc>
        <w:tc>
          <w:tcPr>
            <w:vAlign w:val="center"/>
          </w:tcPr>
          <w:p w:rsidR="00000000" w:rsidDel="00000000" w:rsidP="00000000" w:rsidRDefault="00000000" w:rsidRPr="00000000" w14:paraId="000000B6">
            <w:pPr>
              <w:ind w:left="0" w:firstLine="0"/>
              <w:rPr/>
            </w:pPr>
            <w:r w:rsidDel="00000000" w:rsidR="00000000" w:rsidRPr="00000000">
              <w:rPr>
                <w:rtl w:val="0"/>
              </w:rPr>
            </w:r>
          </w:p>
          <w:p w:rsidR="00000000" w:rsidDel="00000000" w:rsidP="00000000" w:rsidRDefault="00000000" w:rsidRPr="00000000" w14:paraId="000000B7">
            <w:pPr>
              <w:spacing w:after="120" w:before="120" w:lineRule="auto"/>
              <w:rPr/>
            </w:pPr>
            <w:r w:rsidDel="00000000" w:rsidR="00000000" w:rsidRPr="00000000">
              <w:rPr>
                <w:rtl w:val="0"/>
              </w:rPr>
              <w:t xml:space="preserve">09/02/2022</w:t>
            </w:r>
          </w:p>
          <w:p w:rsidR="00000000" w:rsidDel="00000000" w:rsidP="00000000" w:rsidRDefault="00000000" w:rsidRPr="00000000" w14:paraId="000000B8">
            <w:pPr>
              <w:spacing w:after="120" w:before="120" w:lineRule="auto"/>
              <w:rPr/>
            </w:pPr>
            <w:r w:rsidDel="00000000" w:rsidR="00000000" w:rsidRPr="00000000">
              <w:rPr>
                <w:rtl w:val="0"/>
              </w:rPr>
              <w:t xml:space="preserve">24/05/2022</w:t>
            </w:r>
          </w:p>
        </w:tc>
      </w:tr>
    </w:tbl>
    <w:p w:rsidR="00000000" w:rsidDel="00000000" w:rsidP="00000000" w:rsidRDefault="00000000" w:rsidRPr="00000000" w14:paraId="000000B9">
      <w:pPr>
        <w:rPr>
          <w:rFonts w:ascii="Arial" w:cs="Arial" w:eastAsia="Arial" w:hAnsi="Arial"/>
          <w:b w:val="1"/>
          <w:sz w:val="32"/>
          <w:szCs w:val="32"/>
        </w:rPr>
      </w:pPr>
      <w:bookmarkStart w:colFirst="0" w:colLast="0" w:name="_heading=h.2s8eyo1" w:id="10"/>
      <w:bookmarkEnd w:id="10"/>
      <w:r w:rsidDel="00000000" w:rsidR="00000000" w:rsidRPr="00000000">
        <w:rPr>
          <w:rtl w:val="0"/>
        </w:rPr>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7dp8vu" w:id="11"/>
      <w:bookmarkEnd w:id="11"/>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pos="1134"/>
        </w:tabs>
        <w:spacing w:after="120" w:before="120" w:line="240" w:lineRule="auto"/>
        <w:ind w:left="1920" w:hanging="19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C0">
      <w:pPr>
        <w:numPr>
          <w:ilvl w:val="0"/>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rdcrjn" w:id="12"/>
      <w:bookmarkEnd w:id="12"/>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C1">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p>
    <w:p w:rsidR="00000000" w:rsidDel="00000000" w:rsidP="00000000" w:rsidRDefault="00000000" w:rsidRPr="00000000" w14:paraId="000000C2">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C3">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26in1rg" w:id="13"/>
      <w:bookmarkEnd w:id="13"/>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 </w:t>
      </w: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 </w:t>
      </w:r>
      <w:r w:rsidDel="00000000" w:rsidR="00000000" w:rsidRPr="00000000">
        <w:rPr>
          <w:rFonts w:ascii="Arial" w:cs="Arial" w:eastAsia="Arial" w:hAnsi="Arial"/>
          <w:sz w:val="24"/>
          <w:szCs w:val="24"/>
          <w:rtl w:val="0"/>
        </w:rPr>
        <w:t xml:space="preserve">the services are to be carried out in connection with a single specific event or task of short-term duration] </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pos="1134"/>
        </w:tabs>
        <w:spacing w:after="120" w:before="120" w:line="240" w:lineRule="auto"/>
        <w:ind w:left="737" w:hanging="737"/>
        <w:jc w:val="both"/>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5nkun2" w:id="14"/>
      <w:bookmarkEnd w:id="14"/>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section, sets out the rules of this competition. It needs to be read together with the ITT pack. </w:t>
      </w:r>
    </w:p>
    <w:p w:rsidR="00000000" w:rsidDel="00000000" w:rsidP="00000000" w:rsidRDefault="00000000" w:rsidRPr="00000000" w14:paraId="000000CD">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pPr>
      <w:bookmarkStart w:colFirst="0" w:colLast="0" w:name="_heading=h.1ksv4uv" w:id="15"/>
      <w:bookmarkEnd w:id="15"/>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CF">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[120] days after the bid submission deadline. </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D3">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0D5">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D6">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D7">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D8">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D9">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DA">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DB">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DC">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bookmarkStart w:colFirst="0" w:colLast="0" w:name="_heading=h.44sinio" w:id="16"/>
      <w:bookmarkEnd w:id="16"/>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DE">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DF">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E0">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E1">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E2">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0E5">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E7">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EA">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EC">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 others over the content and submission of bids. However, you may work in good faith with a proposed partner, supplier, consortium member or provider of finance.</w:t>
      </w:r>
    </w:p>
    <w:p w:rsidR="00000000" w:rsidDel="00000000" w:rsidP="00000000" w:rsidRDefault="00000000" w:rsidRPr="00000000" w14:paraId="000000ED">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EE">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F0">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bookmarkStart w:colFirst="0" w:colLast="0" w:name="_heading=h.2jxsxqh" w:id="17"/>
      <w:bookmarkEnd w:id="17"/>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F2">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F3">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F4">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F6">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0F8">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0F9">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0FA">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0FB">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0FC">
      <w:pPr>
        <w:numPr>
          <w:ilvl w:val="0"/>
          <w:numId w:val="2"/>
        </w:numPr>
        <w:ind w:left="1985" w:hanging="566"/>
        <w:rPr>
          <w:rFonts w:ascii="Arial" w:cs="Arial" w:eastAsia="Arial" w:hAnsi="Arial"/>
          <w:sz w:val="24"/>
          <w:szCs w:val="24"/>
        </w:rPr>
      </w:pPr>
      <w:bookmarkStart w:colFirst="0" w:colLast="0" w:name="_heading=h.2xcytpi" w:id="18"/>
      <w:bookmarkEnd w:id="18"/>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0FD">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0FE">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0FF">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00">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01">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02">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03">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04">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05">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06">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07">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09">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0A">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0B">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0C">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0D">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0F">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11">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12">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15">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18">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19">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1A">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1C">
      <w:pPr>
        <w:numPr>
          <w:ilvl w:val="1"/>
          <w:numId w:val="3"/>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F">
      <w:pPr>
        <w:numPr>
          <w:ilvl w:val="0"/>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z337ya" w:id="19"/>
      <w:bookmarkEnd w:id="19"/>
      <w:r w:rsidDel="00000000" w:rsidR="00000000" w:rsidRPr="00000000">
        <w:rPr>
          <w:rFonts w:ascii="Arial" w:cs="Arial" w:eastAsia="Arial" w:hAnsi="Arial"/>
          <w:b w:val="1"/>
          <w:color w:val="000000"/>
          <w:sz w:val="32"/>
          <w:szCs w:val="32"/>
          <w:rtl w:val="0"/>
        </w:rPr>
        <w:t xml:space="preserve">How the Framework is structured</w:t>
      </w:r>
      <w:r w:rsidDel="00000000" w:rsidR="00000000" w:rsidRPr="00000000">
        <w:rPr>
          <w:rtl w:val="0"/>
        </w:rPr>
      </w:r>
    </w:p>
    <w:p w:rsidR="00000000" w:rsidDel="00000000" w:rsidP="00000000" w:rsidRDefault="00000000" w:rsidRPr="00000000" w14:paraId="00000120">
      <w:pPr>
        <w:spacing w:after="200" w:line="276"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The Framework Contract is made up of four key components: </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09"/>
        </w:tabs>
        <w:spacing w:after="120" w:before="240" w:line="240" w:lineRule="auto"/>
        <w:ind w:left="1920" w:right="0" w:hanging="2062"/>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Core terms </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23">
      <w:pPr>
        <w:numPr>
          <w:ilvl w:val="1"/>
          <w:numId w:val="1"/>
        </w:numPr>
        <w:pBdr>
          <w:top w:space="0" w:sz="0" w:val="nil"/>
          <w:left w:space="0" w:sz="0" w:val="nil"/>
          <w:bottom w:space="0" w:sz="0" w:val="nil"/>
          <w:right w:space="0" w:sz="0" w:val="nil"/>
          <w:between w:space="0" w:sz="0" w:val="nil"/>
        </w:pBdr>
        <w:tabs>
          <w:tab w:val="left" w:pos="709"/>
        </w:tabs>
        <w:spacing w:after="120" w:before="240" w:line="240" w:lineRule="auto"/>
        <w:ind w:left="720" w:hanging="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Schedules </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25">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26">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27">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29">
      <w:pPr>
        <w:numPr>
          <w:ilvl w:val="1"/>
          <w:numId w:val="1"/>
        </w:numPr>
        <w:pBdr>
          <w:top w:space="0" w:sz="0" w:val="nil"/>
          <w:left w:space="0" w:sz="0" w:val="nil"/>
          <w:bottom w:space="0" w:sz="0" w:val="nil"/>
          <w:right w:space="0" w:sz="0" w:val="nil"/>
          <w:between w:space="0" w:sz="0" w:val="nil"/>
        </w:pBdr>
        <w:tabs>
          <w:tab w:val="left" w:pos="709"/>
        </w:tabs>
        <w:spacing w:after="120" w:before="240" w:line="240" w:lineRule="auto"/>
        <w:ind w:left="720" w:hanging="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Framework award form</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Ten [10] days of being asked. If you do not sign and return, we will withdraw our offer of a Framework agreement.</w:t>
      </w:r>
    </w:p>
    <w:p w:rsidR="00000000" w:rsidDel="00000000" w:rsidP="00000000" w:rsidRDefault="00000000" w:rsidRPr="00000000" w14:paraId="0000012D">
      <w:pPr>
        <w:numPr>
          <w:ilvl w:val="1"/>
          <w:numId w:val="1"/>
        </w:numPr>
        <w:pBdr>
          <w:top w:space="0" w:sz="0" w:val="nil"/>
          <w:left w:space="0" w:sz="0" w:val="nil"/>
          <w:bottom w:space="0" w:sz="0" w:val="nil"/>
          <w:right w:space="0" w:sz="0" w:val="nil"/>
          <w:between w:space="0" w:sz="0" w:val="nil"/>
        </w:pBdr>
        <w:tabs>
          <w:tab w:val="left" w:pos="709"/>
        </w:tabs>
        <w:spacing w:after="120" w:before="240" w:line="240" w:lineRule="auto"/>
        <w:ind w:left="720" w:hanging="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Order form</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30">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31">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32">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33">
      <w:pPr>
        <w:numPr>
          <w:ilvl w:val="0"/>
          <w:numId w:val="2"/>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34">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Call-Off contract will be created when both parties agree to it either by:</w:t>
      </w:r>
    </w:p>
    <w:p w:rsidR="00000000" w:rsidDel="00000000" w:rsidP="00000000" w:rsidRDefault="00000000" w:rsidRPr="00000000" w14:paraId="00000136">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37">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39">
      <w:pPr>
        <w:numPr>
          <w:ilvl w:val="1"/>
          <w:numId w:val="1"/>
        </w:numPr>
        <w:pBdr>
          <w:top w:space="0" w:sz="0" w:val="nil"/>
          <w:left w:space="0" w:sz="0" w:val="nil"/>
          <w:bottom w:space="0" w:sz="0" w:val="nil"/>
          <w:right w:space="0" w:sz="0" w:val="nil"/>
          <w:between w:space="0" w:sz="0" w:val="nil"/>
        </w:pBdr>
        <w:tabs>
          <w:tab w:val="left" w:pos="709"/>
        </w:tabs>
        <w:spacing w:after="120" w:before="240" w:line="240" w:lineRule="auto"/>
        <w:ind w:left="720" w:hanging="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contract documents</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https://www.crowncommercial.gov.uk/agreements/upcoming </w:t>
      </w:r>
    </w:p>
    <w:p w:rsidR="00000000" w:rsidDel="00000000" w:rsidP="00000000" w:rsidRDefault="00000000" w:rsidRPr="00000000" w14:paraId="0000013B">
      <w:pPr>
        <w:widowControl w:val="0"/>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3D">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3E">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3F">
            <w:pPr>
              <w:widowControl w:val="0"/>
              <w:spacing w:after="80" w:line="259" w:lineRule="auto"/>
              <w:ind w:left="0" w:firstLine="0"/>
              <w:rPr>
                <w:sz w:val="28"/>
                <w:szCs w:val="28"/>
              </w:rPr>
            </w:pPr>
            <w:r w:rsidDel="00000000" w:rsidR="00000000" w:rsidRPr="00000000">
              <w:rPr>
                <w:sz w:val="28"/>
                <w:szCs w:val="28"/>
                <w:rtl w:val="0"/>
              </w:rPr>
              <w:t xml:space="preserve">Optional?</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41">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42">
            <w:pPr>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63">
            <w:pPr>
              <w:widowControl w:val="0"/>
              <w:spacing w:after="80" w:lineRule="auto"/>
              <w:rPr/>
            </w:pPr>
            <w:r w:rsidDel="00000000" w:rsidR="00000000" w:rsidRPr="00000000">
              <w:rPr>
                <w:rtl w:val="0"/>
              </w:rPr>
              <w:t xml:space="preserve">PLEASE NOTE:</w:t>
            </w:r>
          </w:p>
          <w:p w:rsidR="00000000" w:rsidDel="00000000" w:rsidP="00000000" w:rsidRDefault="00000000" w:rsidRPr="00000000" w14:paraId="00000164">
            <w:pPr>
              <w:widowControl w:val="0"/>
              <w:spacing w:after="80" w:lineRule="auto"/>
              <w:rPr/>
            </w:pPr>
            <w:r w:rsidDel="00000000" w:rsidR="00000000" w:rsidRPr="00000000">
              <w:rPr>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65">
            <w:pPr>
              <w:widowControl w:val="0"/>
              <w:spacing w:after="80" w:lineRule="auto"/>
              <w:rPr/>
            </w:pPr>
            <w:r w:rsidDel="00000000" w:rsidR="00000000" w:rsidRPr="00000000">
              <w:rPr>
                <w:rtl w:val="0"/>
              </w:rPr>
            </w:r>
          </w:p>
          <w:p w:rsidR="00000000" w:rsidDel="00000000" w:rsidP="00000000" w:rsidRDefault="00000000" w:rsidRPr="00000000" w14:paraId="00000166">
            <w:pPr>
              <w:widowControl w:val="0"/>
              <w:spacing w:after="80" w:lineRule="auto"/>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67">
            <w:pPr>
              <w:widowControl w:val="0"/>
              <w:spacing w:after="80" w:lineRule="auto"/>
              <w:rPr/>
            </w:pPr>
            <w:r w:rsidDel="00000000" w:rsidR="00000000" w:rsidRPr="00000000">
              <w:rPr>
                <w:rtl w:val="0"/>
              </w:rPr>
            </w:r>
          </w:p>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t xml:space="preserve">Refer to </w:t>
            </w:r>
            <w:hyperlink r:id="rId13">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highlight w:val="yellow"/>
              </w:rPr>
            </w:pPr>
            <w:r w:rsidDel="00000000" w:rsidR="00000000" w:rsidRPr="00000000">
              <w:rPr>
                <w:rtl w:val="0"/>
              </w:rPr>
              <w:t xml:space="preserve">Yes</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b w:val="1"/>
              </w:rPr>
            </w:pPr>
            <w:r w:rsidDel="00000000" w:rsidR="00000000" w:rsidRPr="00000000">
              <w:rPr>
                <w:b w:val="1"/>
                <w:rtl w:val="0"/>
              </w:rPr>
              <w:t xml:space="preserve">Joint Schedule 12 </w:t>
            </w:r>
          </w:p>
          <w:p w:rsidR="00000000" w:rsidDel="00000000" w:rsidP="00000000" w:rsidRDefault="00000000" w:rsidRPr="00000000" w14:paraId="0000018C">
            <w:pPr>
              <w:widowControl w:val="0"/>
              <w:spacing w:after="80" w:line="259" w:lineRule="auto"/>
              <w:ind w:left="0" w:firstLine="0"/>
              <w:rPr>
                <w:b w:val="1"/>
              </w:rPr>
            </w:pPr>
            <w:r w:rsidDel="00000000" w:rsidR="00000000" w:rsidRPr="00000000">
              <w:rPr>
                <w:b w:val="1"/>
                <w:rtl w:val="0"/>
              </w:rPr>
              <w:t xml:space="preserve">(Supply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pPr>
            <w:r w:rsidDel="00000000" w:rsidR="00000000" w:rsidRPr="00000000">
              <w:rPr>
                <w:rtl w:val="0"/>
              </w:rPr>
              <w:t xml:space="preserve">Requirement to advertise subcontractor opportunities for spend above £25,000</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As applies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Not used</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The standards of service required by the Buyer and what happens when these are not met. </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Background checks for vetting of Supplier Staff for Convictions </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CC">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D0">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Rule="auto"/>
              <w:rPr/>
            </w:pPr>
            <w:r w:rsidDel="00000000" w:rsidR="00000000" w:rsidRPr="00000000">
              <w:rPr>
                <w:rtl w:val="0"/>
              </w:rPr>
              <w:t xml:space="preserve">Not used</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Rule="auto"/>
              <w:rPr>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D4">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Rule="auto"/>
              <w:rPr>
                <w:highlight w:val="yellow"/>
              </w:rPr>
            </w:pPr>
            <w:r w:rsidDel="00000000" w:rsidR="00000000" w:rsidRPr="00000000">
              <w:rPr>
                <w:rtl w:val="0"/>
              </w:rPr>
            </w:r>
          </w:p>
        </w:tc>
      </w:tr>
    </w:tbl>
    <w:p w:rsidR="00000000" w:rsidDel="00000000" w:rsidP="00000000" w:rsidRDefault="00000000" w:rsidRPr="00000000" w14:paraId="000001D7">
      <w:pPr>
        <w:tabs>
          <w:tab w:val="left" w:pos="2290"/>
        </w:tabs>
        <w:spacing w:after="200" w:line="276" w:lineRule="auto"/>
        <w:rPr/>
      </w:pPr>
      <w:r w:rsidDel="00000000" w:rsidR="00000000" w:rsidRPr="00000000">
        <w:rPr>
          <w:rtl w:val="0"/>
        </w:rPr>
        <w:tab/>
      </w:r>
    </w:p>
    <w:p w:rsidR="00000000" w:rsidDel="00000000" w:rsidP="00000000" w:rsidRDefault="00000000" w:rsidRPr="00000000" w14:paraId="000001D8">
      <w:pPr>
        <w:numPr>
          <w:ilvl w:val="0"/>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j2qqm3" w:id="20"/>
      <w:bookmarkEnd w:id="20"/>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1D9">
      <w:pPr>
        <w:numPr>
          <w:ilvl w:val="1"/>
          <w:numId w:val="5"/>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1"/>
      <w:bookmarkEnd w:id="21"/>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D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D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D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D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D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D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E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E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E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E3">
      <w:pPr>
        <w:numPr>
          <w:ilvl w:val="1"/>
          <w:numId w:val="5"/>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120" w:before="240" w:line="240" w:lineRule="auto"/>
        <w:ind w:left="8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5">
      <w:pPr>
        <w:numPr>
          <w:ilvl w:val="0"/>
          <w:numId w:val="1"/>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rFonts w:ascii="Arial" w:cs="Arial" w:eastAsia="Arial" w:hAnsi="Arial"/>
          <w:b w:val="1"/>
          <w:color w:val="000000"/>
          <w:sz w:val="32"/>
          <w:szCs w:val="32"/>
        </w:rPr>
      </w:pPr>
      <w:bookmarkStart w:colFirst="0" w:colLast="0" w:name="_heading=h.4i7ojhp" w:id="22"/>
      <w:bookmarkEnd w:id="22"/>
      <w:r w:rsidDel="00000000" w:rsidR="00000000" w:rsidRPr="00000000">
        <w:rPr>
          <w:rFonts w:ascii="Arial" w:cs="Arial" w:eastAsia="Arial" w:hAnsi="Arial"/>
          <w:b w:val="1"/>
          <w:color w:val="000000"/>
          <w:sz w:val="32"/>
          <w:szCs w:val="32"/>
          <w:rtl w:val="0"/>
        </w:rPr>
        <w:t xml:space="preserve">The Armed Forces Covenant</w:t>
      </w:r>
    </w:p>
    <w:p w:rsidR="00000000" w:rsidDel="00000000" w:rsidP="00000000" w:rsidRDefault="00000000" w:rsidRPr="00000000" w14:paraId="000001E6">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b w:val="1"/>
          <w:color w:val="000000"/>
          <w:sz w:val="32"/>
          <w:szCs w:val="32"/>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E7">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E8">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E9">
      <w:pPr>
        <w:numPr>
          <w:ilvl w:val="0"/>
          <w:numId w:val="2"/>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4">
        <w:r w:rsidDel="00000000" w:rsidR="00000000" w:rsidRPr="00000000">
          <w:rPr>
            <w:rFonts w:ascii="Arial" w:cs="Arial" w:eastAsia="Arial" w:hAnsi="Arial"/>
            <w:color w:val="000000"/>
            <w:sz w:val="24"/>
            <w:szCs w:val="24"/>
            <w:rtl w:val="0"/>
          </w:rPr>
          <w:t xml:space="preserve"> </w:t>
        </w:r>
      </w:hyperlink>
      <w:hyperlink r:id="rId15">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C">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hyperlink r:id="rId16">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1ED">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17">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2">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18" w:type="default"/>
      <w:footerReference r:id="rId19" w:type="default"/>
      <w:pgSz w:h="16838" w:w="11906" w:orient="portrait"/>
      <w:pgMar w:bottom="1440" w:top="1440" w:left="1440" w:right="1440" w:header="708" w:footer="113"/>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21</w:t>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v1.0</w:t>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RM6229 Permanent Recruitment 2 Framework </w:t>
    </w:r>
  </w:p>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3">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5">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ind w:left="993" w:hanging="567"/>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0"/>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0"/>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0"/>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9B7E51"/>
    <w:pPr>
      <w:spacing w:after="100" w:afterAutospacing="1" w:before="100" w:beforeAutospacing="1" w:line="240" w:lineRule="auto"/>
    </w:pPr>
    <w:rPr>
      <w:rFonts w:ascii="Times New Roman" w:cs="Times New Roman" w:eastAsia="Times New Roman" w:hAnsi="Times New Roman"/>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esourcing-tool-guidance-for-suppliers" TargetMode="External"/><Relationship Id="rId10" Type="http://schemas.openxmlformats.org/officeDocument/2006/relationships/hyperlink" Target="https://www.crowncommercial.gov.uk/esourcing-training" TargetMode="External"/><Relationship Id="rId13" Type="http://schemas.openxmlformats.org/officeDocument/2006/relationships/hyperlink" Target="https://www.ncsc.gov.uk/information/cyber-essentials-faqs" TargetMode="External"/><Relationship Id="rId12" Type="http://schemas.openxmlformats.org/officeDocument/2006/relationships/hyperlink" Target="https://www.gov.uk/government/publications/government-security-classific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gov.uk/government/publications/corporate-covenant-pledge" TargetMode="External"/><Relationship Id="rId14" Type="http://schemas.openxmlformats.org/officeDocument/2006/relationships/hyperlink" Target="https://www.gov.uk/government/publications/corporate-covenant-pledge" TargetMode="External"/><Relationship Id="rId17" Type="http://schemas.openxmlformats.org/officeDocument/2006/relationships/hyperlink" Target="mailto:covenant-mailbox@mod.uk" TargetMode="External"/><Relationship Id="rId16" Type="http://schemas.openxmlformats.org/officeDocument/2006/relationships/hyperlink" Target="https://www.gov.uk/government/uploads/system/uploads/attachment_data/file/649954/20171005_Armed_Forces_Covenant_Guidance_Notes_for_Businesses.pdf"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7UH1p2TFi2PvTOR27GV+mJoc2A==">AMUW2mWPFmvB4QnTRLJZevCf9fbAMNEJUTe1A6N+pfelYs6hw1XLW8MN/rO+k9s7LO2mb7FnkbGFHTirx8YLjoisVYzRNc3qoJGjOBDoLUgGApAyxr7GZgQaCY+Tb49CyjIQzyLGr21NbEPDEtRAukS0d/mvVZyRvoeD8MR2vtI4W3o91YHkqndYvUU4DPRIOtucDFMe+ocIbj5kL4hcNBvnCRPr4kvPrciEWgz6oX5GVCJJkKZpxX5By0MPnBA73JLZA/S96CVw4buZPTawZtzpZCmFYZU59ItA9CGDzEFg0GOiy39IOzpW+5hkSdDD2482Rw0UoHZN1D7CMW9ebX405iuK074vnH2gBn+QYMjjRvFcD0nM3eKrYNdZrATzfSH3FD+msqQEBw70lHORI9dQ4OJ+VhYsvK+a++raVDedzEOS0XP48fFc/GT/ei0YV87xJWLWM2a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2021-08-27T12:51:00Z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