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B1" w:rsidRDefault="003B6295" w:rsidP="00A85B19">
      <w:pPr>
        <w:pStyle w:val="CoverTitle"/>
      </w:pPr>
      <w:r>
        <w:t xml:space="preserve">Specification for </w:t>
      </w:r>
      <w:r w:rsidR="00942BBB">
        <w:t>implementation facilitation</w:t>
      </w:r>
      <w:r w:rsidR="00745431">
        <w:t xml:space="preserve"> project</w:t>
      </w:r>
    </w:p>
    <w:p w:rsidR="00745431" w:rsidRDefault="00745431" w:rsidP="00745431">
      <w:pPr>
        <w:pStyle w:val="CoverSubTitle"/>
      </w:pPr>
      <w:r>
        <w:t xml:space="preserve">IMP-RCM </w:t>
      </w:r>
      <w:r w:rsidR="00942BBB">
        <w:t>Implementation c</w:t>
      </w:r>
      <w:r>
        <w:t>ase study for the T1010 XIRCM toolkit</w:t>
      </w:r>
    </w:p>
    <w:p w:rsidR="00745431" w:rsidRDefault="00745431" w:rsidP="00745431">
      <w:pPr>
        <w:pStyle w:val="CoverSubTitle"/>
      </w:pPr>
    </w:p>
    <w:p w:rsidR="00745431" w:rsidRDefault="00745431" w:rsidP="00745431">
      <w:pPr>
        <w:pStyle w:val="CoverSubTitle"/>
      </w:pPr>
    </w:p>
    <w:p w:rsidR="00B90DA0" w:rsidRDefault="00B90DA0" w:rsidP="00A85B19">
      <w:pPr>
        <w:pStyle w:val="CoverTitle"/>
      </w:pPr>
    </w:p>
    <w:p w:rsidR="000D1CCF" w:rsidRDefault="000D1CCF" w:rsidP="00A85B19">
      <w:pPr>
        <w:pStyle w:val="CoverTitle"/>
      </w:pPr>
    </w:p>
    <w:p w:rsidR="000D1CCF" w:rsidRDefault="000D1CCF" w:rsidP="00A85B19">
      <w:pPr>
        <w:pStyle w:val="CoverTitle"/>
      </w:pPr>
    </w:p>
    <w:p w:rsidR="00745431" w:rsidRDefault="00745431" w:rsidP="00A85B19">
      <w:pPr>
        <w:pStyle w:val="CoverTitle"/>
      </w:pPr>
    </w:p>
    <w:p w:rsidR="00206FB1" w:rsidRDefault="00206FB1" w:rsidP="00A85B19">
      <w:pPr>
        <w:pStyle w:val="CoverTitle"/>
      </w:pPr>
    </w:p>
    <w:tbl>
      <w:tblPr>
        <w:tblStyle w:val="TableGrid"/>
        <w:tblW w:w="0" w:type="auto"/>
        <w:tblLook w:val="04A0" w:firstRow="1" w:lastRow="0" w:firstColumn="1" w:lastColumn="0" w:noHBand="0" w:noVBand="1"/>
      </w:tblPr>
      <w:tblGrid>
        <w:gridCol w:w="4673"/>
        <w:gridCol w:w="3253"/>
      </w:tblGrid>
      <w:tr w:rsidR="00B90DA0" w:rsidTr="006440C8">
        <w:tc>
          <w:tcPr>
            <w:tcW w:w="4673" w:type="dxa"/>
          </w:tcPr>
          <w:p w:rsidR="00B90DA0" w:rsidRDefault="00206FB1">
            <w:r>
              <w:t xml:space="preserve">Procurement </w:t>
            </w:r>
            <w:r w:rsidR="00B90DA0">
              <w:t>ID</w:t>
            </w:r>
            <w:r>
              <w:t xml:space="preserve"> number</w:t>
            </w:r>
          </w:p>
        </w:tc>
        <w:tc>
          <w:tcPr>
            <w:tcW w:w="3253" w:type="dxa"/>
          </w:tcPr>
          <w:p w:rsidR="00B90DA0" w:rsidRDefault="00B90DA0"/>
        </w:tc>
      </w:tr>
      <w:tr w:rsidR="00B90DA0" w:rsidTr="006440C8">
        <w:tc>
          <w:tcPr>
            <w:tcW w:w="4673" w:type="dxa"/>
          </w:tcPr>
          <w:p w:rsidR="00B90DA0" w:rsidRDefault="00B90DA0">
            <w:r>
              <w:t>Procurement</w:t>
            </w:r>
            <w:r w:rsidR="00206FB1">
              <w:t xml:space="preserve"> Manager</w:t>
            </w:r>
          </w:p>
        </w:tc>
        <w:tc>
          <w:tcPr>
            <w:tcW w:w="3253" w:type="dxa"/>
          </w:tcPr>
          <w:p w:rsidR="00B90DA0" w:rsidRDefault="00B90DA0"/>
        </w:tc>
      </w:tr>
      <w:tr w:rsidR="00444363" w:rsidDel="00206FB1" w:rsidTr="006440C8">
        <w:tc>
          <w:tcPr>
            <w:tcW w:w="4673" w:type="dxa"/>
          </w:tcPr>
          <w:p w:rsidR="00444363" w:rsidDel="00206FB1" w:rsidRDefault="00444363">
            <w:r>
              <w:t xml:space="preserve">Version </w:t>
            </w:r>
          </w:p>
        </w:tc>
        <w:tc>
          <w:tcPr>
            <w:tcW w:w="3253" w:type="dxa"/>
          </w:tcPr>
          <w:p w:rsidR="00444363" w:rsidDel="00206FB1" w:rsidRDefault="0003160D">
            <w:r>
              <w:t>1.0</w:t>
            </w:r>
          </w:p>
        </w:tc>
      </w:tr>
      <w:tr w:rsidR="00444363" w:rsidDel="00206FB1" w:rsidTr="006440C8">
        <w:tc>
          <w:tcPr>
            <w:tcW w:w="4673" w:type="dxa"/>
          </w:tcPr>
          <w:p w:rsidR="00444363" w:rsidRDefault="00444363">
            <w:r>
              <w:t>Date</w:t>
            </w:r>
          </w:p>
        </w:tc>
        <w:tc>
          <w:tcPr>
            <w:tcW w:w="3253" w:type="dxa"/>
          </w:tcPr>
          <w:p w:rsidR="00444363" w:rsidDel="00206FB1" w:rsidRDefault="00FA0021">
            <w:r>
              <w:t>Aug 2016</w:t>
            </w:r>
          </w:p>
        </w:tc>
      </w:tr>
    </w:tbl>
    <w:p w:rsidR="00B90DA0" w:rsidRDefault="00B90DA0"/>
    <w:p w:rsidR="00B90DA0" w:rsidRDefault="00B90DA0">
      <w:r>
        <w:br w:type="page"/>
      </w:r>
    </w:p>
    <w:p w:rsidR="00B90DA0" w:rsidRDefault="00B90DA0" w:rsidP="00B90DA0">
      <w:pPr>
        <w:pStyle w:val="Heading1"/>
      </w:pPr>
      <w:r>
        <w:lastRenderedPageBreak/>
        <w:t>Background</w:t>
      </w:r>
    </w:p>
    <w:p w:rsidR="000C171F" w:rsidRDefault="00900785" w:rsidP="003E5781">
      <w:pPr>
        <w:pStyle w:val="Body"/>
      </w:pPr>
      <w:r>
        <w:t xml:space="preserve">The anticipated proliferation of available data </w:t>
      </w:r>
      <w:r w:rsidR="004915B7">
        <w:t xml:space="preserve">on asset performance </w:t>
      </w:r>
      <w:r>
        <w:t xml:space="preserve">promises step-changing improvements in railway asset maintenance. </w:t>
      </w:r>
      <w:r w:rsidR="003E5781">
        <w:t xml:space="preserve">RSSB project T1010 </w:t>
      </w:r>
      <w:r w:rsidR="003E5781">
        <w:rPr>
          <w:i/>
        </w:rPr>
        <w:t xml:space="preserve">Cross-industry remote condition monitoring </w:t>
      </w:r>
      <w:r w:rsidR="00E51037">
        <w:rPr>
          <w:i/>
        </w:rPr>
        <w:t xml:space="preserve">(XIRCM) </w:t>
      </w:r>
      <w:r w:rsidR="003E5781">
        <w:rPr>
          <w:i/>
        </w:rPr>
        <w:t xml:space="preserve">programme: Phase </w:t>
      </w:r>
      <w:r w:rsidR="00EC02C2">
        <w:rPr>
          <w:i/>
        </w:rPr>
        <w:t xml:space="preserve">2 </w:t>
      </w:r>
      <w:r w:rsidR="00E51037">
        <w:t>developed</w:t>
      </w:r>
      <w:r w:rsidR="003E5781">
        <w:t xml:space="preserve"> </w:t>
      </w:r>
      <w:r w:rsidR="00E51037">
        <w:t>a</w:t>
      </w:r>
      <w:r w:rsidR="00336F58">
        <w:t xml:space="preserve"> </w:t>
      </w:r>
      <w:r w:rsidR="00921B43">
        <w:t>toolkit</w:t>
      </w:r>
      <w:r w:rsidR="00336F58">
        <w:t xml:space="preserve"> to</w:t>
      </w:r>
      <w:r w:rsidR="002B4F7E">
        <w:t xml:space="preserve"> reduce barriers to </w:t>
      </w:r>
      <w:r w:rsidR="00336F58">
        <w:t>condition monitoring</w:t>
      </w:r>
      <w:r w:rsidR="00A54FB5">
        <w:t xml:space="preserve"> across company boundaries</w:t>
      </w:r>
      <w:r w:rsidR="000C171F">
        <w:t>.</w:t>
      </w:r>
    </w:p>
    <w:p w:rsidR="00FB387E" w:rsidRDefault="00D9011C" w:rsidP="003E5781">
      <w:pPr>
        <w:pStyle w:val="Body"/>
      </w:pPr>
      <w:r>
        <w:t xml:space="preserve">The </w:t>
      </w:r>
      <w:r w:rsidR="00E51037">
        <w:t xml:space="preserve">XIRCM </w:t>
      </w:r>
      <w:r w:rsidR="00921B43">
        <w:t>toolkit provides parties</w:t>
      </w:r>
      <w:r>
        <w:t>:</w:t>
      </w:r>
    </w:p>
    <w:p w:rsidR="00FB387E" w:rsidRDefault="00FB387E" w:rsidP="00FB387E">
      <w:pPr>
        <w:pStyle w:val="Bullet1"/>
      </w:pPr>
      <w:r>
        <w:t xml:space="preserve">A </w:t>
      </w:r>
      <w:r w:rsidRPr="00B27EA7">
        <w:t>define</w:t>
      </w:r>
      <w:r>
        <w:t>d</w:t>
      </w:r>
      <w:r w:rsidRPr="00B27EA7">
        <w:t xml:space="preserve"> data architecture </w:t>
      </w:r>
      <w:r w:rsidR="000C4244">
        <w:t>for</w:t>
      </w:r>
      <w:r w:rsidRPr="00B27EA7">
        <w:t xml:space="preserve"> </w:t>
      </w:r>
      <w:r w:rsidR="00143FE8">
        <w:t>data sharing</w:t>
      </w:r>
      <w:r w:rsidR="00D8465F">
        <w:t>.</w:t>
      </w:r>
    </w:p>
    <w:p w:rsidR="00FB387E" w:rsidRDefault="00FB387E" w:rsidP="00FB387E">
      <w:pPr>
        <w:pStyle w:val="Bullet1"/>
      </w:pPr>
      <w:r>
        <w:t>A</w:t>
      </w:r>
      <w:r w:rsidRPr="00B27EA7">
        <w:t xml:space="preserve"> commercial and legal framework </w:t>
      </w:r>
      <w:r>
        <w:t>for</w:t>
      </w:r>
      <w:r w:rsidR="00143FE8">
        <w:t xml:space="preserve"> data-</w:t>
      </w:r>
      <w:r w:rsidR="00117294">
        <w:t>sharing</w:t>
      </w:r>
      <w:r w:rsidR="000C4244">
        <w:t xml:space="preserve"> agreements</w:t>
      </w:r>
      <w:r w:rsidR="00D8465F">
        <w:t>.</w:t>
      </w:r>
    </w:p>
    <w:p w:rsidR="00FB387E" w:rsidRDefault="00FB387E" w:rsidP="00FB387E">
      <w:pPr>
        <w:pStyle w:val="Bullet1"/>
      </w:pPr>
      <w:r>
        <w:t xml:space="preserve">A </w:t>
      </w:r>
      <w:r w:rsidRPr="00B27EA7">
        <w:t>good practice guide</w:t>
      </w:r>
      <w:r w:rsidR="00D8465F">
        <w:t>.</w:t>
      </w:r>
    </w:p>
    <w:p w:rsidR="004915B7" w:rsidRDefault="00FB387E" w:rsidP="008C5925">
      <w:pPr>
        <w:pStyle w:val="Bullet1"/>
      </w:pPr>
      <w:r>
        <w:t xml:space="preserve">A </w:t>
      </w:r>
      <w:r w:rsidRPr="00B27EA7">
        <w:t>business case assessment tool</w:t>
      </w:r>
      <w:r w:rsidR="00A64511">
        <w:t>.</w:t>
      </w:r>
    </w:p>
    <w:p w:rsidR="00B50A74" w:rsidRDefault="00B50A74" w:rsidP="00B50A74">
      <w:pPr>
        <w:pStyle w:val="Bullet1"/>
        <w:numPr>
          <w:ilvl w:val="0"/>
          <w:numId w:val="0"/>
        </w:numPr>
      </w:pPr>
    </w:p>
    <w:p w:rsidR="004915B7" w:rsidRDefault="00B50A74" w:rsidP="008C5925">
      <w:pPr>
        <w:pStyle w:val="Body"/>
      </w:pPr>
      <w:r>
        <w:t>At the</w:t>
      </w:r>
      <w:r w:rsidR="004915B7" w:rsidRPr="004915B7">
        <w:t xml:space="preserve"> dissemination days</w:t>
      </w:r>
      <w:r w:rsidR="004915B7">
        <w:t xml:space="preserve"> </w:t>
      </w:r>
      <w:r>
        <w:t xml:space="preserve">for T1010, duty holders roundly commended the project and </w:t>
      </w:r>
      <w:r w:rsidR="004915B7" w:rsidRPr="004915B7">
        <w:t>expressed the value of having truly “ready-to-use” outputs. Whilst the T1010 project had been designed to deliver outputs which could be picked up and used, the feedback indicated that industry still faced barriers to this.</w:t>
      </w:r>
    </w:p>
    <w:p w:rsidR="00A13D81" w:rsidRPr="00A13D81" w:rsidRDefault="00A13D81" w:rsidP="00A13D81">
      <w:pPr>
        <w:spacing w:line="300" w:lineRule="exact"/>
        <w:rPr>
          <w:rFonts w:ascii="Calibri" w:hAnsi="Calibri" w:cs="Arial"/>
          <w:sz w:val="22"/>
          <w:szCs w:val="22"/>
          <w:lang w:eastAsia="en-GB"/>
        </w:rPr>
      </w:pPr>
      <w:r w:rsidRPr="00A13D81">
        <w:rPr>
          <w:rFonts w:ascii="Calibri" w:hAnsi="Calibri" w:cs="Arial"/>
          <w:sz w:val="22"/>
          <w:szCs w:val="22"/>
          <w:lang w:eastAsia="en-GB"/>
        </w:rPr>
        <w:t xml:space="preserve">The proposed work, undertaken </w:t>
      </w:r>
      <w:r>
        <w:rPr>
          <w:rFonts w:ascii="Calibri" w:hAnsi="Calibri" w:cs="Arial"/>
          <w:sz w:val="22"/>
          <w:szCs w:val="22"/>
          <w:lang w:eastAsia="en-GB"/>
        </w:rPr>
        <w:t>on behalf o</w:t>
      </w:r>
      <w:r w:rsidRPr="00A13D81">
        <w:rPr>
          <w:rFonts w:ascii="Calibri" w:hAnsi="Calibri" w:cs="Arial"/>
          <w:sz w:val="22"/>
          <w:szCs w:val="22"/>
          <w:lang w:eastAsia="en-GB"/>
        </w:rPr>
        <w:t>f the XIRCM SG, is to work through a real application of the T1010 toolkit on a current industry project with the dual aims of:</w:t>
      </w:r>
    </w:p>
    <w:p w:rsidR="00A13D81" w:rsidRPr="00A13D81" w:rsidRDefault="00A13D81" w:rsidP="00A13D81">
      <w:pPr>
        <w:numPr>
          <w:ilvl w:val="0"/>
          <w:numId w:val="34"/>
        </w:numPr>
        <w:spacing w:line="300" w:lineRule="exact"/>
        <w:rPr>
          <w:rFonts w:ascii="Calibri" w:hAnsi="Calibri" w:cs="Arial"/>
          <w:sz w:val="22"/>
          <w:szCs w:val="22"/>
          <w:lang w:eastAsia="en-GB"/>
        </w:rPr>
      </w:pPr>
      <w:r w:rsidRPr="00A13D81">
        <w:rPr>
          <w:rFonts w:ascii="Calibri" w:hAnsi="Calibri" w:cs="Arial"/>
          <w:sz w:val="22"/>
          <w:szCs w:val="22"/>
          <w:lang w:eastAsia="en-GB"/>
        </w:rPr>
        <w:t>Providing a case study which can be widely shared to demonstrate how in practice these tools can be used and the benefits of doing so.</w:t>
      </w:r>
    </w:p>
    <w:p w:rsidR="00A13D81" w:rsidRDefault="00A13D81" w:rsidP="004C1B00">
      <w:pPr>
        <w:numPr>
          <w:ilvl w:val="0"/>
          <w:numId w:val="34"/>
        </w:numPr>
        <w:spacing w:line="300" w:lineRule="exact"/>
        <w:rPr>
          <w:rFonts w:ascii="Calibri" w:hAnsi="Calibri" w:cs="Arial"/>
          <w:sz w:val="22"/>
          <w:szCs w:val="22"/>
          <w:lang w:eastAsia="en-GB"/>
        </w:rPr>
      </w:pPr>
      <w:r w:rsidRPr="00A13D81">
        <w:rPr>
          <w:rFonts w:ascii="Calibri" w:hAnsi="Calibri" w:cs="Arial"/>
          <w:sz w:val="22"/>
          <w:szCs w:val="22"/>
          <w:lang w:eastAsia="en-GB"/>
        </w:rPr>
        <w:t>Reveal in a greater level of detail the practicalities of applying the toolkit, potentially leading to some modifications or enhancements of the toolkit.</w:t>
      </w:r>
    </w:p>
    <w:p w:rsidR="004C1B00" w:rsidRPr="004C1B00" w:rsidRDefault="004C1B00" w:rsidP="004C1B00">
      <w:pPr>
        <w:spacing w:line="300" w:lineRule="exact"/>
        <w:rPr>
          <w:rFonts w:ascii="Calibri" w:hAnsi="Calibri" w:cs="Arial"/>
          <w:sz w:val="22"/>
          <w:szCs w:val="22"/>
          <w:lang w:eastAsia="en-GB"/>
        </w:rPr>
      </w:pPr>
    </w:p>
    <w:p w:rsidR="00036360" w:rsidRDefault="00A13D81" w:rsidP="008C5925">
      <w:pPr>
        <w:pStyle w:val="Body"/>
      </w:pPr>
      <w:r>
        <w:t xml:space="preserve">The real examples proposed are the train-borne monitoring of track geometry for Crossrail </w:t>
      </w:r>
      <w:r w:rsidR="001C0D1D">
        <w:t xml:space="preserve">1 (XR) </w:t>
      </w:r>
      <w:r>
        <w:t>and the introduction</w:t>
      </w:r>
      <w:r w:rsidR="001C0D1D">
        <w:t xml:space="preserve"> of the Intercity Express Programme (IEP)</w:t>
      </w:r>
      <w:r>
        <w:t xml:space="preserve"> onto </w:t>
      </w:r>
      <w:r w:rsidR="001C0D1D">
        <w:t xml:space="preserve">Network Rail’s </w:t>
      </w:r>
      <w:r>
        <w:t>Great Western route</w:t>
      </w:r>
      <w:r w:rsidR="001C0D1D">
        <w:t xml:space="preserve"> (GW)</w:t>
      </w:r>
      <w:r>
        <w:t xml:space="preserve">. </w:t>
      </w:r>
      <w:r w:rsidR="00036360">
        <w:t xml:space="preserve">Once </w:t>
      </w:r>
      <w:r w:rsidR="00B006AA">
        <w:t xml:space="preserve">operating, </w:t>
      </w:r>
      <w:r w:rsidR="001C0D1D">
        <w:t>XR</w:t>
      </w:r>
      <w:r w:rsidR="00036360">
        <w:t xml:space="preserve"> </w:t>
      </w:r>
      <w:r>
        <w:t xml:space="preserve">and IEP </w:t>
      </w:r>
      <w:r w:rsidR="00036360">
        <w:t xml:space="preserve">will run </w:t>
      </w:r>
      <w:r w:rsidR="00EE3787">
        <w:t xml:space="preserve">trains on a section of </w:t>
      </w:r>
      <w:r w:rsidR="001C0D1D">
        <w:t xml:space="preserve">the </w:t>
      </w:r>
      <w:r w:rsidR="00B50A74">
        <w:t>GW,</w:t>
      </w:r>
      <w:r w:rsidR="00D8103F">
        <w:rPr>
          <w:rStyle w:val="FootnoteReference"/>
        </w:rPr>
        <w:footnoteReference w:id="1"/>
      </w:r>
      <w:r w:rsidR="001C0D1D">
        <w:t xml:space="preserve"> t</w:t>
      </w:r>
      <w:r w:rsidR="00B50A74">
        <w:t>he</w:t>
      </w:r>
      <w:r w:rsidR="00036360">
        <w:t xml:space="preserve"> instrumented vehicles will have the </w:t>
      </w:r>
      <w:r w:rsidR="00FF2EB0">
        <w:t>capability</w:t>
      </w:r>
      <w:r w:rsidR="0065583C">
        <w:t xml:space="preserve"> to collect</w:t>
      </w:r>
      <w:r w:rsidR="007E6100">
        <w:t xml:space="preserve"> </w:t>
      </w:r>
      <w:r w:rsidR="00036360">
        <w:t xml:space="preserve">track </w:t>
      </w:r>
      <w:r w:rsidR="00356BF1">
        <w:t>geometry</w:t>
      </w:r>
      <w:r w:rsidR="00036360">
        <w:t xml:space="preserve"> data</w:t>
      </w:r>
      <w:r w:rsidR="00143FE8">
        <w:t>.</w:t>
      </w:r>
      <w:r w:rsidR="00FF2EB0">
        <w:t xml:space="preserve"> Th</w:t>
      </w:r>
      <w:r>
        <w:t>es</w:t>
      </w:r>
      <w:r w:rsidR="00DF592E">
        <w:t>e</w:t>
      </w:r>
      <w:r w:rsidR="00FF2EB0">
        <w:t xml:space="preserve"> high profile (and high value) </w:t>
      </w:r>
      <w:r>
        <w:t>projects provide</w:t>
      </w:r>
      <w:r w:rsidR="00FF2EB0">
        <w:t xml:space="preserve"> opportune case </w:t>
      </w:r>
      <w:r>
        <w:t>studies</w:t>
      </w:r>
      <w:r w:rsidR="00FF2EB0">
        <w:t>, providing ongoing value to both XR and GW, and supporting future use of the XIRCM toolkit.</w:t>
      </w:r>
    </w:p>
    <w:p w:rsidR="00375A9A" w:rsidRDefault="00C24BEC" w:rsidP="001A5C91">
      <w:pPr>
        <w:pStyle w:val="Bullet1"/>
        <w:numPr>
          <w:ilvl w:val="0"/>
          <w:numId w:val="0"/>
        </w:numPr>
      </w:pPr>
      <w:r>
        <w:t xml:space="preserve">The project has two work packages separated </w:t>
      </w:r>
      <w:r w:rsidR="0036532E">
        <w:t>by a stage gate</w:t>
      </w:r>
      <w:r w:rsidR="005A6174">
        <w:t xml:space="preserve"> review</w:t>
      </w:r>
      <w:r w:rsidR="0036532E">
        <w:t>.</w:t>
      </w:r>
      <w:r w:rsidR="0023020D">
        <w:t xml:space="preserve"> </w:t>
      </w:r>
      <w:r w:rsidR="00390B8C">
        <w:t>The first work package</w:t>
      </w:r>
      <w:r w:rsidR="0023020D">
        <w:t xml:space="preserve"> will </w:t>
      </w:r>
      <w:r w:rsidR="00141D86">
        <w:t>assess</w:t>
      </w:r>
      <w:r w:rsidR="0023020D">
        <w:t xml:space="preserve"> </w:t>
      </w:r>
      <w:r w:rsidR="00390B8C">
        <w:t xml:space="preserve">the applicability of the toolkit to </w:t>
      </w:r>
      <w:r w:rsidR="00451AA1">
        <w:t xml:space="preserve">the </w:t>
      </w:r>
      <w:r w:rsidR="00BD41F9">
        <w:t xml:space="preserve">XR-GW </w:t>
      </w:r>
      <w:r w:rsidR="00C726ED">
        <w:t>case study</w:t>
      </w:r>
      <w:r w:rsidR="00326E59">
        <w:t xml:space="preserve"> </w:t>
      </w:r>
      <w:r w:rsidR="00181462">
        <w:t xml:space="preserve">and </w:t>
      </w:r>
      <w:r w:rsidR="00C726ED">
        <w:t>develop a project specification. At the sta</w:t>
      </w:r>
      <w:r w:rsidR="00BD41F9">
        <w:t>ge gate</w:t>
      </w:r>
      <w:r w:rsidR="00C726ED">
        <w:t xml:space="preserve">, RSSB, XR and GW will determine if the specification and budget </w:t>
      </w:r>
      <w:r w:rsidR="002068CB">
        <w:t xml:space="preserve">are able to </w:t>
      </w:r>
      <w:r w:rsidR="00C726ED">
        <w:t>facilitate</w:t>
      </w:r>
      <w:r w:rsidR="008C6DC0">
        <w:t xml:space="preserve"> </w:t>
      </w:r>
      <w:r w:rsidR="006667EE">
        <w:t>the institution of</w:t>
      </w:r>
      <w:r w:rsidR="008C6DC0">
        <w:t xml:space="preserve"> track geometry condition monitoring</w:t>
      </w:r>
      <w:r w:rsidR="00C726ED">
        <w:t xml:space="preserve"> </w:t>
      </w:r>
      <w:r w:rsidR="008C6DC0">
        <w:t>in accordance with the</w:t>
      </w:r>
      <w:r w:rsidR="00672F10">
        <w:t xml:space="preserve"> principles of the</w:t>
      </w:r>
      <w:r w:rsidR="008C6DC0">
        <w:t xml:space="preserve"> XIRCM toolkit. If </w:t>
      </w:r>
      <w:r w:rsidR="00C442E3">
        <w:t>approved</w:t>
      </w:r>
      <w:r w:rsidR="008C6DC0">
        <w:t xml:space="preserve">, </w:t>
      </w:r>
      <w:r w:rsidR="00336F58">
        <w:t>work package</w:t>
      </w:r>
      <w:r w:rsidR="008C6DC0">
        <w:t xml:space="preserve"> </w:t>
      </w:r>
      <w:r w:rsidR="007F5DBA">
        <w:t>2</w:t>
      </w:r>
      <w:r w:rsidR="00A770EC">
        <w:t xml:space="preserve"> </w:t>
      </w:r>
      <w:r w:rsidR="00651C9B">
        <w:t xml:space="preserve">will </w:t>
      </w:r>
      <w:r w:rsidR="00AB4B2D">
        <w:t>support</w:t>
      </w:r>
      <w:r w:rsidR="00C442E3">
        <w:t xml:space="preserve"> XR and GW</w:t>
      </w:r>
      <w:r w:rsidR="00AB4B2D">
        <w:t>’s efforts</w:t>
      </w:r>
      <w:r w:rsidR="009200A0">
        <w:t xml:space="preserve"> in order to</w:t>
      </w:r>
      <w:r w:rsidR="00AB4B2D">
        <w:t xml:space="preserve"> deliver</w:t>
      </w:r>
      <w:r w:rsidR="00C442E3">
        <w:t xml:space="preserve"> </w:t>
      </w:r>
      <w:r w:rsidR="00A770EC">
        <w:t>a</w:t>
      </w:r>
      <w:r w:rsidR="00C442E3">
        <w:t>n</w:t>
      </w:r>
      <w:r w:rsidR="00A770EC">
        <w:t xml:space="preserve"> XIRCM User Guide for </w:t>
      </w:r>
      <w:r w:rsidR="00C442E3">
        <w:t>subsequent adopters of the toolkit.</w:t>
      </w:r>
    </w:p>
    <w:p w:rsidR="00643353" w:rsidRDefault="00B90DA0" w:rsidP="00643353">
      <w:pPr>
        <w:pStyle w:val="Heading1"/>
      </w:pPr>
      <w:r>
        <w:lastRenderedPageBreak/>
        <w:t>Work package objectives</w:t>
      </w:r>
    </w:p>
    <w:p w:rsidR="00E620A3" w:rsidRDefault="007E28FE" w:rsidP="007E28FE">
      <w:pPr>
        <w:pStyle w:val="Body"/>
      </w:pPr>
      <w:r w:rsidRPr="0077771F">
        <w:t>The objective</w:t>
      </w:r>
      <w:r w:rsidR="00CD0C0B">
        <w:t xml:space="preserve"> of this project is to </w:t>
      </w:r>
      <w:r w:rsidR="009B388C">
        <w:t>determine</w:t>
      </w:r>
      <w:r w:rsidR="000C08A2">
        <w:t xml:space="preserve"> </w:t>
      </w:r>
      <w:r w:rsidR="0055266F">
        <w:t xml:space="preserve">what </w:t>
      </w:r>
      <w:r w:rsidR="009B388C">
        <w:t xml:space="preserve">practicable </w:t>
      </w:r>
      <w:r w:rsidR="0055266F">
        <w:t xml:space="preserve">refinements </w:t>
      </w:r>
      <w:r w:rsidR="009B388C">
        <w:t>will</w:t>
      </w:r>
      <w:r w:rsidR="00CD0C0B">
        <w:t xml:space="preserve"> </w:t>
      </w:r>
      <w:r w:rsidR="00745FB4">
        <w:t>improve</w:t>
      </w:r>
      <w:r w:rsidR="009B388C">
        <w:t xml:space="preserve"> </w:t>
      </w:r>
      <w:r w:rsidR="00A55117">
        <w:t xml:space="preserve">the </w:t>
      </w:r>
      <w:r w:rsidR="00745FB4">
        <w:t xml:space="preserve">XIRCM </w:t>
      </w:r>
      <w:r w:rsidR="00CD0C0B">
        <w:t>toolkit</w:t>
      </w:r>
      <w:r w:rsidR="009B388C">
        <w:t>’s</w:t>
      </w:r>
      <w:r w:rsidR="00CD0C0B">
        <w:t xml:space="preserve"> off-the-shelf</w:t>
      </w:r>
      <w:r w:rsidR="009B388C">
        <w:t xml:space="preserve"> usability</w:t>
      </w:r>
      <w:r w:rsidR="008E46B6">
        <w:t>.</w:t>
      </w:r>
    </w:p>
    <w:p w:rsidR="00194889" w:rsidRDefault="00194889" w:rsidP="007E28FE">
      <w:pPr>
        <w:pStyle w:val="Body"/>
      </w:pPr>
    </w:p>
    <w:p w:rsidR="007F5DBA" w:rsidRDefault="00235342" w:rsidP="007E28FE">
      <w:pPr>
        <w:pStyle w:val="Body"/>
      </w:pPr>
      <w:r>
        <w:t>Work P</w:t>
      </w:r>
      <w:r w:rsidR="007F5DBA">
        <w:t>ackage 1 will:</w:t>
      </w:r>
    </w:p>
    <w:p w:rsidR="00856C38" w:rsidRDefault="007F5DBA" w:rsidP="00856C38">
      <w:pPr>
        <w:pStyle w:val="Bullet1"/>
      </w:pPr>
      <w:r>
        <w:t>Examine the context of the XR-GW case study</w:t>
      </w:r>
      <w:r w:rsidR="00260F82">
        <w:t xml:space="preserve"> and the IEP case study</w:t>
      </w:r>
      <w:r w:rsidR="004C1B00">
        <w:t>.</w:t>
      </w:r>
    </w:p>
    <w:p w:rsidR="008E46B6" w:rsidRDefault="008E46B6" w:rsidP="007F5DBA">
      <w:pPr>
        <w:pStyle w:val="Bullet1"/>
      </w:pPr>
      <w:r>
        <w:t>Identify the most applicable aspects of the XIRCM toolkit.</w:t>
      </w:r>
    </w:p>
    <w:p w:rsidR="00CC124B" w:rsidRDefault="00CC124B" w:rsidP="007F5DBA">
      <w:pPr>
        <w:pStyle w:val="Bullet1"/>
      </w:pPr>
      <w:r>
        <w:t>Communicate the benefit of the XIRCM toolkit to the case study parties.</w:t>
      </w:r>
    </w:p>
    <w:p w:rsidR="008E46B6" w:rsidRDefault="007F5DBA" w:rsidP="008E46B6">
      <w:pPr>
        <w:pStyle w:val="Bullet1"/>
      </w:pPr>
      <w:r>
        <w:t>Specify a proposal to meet the project objective.</w:t>
      </w:r>
    </w:p>
    <w:p w:rsidR="007F6D44" w:rsidRDefault="007F6D44" w:rsidP="008E46B6">
      <w:pPr>
        <w:pStyle w:val="Bullet1"/>
      </w:pPr>
      <w:r>
        <w:t>Agree this proposal with XR and GW.</w:t>
      </w:r>
    </w:p>
    <w:p w:rsidR="00260F82" w:rsidRDefault="00260F82" w:rsidP="008E46B6">
      <w:pPr>
        <w:pStyle w:val="Bullet1"/>
      </w:pPr>
      <w:r>
        <w:t>Produce a framework for a potential User Guide and identify areas that can be produced in work package 2.</w:t>
      </w:r>
    </w:p>
    <w:p w:rsidR="00370563" w:rsidRDefault="00370563" w:rsidP="00370563">
      <w:pPr>
        <w:pStyle w:val="Bullet1"/>
        <w:numPr>
          <w:ilvl w:val="0"/>
          <w:numId w:val="0"/>
        </w:numPr>
      </w:pPr>
    </w:p>
    <w:p w:rsidR="002F3DAD" w:rsidRDefault="002F3DAD" w:rsidP="002F3DAD">
      <w:pPr>
        <w:pStyle w:val="Bullet1"/>
        <w:numPr>
          <w:ilvl w:val="0"/>
          <w:numId w:val="0"/>
        </w:numPr>
        <w:ind w:left="227" w:hanging="227"/>
      </w:pPr>
      <w:r>
        <w:t xml:space="preserve">The </w:t>
      </w:r>
      <w:r w:rsidR="00E20913">
        <w:t>s</w:t>
      </w:r>
      <w:r>
        <w:t>tage gate review will:</w:t>
      </w:r>
    </w:p>
    <w:p w:rsidR="002F3DAD" w:rsidRDefault="002F3DAD" w:rsidP="002F3DAD">
      <w:pPr>
        <w:pStyle w:val="Bullet1"/>
      </w:pPr>
      <w:r>
        <w:t>Assess the benefit of the proposal</w:t>
      </w:r>
      <w:r w:rsidR="00CC124B">
        <w:t xml:space="preserve"> to industry</w:t>
      </w:r>
      <w:r>
        <w:t>.</w:t>
      </w:r>
    </w:p>
    <w:p w:rsidR="008E46B6" w:rsidRDefault="002F3DAD" w:rsidP="008E46B6">
      <w:pPr>
        <w:pStyle w:val="Bullet1"/>
      </w:pPr>
      <w:r>
        <w:t>Determine progression to work package 2.</w:t>
      </w:r>
    </w:p>
    <w:p w:rsidR="00370563" w:rsidRDefault="00370563" w:rsidP="00370563">
      <w:pPr>
        <w:pStyle w:val="Bullet1"/>
        <w:numPr>
          <w:ilvl w:val="0"/>
          <w:numId w:val="0"/>
        </w:numPr>
      </w:pPr>
    </w:p>
    <w:p w:rsidR="007F5DBA" w:rsidRDefault="00235342" w:rsidP="007F5DBA">
      <w:pPr>
        <w:pStyle w:val="Bullet1"/>
        <w:numPr>
          <w:ilvl w:val="0"/>
          <w:numId w:val="0"/>
        </w:numPr>
        <w:ind w:left="227" w:hanging="227"/>
      </w:pPr>
      <w:r>
        <w:t>Work P</w:t>
      </w:r>
      <w:r w:rsidR="007F5DBA">
        <w:t>ackage 2 will:</w:t>
      </w:r>
    </w:p>
    <w:p w:rsidR="007F5DBA" w:rsidRDefault="00745FB4" w:rsidP="007F5DBA">
      <w:pPr>
        <w:pStyle w:val="Bullet1"/>
      </w:pPr>
      <w:r>
        <w:t>Apply the XIRCM toolkit to a commercial rail environment.</w:t>
      </w:r>
    </w:p>
    <w:p w:rsidR="00745FB4" w:rsidRDefault="00745FB4" w:rsidP="007F5DBA">
      <w:pPr>
        <w:pStyle w:val="Bullet1"/>
      </w:pPr>
      <w:r>
        <w:t xml:space="preserve">Produce </w:t>
      </w:r>
      <w:r w:rsidR="004C1B00">
        <w:t xml:space="preserve">the content for </w:t>
      </w:r>
      <w:r>
        <w:t>a User Guide to support industry’s use of the XIRCM toolkit.</w:t>
      </w:r>
    </w:p>
    <w:p w:rsidR="00FA1ED1" w:rsidRDefault="00FA1ED1" w:rsidP="00FA1ED1">
      <w:pPr>
        <w:pStyle w:val="Bullet1"/>
        <w:numPr>
          <w:ilvl w:val="0"/>
          <w:numId w:val="0"/>
        </w:numPr>
      </w:pPr>
    </w:p>
    <w:p w:rsidR="00FA1ED1" w:rsidRDefault="00FA1ED1" w:rsidP="0040494B">
      <w:pPr>
        <w:pStyle w:val="Body"/>
      </w:pPr>
      <w:r>
        <w:t>If successful, the project will:</w:t>
      </w:r>
    </w:p>
    <w:p w:rsidR="008B314D" w:rsidRDefault="00B21202" w:rsidP="00FA1ED1">
      <w:pPr>
        <w:pStyle w:val="Bullet1"/>
      </w:pPr>
      <w:r>
        <w:t>I</w:t>
      </w:r>
      <w:r w:rsidR="0040494B">
        <w:t xml:space="preserve">nstitute </w:t>
      </w:r>
      <w:r w:rsidR="00FA1ED1">
        <w:t>XIRCM</w:t>
      </w:r>
      <w:r w:rsidR="0040494B">
        <w:t xml:space="preserve"> of track geometry between XR and GW.</w:t>
      </w:r>
    </w:p>
    <w:p w:rsidR="00FA1ED1" w:rsidRDefault="00FA1ED1" w:rsidP="00FA1ED1">
      <w:pPr>
        <w:pStyle w:val="Bullet1"/>
      </w:pPr>
      <w:r>
        <w:t>Demonstrate the benefit of the XIRCM toolkit to future users.</w:t>
      </w:r>
    </w:p>
    <w:p w:rsidR="00FA1ED1" w:rsidRDefault="00FA1ED1" w:rsidP="00FA1ED1">
      <w:pPr>
        <w:pStyle w:val="Bullet1"/>
      </w:pPr>
      <w:r>
        <w:t>Improve the accessibility and usability of the XIRCM toolkit.</w:t>
      </w:r>
    </w:p>
    <w:p w:rsidR="00F91238" w:rsidRDefault="00F91238"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1A5C91" w:rsidRDefault="001A5C91" w:rsidP="00643353">
      <w:pPr>
        <w:rPr>
          <w:color w:val="FF0000"/>
        </w:rPr>
      </w:pPr>
    </w:p>
    <w:p w:rsidR="00B90DA0" w:rsidRDefault="00B90DA0" w:rsidP="00B90DA0">
      <w:pPr>
        <w:pStyle w:val="Heading1"/>
      </w:pPr>
      <w:r>
        <w:t>Scope</w:t>
      </w:r>
    </w:p>
    <w:tbl>
      <w:tblPr>
        <w:tblStyle w:val="TableGrid"/>
        <w:tblpPr w:leftFromText="180" w:rightFromText="180" w:vertAnchor="text" w:horzAnchor="margin" w:tblpXSpec="center" w:tblpYSpec="center"/>
        <w:tblW w:w="0" w:type="auto"/>
        <w:tblLook w:val="04A0" w:firstRow="1" w:lastRow="0" w:firstColumn="1" w:lastColumn="0" w:noHBand="0" w:noVBand="1"/>
      </w:tblPr>
      <w:tblGrid>
        <w:gridCol w:w="3851"/>
        <w:gridCol w:w="3848"/>
      </w:tblGrid>
      <w:tr w:rsidR="001A5C91" w:rsidTr="001A5C91">
        <w:tc>
          <w:tcPr>
            <w:tcW w:w="3851" w:type="dxa"/>
          </w:tcPr>
          <w:p w:rsidR="001A5C91" w:rsidRPr="007617B6" w:rsidRDefault="001A5C91" w:rsidP="001A5C91">
            <w:pPr>
              <w:pStyle w:val="BodyIndent1"/>
              <w:ind w:left="0"/>
              <w:rPr>
                <w:b/>
              </w:rPr>
            </w:pPr>
            <w:r w:rsidRPr="007617B6">
              <w:rPr>
                <w:b/>
              </w:rPr>
              <w:lastRenderedPageBreak/>
              <w:t xml:space="preserve">In scope </w:t>
            </w:r>
          </w:p>
        </w:tc>
        <w:tc>
          <w:tcPr>
            <w:tcW w:w="3848" w:type="dxa"/>
          </w:tcPr>
          <w:p w:rsidR="001A5C91" w:rsidRPr="007617B6" w:rsidRDefault="001A5C91" w:rsidP="001A5C91">
            <w:pPr>
              <w:pStyle w:val="BodyIndent1"/>
              <w:ind w:left="0"/>
              <w:rPr>
                <w:b/>
              </w:rPr>
            </w:pPr>
            <w:r w:rsidRPr="007617B6">
              <w:rPr>
                <w:b/>
              </w:rPr>
              <w:t>Out of scope</w:t>
            </w:r>
          </w:p>
        </w:tc>
      </w:tr>
      <w:tr w:rsidR="001A5C91" w:rsidTr="001A5C91">
        <w:tc>
          <w:tcPr>
            <w:tcW w:w="3851" w:type="dxa"/>
          </w:tcPr>
          <w:p w:rsidR="001A5C91" w:rsidRDefault="001A5C91" w:rsidP="001A5C91">
            <w:pPr>
              <w:pStyle w:val="Body"/>
              <w:numPr>
                <w:ilvl w:val="0"/>
                <w:numId w:val="27"/>
              </w:numPr>
              <w:ind w:left="227" w:hanging="227"/>
            </w:pPr>
            <w:r>
              <w:t>Track condition monitoring data</w:t>
            </w:r>
          </w:p>
          <w:p w:rsidR="001A5C91" w:rsidRDefault="001A5C91" w:rsidP="001A5C91">
            <w:pPr>
              <w:pStyle w:val="Body"/>
              <w:numPr>
                <w:ilvl w:val="0"/>
                <w:numId w:val="27"/>
              </w:numPr>
              <w:ind w:left="227" w:hanging="227"/>
            </w:pPr>
            <w:r>
              <w:t>Data sharing between XR and GW</w:t>
            </w:r>
          </w:p>
          <w:p w:rsidR="001A5C91" w:rsidRDefault="001A5C91" w:rsidP="001A5C91">
            <w:pPr>
              <w:pStyle w:val="Body"/>
              <w:numPr>
                <w:ilvl w:val="0"/>
                <w:numId w:val="27"/>
              </w:numPr>
              <w:ind w:left="227" w:hanging="227"/>
            </w:pPr>
            <w:r>
              <w:t>Development of a User Guide for the XIRCM toolkit</w:t>
            </w:r>
          </w:p>
          <w:p w:rsidR="001A5C91" w:rsidRPr="004E0FFB" w:rsidRDefault="001A5C91" w:rsidP="001A5C91">
            <w:pPr>
              <w:pStyle w:val="Body"/>
              <w:numPr>
                <w:ilvl w:val="0"/>
                <w:numId w:val="27"/>
              </w:numPr>
              <w:ind w:left="227" w:hanging="227"/>
            </w:pPr>
            <w:r>
              <w:t>Indicate potential refinements to XIRCM toolkit</w:t>
            </w:r>
          </w:p>
        </w:tc>
        <w:tc>
          <w:tcPr>
            <w:tcW w:w="3848" w:type="dxa"/>
          </w:tcPr>
          <w:p w:rsidR="001A5C91" w:rsidRDefault="001A5C91" w:rsidP="001A5C91">
            <w:pPr>
              <w:pStyle w:val="Body"/>
              <w:numPr>
                <w:ilvl w:val="0"/>
                <w:numId w:val="27"/>
              </w:numPr>
              <w:ind w:left="227" w:hanging="227"/>
            </w:pPr>
            <w:r>
              <w:t>Other applications of remote condition monitoring</w:t>
            </w:r>
          </w:p>
          <w:p w:rsidR="001A5C91" w:rsidRDefault="001A5C91" w:rsidP="001A5C91">
            <w:pPr>
              <w:pStyle w:val="Body"/>
              <w:numPr>
                <w:ilvl w:val="0"/>
                <w:numId w:val="27"/>
              </w:numPr>
              <w:ind w:left="227" w:hanging="227"/>
            </w:pPr>
            <w:r>
              <w:t>Other railway undertakings use of and interest in XIRCM, including Network Rail’s Great Eastern Route</w:t>
            </w:r>
          </w:p>
        </w:tc>
      </w:tr>
    </w:tbl>
    <w:p w:rsidR="001A5C91" w:rsidRPr="001A5C91" w:rsidRDefault="001A5C91" w:rsidP="001A5C91">
      <w:pPr>
        <w:pStyle w:val="Body"/>
      </w:pPr>
    </w:p>
    <w:p w:rsidR="00A53EA0" w:rsidRDefault="00A53EA0" w:rsidP="00A53EA0">
      <w:pPr>
        <w:pStyle w:val="Heading1"/>
      </w:pPr>
      <w:r>
        <w:t xml:space="preserve">Methodology </w:t>
      </w:r>
    </w:p>
    <w:p w:rsidR="008D6E09" w:rsidRDefault="00126A15" w:rsidP="00A53EA0">
      <w:pPr>
        <w:rPr>
          <w:rFonts w:ascii="Calibri" w:hAnsi="Calibri" w:cs="Arial"/>
          <w:sz w:val="22"/>
          <w:szCs w:val="22"/>
          <w:lang w:eastAsia="en-GB"/>
        </w:rPr>
      </w:pPr>
      <w:r>
        <w:rPr>
          <w:rFonts w:ascii="Calibri" w:hAnsi="Calibri" w:cs="Arial"/>
          <w:sz w:val="22"/>
          <w:szCs w:val="22"/>
          <w:lang w:eastAsia="en-GB"/>
        </w:rPr>
        <w:t>RSSB expects s</w:t>
      </w:r>
      <w:r w:rsidR="00A53EA0" w:rsidRPr="00A53EA0">
        <w:rPr>
          <w:rFonts w:ascii="Calibri" w:hAnsi="Calibri" w:cs="Arial"/>
          <w:sz w:val="22"/>
          <w:szCs w:val="22"/>
          <w:lang w:eastAsia="en-GB"/>
        </w:rPr>
        <w:t xml:space="preserve">uppliers </w:t>
      </w:r>
      <w:r w:rsidR="008D6E09">
        <w:rPr>
          <w:rFonts w:ascii="Calibri" w:hAnsi="Calibri" w:cs="Arial"/>
          <w:sz w:val="22"/>
          <w:szCs w:val="22"/>
          <w:lang w:eastAsia="en-GB"/>
        </w:rPr>
        <w:t>to expla</w:t>
      </w:r>
      <w:r>
        <w:rPr>
          <w:rFonts w:ascii="Calibri" w:hAnsi="Calibri" w:cs="Arial"/>
          <w:sz w:val="22"/>
          <w:szCs w:val="22"/>
          <w:lang w:eastAsia="en-GB"/>
        </w:rPr>
        <w:t xml:space="preserve">in the </w:t>
      </w:r>
      <w:r w:rsidR="00381F15">
        <w:rPr>
          <w:rFonts w:ascii="Calibri" w:hAnsi="Calibri" w:cs="Arial"/>
          <w:sz w:val="22"/>
          <w:szCs w:val="22"/>
          <w:lang w:eastAsia="en-GB"/>
        </w:rPr>
        <w:t xml:space="preserve">case study </w:t>
      </w:r>
      <w:r>
        <w:rPr>
          <w:rFonts w:ascii="Calibri" w:hAnsi="Calibri" w:cs="Arial"/>
          <w:sz w:val="22"/>
          <w:szCs w:val="22"/>
          <w:lang w:eastAsia="en-GB"/>
        </w:rPr>
        <w:t>methodology that they intend</w:t>
      </w:r>
      <w:r w:rsidR="008D6E09">
        <w:rPr>
          <w:rFonts w:ascii="Calibri" w:hAnsi="Calibri" w:cs="Arial"/>
          <w:sz w:val="22"/>
          <w:szCs w:val="22"/>
          <w:lang w:eastAsia="en-GB"/>
        </w:rPr>
        <w:t xml:space="preserve"> to use to successful</w:t>
      </w:r>
      <w:r>
        <w:rPr>
          <w:rFonts w:ascii="Calibri" w:hAnsi="Calibri" w:cs="Arial"/>
          <w:sz w:val="22"/>
          <w:szCs w:val="22"/>
          <w:lang w:eastAsia="en-GB"/>
        </w:rPr>
        <w:t>ly</w:t>
      </w:r>
      <w:r w:rsidR="008D6E09">
        <w:rPr>
          <w:rFonts w:ascii="Calibri" w:hAnsi="Calibri" w:cs="Arial"/>
          <w:sz w:val="22"/>
          <w:szCs w:val="22"/>
          <w:lang w:eastAsia="en-GB"/>
        </w:rPr>
        <w:t xml:space="preserve"> meet the project objectives and cover the scope.</w:t>
      </w:r>
    </w:p>
    <w:p w:rsidR="00126A15" w:rsidRPr="00A53EA0" w:rsidRDefault="00126A15" w:rsidP="00A53EA0">
      <w:pPr>
        <w:rPr>
          <w:rFonts w:ascii="Calibri" w:hAnsi="Calibri" w:cs="Arial"/>
          <w:sz w:val="22"/>
          <w:szCs w:val="22"/>
          <w:lang w:eastAsia="en-GB"/>
        </w:rPr>
      </w:pPr>
    </w:p>
    <w:p w:rsidR="006440C8" w:rsidRDefault="007617B6" w:rsidP="006440C8">
      <w:pPr>
        <w:pStyle w:val="Heading1"/>
      </w:pPr>
      <w:r>
        <w:t>Deliverables</w:t>
      </w:r>
    </w:p>
    <w:p w:rsidR="009E6941" w:rsidRPr="009E6941" w:rsidRDefault="009E6941" w:rsidP="009E6941">
      <w:pPr>
        <w:pStyle w:val="Body"/>
      </w:pPr>
      <w:r w:rsidRPr="008164E3">
        <w:t xml:space="preserve">All deliverables will use an RSSB template and be available to RSSB members </w:t>
      </w:r>
      <w:r>
        <w:t>via SPARK.</w:t>
      </w:r>
    </w:p>
    <w:tbl>
      <w:tblPr>
        <w:tblStyle w:val="TableGrid"/>
        <w:tblpPr w:leftFromText="180" w:rightFromText="180" w:vertAnchor="text" w:horzAnchor="margin" w:tblpY="46"/>
        <w:tblOverlap w:val="never"/>
        <w:tblW w:w="8364" w:type="dxa"/>
        <w:tblLayout w:type="fixed"/>
        <w:tblLook w:val="04A0" w:firstRow="1" w:lastRow="0" w:firstColumn="1" w:lastColumn="0" w:noHBand="0" w:noVBand="1"/>
      </w:tblPr>
      <w:tblGrid>
        <w:gridCol w:w="2552"/>
        <w:gridCol w:w="2151"/>
        <w:gridCol w:w="3661"/>
      </w:tblGrid>
      <w:tr w:rsidR="001266B6" w:rsidTr="001266B6">
        <w:tc>
          <w:tcPr>
            <w:tcW w:w="2552" w:type="dxa"/>
            <w:shd w:val="clear" w:color="auto" w:fill="auto"/>
          </w:tcPr>
          <w:p w:rsidR="001266B6" w:rsidRPr="005E3F59" w:rsidRDefault="001266B6" w:rsidP="001266B6">
            <w:pPr>
              <w:pStyle w:val="TableHead"/>
            </w:pPr>
            <w:r w:rsidRPr="005E3F59">
              <w:t>Deliverable name</w:t>
            </w:r>
          </w:p>
        </w:tc>
        <w:tc>
          <w:tcPr>
            <w:tcW w:w="2151" w:type="dxa"/>
            <w:shd w:val="clear" w:color="auto" w:fill="auto"/>
          </w:tcPr>
          <w:p w:rsidR="001266B6" w:rsidRPr="005E3F59" w:rsidRDefault="001266B6" w:rsidP="001266B6">
            <w:pPr>
              <w:pStyle w:val="TableHead"/>
            </w:pPr>
            <w:r w:rsidRPr="005E3F59">
              <w:t>Type</w:t>
            </w:r>
          </w:p>
        </w:tc>
        <w:tc>
          <w:tcPr>
            <w:tcW w:w="3661" w:type="dxa"/>
            <w:shd w:val="clear" w:color="auto" w:fill="auto"/>
          </w:tcPr>
          <w:p w:rsidR="001266B6" w:rsidRPr="005E3F59" w:rsidRDefault="001266B6" w:rsidP="001266B6">
            <w:pPr>
              <w:pStyle w:val="TableHead"/>
            </w:pPr>
            <w:r w:rsidRPr="005E3F59">
              <w:t>Description</w:t>
            </w:r>
          </w:p>
        </w:tc>
      </w:tr>
      <w:tr w:rsidR="001266B6" w:rsidTr="001266B6">
        <w:tc>
          <w:tcPr>
            <w:tcW w:w="2552" w:type="dxa"/>
          </w:tcPr>
          <w:p w:rsidR="001266B6" w:rsidRDefault="001266B6" w:rsidP="001266B6">
            <w:pPr>
              <w:pStyle w:val="TableBodyLeft"/>
            </w:pPr>
            <w:r>
              <w:t>User Guide</w:t>
            </w:r>
          </w:p>
        </w:tc>
        <w:tc>
          <w:tcPr>
            <w:tcW w:w="2151" w:type="dxa"/>
          </w:tcPr>
          <w:p w:rsidR="001266B6" w:rsidRDefault="001266B6" w:rsidP="001266B6">
            <w:pPr>
              <w:pStyle w:val="TableBodyLeft"/>
            </w:pPr>
            <w:r>
              <w:t>Guidance</w:t>
            </w:r>
          </w:p>
        </w:tc>
        <w:tc>
          <w:tcPr>
            <w:tcW w:w="3661" w:type="dxa"/>
          </w:tcPr>
          <w:p w:rsidR="001266B6" w:rsidRPr="002B11D7" w:rsidRDefault="001266B6" w:rsidP="009E6941">
            <w:pPr>
              <w:pStyle w:val="TableBodyLeft"/>
              <w:rPr>
                <w:rFonts w:asciiTheme="minorHAnsi" w:hAnsiTheme="minorHAnsi"/>
              </w:rPr>
            </w:pPr>
            <w:r>
              <w:rPr>
                <w:rFonts w:asciiTheme="minorHAnsi" w:hAnsiTheme="minorHAnsi"/>
              </w:rPr>
              <w:t>This guidance p</w:t>
            </w:r>
            <w:r w:rsidR="009E6941">
              <w:rPr>
                <w:rFonts w:asciiTheme="minorHAnsi" w:hAnsiTheme="minorHAnsi"/>
              </w:rPr>
              <w:t>rovides supplementary information for railway undertakings using the XIRCM toolkit.</w:t>
            </w:r>
          </w:p>
        </w:tc>
      </w:tr>
      <w:tr w:rsidR="001266B6" w:rsidTr="001266B6">
        <w:tc>
          <w:tcPr>
            <w:tcW w:w="2552" w:type="dxa"/>
          </w:tcPr>
          <w:p w:rsidR="001266B6" w:rsidRDefault="001266B6" w:rsidP="001266B6">
            <w:pPr>
              <w:pStyle w:val="TableBodyLeft"/>
            </w:pPr>
            <w:r>
              <w:t>Final report</w:t>
            </w:r>
          </w:p>
        </w:tc>
        <w:tc>
          <w:tcPr>
            <w:tcW w:w="2151" w:type="dxa"/>
          </w:tcPr>
          <w:p w:rsidR="001266B6" w:rsidRDefault="001266B6" w:rsidP="001266B6">
            <w:pPr>
              <w:pStyle w:val="TableBodyLeft"/>
            </w:pPr>
            <w:r>
              <w:t>Report</w:t>
            </w:r>
          </w:p>
        </w:tc>
        <w:tc>
          <w:tcPr>
            <w:tcW w:w="3661" w:type="dxa"/>
          </w:tcPr>
          <w:p w:rsidR="009E6941" w:rsidRDefault="00752696" w:rsidP="001266B6">
            <w:pPr>
              <w:pStyle w:val="TableBodyLeft"/>
              <w:rPr>
                <w:rFonts w:asciiTheme="minorHAnsi" w:hAnsiTheme="minorHAnsi"/>
              </w:rPr>
            </w:pPr>
            <w:r>
              <w:rPr>
                <w:rFonts w:asciiTheme="minorHAnsi" w:hAnsiTheme="minorHAnsi"/>
              </w:rPr>
              <w:t xml:space="preserve">This report </w:t>
            </w:r>
            <w:r w:rsidR="001266B6" w:rsidRPr="001266B6">
              <w:rPr>
                <w:rFonts w:asciiTheme="minorHAnsi" w:hAnsiTheme="minorHAnsi"/>
              </w:rPr>
              <w:t>describes the</w:t>
            </w:r>
            <w:r w:rsidR="001266B6" w:rsidRPr="00CF3DC0">
              <w:rPr>
                <w:rFonts w:asciiTheme="minorHAnsi" w:hAnsiTheme="minorHAnsi"/>
              </w:rPr>
              <w:t xml:space="preserve"> background to the research, the </w:t>
            </w:r>
            <w:r w:rsidR="00B44291">
              <w:rPr>
                <w:rFonts w:asciiTheme="minorHAnsi" w:hAnsiTheme="minorHAnsi"/>
              </w:rPr>
              <w:t xml:space="preserve">method, </w:t>
            </w:r>
            <w:r w:rsidR="00EF5F8D">
              <w:rPr>
                <w:rFonts w:asciiTheme="minorHAnsi" w:hAnsiTheme="minorHAnsi"/>
              </w:rPr>
              <w:t xml:space="preserve">the findings, </w:t>
            </w:r>
            <w:r w:rsidR="00B44291">
              <w:rPr>
                <w:rFonts w:asciiTheme="minorHAnsi" w:hAnsiTheme="minorHAnsi"/>
              </w:rPr>
              <w:t xml:space="preserve">and, importantly, </w:t>
            </w:r>
            <w:r w:rsidR="009E6941">
              <w:rPr>
                <w:rFonts w:asciiTheme="minorHAnsi" w:hAnsiTheme="minorHAnsi"/>
              </w:rPr>
              <w:t xml:space="preserve">any </w:t>
            </w:r>
            <w:r w:rsidR="00B44291">
              <w:rPr>
                <w:rFonts w:asciiTheme="minorHAnsi" w:hAnsiTheme="minorHAnsi"/>
              </w:rPr>
              <w:t xml:space="preserve">suggested </w:t>
            </w:r>
            <w:r w:rsidR="009E6941">
              <w:rPr>
                <w:rFonts w:asciiTheme="minorHAnsi" w:hAnsiTheme="minorHAnsi"/>
              </w:rPr>
              <w:t xml:space="preserve">revisions to the </w:t>
            </w:r>
            <w:r w:rsidR="00EF5F8D">
              <w:rPr>
                <w:rFonts w:asciiTheme="minorHAnsi" w:hAnsiTheme="minorHAnsi"/>
              </w:rPr>
              <w:t xml:space="preserve">current </w:t>
            </w:r>
            <w:r w:rsidR="009E6941">
              <w:rPr>
                <w:rFonts w:asciiTheme="minorHAnsi" w:hAnsiTheme="minorHAnsi"/>
              </w:rPr>
              <w:t>XIRCM toolkit</w:t>
            </w:r>
            <w:r w:rsidR="00A35340">
              <w:rPr>
                <w:rFonts w:asciiTheme="minorHAnsi" w:hAnsiTheme="minorHAnsi"/>
              </w:rPr>
              <w:t xml:space="preserve"> or supporting documents.</w:t>
            </w:r>
          </w:p>
          <w:p w:rsidR="001266B6" w:rsidRPr="009E6941" w:rsidRDefault="001266B6" w:rsidP="001266B6">
            <w:pPr>
              <w:pStyle w:val="TableBodyLeft"/>
              <w:rPr>
                <w:rFonts w:asciiTheme="minorHAnsi" w:hAnsiTheme="minorHAnsi"/>
              </w:rPr>
            </w:pPr>
            <w:r>
              <w:rPr>
                <w:rFonts w:asciiTheme="minorHAnsi" w:hAnsiTheme="minorHAnsi"/>
              </w:rPr>
              <w:t>Additional</w:t>
            </w:r>
            <w:r w:rsidRPr="00642E21">
              <w:rPr>
                <w:rFonts w:asciiTheme="minorHAnsi" w:hAnsiTheme="minorHAnsi"/>
              </w:rPr>
              <w:t xml:space="preserve"> technical outputs</w:t>
            </w:r>
            <w:r>
              <w:rPr>
                <w:rFonts w:asciiTheme="minorHAnsi" w:hAnsiTheme="minorHAnsi"/>
              </w:rPr>
              <w:t xml:space="preserve"> may support this report, as required.</w:t>
            </w:r>
          </w:p>
        </w:tc>
      </w:tr>
      <w:tr w:rsidR="001266B6" w:rsidTr="001266B6">
        <w:tc>
          <w:tcPr>
            <w:tcW w:w="2552" w:type="dxa"/>
          </w:tcPr>
          <w:p w:rsidR="001266B6" w:rsidRDefault="00752696" w:rsidP="00752696">
            <w:pPr>
              <w:pStyle w:val="TableBodyLeft"/>
            </w:pPr>
            <w:r>
              <w:t>Case study</w:t>
            </w:r>
          </w:p>
        </w:tc>
        <w:tc>
          <w:tcPr>
            <w:tcW w:w="2151" w:type="dxa"/>
          </w:tcPr>
          <w:p w:rsidR="001266B6" w:rsidRDefault="00B40B2E" w:rsidP="001266B6">
            <w:pPr>
              <w:pStyle w:val="TableBodyLeft"/>
            </w:pPr>
            <w:r>
              <w:t>Write-up</w:t>
            </w:r>
            <w:r w:rsidR="00752696">
              <w:t xml:space="preserve"> &amp; presentation</w:t>
            </w:r>
          </w:p>
        </w:tc>
        <w:tc>
          <w:tcPr>
            <w:tcW w:w="3661" w:type="dxa"/>
          </w:tcPr>
          <w:p w:rsidR="00752696" w:rsidRDefault="00752696" w:rsidP="00752696">
            <w:pPr>
              <w:pStyle w:val="TableBodyLeft"/>
              <w:rPr>
                <w:rFonts w:asciiTheme="minorHAnsi" w:hAnsiTheme="minorHAnsi"/>
              </w:rPr>
            </w:pPr>
            <w:r>
              <w:rPr>
                <w:rFonts w:asciiTheme="minorHAnsi" w:hAnsiTheme="minorHAnsi"/>
              </w:rPr>
              <w:t>This</w:t>
            </w:r>
            <w:r w:rsidR="001266B6" w:rsidRPr="00F80694">
              <w:rPr>
                <w:rFonts w:asciiTheme="minorHAnsi" w:hAnsiTheme="minorHAnsi"/>
              </w:rPr>
              <w:t xml:space="preserve"> </w:t>
            </w:r>
            <w:r>
              <w:rPr>
                <w:rFonts w:asciiTheme="minorHAnsi" w:hAnsiTheme="minorHAnsi"/>
              </w:rPr>
              <w:t>case study</w:t>
            </w:r>
            <w:r w:rsidR="001266B6" w:rsidRPr="00F80694">
              <w:rPr>
                <w:rFonts w:asciiTheme="minorHAnsi" w:hAnsiTheme="minorHAnsi"/>
              </w:rPr>
              <w:t xml:space="preserve"> </w:t>
            </w:r>
            <w:r>
              <w:rPr>
                <w:rFonts w:asciiTheme="minorHAnsi" w:hAnsiTheme="minorHAnsi"/>
              </w:rPr>
              <w:t>summarises</w:t>
            </w:r>
            <w:r w:rsidR="001266B6" w:rsidRPr="00F80694">
              <w:rPr>
                <w:rFonts w:asciiTheme="minorHAnsi" w:hAnsiTheme="minorHAnsi"/>
              </w:rPr>
              <w:t xml:space="preserve"> the research, its findings, and t</w:t>
            </w:r>
            <w:r>
              <w:rPr>
                <w:rFonts w:asciiTheme="minorHAnsi" w:hAnsiTheme="minorHAnsi"/>
              </w:rPr>
              <w:t>he benefits generated</w:t>
            </w:r>
            <w:r w:rsidRPr="00642E21">
              <w:rPr>
                <w:rFonts w:asciiTheme="minorHAnsi" w:hAnsiTheme="minorHAnsi"/>
              </w:rPr>
              <w:t xml:space="preserve"> in an easily acces</w:t>
            </w:r>
            <w:r>
              <w:rPr>
                <w:rFonts w:asciiTheme="minorHAnsi" w:hAnsiTheme="minorHAnsi"/>
              </w:rPr>
              <w:t>sible manner, fit for presentation</w:t>
            </w:r>
            <w:r w:rsidRPr="00642E21">
              <w:rPr>
                <w:rFonts w:asciiTheme="minorHAnsi" w:hAnsiTheme="minorHAnsi"/>
              </w:rPr>
              <w:t xml:space="preserve"> to rail </w:t>
            </w:r>
            <w:r>
              <w:rPr>
                <w:rFonts w:asciiTheme="minorHAnsi" w:hAnsiTheme="minorHAnsi"/>
              </w:rPr>
              <w:t>industry board-level audiences.</w:t>
            </w:r>
          </w:p>
          <w:p w:rsidR="001266B6" w:rsidRPr="00BB69B2" w:rsidRDefault="00B40B2E" w:rsidP="00B40B2E">
            <w:pPr>
              <w:pStyle w:val="TableBodyLeft"/>
            </w:pPr>
            <w:r>
              <w:rPr>
                <w:rFonts w:asciiTheme="minorHAnsi" w:hAnsiTheme="minorHAnsi"/>
              </w:rPr>
              <w:t>The</w:t>
            </w:r>
            <w:r w:rsidR="00DB0C86">
              <w:rPr>
                <w:rFonts w:asciiTheme="minorHAnsi" w:hAnsiTheme="minorHAnsi"/>
              </w:rPr>
              <w:t xml:space="preserve"> </w:t>
            </w:r>
            <w:r>
              <w:rPr>
                <w:rFonts w:asciiTheme="minorHAnsi" w:hAnsiTheme="minorHAnsi"/>
              </w:rPr>
              <w:t>write-up and</w:t>
            </w:r>
            <w:r w:rsidR="00DB0C86">
              <w:rPr>
                <w:rFonts w:asciiTheme="minorHAnsi" w:hAnsiTheme="minorHAnsi"/>
              </w:rPr>
              <w:t xml:space="preserve"> PowerPoint presentation summarise the same </w:t>
            </w:r>
            <w:r>
              <w:rPr>
                <w:rFonts w:asciiTheme="minorHAnsi" w:hAnsiTheme="minorHAnsi"/>
              </w:rPr>
              <w:t xml:space="preserve">case study </w:t>
            </w:r>
            <w:r w:rsidR="00DB0C86">
              <w:rPr>
                <w:rFonts w:asciiTheme="minorHAnsi" w:hAnsiTheme="minorHAnsi"/>
              </w:rPr>
              <w:t>information.</w:t>
            </w:r>
          </w:p>
        </w:tc>
      </w:tr>
    </w:tbl>
    <w:p w:rsidR="006440C8" w:rsidRDefault="00325F01" w:rsidP="006440C8">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6B076F" w:rsidTr="006B076F">
        <w:tc>
          <w:tcPr>
            <w:tcW w:w="1816" w:type="dxa"/>
            <w:vAlign w:val="center"/>
          </w:tcPr>
          <w:p w:rsidR="00420F8C" w:rsidRPr="00325F01" w:rsidRDefault="00420F8C" w:rsidP="00420F8C">
            <w:pPr>
              <w:pStyle w:val="Body"/>
              <w:rPr>
                <w:rFonts w:asciiTheme="minorHAnsi" w:hAnsiTheme="minorHAnsi"/>
              </w:rPr>
            </w:pPr>
          </w:p>
        </w:tc>
        <w:tc>
          <w:tcPr>
            <w:tcW w:w="3849" w:type="dxa"/>
            <w:vAlign w:val="center"/>
          </w:tcPr>
          <w:p w:rsidR="00420F8C" w:rsidRPr="00325F01" w:rsidRDefault="00420F8C" w:rsidP="00420F8C">
            <w:pPr>
              <w:rPr>
                <w:rFonts w:asciiTheme="minorHAnsi" w:hAnsiTheme="minorHAnsi" w:cs="Arial"/>
                <w:sz w:val="22"/>
                <w:szCs w:val="22"/>
                <w:lang w:eastAsia="en-GB"/>
              </w:rPr>
            </w:pPr>
            <w:r w:rsidRPr="00325F01">
              <w:rPr>
                <w:rFonts w:asciiTheme="minorHAnsi" w:hAnsiTheme="minorHAnsi" w:cs="Arial"/>
                <w:b/>
                <w:bCs/>
                <w:kern w:val="28"/>
                <w:sz w:val="22"/>
                <w:szCs w:val="22"/>
              </w:rPr>
              <w:t>General role in project</w:t>
            </w:r>
          </w:p>
        </w:tc>
        <w:tc>
          <w:tcPr>
            <w:tcW w:w="2694" w:type="dxa"/>
            <w:vAlign w:val="center"/>
          </w:tcPr>
          <w:p w:rsidR="00420F8C" w:rsidRPr="00325F01" w:rsidRDefault="00420F8C" w:rsidP="00420F8C">
            <w:pPr>
              <w:rPr>
                <w:rFonts w:asciiTheme="minorHAnsi" w:hAnsiTheme="minorHAnsi" w:cs="Arial"/>
                <w:sz w:val="22"/>
                <w:szCs w:val="22"/>
                <w:lang w:eastAsia="en-GB"/>
              </w:rPr>
            </w:pPr>
            <w:r w:rsidRPr="00325F01">
              <w:rPr>
                <w:rFonts w:asciiTheme="minorHAnsi" w:hAnsiTheme="minorHAnsi" w:cs="Arial"/>
                <w:b/>
                <w:bCs/>
                <w:kern w:val="28"/>
                <w:sz w:val="22"/>
                <w:szCs w:val="22"/>
              </w:rPr>
              <w:t>Specific role in acceptance of deliverables</w:t>
            </w:r>
          </w:p>
        </w:tc>
      </w:tr>
      <w:tr w:rsidR="00325F01" w:rsidTr="00126EF1">
        <w:tc>
          <w:tcPr>
            <w:tcW w:w="1816" w:type="dxa"/>
            <w:vAlign w:val="center"/>
          </w:tcPr>
          <w:p w:rsidR="00325F01" w:rsidRPr="00420F8C" w:rsidRDefault="00325F01" w:rsidP="00325F01">
            <w:pPr>
              <w:rPr>
                <w:rFonts w:asciiTheme="minorHAnsi" w:hAnsiTheme="minorHAnsi" w:cs="Arial"/>
                <w:sz w:val="22"/>
                <w:szCs w:val="22"/>
                <w:lang w:eastAsia="en-GB"/>
              </w:rPr>
            </w:pPr>
            <w:r>
              <w:rPr>
                <w:rFonts w:asciiTheme="minorHAnsi" w:hAnsiTheme="minorHAnsi" w:cs="Arial"/>
                <w:color w:val="000000" w:themeColor="dark1"/>
                <w:kern w:val="28"/>
                <w:sz w:val="22"/>
                <w:szCs w:val="22"/>
              </w:rPr>
              <w:t>Industry and RSSB sponsor</w:t>
            </w:r>
          </w:p>
        </w:tc>
        <w:tc>
          <w:tcPr>
            <w:tcW w:w="3849" w:type="dxa"/>
            <w:vAlign w:val="center"/>
          </w:tcPr>
          <w:p w:rsidR="00325F01" w:rsidRPr="00420F8C" w:rsidRDefault="00325F01" w:rsidP="00325F01">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00375A9A">
              <w:rPr>
                <w:rFonts w:asciiTheme="minorHAnsi" w:hAnsiTheme="minorHAnsi" w:cs="Arial"/>
                <w:color w:val="000000" w:themeColor="dark1"/>
                <w:kern w:val="28"/>
                <w:sz w:val="22"/>
                <w:szCs w:val="22"/>
              </w:rPr>
              <w:t xml:space="preserve"> as</w:t>
            </w:r>
            <w:r w:rsidRPr="00420F8C">
              <w:rPr>
                <w:rFonts w:asciiTheme="minorHAnsi" w:hAnsiTheme="minorHAnsi" w:cs="Arial"/>
                <w:color w:val="000000" w:themeColor="dark1"/>
                <w:kern w:val="28"/>
                <w:sz w:val="22"/>
                <w:szCs w:val="22"/>
              </w:rPr>
              <w:t xml:space="preserve"> figurehead</w:t>
            </w:r>
            <w:r w:rsidR="00375A9A">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ch</w:t>
            </w:r>
            <w:r w:rsidR="00375A9A">
              <w:rPr>
                <w:rFonts w:asciiTheme="minorHAnsi" w:hAnsiTheme="minorHAnsi" w:cs="Arial"/>
                <w:color w:val="000000" w:themeColor="dark1"/>
                <w:kern w:val="28"/>
                <w:sz w:val="22"/>
                <w:szCs w:val="22"/>
              </w:rPr>
              <w:t>ampioning its importance and</w:t>
            </w:r>
            <w:r w:rsidRPr="00420F8C">
              <w:rPr>
                <w:rFonts w:asciiTheme="minorHAnsi" w:hAnsiTheme="minorHAnsi" w:cs="Arial"/>
                <w:color w:val="000000" w:themeColor="dark1"/>
                <w:kern w:val="28"/>
                <w:sz w:val="22"/>
                <w:szCs w:val="22"/>
              </w:rPr>
              <w:t xml:space="preserve"> outputs. </w:t>
            </w:r>
          </w:p>
          <w:p w:rsidR="00325F01" w:rsidRPr="00420F8C" w:rsidRDefault="00325F01" w:rsidP="00325F01">
            <w:pPr>
              <w:rPr>
                <w:rFonts w:asciiTheme="minorHAnsi" w:hAnsiTheme="minorHAnsi" w:cs="Arial"/>
                <w:sz w:val="22"/>
                <w:szCs w:val="22"/>
                <w:lang w:eastAsia="en-GB"/>
              </w:rPr>
            </w:pPr>
            <w:r>
              <w:rPr>
                <w:rFonts w:asciiTheme="minorHAnsi" w:hAnsiTheme="minorHAnsi" w:cs="Arial"/>
                <w:color w:val="000000" w:themeColor="dark1"/>
                <w:kern w:val="28"/>
                <w:sz w:val="22"/>
                <w:szCs w:val="22"/>
              </w:rPr>
              <w:t>Their key role is to provide steer</w:t>
            </w:r>
            <w:r w:rsidRPr="00420F8C">
              <w:rPr>
                <w:rFonts w:asciiTheme="minorHAnsi" w:hAnsiTheme="minorHAnsi" w:cs="Arial"/>
                <w:color w:val="000000" w:themeColor="dark1"/>
                <w:kern w:val="28"/>
                <w:sz w:val="22"/>
                <w:szCs w:val="22"/>
              </w:rPr>
              <w:t xml:space="preserve"> </w:t>
            </w:r>
            <w:r>
              <w:rPr>
                <w:rFonts w:asciiTheme="minorHAnsi" w:hAnsiTheme="minorHAnsi" w:cs="Arial"/>
                <w:color w:val="000000" w:themeColor="dark1"/>
                <w:kern w:val="28"/>
                <w:sz w:val="22"/>
                <w:szCs w:val="22"/>
              </w:rPr>
              <w:t xml:space="preserve">to </w:t>
            </w:r>
            <w:r w:rsidRPr="00420F8C">
              <w:rPr>
                <w:rFonts w:asciiTheme="minorHAnsi" w:hAnsiTheme="minorHAnsi" w:cs="Arial"/>
                <w:color w:val="000000" w:themeColor="dark1"/>
                <w:kern w:val="28"/>
                <w:sz w:val="22"/>
                <w:szCs w:val="22"/>
              </w:rPr>
              <w:t xml:space="preserve">the research as it progresses and exert pressure on </w:t>
            </w:r>
            <w:r>
              <w:rPr>
                <w:rFonts w:asciiTheme="minorHAnsi" w:hAnsiTheme="minorHAnsi" w:cs="Arial"/>
                <w:color w:val="000000" w:themeColor="dark1"/>
                <w:kern w:val="28"/>
                <w:sz w:val="22"/>
                <w:szCs w:val="22"/>
              </w:rPr>
              <w:t>the industry to make use of</w:t>
            </w:r>
            <w:r w:rsidRPr="00420F8C">
              <w:rPr>
                <w:rFonts w:asciiTheme="minorHAnsi" w:hAnsiTheme="minorHAnsi" w:cs="Arial"/>
                <w:color w:val="000000" w:themeColor="dark1"/>
                <w:kern w:val="28"/>
                <w:sz w:val="22"/>
                <w:szCs w:val="22"/>
              </w:rPr>
              <w:t xml:space="preserve"> its findings.</w:t>
            </w:r>
          </w:p>
        </w:tc>
        <w:tc>
          <w:tcPr>
            <w:tcW w:w="2694" w:type="dxa"/>
          </w:tcPr>
          <w:p w:rsidR="00325F01" w:rsidRPr="00325F01" w:rsidRDefault="00325F01" w:rsidP="00325F01">
            <w:pPr>
              <w:rPr>
                <w:rFonts w:asciiTheme="minorHAnsi" w:hAnsiTheme="minorHAnsi" w:cs="Arial"/>
                <w:color w:val="000000" w:themeColor="dark1"/>
                <w:kern w:val="28"/>
                <w:sz w:val="22"/>
                <w:szCs w:val="22"/>
              </w:rPr>
            </w:pPr>
            <w:r w:rsidRPr="00325F01">
              <w:rPr>
                <w:rFonts w:asciiTheme="minorHAnsi" w:hAnsiTheme="minorHAnsi" w:cs="Arial"/>
                <w:color w:val="000000" w:themeColor="dark1"/>
                <w:kern w:val="28"/>
                <w:sz w:val="22"/>
                <w:szCs w:val="22"/>
              </w:rPr>
              <w:t xml:space="preserve">Formally accepts deliverables </w:t>
            </w:r>
          </w:p>
        </w:tc>
      </w:tr>
      <w:tr w:rsidR="00325F01" w:rsidTr="00126EF1">
        <w:tc>
          <w:tcPr>
            <w:tcW w:w="1816" w:type="dxa"/>
            <w:vAlign w:val="center"/>
          </w:tcPr>
          <w:p w:rsidR="00325F01" w:rsidRPr="00420F8C" w:rsidRDefault="00325F01" w:rsidP="00325F01">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Project supporters</w:t>
            </w:r>
          </w:p>
        </w:tc>
        <w:tc>
          <w:tcPr>
            <w:tcW w:w="3849" w:type="dxa"/>
            <w:vAlign w:val="center"/>
          </w:tcPr>
          <w:p w:rsidR="00325F01" w:rsidRPr="00420F8C" w:rsidRDefault="00F20293" w:rsidP="00F20293">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rsidR="00325F01" w:rsidRPr="00325F01" w:rsidRDefault="00325F01" w:rsidP="00325F01">
            <w:pPr>
              <w:rPr>
                <w:rFonts w:asciiTheme="minorHAnsi" w:hAnsiTheme="minorHAnsi" w:cs="Arial"/>
                <w:color w:val="000000" w:themeColor="dark1"/>
                <w:kern w:val="28"/>
                <w:sz w:val="22"/>
                <w:szCs w:val="22"/>
              </w:rPr>
            </w:pPr>
            <w:r w:rsidRPr="00325F01">
              <w:rPr>
                <w:rFonts w:asciiTheme="minorHAnsi" w:hAnsiTheme="minorHAnsi" w:cs="Arial"/>
                <w:color w:val="000000" w:themeColor="dark1"/>
                <w:kern w:val="28"/>
                <w:sz w:val="22"/>
                <w:szCs w:val="22"/>
              </w:rPr>
              <w:t xml:space="preserve">Formally accepts deliverables </w:t>
            </w:r>
          </w:p>
        </w:tc>
      </w:tr>
      <w:tr w:rsidR="006B076F" w:rsidTr="00325F01">
        <w:tc>
          <w:tcPr>
            <w:tcW w:w="1816" w:type="dxa"/>
            <w:vAlign w:val="center"/>
          </w:tcPr>
          <w:p w:rsidR="00420F8C" w:rsidRPr="00420F8C" w:rsidRDefault="00420F8C" w:rsidP="00420F8C">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Project steering group</w:t>
            </w:r>
          </w:p>
        </w:tc>
        <w:tc>
          <w:tcPr>
            <w:tcW w:w="3849" w:type="dxa"/>
            <w:vAlign w:val="center"/>
          </w:tcPr>
          <w:p w:rsidR="00420F8C" w:rsidRPr="00420F8C" w:rsidRDefault="00420F8C" w:rsidP="00420F8C">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rsidR="00420F8C" w:rsidRPr="00420F8C" w:rsidRDefault="00420F8C" w:rsidP="00420F8C">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As such, it helps formulate specifications, assesses tenders, reviews draft and final outputs and other relevant tasks.</w:t>
            </w:r>
          </w:p>
        </w:tc>
        <w:tc>
          <w:tcPr>
            <w:tcW w:w="2694" w:type="dxa"/>
          </w:tcPr>
          <w:p w:rsidR="00420F8C" w:rsidRPr="00420F8C" w:rsidRDefault="00420F8C" w:rsidP="00325F01">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 xml:space="preserve">Formally accepts deliverables </w:t>
            </w:r>
          </w:p>
        </w:tc>
      </w:tr>
      <w:tr w:rsidR="006B076F" w:rsidTr="00325F01">
        <w:tc>
          <w:tcPr>
            <w:tcW w:w="1816" w:type="dxa"/>
            <w:vAlign w:val="center"/>
          </w:tcPr>
          <w:p w:rsidR="00420F8C" w:rsidRPr="006B076F" w:rsidRDefault="00420F8C" w:rsidP="00420F8C">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Delivery manager</w:t>
            </w:r>
          </w:p>
        </w:tc>
        <w:tc>
          <w:tcPr>
            <w:tcW w:w="3849" w:type="dxa"/>
            <w:vAlign w:val="center"/>
          </w:tcPr>
          <w:p w:rsidR="00420F8C" w:rsidRPr="006B076F" w:rsidRDefault="00420F8C" w:rsidP="007715AE">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rsidR="00420F8C" w:rsidRPr="006B076F" w:rsidRDefault="00420F8C" w:rsidP="00420F8C">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rsidR="00420F8C" w:rsidRPr="006B076F" w:rsidRDefault="00932611" w:rsidP="00325F01">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 xml:space="preserve">Facilitates technical review and acceptance processes, </w:t>
            </w:r>
            <w:r>
              <w:rPr>
                <w:rFonts w:asciiTheme="minorHAnsi" w:hAnsiTheme="minorHAnsi" w:cs="Arial"/>
                <w:color w:val="000000" w:themeColor="dark1"/>
                <w:kern w:val="28"/>
                <w:sz w:val="22"/>
                <w:szCs w:val="22"/>
              </w:rPr>
              <w:t xml:space="preserve">identifies and monitors </w:t>
            </w:r>
            <w:r w:rsidRPr="006B076F">
              <w:rPr>
                <w:rFonts w:asciiTheme="minorHAnsi" w:hAnsiTheme="minorHAnsi" w:cs="Arial"/>
                <w:color w:val="000000" w:themeColor="dark1"/>
                <w:kern w:val="28"/>
                <w:sz w:val="22"/>
                <w:szCs w:val="22"/>
              </w:rPr>
              <w:t xml:space="preserve">corrective actions where </w:t>
            </w:r>
            <w:r>
              <w:rPr>
                <w:rFonts w:asciiTheme="minorHAnsi" w:hAnsiTheme="minorHAnsi" w:cs="Arial"/>
                <w:color w:val="000000" w:themeColor="dark1"/>
                <w:kern w:val="28"/>
                <w:sz w:val="22"/>
                <w:szCs w:val="22"/>
              </w:rPr>
              <w:t xml:space="preserve">needed, including facilitating </w:t>
            </w:r>
            <w:r w:rsidR="00375A9A">
              <w:rPr>
                <w:rFonts w:asciiTheme="minorHAnsi" w:hAnsiTheme="minorHAnsi" w:cs="Arial"/>
                <w:color w:val="000000" w:themeColor="dark1"/>
                <w:kern w:val="28"/>
                <w:sz w:val="22"/>
                <w:szCs w:val="22"/>
              </w:rPr>
              <w:t>decision-making</w:t>
            </w:r>
            <w:r>
              <w:rPr>
                <w:rFonts w:asciiTheme="minorHAnsi" w:hAnsiTheme="minorHAnsi" w:cs="Arial"/>
                <w:color w:val="000000" w:themeColor="dark1"/>
                <w:kern w:val="28"/>
                <w:sz w:val="22"/>
                <w:szCs w:val="22"/>
              </w:rPr>
              <w:t>.</w:t>
            </w:r>
          </w:p>
        </w:tc>
      </w:tr>
      <w:tr w:rsidR="006B076F" w:rsidTr="00325F01">
        <w:tc>
          <w:tcPr>
            <w:tcW w:w="1816" w:type="dxa"/>
            <w:vAlign w:val="center"/>
          </w:tcPr>
          <w:p w:rsidR="00420F8C" w:rsidRPr="007715AE" w:rsidRDefault="00420F8C" w:rsidP="00420F8C">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Technical expert</w:t>
            </w:r>
          </w:p>
        </w:tc>
        <w:tc>
          <w:tcPr>
            <w:tcW w:w="3849" w:type="dxa"/>
            <w:vAlign w:val="center"/>
          </w:tcPr>
          <w:p w:rsidR="00420F8C" w:rsidRPr="007715AE" w:rsidRDefault="0037036D" w:rsidP="007715AE">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w:t>
            </w:r>
            <w:r w:rsidR="00420F8C" w:rsidRPr="007715AE">
              <w:rPr>
                <w:rFonts w:asciiTheme="minorHAnsi" w:hAnsiTheme="minorHAnsi" w:cs="Arial"/>
                <w:color w:val="000000" w:themeColor="dark1"/>
                <w:kern w:val="28"/>
                <w:sz w:val="22"/>
                <w:szCs w:val="22"/>
              </w:rPr>
              <w:t xml:space="preserve">he technical expert ensures that </w:t>
            </w:r>
            <w:r>
              <w:rPr>
                <w:rFonts w:asciiTheme="minorHAnsi" w:hAnsiTheme="minorHAnsi" w:cs="Arial"/>
                <w:color w:val="000000" w:themeColor="dark1"/>
                <w:kern w:val="28"/>
                <w:sz w:val="22"/>
                <w:szCs w:val="22"/>
              </w:rPr>
              <w:t>the project accurately reflects the technical aspects of the work.</w:t>
            </w:r>
          </w:p>
          <w:p w:rsidR="00420F8C" w:rsidRPr="007715AE" w:rsidRDefault="00420F8C" w:rsidP="00420F8C">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rsidR="00420F8C" w:rsidRPr="007715AE" w:rsidRDefault="00BE51A8" w:rsidP="00325F01">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 xml:space="preserve">Reviews </w:t>
            </w:r>
            <w:r>
              <w:rPr>
                <w:rFonts w:asciiTheme="minorHAnsi" w:hAnsiTheme="minorHAnsi" w:cs="Arial"/>
                <w:color w:val="000000" w:themeColor="dark1"/>
                <w:kern w:val="28"/>
                <w:sz w:val="22"/>
                <w:szCs w:val="22"/>
              </w:rPr>
              <w:t xml:space="preserve">emerging </w:t>
            </w:r>
            <w:r w:rsidRPr="007715AE">
              <w:rPr>
                <w:rFonts w:asciiTheme="minorHAnsi" w:hAnsiTheme="minorHAnsi" w:cs="Arial"/>
                <w:color w:val="000000" w:themeColor="dark1"/>
                <w:kern w:val="28"/>
                <w:sz w:val="22"/>
                <w:szCs w:val="22"/>
              </w:rPr>
              <w:t>out</w:t>
            </w:r>
            <w:r>
              <w:rPr>
                <w:rFonts w:asciiTheme="minorHAnsi" w:hAnsiTheme="minorHAnsi" w:cs="Arial"/>
                <w:color w:val="000000" w:themeColor="dark1"/>
                <w:kern w:val="28"/>
                <w:sz w:val="22"/>
                <w:szCs w:val="22"/>
              </w:rPr>
              <w:t>puts from technical perspective.</w:t>
            </w:r>
          </w:p>
        </w:tc>
      </w:tr>
    </w:tbl>
    <w:p w:rsidR="00420F8C" w:rsidRDefault="00420F8C" w:rsidP="00B90DA0">
      <w:pPr>
        <w:rPr>
          <w:rFonts w:ascii="Calibri" w:hAnsi="Calibri" w:cs="Arial"/>
          <w:sz w:val="22"/>
          <w:szCs w:val="22"/>
          <w:lang w:eastAsia="en-GB"/>
        </w:rPr>
      </w:pPr>
    </w:p>
    <w:p w:rsidR="006440C8" w:rsidRDefault="006440C8" w:rsidP="00B90DA0">
      <w:pPr>
        <w:rPr>
          <w:rFonts w:ascii="Calibri" w:hAnsi="Calibri" w:cs="Arial"/>
          <w:sz w:val="22"/>
          <w:szCs w:val="22"/>
          <w:lang w:eastAsia="en-GB"/>
        </w:rPr>
      </w:pPr>
    </w:p>
    <w:p w:rsidR="00DE01FB" w:rsidRDefault="00DE01FB" w:rsidP="00B90DA0">
      <w:pPr>
        <w:rPr>
          <w:rFonts w:ascii="Calibri" w:hAnsi="Calibri" w:cs="Arial"/>
          <w:sz w:val="22"/>
          <w:szCs w:val="22"/>
          <w:lang w:eastAsia="en-GB"/>
        </w:rPr>
      </w:pPr>
    </w:p>
    <w:p w:rsidR="00DE01FB" w:rsidRDefault="00DE01FB" w:rsidP="00B90DA0">
      <w:pPr>
        <w:rPr>
          <w:rFonts w:ascii="Calibri" w:hAnsi="Calibri" w:cs="Arial"/>
          <w:sz w:val="22"/>
          <w:szCs w:val="22"/>
          <w:lang w:eastAsia="en-GB"/>
        </w:rPr>
      </w:pPr>
      <w:bookmarkStart w:id="0" w:name="_GoBack"/>
      <w:bookmarkEnd w:id="0"/>
    </w:p>
    <w:sectPr w:rsidR="00DE01FB" w:rsidSect="003F0E95">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527" w:rsidRDefault="00896527" w:rsidP="0003785D">
      <w:r>
        <w:separator/>
      </w:r>
    </w:p>
  </w:endnote>
  <w:endnote w:type="continuationSeparator" w:id="0">
    <w:p w:rsidR="00896527" w:rsidRDefault="0089652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527" w:rsidRDefault="00896527" w:rsidP="0003785D">
      <w:r>
        <w:separator/>
      </w:r>
    </w:p>
  </w:footnote>
  <w:footnote w:type="continuationSeparator" w:id="0">
    <w:p w:rsidR="00896527" w:rsidRDefault="00896527" w:rsidP="0003785D">
      <w:r>
        <w:continuationSeparator/>
      </w:r>
    </w:p>
  </w:footnote>
  <w:footnote w:id="1">
    <w:p w:rsidR="00D8103F" w:rsidRDefault="00D8103F" w:rsidP="00D8103F">
      <w:pPr>
        <w:pStyle w:val="FootnoteText"/>
      </w:pPr>
      <w:r>
        <w:rPr>
          <w:rStyle w:val="FootnoteReference"/>
        </w:rPr>
        <w:footnoteRef/>
      </w:r>
      <w:r>
        <w:t xml:space="preserve"> Planned for Q3/Q4 2017/18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07827"/>
    <w:multiLevelType w:val="hybridMultilevel"/>
    <w:tmpl w:val="71F67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2C3B78"/>
    <w:multiLevelType w:val="hybridMultilevel"/>
    <w:tmpl w:val="30DCD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635BD5"/>
    <w:multiLevelType w:val="hybridMultilevel"/>
    <w:tmpl w:val="A582F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A04A96"/>
    <w:multiLevelType w:val="hybridMultilevel"/>
    <w:tmpl w:val="CCB01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34D1A"/>
    <w:multiLevelType w:val="hybridMultilevel"/>
    <w:tmpl w:val="307EC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9"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E14257"/>
    <w:multiLevelType w:val="hybridMultilevel"/>
    <w:tmpl w:val="759201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1"/>
  </w:num>
  <w:num w:numId="3">
    <w:abstractNumId w:val="8"/>
  </w:num>
  <w:num w:numId="4">
    <w:abstractNumId w:val="18"/>
  </w:num>
  <w:num w:numId="5">
    <w:abstractNumId w:val="29"/>
  </w:num>
  <w:num w:numId="6">
    <w:abstractNumId w:val="0"/>
  </w:num>
  <w:num w:numId="7">
    <w:abstractNumId w:val="31"/>
  </w:num>
  <w:num w:numId="8">
    <w:abstractNumId w:val="28"/>
  </w:num>
  <w:num w:numId="9">
    <w:abstractNumId w:val="1"/>
  </w:num>
  <w:num w:numId="10">
    <w:abstractNumId w:val="19"/>
  </w:num>
  <w:num w:numId="11">
    <w:abstractNumId w:val="33"/>
  </w:num>
  <w:num w:numId="12">
    <w:abstractNumId w:val="3"/>
  </w:num>
  <w:num w:numId="13">
    <w:abstractNumId w:val="32"/>
  </w:num>
  <w:num w:numId="14">
    <w:abstractNumId w:val="23"/>
  </w:num>
  <w:num w:numId="15">
    <w:abstractNumId w:val="20"/>
  </w:num>
  <w:num w:numId="16">
    <w:abstractNumId w:val="4"/>
  </w:num>
  <w:num w:numId="17">
    <w:abstractNumId w:val="27"/>
  </w:num>
  <w:num w:numId="18">
    <w:abstractNumId w:val="7"/>
  </w:num>
  <w:num w:numId="19">
    <w:abstractNumId w:val="13"/>
  </w:num>
  <w:num w:numId="20">
    <w:abstractNumId w:val="15"/>
  </w:num>
  <w:num w:numId="21">
    <w:abstractNumId w:val="6"/>
  </w:num>
  <w:num w:numId="22">
    <w:abstractNumId w:val="21"/>
  </w:num>
  <w:num w:numId="23">
    <w:abstractNumId w:val="16"/>
  </w:num>
  <w:num w:numId="24">
    <w:abstractNumId w:val="9"/>
  </w:num>
  <w:num w:numId="25">
    <w:abstractNumId w:val="17"/>
  </w:num>
  <w:num w:numId="26">
    <w:abstractNumId w:val="30"/>
  </w:num>
  <w:num w:numId="27">
    <w:abstractNumId w:val="22"/>
  </w:num>
  <w:num w:numId="28">
    <w:abstractNumId w:val="14"/>
  </w:num>
  <w:num w:numId="29">
    <w:abstractNumId w:val="10"/>
  </w:num>
  <w:num w:numId="30">
    <w:abstractNumId w:val="5"/>
  </w:num>
  <w:num w:numId="31">
    <w:abstractNumId w:val="12"/>
  </w:num>
  <w:num w:numId="32">
    <w:abstractNumId w:val="24"/>
  </w:num>
  <w:num w:numId="33">
    <w:abstractNumId w:val="26"/>
  </w:num>
  <w:num w:numId="34">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0"/>
    <w:rsid w:val="000203F8"/>
    <w:rsid w:val="00027D88"/>
    <w:rsid w:val="0003160D"/>
    <w:rsid w:val="00036360"/>
    <w:rsid w:val="0003785D"/>
    <w:rsid w:val="00052253"/>
    <w:rsid w:val="000828F7"/>
    <w:rsid w:val="000831CA"/>
    <w:rsid w:val="00087FC1"/>
    <w:rsid w:val="00095757"/>
    <w:rsid w:val="00095A03"/>
    <w:rsid w:val="000B3445"/>
    <w:rsid w:val="000C08A2"/>
    <w:rsid w:val="000C171F"/>
    <w:rsid w:val="000C4244"/>
    <w:rsid w:val="000D1CCF"/>
    <w:rsid w:val="000D354A"/>
    <w:rsid w:val="000D3F24"/>
    <w:rsid w:val="000E1B11"/>
    <w:rsid w:val="000F3413"/>
    <w:rsid w:val="000F553D"/>
    <w:rsid w:val="001007D1"/>
    <w:rsid w:val="00100BAD"/>
    <w:rsid w:val="00105AA8"/>
    <w:rsid w:val="00117294"/>
    <w:rsid w:val="00120F4B"/>
    <w:rsid w:val="001266B6"/>
    <w:rsid w:val="00126A15"/>
    <w:rsid w:val="00134A7B"/>
    <w:rsid w:val="0014071C"/>
    <w:rsid w:val="00141D86"/>
    <w:rsid w:val="00143FE8"/>
    <w:rsid w:val="001640EB"/>
    <w:rsid w:val="001738C2"/>
    <w:rsid w:val="00180DB2"/>
    <w:rsid w:val="00181462"/>
    <w:rsid w:val="00194889"/>
    <w:rsid w:val="001A5C91"/>
    <w:rsid w:val="001B4560"/>
    <w:rsid w:val="001B7AF6"/>
    <w:rsid w:val="001C0D1D"/>
    <w:rsid w:val="001D6644"/>
    <w:rsid w:val="001E55B5"/>
    <w:rsid w:val="001F22B3"/>
    <w:rsid w:val="001F2882"/>
    <w:rsid w:val="002068CB"/>
    <w:rsid w:val="00206FB1"/>
    <w:rsid w:val="0022175D"/>
    <w:rsid w:val="00223511"/>
    <w:rsid w:val="0023020D"/>
    <w:rsid w:val="002345D7"/>
    <w:rsid w:val="00235342"/>
    <w:rsid w:val="00236A95"/>
    <w:rsid w:val="002569DA"/>
    <w:rsid w:val="00260F82"/>
    <w:rsid w:val="00267B76"/>
    <w:rsid w:val="00270E5E"/>
    <w:rsid w:val="00281BA5"/>
    <w:rsid w:val="00292390"/>
    <w:rsid w:val="002A78D0"/>
    <w:rsid w:val="002B4F7E"/>
    <w:rsid w:val="002D073D"/>
    <w:rsid w:val="002E1748"/>
    <w:rsid w:val="002F3DAD"/>
    <w:rsid w:val="002F40C5"/>
    <w:rsid w:val="0030660D"/>
    <w:rsid w:val="00325F01"/>
    <w:rsid w:val="00326E59"/>
    <w:rsid w:val="00336F58"/>
    <w:rsid w:val="00346662"/>
    <w:rsid w:val="003524F9"/>
    <w:rsid w:val="00356BF1"/>
    <w:rsid w:val="00357B1F"/>
    <w:rsid w:val="0036532E"/>
    <w:rsid w:val="0037036D"/>
    <w:rsid w:val="00370563"/>
    <w:rsid w:val="00373AA7"/>
    <w:rsid w:val="00375A9A"/>
    <w:rsid w:val="003817B5"/>
    <w:rsid w:val="00381F15"/>
    <w:rsid w:val="00390B8C"/>
    <w:rsid w:val="00395222"/>
    <w:rsid w:val="003A7B2E"/>
    <w:rsid w:val="003B6295"/>
    <w:rsid w:val="003E5781"/>
    <w:rsid w:val="003F0D76"/>
    <w:rsid w:val="003F0E95"/>
    <w:rsid w:val="003F371F"/>
    <w:rsid w:val="0040494B"/>
    <w:rsid w:val="00407FFC"/>
    <w:rsid w:val="00420F8C"/>
    <w:rsid w:val="004236BB"/>
    <w:rsid w:val="00443FAF"/>
    <w:rsid w:val="00444363"/>
    <w:rsid w:val="00451AA1"/>
    <w:rsid w:val="00465757"/>
    <w:rsid w:val="004666E1"/>
    <w:rsid w:val="004667E5"/>
    <w:rsid w:val="004915B7"/>
    <w:rsid w:val="004C1B00"/>
    <w:rsid w:val="004C45E3"/>
    <w:rsid w:val="004C5BAF"/>
    <w:rsid w:val="004E0FFB"/>
    <w:rsid w:val="00503E9B"/>
    <w:rsid w:val="005105D4"/>
    <w:rsid w:val="005170FA"/>
    <w:rsid w:val="00523E0C"/>
    <w:rsid w:val="005302A4"/>
    <w:rsid w:val="0053170F"/>
    <w:rsid w:val="00536C43"/>
    <w:rsid w:val="005462E5"/>
    <w:rsid w:val="00546361"/>
    <w:rsid w:val="00547F63"/>
    <w:rsid w:val="0055266F"/>
    <w:rsid w:val="00555EE4"/>
    <w:rsid w:val="00560BCF"/>
    <w:rsid w:val="0056144A"/>
    <w:rsid w:val="00562975"/>
    <w:rsid w:val="00565059"/>
    <w:rsid w:val="0056717B"/>
    <w:rsid w:val="005767C6"/>
    <w:rsid w:val="005A6174"/>
    <w:rsid w:val="005B581F"/>
    <w:rsid w:val="005C1DDB"/>
    <w:rsid w:val="005C6DB0"/>
    <w:rsid w:val="005D7FFC"/>
    <w:rsid w:val="005E0878"/>
    <w:rsid w:val="005E0FA3"/>
    <w:rsid w:val="005F1D65"/>
    <w:rsid w:val="00620FA0"/>
    <w:rsid w:val="0062110D"/>
    <w:rsid w:val="00624127"/>
    <w:rsid w:val="00624ED7"/>
    <w:rsid w:val="00643353"/>
    <w:rsid w:val="006440C8"/>
    <w:rsid w:val="00651C9B"/>
    <w:rsid w:val="0065583C"/>
    <w:rsid w:val="006667EE"/>
    <w:rsid w:val="00667739"/>
    <w:rsid w:val="00672F10"/>
    <w:rsid w:val="00674166"/>
    <w:rsid w:val="00677B4C"/>
    <w:rsid w:val="00687237"/>
    <w:rsid w:val="006909BB"/>
    <w:rsid w:val="006B076F"/>
    <w:rsid w:val="006B510E"/>
    <w:rsid w:val="006B54A4"/>
    <w:rsid w:val="006C5387"/>
    <w:rsid w:val="006D22A4"/>
    <w:rsid w:val="006E2708"/>
    <w:rsid w:val="006E649E"/>
    <w:rsid w:val="00701230"/>
    <w:rsid w:val="007260F8"/>
    <w:rsid w:val="007278CA"/>
    <w:rsid w:val="00745431"/>
    <w:rsid w:val="00745FB4"/>
    <w:rsid w:val="00752696"/>
    <w:rsid w:val="007617B6"/>
    <w:rsid w:val="007715AE"/>
    <w:rsid w:val="007A6D95"/>
    <w:rsid w:val="007C61C6"/>
    <w:rsid w:val="007C7F84"/>
    <w:rsid w:val="007E28FE"/>
    <w:rsid w:val="007E6100"/>
    <w:rsid w:val="007F5DBA"/>
    <w:rsid w:val="007F6D44"/>
    <w:rsid w:val="0081470F"/>
    <w:rsid w:val="008378BB"/>
    <w:rsid w:val="00856404"/>
    <w:rsid w:val="00856C38"/>
    <w:rsid w:val="0087047C"/>
    <w:rsid w:val="00870C7B"/>
    <w:rsid w:val="0087312E"/>
    <w:rsid w:val="00896506"/>
    <w:rsid w:val="00896527"/>
    <w:rsid w:val="008A6657"/>
    <w:rsid w:val="008B314D"/>
    <w:rsid w:val="008B57D9"/>
    <w:rsid w:val="008C0F62"/>
    <w:rsid w:val="008C5925"/>
    <w:rsid w:val="008C5C60"/>
    <w:rsid w:val="008C6DC0"/>
    <w:rsid w:val="008D2946"/>
    <w:rsid w:val="008D6E09"/>
    <w:rsid w:val="008E3627"/>
    <w:rsid w:val="008E46B6"/>
    <w:rsid w:val="008F04B0"/>
    <w:rsid w:val="00900785"/>
    <w:rsid w:val="00916E86"/>
    <w:rsid w:val="009200A0"/>
    <w:rsid w:val="00921B43"/>
    <w:rsid w:val="00923181"/>
    <w:rsid w:val="00923B5C"/>
    <w:rsid w:val="00932611"/>
    <w:rsid w:val="00942BBB"/>
    <w:rsid w:val="0095074C"/>
    <w:rsid w:val="0097176E"/>
    <w:rsid w:val="00971DFA"/>
    <w:rsid w:val="00983635"/>
    <w:rsid w:val="009A43CE"/>
    <w:rsid w:val="009B388C"/>
    <w:rsid w:val="009B56B6"/>
    <w:rsid w:val="009D07DD"/>
    <w:rsid w:val="009D57B5"/>
    <w:rsid w:val="009E1AD6"/>
    <w:rsid w:val="009E1F97"/>
    <w:rsid w:val="009E6941"/>
    <w:rsid w:val="009F19D1"/>
    <w:rsid w:val="009F57E3"/>
    <w:rsid w:val="009F7551"/>
    <w:rsid w:val="00A04EA2"/>
    <w:rsid w:val="00A12089"/>
    <w:rsid w:val="00A13D81"/>
    <w:rsid w:val="00A35340"/>
    <w:rsid w:val="00A53EA0"/>
    <w:rsid w:val="00A54FB5"/>
    <w:rsid w:val="00A55117"/>
    <w:rsid w:val="00A576B2"/>
    <w:rsid w:val="00A60E3B"/>
    <w:rsid w:val="00A64511"/>
    <w:rsid w:val="00A770EC"/>
    <w:rsid w:val="00A85B19"/>
    <w:rsid w:val="00A92A2B"/>
    <w:rsid w:val="00A93B25"/>
    <w:rsid w:val="00AB4B2D"/>
    <w:rsid w:val="00AC5C9D"/>
    <w:rsid w:val="00B006AA"/>
    <w:rsid w:val="00B14691"/>
    <w:rsid w:val="00B21202"/>
    <w:rsid w:val="00B34E30"/>
    <w:rsid w:val="00B36A08"/>
    <w:rsid w:val="00B40B2E"/>
    <w:rsid w:val="00B4113C"/>
    <w:rsid w:val="00B44291"/>
    <w:rsid w:val="00B50A74"/>
    <w:rsid w:val="00B75F9F"/>
    <w:rsid w:val="00B76ADB"/>
    <w:rsid w:val="00B80619"/>
    <w:rsid w:val="00B90DA0"/>
    <w:rsid w:val="00B928F8"/>
    <w:rsid w:val="00B9637C"/>
    <w:rsid w:val="00BA04C3"/>
    <w:rsid w:val="00BA2321"/>
    <w:rsid w:val="00BB37E9"/>
    <w:rsid w:val="00BB45EA"/>
    <w:rsid w:val="00BC0AB4"/>
    <w:rsid w:val="00BC31A4"/>
    <w:rsid w:val="00BC62B9"/>
    <w:rsid w:val="00BD063A"/>
    <w:rsid w:val="00BD0BFD"/>
    <w:rsid w:val="00BD41F9"/>
    <w:rsid w:val="00BE38C8"/>
    <w:rsid w:val="00BE51A8"/>
    <w:rsid w:val="00C15913"/>
    <w:rsid w:val="00C164E6"/>
    <w:rsid w:val="00C218B5"/>
    <w:rsid w:val="00C24BEC"/>
    <w:rsid w:val="00C411AA"/>
    <w:rsid w:val="00C41298"/>
    <w:rsid w:val="00C442E3"/>
    <w:rsid w:val="00C62BAC"/>
    <w:rsid w:val="00C726ED"/>
    <w:rsid w:val="00C94BEC"/>
    <w:rsid w:val="00CB219F"/>
    <w:rsid w:val="00CB60A5"/>
    <w:rsid w:val="00CB74C8"/>
    <w:rsid w:val="00CC0375"/>
    <w:rsid w:val="00CC124B"/>
    <w:rsid w:val="00CC2358"/>
    <w:rsid w:val="00CD0C0B"/>
    <w:rsid w:val="00D02448"/>
    <w:rsid w:val="00D0605F"/>
    <w:rsid w:val="00D11754"/>
    <w:rsid w:val="00D270BA"/>
    <w:rsid w:val="00D27805"/>
    <w:rsid w:val="00D371CD"/>
    <w:rsid w:val="00D469E8"/>
    <w:rsid w:val="00D5465A"/>
    <w:rsid w:val="00D67EE0"/>
    <w:rsid w:val="00D74C8A"/>
    <w:rsid w:val="00D8103F"/>
    <w:rsid w:val="00D8465F"/>
    <w:rsid w:val="00D86263"/>
    <w:rsid w:val="00D9011C"/>
    <w:rsid w:val="00DB0AF5"/>
    <w:rsid w:val="00DB0C86"/>
    <w:rsid w:val="00DD0ECA"/>
    <w:rsid w:val="00DD3C0B"/>
    <w:rsid w:val="00DE01FB"/>
    <w:rsid w:val="00DE3C8D"/>
    <w:rsid w:val="00DF592E"/>
    <w:rsid w:val="00E00C43"/>
    <w:rsid w:val="00E04231"/>
    <w:rsid w:val="00E1001D"/>
    <w:rsid w:val="00E20913"/>
    <w:rsid w:val="00E32EB0"/>
    <w:rsid w:val="00E51037"/>
    <w:rsid w:val="00E51749"/>
    <w:rsid w:val="00E530FC"/>
    <w:rsid w:val="00E5726C"/>
    <w:rsid w:val="00E615FD"/>
    <w:rsid w:val="00E620A3"/>
    <w:rsid w:val="00EC02C2"/>
    <w:rsid w:val="00EC063D"/>
    <w:rsid w:val="00EC2C5A"/>
    <w:rsid w:val="00EE3787"/>
    <w:rsid w:val="00EF5F8D"/>
    <w:rsid w:val="00F20293"/>
    <w:rsid w:val="00F21452"/>
    <w:rsid w:val="00F36E9F"/>
    <w:rsid w:val="00F44CB1"/>
    <w:rsid w:val="00F47E34"/>
    <w:rsid w:val="00F51764"/>
    <w:rsid w:val="00F62B1B"/>
    <w:rsid w:val="00F80C29"/>
    <w:rsid w:val="00F84B3E"/>
    <w:rsid w:val="00F91238"/>
    <w:rsid w:val="00F91B5A"/>
    <w:rsid w:val="00FA0021"/>
    <w:rsid w:val="00FA1ED1"/>
    <w:rsid w:val="00FB387E"/>
    <w:rsid w:val="00FF0B5E"/>
    <w:rsid w:val="00FF2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C48DD"/>
  <w15:chartTrackingRefBased/>
  <w15:docId w15:val="{684C8458-8DB4-45BF-9098-159B5EA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ind w:left="0"/>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basedOn w:val="Normal"/>
    <w:uiPriority w:val="34"/>
    <w:qFormat/>
    <w:rsid w:val="001E55B5"/>
    <w:pPr>
      <w:ind w:left="720"/>
      <w:contextualSpacing/>
    </w:pPr>
  </w:style>
  <w:style w:type="paragraph" w:styleId="NormalWeb">
    <w:name w:val="Normal (Web)"/>
    <w:basedOn w:val="Normal"/>
    <w:uiPriority w:val="99"/>
    <w:semiHidden/>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Default">
    <w:name w:val="Default"/>
    <w:rsid w:val="003E578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036360"/>
    <w:rPr>
      <w:sz w:val="20"/>
      <w:szCs w:val="20"/>
    </w:rPr>
  </w:style>
  <w:style w:type="character" w:customStyle="1" w:styleId="FootnoteTextChar">
    <w:name w:val="Footnote Text Char"/>
    <w:basedOn w:val="DefaultParagraphFont"/>
    <w:link w:val="FootnoteText"/>
    <w:semiHidden/>
    <w:rsid w:val="00036360"/>
    <w:rPr>
      <w:rFonts w:ascii="Arial" w:hAnsi="Arial"/>
      <w:lang w:eastAsia="en-US"/>
    </w:rPr>
  </w:style>
  <w:style w:type="character" w:styleId="FootnoteReference">
    <w:name w:val="footnote reference"/>
    <w:basedOn w:val="DefaultParagraphFont"/>
    <w:semiHidden/>
    <w:rsid w:val="00036360"/>
    <w:rPr>
      <w:vertAlign w:val="superscript"/>
    </w:rPr>
  </w:style>
  <w:style w:type="character" w:customStyle="1" w:styleId="FooterChar">
    <w:name w:val="Footer Char"/>
    <w:link w:val="Footer"/>
    <w:uiPriority w:val="99"/>
    <w:rsid w:val="004667E5"/>
    <w:rPr>
      <w:rFonts w:asciiTheme="minorHAnsi" w:hAnsiTheme="minorHAns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21269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3.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57D62-3DDA-4FBA-8220-DEB12416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Matthew Riley</cp:lastModifiedBy>
  <cp:revision>2</cp:revision>
  <dcterms:created xsi:type="dcterms:W3CDTF">2017-07-24T13:37:00Z</dcterms:created>
  <dcterms:modified xsi:type="dcterms:W3CDTF">2017-07-24T13:37:00Z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