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45CE" w14:textId="7AF04C6A" w:rsidR="00745ECE" w:rsidRPr="00703E0B" w:rsidRDefault="000C016B" w:rsidP="00703E0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C1 - </w:t>
      </w:r>
      <w:r w:rsidR="006B5218">
        <w:rPr>
          <w:rFonts w:ascii="Arial" w:hAnsi="Arial" w:cs="Arial"/>
          <w:b/>
          <w:bCs/>
          <w:sz w:val="24"/>
          <w:szCs w:val="24"/>
          <w:u w:val="single"/>
        </w:rPr>
        <w:t>Commercial</w:t>
      </w:r>
      <w:r w:rsidR="006F38C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Scoring</w:t>
      </w:r>
    </w:p>
    <w:p w14:paraId="64805C00" w14:textId="77777777" w:rsidR="00745ECE" w:rsidRDefault="00745ECE" w:rsidP="00745ECE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3C351F94" w14:textId="71E1804F" w:rsidR="00745ECE" w:rsidRPr="00745ECE" w:rsidRDefault="00745ECE" w:rsidP="00745ECE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  <w:proofErr w:type="gramStart"/>
      <w:r w:rsidRPr="00745ECE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>Award Criteria</w:t>
      </w:r>
      <w:proofErr w:type="gramEnd"/>
    </w:p>
    <w:p w14:paraId="46272902" w14:textId="5A3F940B" w:rsidR="00745ECE" w:rsidRPr="00745ECE" w:rsidRDefault="000C016B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We will</w:t>
      </w:r>
      <w:r w:rsidR="00745ECE" w:rsidRPr="00745ECE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review all submissions </w:t>
      </w:r>
      <w:proofErr w:type="spellStart"/>
      <w:r w:rsidR="00745ECE" w:rsidRPr="00745ECE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utili</w:t>
      </w:r>
      <w:r w:rsidR="00745ECE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s</w:t>
      </w:r>
      <w:r w:rsidR="00745ECE" w:rsidRPr="00745ECE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ing</w:t>
      </w:r>
      <w:proofErr w:type="spellEnd"/>
      <w:r w:rsidR="00745ECE" w:rsidRPr="00745ECE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objective selection criteria and a formal evaluation model. 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The Contract will be awarded</w:t>
      </w:r>
      <w:r w:rsidR="00745ECE" w:rsidRPr="00745ECE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to the most economically advantageous tender based on the evaluation weightings detailed below.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955"/>
      </w:tblGrid>
      <w:tr w:rsidR="00745ECE" w:rsidRPr="00745ECE" w14:paraId="117EC020" w14:textId="77777777" w:rsidTr="006A4CC8">
        <w:trPr>
          <w:trHeight w:val="395"/>
        </w:trPr>
        <w:tc>
          <w:tcPr>
            <w:tcW w:w="5245" w:type="dxa"/>
            <w:shd w:val="clear" w:color="auto" w:fill="465B7C"/>
          </w:tcPr>
          <w:p w14:paraId="675D1C6C" w14:textId="77777777" w:rsidR="00745ECE" w:rsidRPr="00745ECE" w:rsidRDefault="00745ECE" w:rsidP="00745ECE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745EC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val="en-US" w:eastAsia="en-GB"/>
                <w14:ligatures w14:val="none"/>
              </w:rPr>
              <w:t>Criteria (%)</w:t>
            </w:r>
          </w:p>
        </w:tc>
        <w:tc>
          <w:tcPr>
            <w:tcW w:w="2955" w:type="dxa"/>
            <w:shd w:val="clear" w:color="auto" w:fill="465B7C"/>
          </w:tcPr>
          <w:p w14:paraId="7A184E3F" w14:textId="77777777" w:rsidR="00745ECE" w:rsidRPr="00745ECE" w:rsidRDefault="00745ECE" w:rsidP="00745ECE">
            <w:pPr>
              <w:spacing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745EC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4"/>
                <w:szCs w:val="24"/>
                <w:lang w:val="en-US" w:eastAsia="en-GB"/>
                <w14:ligatures w14:val="none"/>
              </w:rPr>
              <w:t>Weighting (%)</w:t>
            </w:r>
          </w:p>
        </w:tc>
      </w:tr>
      <w:tr w:rsidR="00745ECE" w:rsidRPr="00745ECE" w14:paraId="0EF9C7FA" w14:textId="77777777" w:rsidTr="006A4CC8">
        <w:trPr>
          <w:trHeight w:val="395"/>
        </w:trPr>
        <w:tc>
          <w:tcPr>
            <w:tcW w:w="5245" w:type="dxa"/>
          </w:tcPr>
          <w:p w14:paraId="469D3B34" w14:textId="77777777" w:rsidR="00745ECE" w:rsidRPr="00745ECE" w:rsidRDefault="00745ECE" w:rsidP="00745ECE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745ECE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Supplier Assurance</w:t>
            </w:r>
          </w:p>
        </w:tc>
        <w:tc>
          <w:tcPr>
            <w:tcW w:w="2955" w:type="dxa"/>
          </w:tcPr>
          <w:p w14:paraId="18F520D8" w14:textId="77777777" w:rsidR="00745ECE" w:rsidRPr="00745ECE" w:rsidRDefault="00745ECE" w:rsidP="00745ECE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745ECE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Pass / Fail</w:t>
            </w:r>
          </w:p>
        </w:tc>
      </w:tr>
      <w:tr w:rsidR="00745ECE" w:rsidRPr="00745ECE" w14:paraId="002CE0F2" w14:textId="77777777" w:rsidTr="006A4CC8">
        <w:trPr>
          <w:trHeight w:val="395"/>
        </w:trPr>
        <w:tc>
          <w:tcPr>
            <w:tcW w:w="5245" w:type="dxa"/>
          </w:tcPr>
          <w:p w14:paraId="1F797C91" w14:textId="77777777" w:rsidR="00745ECE" w:rsidRPr="00745ECE" w:rsidRDefault="00745ECE" w:rsidP="00745ECE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745ECE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Technical</w:t>
            </w:r>
          </w:p>
        </w:tc>
        <w:tc>
          <w:tcPr>
            <w:tcW w:w="2955" w:type="dxa"/>
          </w:tcPr>
          <w:p w14:paraId="12AC89BD" w14:textId="4693BFF8" w:rsidR="00745ECE" w:rsidRPr="00745ECE" w:rsidRDefault="000C016B" w:rsidP="00745ECE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6</w:t>
            </w:r>
            <w:r w:rsidR="00745ECE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0</w:t>
            </w:r>
            <w:r w:rsidR="00745ECE" w:rsidRPr="00745ECE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%</w:t>
            </w:r>
          </w:p>
        </w:tc>
      </w:tr>
      <w:tr w:rsidR="00745ECE" w:rsidRPr="00745ECE" w14:paraId="2758C4AD" w14:textId="77777777" w:rsidTr="006A4CC8">
        <w:trPr>
          <w:trHeight w:val="398"/>
        </w:trPr>
        <w:tc>
          <w:tcPr>
            <w:tcW w:w="5245" w:type="dxa"/>
          </w:tcPr>
          <w:p w14:paraId="54BE49C0" w14:textId="64F5CBED" w:rsidR="00745ECE" w:rsidRPr="00745ECE" w:rsidRDefault="00EE2FD7" w:rsidP="00745ECE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Commercial</w:t>
            </w:r>
          </w:p>
        </w:tc>
        <w:tc>
          <w:tcPr>
            <w:tcW w:w="2955" w:type="dxa"/>
          </w:tcPr>
          <w:p w14:paraId="2320408A" w14:textId="69419FF1" w:rsidR="00745ECE" w:rsidRPr="00745ECE" w:rsidRDefault="000C016B" w:rsidP="00745ECE">
            <w:pPr>
              <w:spacing w:after="12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4</w:t>
            </w:r>
            <w:r w:rsidR="00745ECE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0</w:t>
            </w:r>
            <w:r w:rsidR="00745ECE" w:rsidRPr="00745ECE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val="en-US" w:eastAsia="en-GB"/>
                <w14:ligatures w14:val="none"/>
              </w:rPr>
              <w:t>%</w:t>
            </w:r>
          </w:p>
        </w:tc>
      </w:tr>
    </w:tbl>
    <w:p w14:paraId="0A1EFE08" w14:textId="77777777" w:rsidR="00745ECE" w:rsidRDefault="00745ECE" w:rsidP="00745ECE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1D55DE93" w14:textId="763FA478" w:rsidR="003B4360" w:rsidRDefault="003B4360" w:rsidP="00745ECE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>Scoring Criteria</w:t>
      </w:r>
    </w:p>
    <w:p w14:paraId="23CB13F9" w14:textId="449D1CF0" w:rsidR="003B4360" w:rsidRPr="003B4360" w:rsidRDefault="003B4360" w:rsidP="00745ECE">
      <w:pPr>
        <w:spacing w:after="12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3B4360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The scoring criteria for </w:t>
      </w:r>
      <w:r w:rsidR="006B5218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the</w:t>
      </w:r>
      <w:r w:rsidRPr="003B4360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Commerical Section is shown below:</w:t>
      </w:r>
    </w:p>
    <w:tbl>
      <w:tblPr>
        <w:tblW w:w="8501" w:type="dxa"/>
        <w:tblLook w:val="04A0" w:firstRow="1" w:lastRow="0" w:firstColumn="1" w:lastColumn="0" w:noHBand="0" w:noVBand="1"/>
      </w:tblPr>
      <w:tblGrid>
        <w:gridCol w:w="357"/>
        <w:gridCol w:w="4782"/>
        <w:gridCol w:w="1547"/>
        <w:gridCol w:w="1589"/>
        <w:gridCol w:w="226"/>
      </w:tblGrid>
      <w:tr w:rsidR="003B4360" w:rsidRPr="003B4360" w14:paraId="7E68E2C7" w14:textId="77777777" w:rsidTr="003B4360">
        <w:trPr>
          <w:gridAfter w:val="1"/>
          <w:wAfter w:w="226" w:type="dxa"/>
          <w:trHeight w:val="450"/>
        </w:trPr>
        <w:tc>
          <w:tcPr>
            <w:tcW w:w="51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65B7C"/>
            <w:noWrap/>
            <w:vAlign w:val="center"/>
            <w:hideMark/>
          </w:tcPr>
          <w:p w14:paraId="7E4BA512" w14:textId="04FE2719" w:rsidR="003B4360" w:rsidRPr="003B4360" w:rsidRDefault="00160DA5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 xml:space="preserve">Pricing </w:t>
            </w:r>
            <w:r w:rsidR="003B4360" w:rsidRPr="003B43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465B7C"/>
            <w:vAlign w:val="center"/>
            <w:hideMark/>
          </w:tcPr>
          <w:p w14:paraId="3708A7DD" w14:textId="77777777" w:rsidR="003B4360" w:rsidRPr="003B4360" w:rsidRDefault="003B4360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43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Weighting</w:t>
            </w:r>
          </w:p>
        </w:tc>
        <w:tc>
          <w:tcPr>
            <w:tcW w:w="15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465B7C"/>
            <w:vAlign w:val="center"/>
            <w:hideMark/>
          </w:tcPr>
          <w:p w14:paraId="621C9ABB" w14:textId="77777777" w:rsidR="003B4360" w:rsidRPr="003B4360" w:rsidRDefault="003B4360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43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Max Score</w:t>
            </w:r>
          </w:p>
        </w:tc>
      </w:tr>
      <w:tr w:rsidR="003B4360" w:rsidRPr="003B4360" w14:paraId="6F013546" w14:textId="77777777" w:rsidTr="003B4360">
        <w:trPr>
          <w:trHeight w:val="326"/>
        </w:trPr>
        <w:tc>
          <w:tcPr>
            <w:tcW w:w="51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0ED3F" w14:textId="77777777" w:rsidR="003B4360" w:rsidRPr="003B4360" w:rsidRDefault="003B4360" w:rsidP="003B43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A5498" w14:textId="77777777" w:rsidR="003B4360" w:rsidRPr="003B4360" w:rsidRDefault="003B4360" w:rsidP="003B43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5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C025E" w14:textId="77777777" w:rsidR="003B4360" w:rsidRPr="003B4360" w:rsidRDefault="003B4360" w:rsidP="003B43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9DFF" w14:textId="77777777" w:rsidR="003B4360" w:rsidRPr="003B4360" w:rsidRDefault="003B4360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B4360" w:rsidRPr="003B4360" w14:paraId="00A2949B" w14:textId="77777777" w:rsidTr="000C016B">
        <w:trPr>
          <w:trHeight w:val="359"/>
        </w:trPr>
        <w:tc>
          <w:tcPr>
            <w:tcW w:w="3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65B7C"/>
            <w:noWrap/>
            <w:hideMark/>
          </w:tcPr>
          <w:p w14:paraId="61888C7F" w14:textId="79D71038" w:rsidR="003B4360" w:rsidRPr="003B4360" w:rsidRDefault="000C016B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82C6AB" w14:textId="34385A41" w:rsidR="003B4360" w:rsidRPr="003B4360" w:rsidRDefault="00796090" w:rsidP="003B43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Overall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Price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A0C627E" w14:textId="7EBE385D" w:rsidR="003B4360" w:rsidRPr="003B4360" w:rsidRDefault="000C016B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7960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="003B4360" w:rsidRPr="003B43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%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82B437C" w14:textId="77777777" w:rsidR="003B4360" w:rsidRPr="003B4360" w:rsidRDefault="003B4360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436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100</w:t>
            </w:r>
          </w:p>
        </w:tc>
        <w:tc>
          <w:tcPr>
            <w:tcW w:w="226" w:type="dxa"/>
            <w:vAlign w:val="center"/>
            <w:hideMark/>
          </w:tcPr>
          <w:p w14:paraId="4EC89901" w14:textId="77777777" w:rsidR="003B4360" w:rsidRPr="003B4360" w:rsidRDefault="003B4360" w:rsidP="003B4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B4360" w:rsidRPr="003B4360" w14:paraId="6F806897" w14:textId="77777777" w:rsidTr="000C016B">
        <w:trPr>
          <w:trHeight w:val="359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BE98" w14:textId="77777777" w:rsidR="003B4360" w:rsidRPr="003B4360" w:rsidRDefault="003B4360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C794" w14:textId="77777777" w:rsidR="003B4360" w:rsidRPr="003B4360" w:rsidRDefault="003B4360" w:rsidP="003B4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465B7C"/>
            <w:vAlign w:val="bottom"/>
            <w:hideMark/>
          </w:tcPr>
          <w:p w14:paraId="2D644F9C" w14:textId="2BF14036" w:rsidR="003B4360" w:rsidRPr="003B4360" w:rsidRDefault="000C016B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3B4360" w:rsidRPr="003B43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0%</w:t>
            </w:r>
          </w:p>
        </w:tc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65B7C"/>
            <w:vAlign w:val="bottom"/>
            <w:hideMark/>
          </w:tcPr>
          <w:p w14:paraId="7C4EDB26" w14:textId="37078855" w:rsidR="003B4360" w:rsidRPr="003B4360" w:rsidRDefault="000C016B" w:rsidP="003B43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="003B4360" w:rsidRPr="003B436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00</w:t>
            </w:r>
          </w:p>
        </w:tc>
        <w:tc>
          <w:tcPr>
            <w:tcW w:w="226" w:type="dxa"/>
            <w:vAlign w:val="center"/>
            <w:hideMark/>
          </w:tcPr>
          <w:p w14:paraId="783A4BF2" w14:textId="77777777" w:rsidR="003B4360" w:rsidRPr="003B4360" w:rsidRDefault="003B4360" w:rsidP="003B4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FCE4A71" w14:textId="7CE24CED" w:rsidR="003B4360" w:rsidRDefault="003B4360" w:rsidP="00745ECE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2D0A114D" w14:textId="46AF96C4" w:rsidR="003B4360" w:rsidRDefault="003B4360" w:rsidP="00745ECE">
      <w:pPr>
        <w:spacing w:after="12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</w:pPr>
      <w:r w:rsidRPr="003B4360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Each section is weighted as per the ‘Weighting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’</w:t>
      </w:r>
      <w:r w:rsidRPr="003B4360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c</w:t>
      </w:r>
      <w:r w:rsidRPr="003B4360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olumn and the ‘</w:t>
      </w:r>
      <w:r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M</w:t>
      </w:r>
      <w:r w:rsidRPr="003B4360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aximum Score’ available for </w:t>
      </w:r>
      <w:r w:rsidR="000C016B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the </w:t>
      </w:r>
      <w:r w:rsidRPr="003B4360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 xml:space="preserve">section is 100 Points. </w:t>
      </w:r>
    </w:p>
    <w:p w14:paraId="4E12EE1A" w14:textId="77777777" w:rsidR="00CE77D2" w:rsidRDefault="00CE77D2" w:rsidP="00745ECE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137DF2D2" w14:textId="76467F34" w:rsidR="00745ECE" w:rsidRPr="00745ECE" w:rsidRDefault="00745ECE" w:rsidP="00745ECE">
      <w:pPr>
        <w:spacing w:after="12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745ECE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>Scoring Methodology</w:t>
      </w:r>
    </w:p>
    <w:p w14:paraId="6440E28A" w14:textId="5A75C555" w:rsidR="00745ECE" w:rsidRPr="00745ECE" w:rsidRDefault="00745ECE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 w:rsidRPr="00745ECE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The principles outlined below shall be used to guide the scoring awarded by the Tender Evaluation Panel (the panel).</w:t>
      </w:r>
      <w:r w:rsidR="002F22D5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Please see the 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example below</w:t>
      </w:r>
      <w:r w:rsidR="002F22D5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which demonstrates how points will be </w:t>
      </w:r>
      <w:proofErr w:type="gramStart"/>
      <w:r w:rsidR="002F22D5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awarded</w:t>
      </w:r>
      <w:proofErr w:type="gramEnd"/>
      <w:r w:rsidR="002F22D5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against </w:t>
      </w:r>
      <w:r w:rsidR="003B4360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each of </w:t>
      </w:r>
      <w:r w:rsidR="002F22D5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the Commercial Returns:</w:t>
      </w:r>
    </w:p>
    <w:p w14:paraId="42E47346" w14:textId="77777777" w:rsidR="00267E71" w:rsidRDefault="00267E71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</w:p>
    <w:p w14:paraId="06B22E78" w14:textId="29587DF2" w:rsidR="00745ECE" w:rsidRDefault="002F22D5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Lowest Price = 100 Points</w:t>
      </w:r>
    </w:p>
    <w:p w14:paraId="623A4BD6" w14:textId="77777777" w:rsidR="00267E71" w:rsidRDefault="00267E71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</w:p>
    <w:p w14:paraId="76ACAB09" w14:textId="51270D69" w:rsidR="002F22D5" w:rsidRPr="000C016B" w:rsidRDefault="002F22D5" w:rsidP="000C016B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 w:rsidRP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A - £300,000</w:t>
      </w:r>
    </w:p>
    <w:p w14:paraId="2A57C29E" w14:textId="7DB546DB" w:rsidR="002F22D5" w:rsidRPr="000C016B" w:rsidRDefault="002F22D5" w:rsidP="000C016B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 w:rsidRP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B - £350,000</w:t>
      </w:r>
    </w:p>
    <w:p w14:paraId="094FD398" w14:textId="4BC0C39A" w:rsidR="002F22D5" w:rsidRPr="000C016B" w:rsidRDefault="002F22D5" w:rsidP="000C016B">
      <w:pPr>
        <w:pStyle w:val="ListParagraph"/>
        <w:numPr>
          <w:ilvl w:val="0"/>
          <w:numId w:val="7"/>
        </w:num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 w:rsidRP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C - £625,000</w:t>
      </w:r>
    </w:p>
    <w:p w14:paraId="73E43D3C" w14:textId="77777777" w:rsidR="00267E71" w:rsidRDefault="00267E71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</w:p>
    <w:p w14:paraId="4DA583FC" w14:textId="77777777" w:rsidR="000C016B" w:rsidRDefault="000C016B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</w:p>
    <w:p w14:paraId="4A0DD2EB" w14:textId="77777777" w:rsidR="000C016B" w:rsidRDefault="000C016B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</w:p>
    <w:p w14:paraId="15DE0BDD" w14:textId="3EF9DD11" w:rsidR="002F22D5" w:rsidRDefault="00267E71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 w:rsidRPr="00267E71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lastRenderedPageBreak/>
        <w:t xml:space="preserve">Contractor A - 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£300,000 (lowest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return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) </w:t>
      </w:r>
      <w:r w:rsidR="00924E61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= </w:t>
      </w:r>
      <w:r w:rsidRPr="00924E61"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  <w:t>100 Points Awarded</w:t>
      </w:r>
    </w:p>
    <w:p w14:paraId="42E87025" w14:textId="7BD3A0FF" w:rsidR="00267E71" w:rsidRDefault="00267E71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B - £300,000 (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A – Lowest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) / £350,000 (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B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) x 100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= </w:t>
      </w:r>
      <w:r w:rsidR="00924E61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r w:rsidRPr="00924E61"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  <w:t>8</w:t>
      </w:r>
      <w:r w:rsidR="001661CC"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  <w:t>6</w:t>
      </w:r>
      <w:proofErr w:type="gramEnd"/>
      <w:r w:rsidRPr="00924E61"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  <w:t xml:space="preserve"> Points Awarded</w:t>
      </w:r>
    </w:p>
    <w:p w14:paraId="06FC0DE7" w14:textId="24BE185A" w:rsidR="00267E71" w:rsidRDefault="00267E71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C - £300,000 (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A - Lowest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) / £625,000 (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 C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) x 100 = </w:t>
      </w:r>
      <w:r w:rsidR="00924E61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 </w:t>
      </w:r>
      <w:r w:rsidRPr="00924E61">
        <w:rPr>
          <w:rFonts w:ascii="Arial" w:eastAsia="Times New Roman" w:hAnsi="Arial" w:cs="Arial"/>
          <w:b/>
          <w:kern w:val="0"/>
          <w:sz w:val="24"/>
          <w:szCs w:val="24"/>
          <w:lang w:val="en-US" w:eastAsia="en-GB"/>
          <w14:ligatures w14:val="none"/>
        </w:rPr>
        <w:t xml:space="preserve">48 Points Awarded </w:t>
      </w:r>
    </w:p>
    <w:p w14:paraId="3F26D5EF" w14:textId="77777777" w:rsidR="00CE77D2" w:rsidRDefault="00CE77D2" w:rsidP="00CE77D2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</w:p>
    <w:p w14:paraId="03CD800E" w14:textId="22369A58" w:rsidR="00CE77D2" w:rsidRPr="00CE77D2" w:rsidRDefault="00CE77D2" w:rsidP="00CE77D2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 w:rsidRPr="00CE77D2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Scores will be rounded up or down to the nearest whole number; for example, a score of </w:t>
      </w:r>
      <w:r w:rsidR="00B40483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85</w:t>
      </w:r>
      <w:r w:rsidRPr="00CE77D2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.49 will result in a score of </w:t>
      </w:r>
      <w:r w:rsidR="00B40483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85</w:t>
      </w:r>
      <w:r w:rsidRPr="00CE77D2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being awarded and a score of </w:t>
      </w:r>
      <w:r w:rsidR="00B40483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85</w:t>
      </w:r>
      <w:r w:rsidRPr="00CE77D2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.50 will result in a score of </w:t>
      </w:r>
      <w:r w:rsidR="00924E61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8</w:t>
      </w:r>
      <w:r w:rsidR="00B40483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6</w:t>
      </w:r>
      <w:r w:rsidRPr="00CE77D2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being awarded. </w:t>
      </w:r>
    </w:p>
    <w:p w14:paraId="3C4A272B" w14:textId="77777777" w:rsidR="00CE77D2" w:rsidRDefault="00CE77D2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</w:p>
    <w:p w14:paraId="02B34EA2" w14:textId="2F4FDE50" w:rsidR="00CE77D2" w:rsidRDefault="00CE77D2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The weighted score will then be calculated as 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follows;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</w:p>
    <w:p w14:paraId="2686B23E" w14:textId="2E34AFD1" w:rsidR="00CE77D2" w:rsidRDefault="00CE77D2" w:rsidP="00745ECE">
      <w:pPr>
        <w:spacing w:after="12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Contractor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B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– 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8</w:t>
      </w:r>
      <w:r w:rsidR="001661CC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6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(Points Awarded) / 100 (Max Score) x </w:t>
      </w:r>
      <w:r w:rsidR="000C016B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40</w:t>
      </w:r>
      <w:r w:rsidR="002A70B8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% (Weighting)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 xml:space="preserve"> = </w:t>
      </w:r>
      <w:r w:rsidR="008C1374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3</w:t>
      </w:r>
      <w:r w:rsidR="001661CC"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4.29</w:t>
      </w:r>
      <w:r>
        <w:rPr>
          <w:rFonts w:ascii="Arial" w:eastAsia="Times New Roman" w:hAnsi="Arial" w:cs="Arial"/>
          <w:bCs/>
          <w:kern w:val="0"/>
          <w:sz w:val="24"/>
          <w:szCs w:val="24"/>
          <w:lang w:val="en-US" w:eastAsia="en-GB"/>
          <w14:ligatures w14:val="none"/>
        </w:rPr>
        <w:t>%</w:t>
      </w:r>
    </w:p>
    <w:p w14:paraId="2FFD8E3E" w14:textId="77777777" w:rsidR="00D3018C" w:rsidRPr="00780EED" w:rsidRDefault="00D3018C" w:rsidP="00D3018C">
      <w:pPr>
        <w:tabs>
          <w:tab w:val="left" w:pos="2820"/>
        </w:tabs>
        <w:rPr>
          <w:rFonts w:ascii="Arial" w:hAnsi="Arial" w:cs="Arial"/>
          <w:sz w:val="24"/>
          <w:szCs w:val="24"/>
        </w:rPr>
      </w:pPr>
    </w:p>
    <w:p w14:paraId="5FE2AE1F" w14:textId="3E8AF8E3" w:rsidR="00F22949" w:rsidRDefault="009F68FE" w:rsidP="00780EED">
      <w:pPr>
        <w:tabs>
          <w:tab w:val="left" w:pos="28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refer to our ‘</w:t>
      </w:r>
      <w:r w:rsidR="000C016B" w:rsidRPr="000C016B">
        <w:rPr>
          <w:rFonts w:ascii="Arial" w:hAnsi="Arial" w:cs="Arial"/>
          <w:b/>
          <w:bCs/>
          <w:sz w:val="24"/>
          <w:szCs w:val="24"/>
        </w:rPr>
        <w:t xml:space="preserve">C2 – Commerical </w:t>
      </w:r>
      <w:r w:rsidRPr="000C016B">
        <w:rPr>
          <w:rFonts w:ascii="Arial" w:hAnsi="Arial" w:cs="Arial"/>
          <w:b/>
          <w:bCs/>
          <w:sz w:val="24"/>
          <w:szCs w:val="24"/>
        </w:rPr>
        <w:t>Scoring Matrix’</w:t>
      </w:r>
      <w:r>
        <w:rPr>
          <w:rFonts w:ascii="Arial" w:hAnsi="Arial" w:cs="Arial"/>
          <w:sz w:val="24"/>
          <w:szCs w:val="24"/>
        </w:rPr>
        <w:t xml:space="preserve"> document which demonstrates how the </w:t>
      </w:r>
      <w:r w:rsidR="00433A7C">
        <w:rPr>
          <w:rFonts w:ascii="Arial" w:hAnsi="Arial" w:cs="Arial"/>
          <w:sz w:val="24"/>
          <w:szCs w:val="24"/>
        </w:rPr>
        <w:t>commercial section will be scored</w:t>
      </w:r>
      <w:r w:rsidR="00924E61">
        <w:rPr>
          <w:rFonts w:ascii="Arial" w:hAnsi="Arial" w:cs="Arial"/>
          <w:sz w:val="24"/>
          <w:szCs w:val="24"/>
        </w:rPr>
        <w:t xml:space="preserve"> and recorded by the Panel</w:t>
      </w:r>
      <w:r w:rsidR="00433A7C">
        <w:rPr>
          <w:rFonts w:ascii="Arial" w:hAnsi="Arial" w:cs="Arial"/>
          <w:sz w:val="24"/>
          <w:szCs w:val="24"/>
        </w:rPr>
        <w:t xml:space="preserve">. </w:t>
      </w:r>
    </w:p>
    <w:p w14:paraId="02A1AAFD" w14:textId="77777777" w:rsidR="00F22949" w:rsidRPr="00780EED" w:rsidRDefault="00F22949" w:rsidP="00780EED">
      <w:pPr>
        <w:tabs>
          <w:tab w:val="left" w:pos="2820"/>
        </w:tabs>
        <w:rPr>
          <w:rFonts w:ascii="Arial" w:hAnsi="Arial" w:cs="Arial"/>
          <w:sz w:val="24"/>
          <w:szCs w:val="24"/>
        </w:rPr>
      </w:pPr>
    </w:p>
    <w:sectPr w:rsidR="00F22949" w:rsidRPr="00780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19B4"/>
    <w:multiLevelType w:val="multilevel"/>
    <w:tmpl w:val="7A06CD82"/>
    <w:lvl w:ilvl="0">
      <w:start w:val="1"/>
      <w:numFmt w:val="decimal"/>
      <w:lvlText w:val="%1"/>
      <w:lvlJc w:val="left"/>
      <w:pPr>
        <w:ind w:left="54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311E7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5" w:hanging="576"/>
        <w:jc w:val="left"/>
      </w:pPr>
      <w:rPr>
        <w:rFonts w:ascii="Arial" w:eastAsia="Arial" w:hAnsi="Arial" w:cs="Arial" w:hint="default"/>
        <w:b/>
        <w:bCs/>
        <w:i w:val="0"/>
        <w:iCs w:val="0"/>
        <w:color w:val="311E73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9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3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835A70"/>
    <w:multiLevelType w:val="hybridMultilevel"/>
    <w:tmpl w:val="A3325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6789B"/>
    <w:multiLevelType w:val="hybridMultilevel"/>
    <w:tmpl w:val="0136D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24894"/>
    <w:multiLevelType w:val="hybridMultilevel"/>
    <w:tmpl w:val="2F202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6E3F"/>
    <w:multiLevelType w:val="hybridMultilevel"/>
    <w:tmpl w:val="5E30B4EA"/>
    <w:lvl w:ilvl="0" w:tplc="EC10D55C">
      <w:start w:val="1"/>
      <w:numFmt w:val="decimal"/>
      <w:lvlText w:val="%1."/>
      <w:lvlJc w:val="left"/>
      <w:pPr>
        <w:ind w:left="8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88547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BAA20C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3" w:tplc="1AA200E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B3A8D2F6">
      <w:numFmt w:val="bullet"/>
      <w:lvlText w:val="•"/>
      <w:lvlJc w:val="left"/>
      <w:pPr>
        <w:ind w:left="4374" w:hanging="360"/>
      </w:pPr>
      <w:rPr>
        <w:rFonts w:hint="default"/>
        <w:lang w:val="en-US" w:eastAsia="en-US" w:bidi="ar-SA"/>
      </w:rPr>
    </w:lvl>
    <w:lvl w:ilvl="5" w:tplc="E8B87A0A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4992BC30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2132C38A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25360B7E">
      <w:numFmt w:val="bullet"/>
      <w:lvlText w:val="•"/>
      <w:lvlJc w:val="left"/>
      <w:pPr>
        <w:ind w:left="79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9612C9"/>
    <w:multiLevelType w:val="hybridMultilevel"/>
    <w:tmpl w:val="9A82E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3663"/>
    <w:multiLevelType w:val="hybridMultilevel"/>
    <w:tmpl w:val="8176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01385">
    <w:abstractNumId w:val="2"/>
  </w:num>
  <w:num w:numId="2" w16cid:durableId="217934125">
    <w:abstractNumId w:val="1"/>
  </w:num>
  <w:num w:numId="3" w16cid:durableId="1419400707">
    <w:abstractNumId w:val="6"/>
  </w:num>
  <w:num w:numId="4" w16cid:durableId="622536583">
    <w:abstractNumId w:val="4"/>
  </w:num>
  <w:num w:numId="5" w16cid:durableId="1818717126">
    <w:abstractNumId w:val="0"/>
  </w:num>
  <w:num w:numId="6" w16cid:durableId="1220440917">
    <w:abstractNumId w:val="3"/>
  </w:num>
  <w:num w:numId="7" w16cid:durableId="1278757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38"/>
    <w:rsid w:val="000320CC"/>
    <w:rsid w:val="000336AA"/>
    <w:rsid w:val="00080BDA"/>
    <w:rsid w:val="000C016B"/>
    <w:rsid w:val="000C3252"/>
    <w:rsid w:val="000D5E2C"/>
    <w:rsid w:val="001157B3"/>
    <w:rsid w:val="00120138"/>
    <w:rsid w:val="00160DA5"/>
    <w:rsid w:val="001661CC"/>
    <w:rsid w:val="0019606B"/>
    <w:rsid w:val="001B4D4B"/>
    <w:rsid w:val="001C0CE6"/>
    <w:rsid w:val="001C1E88"/>
    <w:rsid w:val="001D7A3E"/>
    <w:rsid w:val="001F76A0"/>
    <w:rsid w:val="002560BA"/>
    <w:rsid w:val="00267E71"/>
    <w:rsid w:val="00290369"/>
    <w:rsid w:val="002A70B8"/>
    <w:rsid w:val="002F22D5"/>
    <w:rsid w:val="00356499"/>
    <w:rsid w:val="003A54FA"/>
    <w:rsid w:val="003B4360"/>
    <w:rsid w:val="003D6431"/>
    <w:rsid w:val="003D76A2"/>
    <w:rsid w:val="00433A7C"/>
    <w:rsid w:val="00454EEF"/>
    <w:rsid w:val="00466385"/>
    <w:rsid w:val="004B591B"/>
    <w:rsid w:val="004C0E87"/>
    <w:rsid w:val="004C1599"/>
    <w:rsid w:val="00516FD0"/>
    <w:rsid w:val="00520541"/>
    <w:rsid w:val="005C0667"/>
    <w:rsid w:val="00613AD3"/>
    <w:rsid w:val="00652D4C"/>
    <w:rsid w:val="006A4CC8"/>
    <w:rsid w:val="006B5218"/>
    <w:rsid w:val="006F38CC"/>
    <w:rsid w:val="00703E0B"/>
    <w:rsid w:val="007155E9"/>
    <w:rsid w:val="00745ECE"/>
    <w:rsid w:val="00780EED"/>
    <w:rsid w:val="00796090"/>
    <w:rsid w:val="007C49DB"/>
    <w:rsid w:val="008C1374"/>
    <w:rsid w:val="00924E61"/>
    <w:rsid w:val="00975C8D"/>
    <w:rsid w:val="009D56D1"/>
    <w:rsid w:val="009F68FE"/>
    <w:rsid w:val="00A82DCC"/>
    <w:rsid w:val="00AA31E2"/>
    <w:rsid w:val="00B05CC7"/>
    <w:rsid w:val="00B40047"/>
    <w:rsid w:val="00B40483"/>
    <w:rsid w:val="00B6778E"/>
    <w:rsid w:val="00B71983"/>
    <w:rsid w:val="00B92B0D"/>
    <w:rsid w:val="00BB638B"/>
    <w:rsid w:val="00BF7FA7"/>
    <w:rsid w:val="00C36B8B"/>
    <w:rsid w:val="00CD6EF1"/>
    <w:rsid w:val="00CE77D2"/>
    <w:rsid w:val="00D04892"/>
    <w:rsid w:val="00D111FB"/>
    <w:rsid w:val="00D3018C"/>
    <w:rsid w:val="00D43EBD"/>
    <w:rsid w:val="00D45AF1"/>
    <w:rsid w:val="00DC24EB"/>
    <w:rsid w:val="00DD7EE1"/>
    <w:rsid w:val="00E034DF"/>
    <w:rsid w:val="00E1408A"/>
    <w:rsid w:val="00EE2FD7"/>
    <w:rsid w:val="00F22949"/>
    <w:rsid w:val="00F83D9F"/>
    <w:rsid w:val="00F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2EA0"/>
  <w15:chartTrackingRefBased/>
  <w15:docId w15:val="{E3473A51-565D-4FB2-A97A-EF6D433B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1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301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229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71F6E8EC9B844B26473C107A7D8C8" ma:contentTypeVersion="15" ma:contentTypeDescription="Create a new document." ma:contentTypeScope="" ma:versionID="fa704c423fca4cf4a5d44082d2b914ca">
  <xsd:schema xmlns:xsd="http://www.w3.org/2001/XMLSchema" xmlns:xs="http://www.w3.org/2001/XMLSchema" xmlns:p="http://schemas.microsoft.com/office/2006/metadata/properties" xmlns:ns2="1ff6090d-315e-445e-b4a0-62650875a86f" xmlns:ns3="3fcd37c2-775a-4206-ad29-aa47b62a087f" targetNamespace="http://schemas.microsoft.com/office/2006/metadata/properties" ma:root="true" ma:fieldsID="bb2931f4daf73c3e58a9f2207f8df0cc" ns2:_="" ns3:_="">
    <xsd:import namespace="1ff6090d-315e-445e-b4a0-62650875a86f"/>
    <xsd:import namespace="3fcd37c2-775a-4206-ad29-aa47b62a08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090d-315e-445e-b4a0-62650875a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b3aa2d-8b92-4e34-9104-8c3948431cb8}" ma:internalName="TaxCatchAll" ma:showField="CatchAllData" ma:web="1ff6090d-315e-445e-b4a0-62650875a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d37c2-775a-4206-ad29-aa47b62a0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21e102-fbea-449f-bc80-59808aff7d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15314-CFAB-4B14-B895-4FDFD1D07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D63C6-CB86-4FF1-9A4A-AB67BE0B1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6090d-315e-445e-b4a0-62650875a86f"/>
    <ds:schemaRef ds:uri="3fcd37c2-775a-4206-ad29-aa47b62a0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Toon</dc:creator>
  <cp:keywords/>
  <dc:description/>
  <cp:lastModifiedBy>Joshua Toon</cp:lastModifiedBy>
  <cp:revision>38</cp:revision>
  <cp:lastPrinted>2024-05-30T10:26:00Z</cp:lastPrinted>
  <dcterms:created xsi:type="dcterms:W3CDTF">2024-05-13T12:49:00Z</dcterms:created>
  <dcterms:modified xsi:type="dcterms:W3CDTF">2025-01-30T09:47:00Z</dcterms:modified>
</cp:coreProperties>
</file>