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BB86F" w14:textId="77777777" w:rsidR="00351BE8" w:rsidRDefault="0052315A">
      <w:r>
        <w:rPr>
          <w:noProof/>
        </w:rPr>
        <w:drawing>
          <wp:anchor distT="0" distB="0" distL="114300" distR="114300" simplePos="0" relativeHeight="251658240" behindDoc="0" locked="0" layoutInCell="1" allowOverlap="1" wp14:anchorId="3DEBB86F" wp14:editId="3DEBB870">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14:paraId="3DEBB870" w14:textId="77777777" w:rsidR="00351BE8" w:rsidRDefault="00351BE8">
      <w:pPr>
        <w:pStyle w:val="Heading1"/>
      </w:pPr>
      <w:bookmarkStart w:id="0" w:name="_Toc32303547"/>
    </w:p>
    <w:p w14:paraId="3DEBB871" w14:textId="77777777" w:rsidR="00351BE8" w:rsidRDefault="0052315A">
      <w:pPr>
        <w:pStyle w:val="Heading1"/>
      </w:pPr>
      <w:bookmarkStart w:id="1" w:name="_Toc33176231"/>
      <w:r>
        <w:t>G-Cloud 12 Call-Off Contract</w:t>
      </w:r>
      <w:bookmarkEnd w:id="0"/>
      <w:bookmarkEnd w:id="1"/>
      <w:r>
        <w:t xml:space="preserve"> </w:t>
      </w:r>
    </w:p>
    <w:p w14:paraId="3DEBB872" w14:textId="77777777" w:rsidR="00351BE8" w:rsidRDefault="00351BE8">
      <w:pPr>
        <w:rPr>
          <w:sz w:val="28"/>
          <w:szCs w:val="28"/>
        </w:rPr>
      </w:pPr>
    </w:p>
    <w:p w14:paraId="3DEBB873" w14:textId="77777777" w:rsidR="00351BE8" w:rsidRDefault="00351BE8">
      <w:pPr>
        <w:rPr>
          <w:sz w:val="28"/>
          <w:szCs w:val="28"/>
        </w:rPr>
      </w:pPr>
    </w:p>
    <w:p w14:paraId="73DCAE02" w14:textId="77777777" w:rsidR="00B65CFE" w:rsidRDefault="00B65CFE">
      <w:pPr>
        <w:rPr>
          <w:rFonts w:eastAsia="Times New Roman"/>
          <w:lang w:eastAsia="en-US"/>
        </w:rPr>
      </w:pPr>
    </w:p>
    <w:p w14:paraId="3DEBB874" w14:textId="51C45423" w:rsidR="00351BE8" w:rsidRDefault="0052315A">
      <w:pPr>
        <w:rPr>
          <w:rFonts w:eastAsia="Times New Roman"/>
          <w:lang w:eastAsia="en-US"/>
        </w:rPr>
      </w:pPr>
      <w:r>
        <w:rPr>
          <w:rFonts w:eastAsia="Times New Roman"/>
          <w:lang w:eastAsia="en-US"/>
        </w:rPr>
        <w:t>This Call-Off Contract for the G-Cloud 12 Framework Agreement (RM1557.12) includes:</w:t>
      </w:r>
    </w:p>
    <w:p w14:paraId="3DEBB875" w14:textId="77777777" w:rsidR="00351BE8" w:rsidRDefault="0052315A">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3DEBB876" w14:textId="77777777" w:rsidR="00351BE8" w:rsidRDefault="0052315A">
      <w:pPr>
        <w:pStyle w:val="TOC2"/>
      </w:pPr>
      <w:r>
        <w:rPr>
          <w:rFonts w:ascii="Arial" w:hAnsi="Arial"/>
          <w:b w:val="0"/>
        </w:rPr>
        <w:t>Part A: Order Form</w:t>
      </w:r>
      <w:r>
        <w:rPr>
          <w:rFonts w:ascii="Arial" w:hAnsi="Arial"/>
          <w:b w:val="0"/>
        </w:rPr>
        <w:tab/>
        <w:t>2</w:t>
      </w:r>
    </w:p>
    <w:p w14:paraId="3DEBB877" w14:textId="77777777" w:rsidR="00351BE8" w:rsidRDefault="0052315A">
      <w:pPr>
        <w:pStyle w:val="TOC2"/>
      </w:pPr>
      <w:r>
        <w:rPr>
          <w:rFonts w:ascii="Arial" w:hAnsi="Arial"/>
          <w:b w:val="0"/>
        </w:rPr>
        <w:t>Schedule 1: Services</w:t>
      </w:r>
      <w:r>
        <w:rPr>
          <w:rFonts w:ascii="Arial" w:hAnsi="Arial"/>
          <w:b w:val="0"/>
        </w:rPr>
        <w:tab/>
        <w:t>12</w:t>
      </w:r>
    </w:p>
    <w:p w14:paraId="3DEBB878" w14:textId="77777777" w:rsidR="00351BE8" w:rsidRDefault="0052315A">
      <w:pPr>
        <w:pStyle w:val="TOC2"/>
      </w:pPr>
      <w:r>
        <w:rPr>
          <w:rFonts w:ascii="Arial" w:hAnsi="Arial"/>
          <w:b w:val="0"/>
        </w:rPr>
        <w:t>Schedule 2: Call-Off Contract charges</w:t>
      </w:r>
      <w:r>
        <w:rPr>
          <w:rFonts w:ascii="Arial" w:hAnsi="Arial"/>
          <w:b w:val="0"/>
        </w:rPr>
        <w:tab/>
        <w:t>12</w:t>
      </w:r>
    </w:p>
    <w:p w14:paraId="3DEBB879" w14:textId="77777777" w:rsidR="00351BE8" w:rsidRDefault="0052315A">
      <w:pPr>
        <w:pStyle w:val="TOC2"/>
      </w:pPr>
      <w:r>
        <w:rPr>
          <w:rFonts w:ascii="Arial" w:hAnsi="Arial"/>
          <w:b w:val="0"/>
        </w:rPr>
        <w:t>Part B: Terms and conditions</w:t>
      </w:r>
      <w:r>
        <w:rPr>
          <w:rFonts w:ascii="Arial" w:hAnsi="Arial"/>
          <w:b w:val="0"/>
        </w:rPr>
        <w:tab/>
        <w:t>13</w:t>
      </w:r>
    </w:p>
    <w:p w14:paraId="3DEBB87A" w14:textId="77777777" w:rsidR="00351BE8" w:rsidRDefault="0052315A">
      <w:pPr>
        <w:pStyle w:val="TOC2"/>
      </w:pPr>
      <w:r>
        <w:rPr>
          <w:rFonts w:ascii="Arial" w:hAnsi="Arial"/>
          <w:b w:val="0"/>
        </w:rPr>
        <w:t>Schedule 3: Collaboration agreement</w:t>
      </w:r>
      <w:r>
        <w:rPr>
          <w:rFonts w:ascii="Arial" w:hAnsi="Arial"/>
          <w:b w:val="0"/>
        </w:rPr>
        <w:tab/>
        <w:t>32</w:t>
      </w:r>
    </w:p>
    <w:p w14:paraId="3DEBB87B" w14:textId="77777777" w:rsidR="00351BE8" w:rsidRDefault="0052315A">
      <w:pPr>
        <w:pStyle w:val="TOC2"/>
      </w:pPr>
      <w:r>
        <w:rPr>
          <w:rFonts w:ascii="Arial" w:hAnsi="Arial"/>
          <w:b w:val="0"/>
        </w:rPr>
        <w:t>Schedule 4: Alternative clauses</w:t>
      </w:r>
      <w:r>
        <w:rPr>
          <w:rFonts w:ascii="Arial" w:hAnsi="Arial"/>
          <w:b w:val="0"/>
        </w:rPr>
        <w:tab/>
        <w:t>44</w:t>
      </w:r>
    </w:p>
    <w:p w14:paraId="3DEBB87C" w14:textId="77777777" w:rsidR="00351BE8" w:rsidRDefault="0052315A">
      <w:pPr>
        <w:pStyle w:val="TOC2"/>
      </w:pPr>
      <w:r>
        <w:rPr>
          <w:rFonts w:ascii="Arial" w:hAnsi="Arial"/>
          <w:b w:val="0"/>
        </w:rPr>
        <w:t>Schedule 5: Guarantee</w:t>
      </w:r>
      <w:r>
        <w:rPr>
          <w:rFonts w:ascii="Arial" w:hAnsi="Arial"/>
          <w:b w:val="0"/>
        </w:rPr>
        <w:tab/>
        <w:t>49</w:t>
      </w:r>
    </w:p>
    <w:p w14:paraId="3DEBB87D" w14:textId="77777777" w:rsidR="00351BE8" w:rsidRDefault="0052315A">
      <w:pPr>
        <w:pStyle w:val="TOC2"/>
      </w:pPr>
      <w:r>
        <w:rPr>
          <w:rFonts w:ascii="Arial" w:hAnsi="Arial"/>
          <w:b w:val="0"/>
        </w:rPr>
        <w:t>Schedule 6: Glossary and interpretations</w:t>
      </w:r>
      <w:r>
        <w:rPr>
          <w:rFonts w:ascii="Arial" w:hAnsi="Arial"/>
          <w:b w:val="0"/>
        </w:rPr>
        <w:tab/>
        <w:t>57</w:t>
      </w:r>
    </w:p>
    <w:p w14:paraId="3DEBB87E" w14:textId="77777777" w:rsidR="00351BE8" w:rsidRDefault="0052315A">
      <w:pPr>
        <w:pStyle w:val="TOC2"/>
      </w:pPr>
      <w:r>
        <w:rPr>
          <w:rFonts w:ascii="Arial" w:hAnsi="Arial"/>
          <w:b w:val="0"/>
        </w:rPr>
        <w:t>Schedule 7: GDPR Information</w:t>
      </w:r>
      <w:r>
        <w:rPr>
          <w:rFonts w:ascii="Arial" w:hAnsi="Arial"/>
          <w:b w:val="0"/>
        </w:rPr>
        <w:tab/>
        <w:t>68</w:t>
      </w:r>
    </w:p>
    <w:p w14:paraId="3DEBB87F" w14:textId="77777777" w:rsidR="00351BE8" w:rsidRDefault="0052315A">
      <w:pPr>
        <w:pStyle w:val="Heading2"/>
      </w:pPr>
      <w:r>
        <w:rPr>
          <w:rFonts w:ascii="Cambria" w:hAnsi="Cambria"/>
          <w:b/>
          <w:bCs/>
        </w:rPr>
        <w:fldChar w:fldCharType="end"/>
      </w:r>
    </w:p>
    <w:p w14:paraId="3DEBB880" w14:textId="77777777" w:rsidR="00351BE8" w:rsidRDefault="00351BE8">
      <w:pPr>
        <w:pageBreakBefore/>
      </w:pPr>
    </w:p>
    <w:p w14:paraId="3DEBB881" w14:textId="77777777" w:rsidR="00351BE8" w:rsidRDefault="0052315A">
      <w:pPr>
        <w:pStyle w:val="Heading2"/>
      </w:pPr>
      <w:bookmarkStart w:id="2" w:name="_Toc33176232"/>
      <w:r>
        <w:t>Part A: Order Form</w:t>
      </w:r>
      <w:bookmarkEnd w:id="2"/>
    </w:p>
    <w:p w14:paraId="3DEBB882" w14:textId="77777777" w:rsidR="00351BE8" w:rsidRDefault="0052315A">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351BE8" w14:paraId="3DEBB885"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83" w14:textId="77777777" w:rsidR="00351BE8" w:rsidRDefault="0052315A">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84" w14:textId="77777777" w:rsidR="00351BE8" w:rsidRDefault="0052315A">
            <w:pPr>
              <w:spacing w:before="240"/>
            </w:pPr>
            <w:r>
              <w:rPr>
                <w:color w:val="0B0C0C"/>
                <w:shd w:val="clear" w:color="auto" w:fill="FFFFFF"/>
              </w:rPr>
              <w:t>644791410594917</w:t>
            </w:r>
          </w:p>
        </w:tc>
      </w:tr>
      <w:tr w:rsidR="00351BE8" w14:paraId="3DEBB88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86" w14:textId="77777777" w:rsidR="00351BE8" w:rsidRDefault="0052315A">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DEBB887" w14:textId="77777777" w:rsidR="00351BE8" w:rsidRDefault="0052315A">
            <w:pPr>
              <w:spacing w:before="240"/>
            </w:pPr>
            <w:r>
              <w:t>TIS482</w:t>
            </w:r>
          </w:p>
        </w:tc>
      </w:tr>
      <w:tr w:rsidR="00351BE8" w14:paraId="3DEBB88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89" w14:textId="77777777" w:rsidR="00351BE8" w:rsidRDefault="0052315A">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DEBB88A" w14:textId="77777777" w:rsidR="00351BE8" w:rsidRDefault="0052315A">
            <w:pPr>
              <w:spacing w:before="240"/>
            </w:pPr>
            <w:r>
              <w:t>Data Strategy</w:t>
            </w:r>
          </w:p>
        </w:tc>
      </w:tr>
      <w:tr w:rsidR="00351BE8" w14:paraId="3DEBB88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8C" w14:textId="77777777" w:rsidR="00351BE8" w:rsidRDefault="0052315A">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DEBB88D" w14:textId="77777777" w:rsidR="00351BE8" w:rsidRDefault="0052315A">
            <w:pPr>
              <w:spacing w:before="240"/>
            </w:pPr>
            <w:r>
              <w:t>The creation and delivery of an Agency Data Strategy. This shall include the delivery of an implementation plan which covers the principles, processes, practices, technology, and culture surrounding the data life cycle, which can be fully embedded within the Agency in order to support the Agency’s overall strategic objectives.</w:t>
            </w:r>
          </w:p>
        </w:tc>
      </w:tr>
      <w:tr w:rsidR="00351BE8" w14:paraId="3DEBB89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8F" w14:textId="77777777" w:rsidR="00351BE8" w:rsidRDefault="0052315A">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DEBB890" w14:textId="77777777" w:rsidR="00351BE8" w:rsidRDefault="0052315A">
            <w:pPr>
              <w:spacing w:before="240"/>
            </w:pPr>
            <w:r>
              <w:t>10</w:t>
            </w:r>
            <w:r>
              <w:rPr>
                <w:vertAlign w:val="superscript"/>
              </w:rPr>
              <w:t>th</w:t>
            </w:r>
            <w:r>
              <w:t xml:space="preserve"> January 2022</w:t>
            </w:r>
          </w:p>
        </w:tc>
      </w:tr>
      <w:tr w:rsidR="00351BE8" w14:paraId="3DEBB89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92" w14:textId="77777777" w:rsidR="00351BE8" w:rsidRDefault="0052315A">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DEBB893" w14:textId="77777777" w:rsidR="00351BE8" w:rsidRDefault="0052315A">
            <w:pPr>
              <w:spacing w:before="240"/>
            </w:pPr>
            <w:r>
              <w:t>30</w:t>
            </w:r>
            <w:r>
              <w:rPr>
                <w:vertAlign w:val="superscript"/>
              </w:rPr>
              <w:t>th</w:t>
            </w:r>
            <w:r>
              <w:t xml:space="preserve"> June 2022</w:t>
            </w:r>
          </w:p>
        </w:tc>
      </w:tr>
      <w:tr w:rsidR="00351BE8" w14:paraId="3DEBB89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95" w14:textId="77777777" w:rsidR="00351BE8" w:rsidRDefault="0052315A">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DEBB896" w14:textId="45549AEA" w:rsidR="00351BE8" w:rsidRDefault="0052315A">
            <w:pPr>
              <w:spacing w:before="240"/>
              <w:rPr>
                <w:bCs/>
              </w:rPr>
            </w:pPr>
            <w:r>
              <w:rPr>
                <w:bCs/>
              </w:rPr>
              <w:t>£198,450.00</w:t>
            </w:r>
            <w:r w:rsidR="00280DB0">
              <w:rPr>
                <w:bCs/>
              </w:rPr>
              <w:t xml:space="preserve"> (Plus </w:t>
            </w:r>
            <w:r w:rsidR="0089011F">
              <w:rPr>
                <w:bCs/>
              </w:rPr>
              <w:t>Expenses)</w:t>
            </w:r>
          </w:p>
        </w:tc>
      </w:tr>
      <w:tr w:rsidR="00351BE8" w14:paraId="3DEBB89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98" w14:textId="77777777" w:rsidR="00351BE8" w:rsidRDefault="0052315A">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DEBB899" w14:textId="77777777" w:rsidR="00351BE8" w:rsidRDefault="0052315A">
            <w:pPr>
              <w:spacing w:before="240"/>
            </w:pPr>
            <w:r>
              <w:t>Invoice</w:t>
            </w:r>
          </w:p>
        </w:tc>
      </w:tr>
      <w:tr w:rsidR="00351BE8" w14:paraId="3DEBB89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9B" w14:textId="77777777" w:rsidR="00351BE8" w:rsidRDefault="0052315A">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DEBB89C" w14:textId="77777777" w:rsidR="00351BE8" w:rsidRDefault="0052315A">
            <w:pPr>
              <w:spacing w:before="240"/>
            </w:pPr>
            <w:r>
              <w:t>To be Confirmed</w:t>
            </w:r>
          </w:p>
        </w:tc>
      </w:tr>
    </w:tbl>
    <w:p w14:paraId="3DEBB89E" w14:textId="77777777" w:rsidR="00351BE8" w:rsidRDefault="0052315A">
      <w:pPr>
        <w:spacing w:before="240"/>
      </w:pPr>
      <w:r>
        <w:t xml:space="preserve"> </w:t>
      </w:r>
    </w:p>
    <w:p w14:paraId="3DEBB89F" w14:textId="77777777" w:rsidR="00351BE8" w:rsidRDefault="0052315A">
      <w:pPr>
        <w:spacing w:before="240" w:after="240"/>
      </w:pPr>
      <w:r>
        <w:t>This Order Form is issued under the G-Cloud 12 Framework Agreement (RM1557.12).</w:t>
      </w:r>
    </w:p>
    <w:p w14:paraId="3DEBB8A0" w14:textId="77777777" w:rsidR="00351BE8" w:rsidRDefault="0052315A">
      <w:pPr>
        <w:spacing w:before="240"/>
      </w:pPr>
      <w:r>
        <w:t>Buyers can use this Order Form to specify their G-Cloud service requirements when placing an Order.</w:t>
      </w:r>
    </w:p>
    <w:p w14:paraId="3DEBB8A1" w14:textId="77777777" w:rsidR="00351BE8" w:rsidRDefault="0052315A">
      <w:pPr>
        <w:spacing w:before="240"/>
      </w:pPr>
      <w:r>
        <w:t>The Order Form cannot be used to alter existing terms or add any extra terms that materially change the Deliverables offered by the Supplier and defined in the Application.</w:t>
      </w:r>
    </w:p>
    <w:p w14:paraId="3DEBB8A2" w14:textId="77777777" w:rsidR="00351BE8" w:rsidRDefault="0052315A">
      <w:pPr>
        <w:spacing w:before="240"/>
      </w:pPr>
      <w:r>
        <w:lastRenderedPageBreak/>
        <w:t>There are terms in the Call-Off Contract that may be defined in the Order Form. These are identified in the contract with square brackets.</w:t>
      </w:r>
    </w:p>
    <w:p w14:paraId="3DEBB8A3" w14:textId="77777777" w:rsidR="00351BE8" w:rsidRDefault="00351BE8">
      <w:pPr>
        <w:spacing w:before="240"/>
      </w:pP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351BE8" w14:paraId="3DEBB8AB" w14:textId="77777777" w:rsidTr="009D7AFD">
        <w:trPr>
          <w:trHeight w:val="2163"/>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A4" w14:textId="77777777" w:rsidR="00351BE8" w:rsidRDefault="0052315A">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A5" w14:textId="77777777" w:rsidR="00351BE8" w:rsidRDefault="0052315A">
            <w:pPr>
              <w:spacing w:before="240"/>
              <w:rPr>
                <w:b/>
                <w:bCs/>
              </w:rPr>
            </w:pPr>
            <w:r>
              <w:rPr>
                <w:b/>
                <w:bCs/>
              </w:rPr>
              <w:t>The Insolvency Service</w:t>
            </w:r>
          </w:p>
          <w:p w14:paraId="3DEBB8A6" w14:textId="77777777" w:rsidR="00351BE8" w:rsidRDefault="00351BE8">
            <w:pPr>
              <w:spacing w:before="240"/>
              <w:rPr>
                <w:b/>
                <w:bCs/>
              </w:rPr>
            </w:pPr>
          </w:p>
          <w:p w14:paraId="3DEBB8A7" w14:textId="77777777" w:rsidR="00351BE8" w:rsidRDefault="0052315A">
            <w:r>
              <w:t>16th Floor, 1 Westfield Avenue</w:t>
            </w:r>
          </w:p>
          <w:p w14:paraId="3DEBB8A8" w14:textId="77777777" w:rsidR="00351BE8" w:rsidRDefault="0052315A">
            <w:r>
              <w:t>Stratford</w:t>
            </w:r>
          </w:p>
          <w:p w14:paraId="3DEBB8A9" w14:textId="77777777" w:rsidR="00351BE8" w:rsidRDefault="0052315A">
            <w:r>
              <w:t>London</w:t>
            </w:r>
          </w:p>
          <w:p w14:paraId="3DEBB8AA" w14:textId="77777777" w:rsidR="00351BE8" w:rsidRDefault="0052315A">
            <w:r>
              <w:t>E20 1HZ</w:t>
            </w:r>
          </w:p>
        </w:tc>
      </w:tr>
      <w:tr w:rsidR="00351BE8" w14:paraId="3DEBB8B3" w14:textId="77777777" w:rsidTr="009D7AFD">
        <w:trPr>
          <w:trHeight w:val="2236"/>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AC" w14:textId="77777777" w:rsidR="00351BE8" w:rsidRDefault="0052315A">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3DEBB8AD" w14:textId="77777777" w:rsidR="00351BE8" w:rsidRDefault="0052315A">
            <w:pPr>
              <w:spacing w:before="240"/>
              <w:rPr>
                <w:b/>
                <w:bCs/>
                <w:lang w:eastAsia="en-US"/>
              </w:rPr>
            </w:pPr>
            <w:r>
              <w:rPr>
                <w:b/>
                <w:bCs/>
                <w:lang w:eastAsia="en-US"/>
              </w:rPr>
              <w:t>Moorhouse Consulting Limited</w:t>
            </w:r>
          </w:p>
          <w:p w14:paraId="3DEBB8AE" w14:textId="77777777" w:rsidR="00351BE8" w:rsidRDefault="00351BE8">
            <w:pPr>
              <w:rPr>
                <w:lang w:eastAsia="en-US"/>
              </w:rPr>
            </w:pPr>
          </w:p>
          <w:p w14:paraId="3DEBB8AF" w14:textId="77777777" w:rsidR="00351BE8" w:rsidRDefault="0052315A">
            <w:r>
              <w:t>20 St Andrew Street</w:t>
            </w:r>
          </w:p>
          <w:p w14:paraId="3DEBB8B0" w14:textId="77777777" w:rsidR="00351BE8" w:rsidRDefault="0052315A">
            <w:r>
              <w:t>London</w:t>
            </w:r>
          </w:p>
          <w:p w14:paraId="3DEBB8B1" w14:textId="77777777" w:rsidR="00351BE8" w:rsidRDefault="0052315A">
            <w:r>
              <w:t xml:space="preserve">EC4A 3AG </w:t>
            </w:r>
          </w:p>
          <w:p w14:paraId="3DEBB8B2" w14:textId="77777777" w:rsidR="00351BE8" w:rsidRDefault="0052315A">
            <w:pPr>
              <w:spacing w:before="240"/>
            </w:pPr>
            <w:r>
              <w:t xml:space="preserve">Company number: </w:t>
            </w:r>
            <w:r>
              <w:rPr>
                <w:color w:val="000000"/>
                <w:shd w:val="clear" w:color="auto" w:fill="FFFFFF"/>
              </w:rPr>
              <w:t>05053551</w:t>
            </w:r>
          </w:p>
        </w:tc>
      </w:tr>
      <w:tr w:rsidR="00351BE8" w14:paraId="3DEBB8B5"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B4" w14:textId="77777777" w:rsidR="00351BE8" w:rsidRDefault="0052315A">
            <w:pPr>
              <w:spacing w:before="240" w:after="240"/>
              <w:rPr>
                <w:b/>
              </w:rPr>
            </w:pPr>
            <w:r>
              <w:rPr>
                <w:b/>
              </w:rPr>
              <w:t>Together the ‘Parties’</w:t>
            </w:r>
          </w:p>
        </w:tc>
      </w:tr>
    </w:tbl>
    <w:p w14:paraId="3DEBB8B6" w14:textId="77777777" w:rsidR="00351BE8" w:rsidRDefault="00351BE8">
      <w:pPr>
        <w:spacing w:before="240" w:after="240"/>
        <w:rPr>
          <w:b/>
        </w:rPr>
      </w:pPr>
    </w:p>
    <w:p w14:paraId="3DEBB8B7" w14:textId="77777777" w:rsidR="00351BE8" w:rsidRDefault="0052315A">
      <w:pPr>
        <w:pStyle w:val="Heading3"/>
      </w:pPr>
      <w:r>
        <w:t>Principal contact details</w:t>
      </w:r>
    </w:p>
    <w:p w14:paraId="3DEBB8B8" w14:textId="77777777" w:rsidR="00351BE8" w:rsidRDefault="0052315A">
      <w:pPr>
        <w:spacing w:before="240" w:after="120" w:line="480" w:lineRule="auto"/>
        <w:rPr>
          <w:b/>
        </w:rPr>
      </w:pPr>
      <w:r>
        <w:rPr>
          <w:b/>
        </w:rPr>
        <w:t>For the Buyer:</w:t>
      </w:r>
    </w:p>
    <w:p w14:paraId="3DEBB8B9" w14:textId="77777777" w:rsidR="00351BE8" w:rsidRDefault="0052315A">
      <w:pPr>
        <w:spacing w:after="120"/>
      </w:pPr>
      <w:r>
        <w:t>Title: Commercial Business Partner</w:t>
      </w:r>
      <w:r>
        <w:tab/>
      </w:r>
      <w:r>
        <w:tab/>
      </w:r>
    </w:p>
    <w:p w14:paraId="3DEBB8BA" w14:textId="2723EC39" w:rsidR="00351BE8" w:rsidRDefault="0052315A">
      <w:pPr>
        <w:spacing w:after="120" w:line="240" w:lineRule="auto"/>
      </w:pPr>
      <w:r>
        <w:t xml:space="preserve">Name: </w:t>
      </w:r>
      <w:r w:rsidR="00A90966">
        <w:t>REDACTED</w:t>
      </w:r>
    </w:p>
    <w:p w14:paraId="3DEBB8BB" w14:textId="65AD07E1" w:rsidR="00351BE8" w:rsidRDefault="0052315A">
      <w:pPr>
        <w:spacing w:after="120" w:line="240" w:lineRule="auto"/>
      </w:pPr>
      <w:r>
        <w:t xml:space="preserve">Email: </w:t>
      </w:r>
      <w:r w:rsidR="00A90966">
        <w:t>REDACTED</w:t>
      </w:r>
    </w:p>
    <w:p w14:paraId="3DEBB8BC" w14:textId="368F9A43" w:rsidR="00351BE8" w:rsidRDefault="0052315A">
      <w:pPr>
        <w:spacing w:after="120" w:line="360" w:lineRule="auto"/>
      </w:pPr>
      <w:r>
        <w:t xml:space="preserve">Phone: </w:t>
      </w:r>
      <w:r w:rsidR="00A90966">
        <w:t>REDACTED</w:t>
      </w:r>
    </w:p>
    <w:p w14:paraId="3DEBB8BD" w14:textId="77777777" w:rsidR="00351BE8" w:rsidRDefault="00351BE8">
      <w:pPr>
        <w:rPr>
          <w:b/>
        </w:rPr>
      </w:pPr>
    </w:p>
    <w:p w14:paraId="3DEBB8BE" w14:textId="77777777" w:rsidR="00351BE8" w:rsidRDefault="0052315A">
      <w:pPr>
        <w:spacing w:line="480" w:lineRule="auto"/>
        <w:rPr>
          <w:b/>
        </w:rPr>
      </w:pPr>
      <w:r>
        <w:rPr>
          <w:b/>
        </w:rPr>
        <w:t>For the Supplier:</w:t>
      </w:r>
    </w:p>
    <w:p w14:paraId="3DEBB8BF" w14:textId="77777777" w:rsidR="00351BE8" w:rsidRDefault="0052315A">
      <w:pPr>
        <w:spacing w:after="120" w:line="240" w:lineRule="auto"/>
      </w:pPr>
      <w:r>
        <w:t>Title: Principal</w:t>
      </w:r>
    </w:p>
    <w:p w14:paraId="3DEBB8C0" w14:textId="1A6C2BDA" w:rsidR="00351BE8" w:rsidRDefault="0052315A">
      <w:pPr>
        <w:spacing w:after="120" w:line="240" w:lineRule="auto"/>
      </w:pPr>
      <w:r>
        <w:t xml:space="preserve">Name: </w:t>
      </w:r>
      <w:r w:rsidR="00A90966">
        <w:t>REDACTED</w:t>
      </w:r>
    </w:p>
    <w:p w14:paraId="3DEBB8C1" w14:textId="33E6456B" w:rsidR="00351BE8" w:rsidRDefault="0052315A">
      <w:pPr>
        <w:spacing w:after="120" w:line="240" w:lineRule="auto"/>
      </w:pPr>
      <w:r>
        <w:t xml:space="preserve">Email: </w:t>
      </w:r>
      <w:r w:rsidR="00A90966">
        <w:t>REDACTED</w:t>
      </w:r>
    </w:p>
    <w:p w14:paraId="3DEBB8C3" w14:textId="7685861A" w:rsidR="00351BE8" w:rsidRDefault="0052315A" w:rsidP="00A90966">
      <w:pPr>
        <w:spacing w:after="120" w:line="240" w:lineRule="auto"/>
      </w:pPr>
      <w:r>
        <w:t xml:space="preserve">Phone: </w:t>
      </w:r>
      <w:r w:rsidR="00A90966">
        <w:t>REDACTED</w:t>
      </w:r>
    </w:p>
    <w:p w14:paraId="3DEBB8C4" w14:textId="77777777" w:rsidR="00351BE8" w:rsidRDefault="0052315A">
      <w:pPr>
        <w:pStyle w:val="Heading3"/>
      </w:pPr>
      <w:r>
        <w:lastRenderedPageBreak/>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351BE8" w14:paraId="3DEBB8C8"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C5" w14:textId="77777777" w:rsidR="00351BE8" w:rsidRDefault="0052315A">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C6" w14:textId="77777777" w:rsidR="00351BE8" w:rsidRDefault="0052315A">
            <w:pPr>
              <w:spacing w:before="240"/>
            </w:pPr>
            <w:r>
              <w:t xml:space="preserve">This Call-Off Contract Starts on </w:t>
            </w:r>
            <w:r>
              <w:rPr>
                <w:b/>
              </w:rPr>
              <w:t>10</w:t>
            </w:r>
            <w:r>
              <w:rPr>
                <w:b/>
                <w:vertAlign w:val="superscript"/>
              </w:rPr>
              <w:t>th</w:t>
            </w:r>
            <w:r>
              <w:rPr>
                <w:b/>
              </w:rPr>
              <w:t xml:space="preserve"> January 2022</w:t>
            </w:r>
            <w:r>
              <w:t xml:space="preserve"> and is valid for 5 months. </w:t>
            </w:r>
          </w:p>
          <w:p w14:paraId="3DEBB8C7" w14:textId="77777777" w:rsidR="00351BE8" w:rsidRDefault="0052315A">
            <w:pPr>
              <w:spacing w:before="240"/>
            </w:pPr>
            <w:r>
              <w:t>The date and number of days or months is subject to 1.2 in Part B below.</w:t>
            </w:r>
          </w:p>
        </w:tc>
      </w:tr>
      <w:tr w:rsidR="00351BE8" w14:paraId="3DEBB8CC"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C9" w14:textId="77777777" w:rsidR="00351BE8" w:rsidRDefault="0052315A">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3DEBB8CA" w14:textId="77777777" w:rsidR="00351BE8" w:rsidRDefault="0052315A">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3DEBB8CB" w14:textId="77777777" w:rsidR="00351BE8" w:rsidRDefault="0052315A">
            <w:pPr>
              <w:spacing w:before="240"/>
            </w:pPr>
            <w:r>
              <w:t xml:space="preserve">The notice period for the Buyer is a maximum of </w:t>
            </w:r>
            <w:r>
              <w:rPr>
                <w:b/>
              </w:rPr>
              <w:t>30</w:t>
            </w:r>
            <w:r>
              <w:t xml:space="preserve"> days from the date of written notice for Ending without cause (as per clause 18.1).</w:t>
            </w:r>
          </w:p>
        </w:tc>
      </w:tr>
      <w:tr w:rsidR="00351BE8" w14:paraId="3DEBB8D4"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CD" w14:textId="77777777" w:rsidR="00351BE8" w:rsidRDefault="0052315A">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3DEBB8CE" w14:textId="77777777" w:rsidR="00351BE8" w:rsidRDefault="0052315A">
            <w:pPr>
              <w:spacing w:before="240"/>
            </w:pPr>
            <w:r>
              <w:t xml:space="preserve">This Call-off Contract Term may be Extended by up to 3 months.. </w:t>
            </w:r>
          </w:p>
          <w:p w14:paraId="3DEBB8CF" w14:textId="77777777" w:rsidR="00351BE8" w:rsidRDefault="0052315A">
            <w:pPr>
              <w:spacing w:before="240"/>
            </w:pPr>
            <w:r>
              <w:t>The extension periods are subject to clauses 1.3 and 1.4 in Part B below.</w:t>
            </w:r>
          </w:p>
          <w:p w14:paraId="3DEBB8D0" w14:textId="77777777" w:rsidR="00351BE8" w:rsidRDefault="0052315A">
            <w:pPr>
              <w:spacing w:before="240"/>
            </w:pPr>
            <w:r>
              <w:t>Extensions which extend the Term beyond 24 months are only permitted if the Supplier complies with the additional exit plan requirements at clauses 21.3 to 21.8.</w:t>
            </w:r>
          </w:p>
          <w:p w14:paraId="3DEBB8D1" w14:textId="77777777" w:rsidR="00351BE8" w:rsidRDefault="0052315A">
            <w:pPr>
              <w:spacing w:before="240"/>
            </w:pPr>
            <w:r>
              <w:t>The extension period after 24 months should not exceed the maximum permitted under the Framework Agreement which is 2 periods of up to 12 months each.</w:t>
            </w:r>
          </w:p>
          <w:p w14:paraId="3DEBB8D2" w14:textId="77777777" w:rsidR="00351BE8" w:rsidRDefault="0052315A">
            <w:pPr>
              <w:spacing w:before="240"/>
            </w:pPr>
            <w:r>
              <w:t xml:space="preserve">If a buyer is a central government department and the contract Term is intended to exceed 24 months, then under the Spend Controls process, prior approval must be obtained from the Government Digital Service (GDS). Further guidance: </w:t>
            </w:r>
          </w:p>
          <w:p w14:paraId="3DEBB8D3" w14:textId="77777777" w:rsidR="00351BE8" w:rsidRDefault="00B778B6">
            <w:pPr>
              <w:spacing w:before="240"/>
            </w:pPr>
            <w:hyperlink r:id="rId8" w:history="1">
              <w:r w:rsidR="0052315A">
                <w:rPr>
                  <w:rStyle w:val="Hyperlink"/>
                </w:rPr>
                <w:t>https://www.gov.uk/service-manual/agile-delivery/spend-controls-check-if-you-need-approval-to-spend-money-on-a-service</w:t>
              </w:r>
            </w:hyperlink>
          </w:p>
        </w:tc>
      </w:tr>
    </w:tbl>
    <w:p w14:paraId="3DEBB8D5" w14:textId="77777777" w:rsidR="00351BE8" w:rsidRDefault="0052315A">
      <w:pPr>
        <w:pStyle w:val="Heading3"/>
      </w:pPr>
      <w:r>
        <w:t>Buyer contractual details</w:t>
      </w:r>
    </w:p>
    <w:p w14:paraId="3DEBB8D6" w14:textId="77777777" w:rsidR="00351BE8" w:rsidRDefault="0052315A">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351BE8" w14:paraId="3DEBB8DA" w14:textId="77777777" w:rsidTr="009D7AFD">
        <w:trPr>
          <w:trHeight w:val="1014"/>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D7" w14:textId="77777777" w:rsidR="00351BE8" w:rsidRDefault="0052315A">
            <w:pPr>
              <w:spacing w:before="240"/>
              <w:rPr>
                <w:b/>
              </w:rPr>
            </w:pPr>
            <w:r>
              <w:rPr>
                <w:b/>
              </w:rPr>
              <w:lastRenderedPageBreak/>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D8" w14:textId="77777777" w:rsidR="00351BE8" w:rsidRDefault="0052315A">
            <w:pPr>
              <w:spacing w:before="240"/>
            </w:pPr>
            <w:r>
              <w:t>This Call-Off Contract is for the provision of Services under:</w:t>
            </w:r>
          </w:p>
          <w:p w14:paraId="3DEBB8D9" w14:textId="77777777" w:rsidR="00351BE8" w:rsidRDefault="0052315A">
            <w:pPr>
              <w:pStyle w:val="ListParagraph"/>
              <w:numPr>
                <w:ilvl w:val="0"/>
                <w:numId w:val="1"/>
              </w:numPr>
              <w:spacing w:before="240"/>
            </w:pPr>
            <w:r>
              <w:t>Lot 3: Cloud support</w:t>
            </w:r>
          </w:p>
        </w:tc>
      </w:tr>
      <w:tr w:rsidR="00351BE8" w14:paraId="3DEBB8EA" w14:textId="77777777" w:rsidTr="00B34EFF">
        <w:trPr>
          <w:trHeight w:val="6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DB" w14:textId="77777777" w:rsidR="00351BE8" w:rsidRDefault="0052315A">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DEBB8DC" w14:textId="77777777" w:rsidR="00351BE8" w:rsidRDefault="0052315A">
            <w:pPr>
              <w:spacing w:before="240"/>
              <w:rPr>
                <w:color w:val="000000"/>
              </w:rPr>
            </w:pPr>
            <w:r>
              <w:rPr>
                <w:color w:val="000000"/>
              </w:rPr>
              <w:t>The Services to be provided by the Supplier under the above Lot are listed in Framework Section 2 and outlined below</w:t>
            </w:r>
          </w:p>
          <w:p w14:paraId="3DEBB8DD" w14:textId="77777777" w:rsidR="00351BE8" w:rsidRDefault="0052315A">
            <w:pPr>
              <w:spacing w:before="240"/>
              <w:rPr>
                <w:color w:val="000000"/>
              </w:rPr>
            </w:pPr>
            <w:r>
              <w:rPr>
                <w:color w:val="000000"/>
              </w:rPr>
              <w:t>Production of a Data Strategy to support the recently released Agency Strategy, to include:</w:t>
            </w:r>
          </w:p>
          <w:p w14:paraId="3DEBB8DE" w14:textId="77777777" w:rsidR="00351BE8" w:rsidRDefault="0052315A">
            <w:pPr>
              <w:pStyle w:val="Heading3"/>
              <w:numPr>
                <w:ilvl w:val="0"/>
                <w:numId w:val="2"/>
              </w:numPr>
            </w:pPr>
            <w:r>
              <w:rPr>
                <w:color w:val="000000"/>
                <w:sz w:val="22"/>
                <w:szCs w:val="22"/>
                <w:u w:val="single"/>
              </w:rPr>
              <w:t>Data Maturity Assessment</w:t>
            </w:r>
            <w:r>
              <w:rPr>
                <w:color w:val="000000"/>
                <w:sz w:val="22"/>
                <w:szCs w:val="22"/>
              </w:rPr>
              <w:t>: Production of a report on the current status of the Agency’s data landscape, maturity, risks, and opportunities.</w:t>
            </w:r>
          </w:p>
          <w:p w14:paraId="3DEBB8DF" w14:textId="77777777" w:rsidR="00351BE8" w:rsidRDefault="0052315A">
            <w:pPr>
              <w:pStyle w:val="Heading3"/>
              <w:numPr>
                <w:ilvl w:val="0"/>
                <w:numId w:val="2"/>
              </w:numPr>
            </w:pPr>
            <w:r>
              <w:rPr>
                <w:color w:val="000000"/>
                <w:sz w:val="22"/>
                <w:szCs w:val="22"/>
                <w:u w:val="single"/>
              </w:rPr>
              <w:t>Target State</w:t>
            </w:r>
            <w:r>
              <w:rPr>
                <w:color w:val="000000"/>
                <w:sz w:val="22"/>
                <w:szCs w:val="22"/>
              </w:rPr>
              <w:t xml:space="preserve"> – This should be proportionate to the size and different functions within the Agency, and represent a target state for the Agency to achieve. It should be reflective of the Agency vision for data, namely: “</w:t>
            </w:r>
            <w:r>
              <w:rPr>
                <w:i/>
                <w:color w:val="000000"/>
                <w:sz w:val="22"/>
                <w:szCs w:val="22"/>
              </w:rPr>
              <w:t>to build confidence in the insolvency regime by underpinning operational and strategic decisions with trusted data and sound analysis.”</w:t>
            </w:r>
          </w:p>
          <w:p w14:paraId="3DEBB8E0" w14:textId="77777777" w:rsidR="00351BE8" w:rsidRDefault="0052315A">
            <w:pPr>
              <w:pStyle w:val="Heading3"/>
              <w:numPr>
                <w:ilvl w:val="0"/>
                <w:numId w:val="2"/>
              </w:numPr>
            </w:pPr>
            <w:r>
              <w:rPr>
                <w:color w:val="000000"/>
                <w:sz w:val="22"/>
                <w:szCs w:val="22"/>
                <w:u w:val="single"/>
              </w:rPr>
              <w:t>Data Strategy</w:t>
            </w:r>
            <w:r>
              <w:rPr>
                <w:color w:val="000000"/>
                <w:sz w:val="22"/>
                <w:szCs w:val="22"/>
              </w:rPr>
              <w:t xml:space="preserve"> - Development and delivery of a data strategy in consultation with key stakeholders in the project team and through focus groups. As a minimum, the Data Strategy should cover the following elements:</w:t>
            </w:r>
          </w:p>
          <w:p w14:paraId="3DEBB8E1" w14:textId="77777777" w:rsidR="00351BE8" w:rsidRDefault="0052315A">
            <w:pPr>
              <w:numPr>
                <w:ilvl w:val="0"/>
                <w:numId w:val="3"/>
              </w:numPr>
              <w:suppressAutoHyphens w:val="0"/>
              <w:spacing w:line="240" w:lineRule="auto"/>
              <w:textAlignment w:val="auto"/>
              <w:rPr>
                <w:color w:val="000000"/>
              </w:rPr>
            </w:pPr>
            <w:r>
              <w:rPr>
                <w:color w:val="000000"/>
              </w:rPr>
              <w:t>Data management through its lifecycle;</w:t>
            </w:r>
          </w:p>
          <w:p w14:paraId="3DEBB8E2" w14:textId="77777777" w:rsidR="00351BE8" w:rsidRDefault="0052315A">
            <w:pPr>
              <w:numPr>
                <w:ilvl w:val="0"/>
                <w:numId w:val="3"/>
              </w:numPr>
              <w:suppressAutoHyphens w:val="0"/>
              <w:spacing w:line="240" w:lineRule="auto"/>
              <w:textAlignment w:val="auto"/>
              <w:rPr>
                <w:color w:val="000000"/>
              </w:rPr>
            </w:pPr>
            <w:r>
              <w:rPr>
                <w:color w:val="000000"/>
              </w:rPr>
              <w:t>Data security;</w:t>
            </w:r>
          </w:p>
          <w:p w14:paraId="3DEBB8E3" w14:textId="77777777" w:rsidR="00351BE8" w:rsidRDefault="0052315A">
            <w:pPr>
              <w:numPr>
                <w:ilvl w:val="0"/>
                <w:numId w:val="3"/>
              </w:numPr>
              <w:suppressAutoHyphens w:val="0"/>
              <w:spacing w:line="240" w:lineRule="auto"/>
              <w:textAlignment w:val="auto"/>
              <w:rPr>
                <w:color w:val="000000"/>
              </w:rPr>
            </w:pPr>
            <w:r>
              <w:rPr>
                <w:color w:val="000000"/>
              </w:rPr>
              <w:t>Data architecture;</w:t>
            </w:r>
          </w:p>
          <w:p w14:paraId="3DEBB8E4" w14:textId="77777777" w:rsidR="00351BE8" w:rsidRDefault="0052315A">
            <w:pPr>
              <w:numPr>
                <w:ilvl w:val="0"/>
                <w:numId w:val="3"/>
              </w:numPr>
              <w:suppressAutoHyphens w:val="0"/>
              <w:spacing w:line="240" w:lineRule="auto"/>
              <w:textAlignment w:val="auto"/>
              <w:rPr>
                <w:color w:val="000000"/>
              </w:rPr>
            </w:pPr>
            <w:r>
              <w:rPr>
                <w:color w:val="000000"/>
              </w:rPr>
              <w:t>Data governance;</w:t>
            </w:r>
          </w:p>
          <w:p w14:paraId="3DEBB8E5" w14:textId="77777777" w:rsidR="00351BE8" w:rsidRDefault="0052315A">
            <w:pPr>
              <w:numPr>
                <w:ilvl w:val="0"/>
                <w:numId w:val="3"/>
              </w:numPr>
              <w:suppressAutoHyphens w:val="0"/>
              <w:spacing w:line="240" w:lineRule="auto"/>
              <w:textAlignment w:val="auto"/>
              <w:rPr>
                <w:color w:val="000000"/>
              </w:rPr>
            </w:pPr>
            <w:r>
              <w:rPr>
                <w:color w:val="000000"/>
              </w:rPr>
              <w:t>Core operational databases and how they interact with each other;</w:t>
            </w:r>
          </w:p>
          <w:p w14:paraId="3DEBB8E6" w14:textId="77777777" w:rsidR="00351BE8" w:rsidRDefault="0052315A">
            <w:pPr>
              <w:numPr>
                <w:ilvl w:val="0"/>
                <w:numId w:val="3"/>
              </w:numPr>
              <w:suppressAutoHyphens w:val="0"/>
              <w:spacing w:line="240" w:lineRule="auto"/>
              <w:textAlignment w:val="auto"/>
              <w:rPr>
                <w:color w:val="000000"/>
              </w:rPr>
            </w:pPr>
            <w:r>
              <w:rPr>
                <w:color w:val="000000"/>
              </w:rPr>
              <w:t>Culture and capability;</w:t>
            </w:r>
          </w:p>
          <w:p w14:paraId="3DEBB8E7" w14:textId="77777777" w:rsidR="00351BE8" w:rsidRDefault="0052315A">
            <w:pPr>
              <w:numPr>
                <w:ilvl w:val="0"/>
                <w:numId w:val="3"/>
              </w:numPr>
              <w:suppressAutoHyphens w:val="0"/>
              <w:spacing w:line="240" w:lineRule="auto"/>
              <w:textAlignment w:val="auto"/>
              <w:rPr>
                <w:color w:val="000000"/>
              </w:rPr>
            </w:pPr>
            <w:r>
              <w:rPr>
                <w:color w:val="000000"/>
              </w:rPr>
              <w:t>Maximising the value of data.</w:t>
            </w:r>
          </w:p>
          <w:p w14:paraId="3DEBB8E8" w14:textId="77777777" w:rsidR="00351BE8" w:rsidRDefault="00351BE8">
            <w:pPr>
              <w:ind w:left="2160"/>
              <w:rPr>
                <w:color w:val="000000"/>
              </w:rPr>
            </w:pPr>
          </w:p>
          <w:p w14:paraId="60E69FBB" w14:textId="77777777" w:rsidR="00351BE8" w:rsidRDefault="0052315A">
            <w:pPr>
              <w:pStyle w:val="Heading3"/>
              <w:numPr>
                <w:ilvl w:val="0"/>
                <w:numId w:val="4"/>
              </w:numPr>
              <w:rPr>
                <w:color w:val="000000"/>
                <w:sz w:val="22"/>
                <w:szCs w:val="22"/>
              </w:rPr>
            </w:pPr>
            <w:r>
              <w:rPr>
                <w:color w:val="000000"/>
                <w:sz w:val="22"/>
                <w:szCs w:val="22"/>
                <w:u w:val="single"/>
              </w:rPr>
              <w:t>Implementation Plan</w:t>
            </w:r>
            <w:r>
              <w:rPr>
                <w:color w:val="000000"/>
                <w:sz w:val="22"/>
                <w:szCs w:val="22"/>
              </w:rPr>
              <w:t xml:space="preserve"> – To detail the actions that need to be taken in order to meet the target state, the order in which they should be undertaken, provide details of the benefits for taking each action, and highlight how they relate to the Data Strategy</w:t>
            </w:r>
          </w:p>
          <w:p w14:paraId="051A4604" w14:textId="77777777" w:rsidR="0089011F" w:rsidRDefault="0089011F" w:rsidP="0089011F"/>
          <w:p w14:paraId="3DEBB8E9" w14:textId="5516BD91" w:rsidR="0089011F" w:rsidRPr="0089011F" w:rsidRDefault="0089011F" w:rsidP="0089011F">
            <w:r>
              <w:t xml:space="preserve">All deliverables and documentation </w:t>
            </w:r>
            <w:r w:rsidR="00A91E3F">
              <w:t xml:space="preserve">created and submitted to the </w:t>
            </w:r>
            <w:r w:rsidR="00CC4A48">
              <w:t>Buyer</w:t>
            </w:r>
            <w:r w:rsidR="00A91E3F">
              <w:t xml:space="preserve"> as a result of this Call-Off Contract shall be the IPR of the </w:t>
            </w:r>
            <w:r w:rsidR="00CC4A48">
              <w:t xml:space="preserve">Buyer. Or the Supplier shall grant the Buyer a royalty free licence to utilise the </w:t>
            </w:r>
            <w:r w:rsidR="00B34EFF">
              <w:t xml:space="preserve">deliverables and documentation for </w:t>
            </w:r>
            <w:r w:rsidR="00B34EFF">
              <w:lastRenderedPageBreak/>
              <w:t>the delivery of its Data strategy and normal business operations.</w:t>
            </w:r>
          </w:p>
        </w:tc>
      </w:tr>
      <w:tr w:rsidR="00351BE8" w14:paraId="3DEBB8ED" w14:textId="77777777">
        <w:trPr>
          <w:trHeight w:val="60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EB" w14:textId="77777777" w:rsidR="00351BE8" w:rsidRDefault="0052315A">
            <w:pPr>
              <w:spacing w:before="240"/>
              <w:rPr>
                <w:b/>
              </w:rPr>
            </w:pPr>
            <w:r>
              <w:rPr>
                <w:b/>
              </w:rPr>
              <w:lastRenderedPageBreak/>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DEBB8EC" w14:textId="77777777" w:rsidR="00351BE8" w:rsidRDefault="0052315A">
            <w:pPr>
              <w:spacing w:before="240"/>
            </w:pPr>
            <w:r>
              <w:rPr>
                <w:b/>
              </w:rPr>
              <w:t>Not Used</w:t>
            </w:r>
          </w:p>
        </w:tc>
      </w:tr>
      <w:tr w:rsidR="00351BE8" w14:paraId="3DEBB8FA" w14:textId="77777777">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EE" w14:textId="77777777" w:rsidR="00351BE8" w:rsidRDefault="0052315A">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DEBB8F0" w14:textId="0F698BB4" w:rsidR="00351BE8" w:rsidRDefault="0052315A">
            <w:pPr>
              <w:spacing w:before="240"/>
            </w:pPr>
            <w:r>
              <w:t xml:space="preserve">The Services will be delivered to </w:t>
            </w:r>
            <w:r>
              <w:rPr>
                <w:b/>
              </w:rPr>
              <w:t xml:space="preserve">both remotely and to </w:t>
            </w:r>
            <w:r>
              <w:t>The Buyer’s Cannon House and Stratford sites.</w:t>
            </w:r>
            <w:r w:rsidR="00F83387">
              <w:t xml:space="preserve"> This shall be subject to alignment with prevailing Government guidelines at the time of the proposed visit and the wellbeing of the Parties staff.</w:t>
            </w:r>
          </w:p>
          <w:p w14:paraId="5F213275" w14:textId="77777777" w:rsidR="00F83387" w:rsidRDefault="00F83387">
            <w:pPr>
              <w:spacing w:before="240"/>
            </w:pPr>
          </w:p>
          <w:p w14:paraId="3DEBB8F1" w14:textId="77777777" w:rsidR="00351BE8" w:rsidRDefault="0052315A">
            <w:r>
              <w:t>Cannon House</w:t>
            </w:r>
          </w:p>
          <w:p w14:paraId="3DEBB8F2" w14:textId="77777777" w:rsidR="00351BE8" w:rsidRDefault="0052315A">
            <w:r>
              <w:t xml:space="preserve">18 Priory Queensway </w:t>
            </w:r>
          </w:p>
          <w:p w14:paraId="3DEBB8F3" w14:textId="77777777" w:rsidR="00351BE8" w:rsidRDefault="0052315A">
            <w:r>
              <w:t>Birmingham</w:t>
            </w:r>
          </w:p>
          <w:p w14:paraId="3DEBB8F4" w14:textId="77777777" w:rsidR="00351BE8" w:rsidRDefault="0052315A">
            <w:r>
              <w:t>B4 6FD</w:t>
            </w:r>
          </w:p>
          <w:p w14:paraId="3DEBB8F5" w14:textId="77777777" w:rsidR="00351BE8" w:rsidRDefault="00351BE8">
            <w:pPr>
              <w:spacing w:before="240"/>
            </w:pPr>
          </w:p>
          <w:p w14:paraId="3DEBB8F6" w14:textId="77777777" w:rsidR="00351BE8" w:rsidRDefault="0052315A">
            <w:r>
              <w:t>16th Floor, 1 Westfield Avenue</w:t>
            </w:r>
          </w:p>
          <w:p w14:paraId="3DEBB8F7" w14:textId="77777777" w:rsidR="00351BE8" w:rsidRDefault="0052315A">
            <w:r>
              <w:t>Stratford</w:t>
            </w:r>
          </w:p>
          <w:p w14:paraId="3DEBB8F8" w14:textId="77777777" w:rsidR="00351BE8" w:rsidRDefault="0052315A">
            <w:r>
              <w:t>London</w:t>
            </w:r>
          </w:p>
          <w:p w14:paraId="3DEBB8F9" w14:textId="77777777" w:rsidR="00351BE8" w:rsidRDefault="0052315A">
            <w:r>
              <w:t>E20 1HZ</w:t>
            </w:r>
          </w:p>
        </w:tc>
      </w:tr>
      <w:tr w:rsidR="00351BE8" w14:paraId="3DEBB8FE" w14:textId="77777777">
        <w:trPr>
          <w:trHeight w:val="1241"/>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FB" w14:textId="77777777" w:rsidR="00351BE8" w:rsidRDefault="0052315A">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DEBB8FC" w14:textId="77777777" w:rsidR="00351BE8" w:rsidRDefault="0052315A">
            <w:pPr>
              <w:pStyle w:val="Heading2"/>
            </w:pPr>
            <w:r>
              <w:rPr>
                <w:sz w:val="22"/>
                <w:szCs w:val="22"/>
              </w:rPr>
              <w:t>The quality standards required for this Call-Off Contract include meeting Industry best practice, including adherence to government data standards.</w:t>
            </w:r>
          </w:p>
        </w:tc>
        <w:tc>
          <w:tcPr>
            <w:tcW w:w="40" w:type="dxa"/>
            <w:shd w:val="clear" w:color="auto" w:fill="auto"/>
            <w:tcMar>
              <w:top w:w="0" w:type="dxa"/>
              <w:left w:w="10" w:type="dxa"/>
              <w:bottom w:w="0" w:type="dxa"/>
              <w:right w:w="10" w:type="dxa"/>
            </w:tcMar>
          </w:tcPr>
          <w:p w14:paraId="3DEBB8FD" w14:textId="77777777" w:rsidR="00351BE8" w:rsidRDefault="00351BE8">
            <w:pPr>
              <w:spacing w:before="240"/>
            </w:pPr>
          </w:p>
        </w:tc>
      </w:tr>
      <w:tr w:rsidR="00351BE8" w14:paraId="3DEBB902" w14:textId="77777777">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8FF" w14:textId="77777777" w:rsidR="00351BE8" w:rsidRDefault="0052315A">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00" w14:textId="77777777" w:rsidR="00351BE8" w:rsidRDefault="0052315A">
            <w:pPr>
              <w:spacing w:before="240"/>
            </w:pPr>
            <w:r>
              <w:t xml:space="preserve">The technical standards used as a requirement for this Call-Off Contract are </w:t>
            </w:r>
            <w:r>
              <w:rPr>
                <w:bCs/>
              </w:rPr>
              <w:t>a</w:t>
            </w:r>
            <w:r>
              <w:t>s detailed in the relevant Service Description.</w:t>
            </w:r>
          </w:p>
        </w:tc>
        <w:tc>
          <w:tcPr>
            <w:tcW w:w="40" w:type="dxa"/>
            <w:shd w:val="clear" w:color="auto" w:fill="auto"/>
            <w:tcMar>
              <w:top w:w="0" w:type="dxa"/>
              <w:left w:w="10" w:type="dxa"/>
              <w:bottom w:w="0" w:type="dxa"/>
              <w:right w:w="10" w:type="dxa"/>
            </w:tcMar>
          </w:tcPr>
          <w:p w14:paraId="3DEBB901" w14:textId="77777777" w:rsidR="00351BE8" w:rsidRDefault="00351BE8">
            <w:pPr>
              <w:spacing w:before="240"/>
            </w:pPr>
          </w:p>
        </w:tc>
      </w:tr>
      <w:tr w:rsidR="00351BE8" w14:paraId="3DEBB921" w14:textId="77777777">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03" w14:textId="77777777" w:rsidR="00351BE8" w:rsidRDefault="0052315A">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DEBB904" w14:textId="77777777" w:rsidR="00351BE8" w:rsidRDefault="0052315A">
            <w:pPr>
              <w:spacing w:before="240"/>
            </w:pPr>
            <w:r>
              <w:t>The service level and availability criteria required for this Call-Off Contract are:</w:t>
            </w:r>
          </w:p>
          <w:p w14:paraId="3DEBB905" w14:textId="77777777" w:rsidR="00351BE8" w:rsidRDefault="00351BE8"/>
          <w:tbl>
            <w:tblPr>
              <w:tblW w:w="6046" w:type="dxa"/>
              <w:tblLayout w:type="fixed"/>
              <w:tblCellMar>
                <w:left w:w="10" w:type="dxa"/>
                <w:right w:w="10" w:type="dxa"/>
              </w:tblCellMar>
              <w:tblLook w:val="0000" w:firstRow="0" w:lastRow="0" w:firstColumn="0" w:lastColumn="0" w:noHBand="0" w:noVBand="0"/>
            </w:tblPr>
            <w:tblGrid>
              <w:gridCol w:w="1511"/>
              <w:gridCol w:w="1511"/>
              <w:gridCol w:w="1512"/>
              <w:gridCol w:w="1512"/>
            </w:tblGrid>
            <w:tr w:rsidR="00351BE8" w14:paraId="3DEBB90A" w14:textId="77777777">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B906" w14:textId="77777777" w:rsidR="00351BE8" w:rsidRDefault="0052315A">
                  <w:pPr>
                    <w:spacing w:line="240" w:lineRule="auto"/>
                  </w:pPr>
                  <w:r>
                    <w:t>SLA</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B907" w14:textId="77777777" w:rsidR="00351BE8" w:rsidRDefault="0052315A">
                  <w:pPr>
                    <w:spacing w:line="240" w:lineRule="auto"/>
                  </w:pPr>
                  <w:r>
                    <w:t>Service Area</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B908" w14:textId="77777777" w:rsidR="00351BE8" w:rsidRDefault="0052315A">
                  <w:pPr>
                    <w:spacing w:line="240" w:lineRule="auto"/>
                  </w:pPr>
                  <w:r>
                    <w:t xml:space="preserve">KPI/SLA Description </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B909" w14:textId="77777777" w:rsidR="00351BE8" w:rsidRDefault="0052315A">
                  <w:pPr>
                    <w:spacing w:line="240" w:lineRule="auto"/>
                  </w:pPr>
                  <w:r>
                    <w:t>Target</w:t>
                  </w:r>
                </w:p>
              </w:tc>
            </w:tr>
            <w:tr w:rsidR="00351BE8" w14:paraId="3DEBB90F" w14:textId="77777777">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B90B" w14:textId="77777777" w:rsidR="00351BE8" w:rsidRDefault="0052315A">
                  <w:pPr>
                    <w:spacing w:line="240" w:lineRule="auto"/>
                  </w:pPr>
                  <w: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B90C" w14:textId="77777777" w:rsidR="00351BE8" w:rsidRDefault="0052315A">
                  <w:pPr>
                    <w:spacing w:line="240" w:lineRule="auto"/>
                  </w:pPr>
                  <w:r>
                    <w:t>Quality</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B90D" w14:textId="77777777" w:rsidR="00351BE8" w:rsidRDefault="0052315A">
                  <w:pPr>
                    <w:spacing w:line="240" w:lineRule="auto"/>
                  </w:pPr>
                  <w:r>
                    <w:t xml:space="preserve">The deliverables must meet the requirements of the business and be </w:t>
                  </w:r>
                  <w:r>
                    <w:lastRenderedPageBreak/>
                    <w:t>proportionate to the business data needs</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B90E" w14:textId="77777777" w:rsidR="00351BE8" w:rsidRDefault="0052315A">
                  <w:pPr>
                    <w:spacing w:line="240" w:lineRule="auto"/>
                  </w:pPr>
                  <w:r>
                    <w:lastRenderedPageBreak/>
                    <w:t>Approval of project SRO</w:t>
                  </w:r>
                </w:p>
              </w:tc>
            </w:tr>
            <w:tr w:rsidR="00351BE8" w14:paraId="3DEBB914" w14:textId="77777777">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B910" w14:textId="77777777" w:rsidR="00351BE8" w:rsidRDefault="0052315A">
                  <w:pPr>
                    <w:spacing w:line="240" w:lineRule="auto"/>
                  </w:pPr>
                  <w:r>
                    <w:t>2</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B911" w14:textId="77777777" w:rsidR="00351BE8" w:rsidRDefault="0052315A">
                  <w:pPr>
                    <w:spacing w:line="240" w:lineRule="auto"/>
                  </w:pPr>
                  <w:r>
                    <w:t>Delivery Timescales</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B912" w14:textId="177910A8" w:rsidR="00351BE8" w:rsidRDefault="0052315A">
                  <w:pPr>
                    <w:spacing w:line="240" w:lineRule="auto"/>
                  </w:pPr>
                  <w:r>
                    <w:t xml:space="preserve">The Supplier is to provide all deliverables within </w:t>
                  </w:r>
                  <w:r w:rsidR="00271FB0">
                    <w:t>5</w:t>
                  </w:r>
                  <w:r>
                    <w:t xml:space="preserve"> months of the </w:t>
                  </w:r>
                  <w:r w:rsidR="00271FB0">
                    <w:t>Call-Off C</w:t>
                  </w:r>
                  <w:r>
                    <w:t xml:space="preserve">ontract </w:t>
                  </w:r>
                  <w:r w:rsidR="00271FB0">
                    <w:t>S</w:t>
                  </w:r>
                  <w:r>
                    <w:t xml:space="preserve">tart </w:t>
                  </w:r>
                  <w:r w:rsidR="00271FB0">
                    <w:t>D</w:t>
                  </w:r>
                  <w:r>
                    <w:t>ate</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B913" w14:textId="77777777" w:rsidR="00351BE8" w:rsidRDefault="0052315A">
                  <w:pPr>
                    <w:spacing w:line="240" w:lineRule="auto"/>
                  </w:pPr>
                  <w:r>
                    <w:t>Must meet this for all deliverables</w:t>
                  </w:r>
                </w:p>
              </w:tc>
            </w:tr>
            <w:tr w:rsidR="00351BE8" w14:paraId="3DEBB919" w14:textId="77777777">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B915" w14:textId="77777777" w:rsidR="00351BE8" w:rsidRDefault="0052315A">
                  <w:pPr>
                    <w:spacing w:line="240" w:lineRule="auto"/>
                  </w:pPr>
                  <w:r>
                    <w:t>3</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B916" w14:textId="77777777" w:rsidR="00351BE8" w:rsidRDefault="0052315A">
                  <w:pPr>
                    <w:spacing w:line="240" w:lineRule="auto"/>
                  </w:pPr>
                  <w:r>
                    <w:t>Delivery Timescales</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B917" w14:textId="77777777" w:rsidR="00351BE8" w:rsidRDefault="0052315A">
                  <w:pPr>
                    <w:spacing w:line="240" w:lineRule="auto"/>
                  </w:pPr>
                  <w:r>
                    <w:t>The Supplier is required to meet the agreed milestones for delivery as per the project plan</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B918" w14:textId="77777777" w:rsidR="00351BE8" w:rsidRDefault="0052315A">
                  <w:pPr>
                    <w:spacing w:line="240" w:lineRule="auto"/>
                  </w:pPr>
                  <w:r>
                    <w:t>Tolerance to be determined (please note the end date of the contract must be met and is not negotiable)</w:t>
                  </w:r>
                </w:p>
              </w:tc>
            </w:tr>
            <w:tr w:rsidR="00351BE8" w14:paraId="3DEBB91E" w14:textId="77777777">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B91A" w14:textId="77777777" w:rsidR="00351BE8" w:rsidRDefault="0052315A">
                  <w:pPr>
                    <w:spacing w:line="240" w:lineRule="auto"/>
                  </w:pPr>
                  <w:r>
                    <w:t>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B91B" w14:textId="77777777" w:rsidR="00351BE8" w:rsidRDefault="0052315A">
                  <w:pPr>
                    <w:spacing w:line="240" w:lineRule="auto"/>
                  </w:pPr>
                  <w:r>
                    <w:t>Reporting</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B91C" w14:textId="77777777" w:rsidR="00351BE8" w:rsidRDefault="0052315A">
                  <w:pPr>
                    <w:spacing w:line="240" w:lineRule="auto"/>
                  </w:pPr>
                  <w:r>
                    <w:t>All progress reports must be submitted on time</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B91D" w14:textId="77777777" w:rsidR="00351BE8" w:rsidRDefault="0052315A">
                  <w:pPr>
                    <w:spacing w:line="240" w:lineRule="auto"/>
                  </w:pPr>
                  <w:r>
                    <w:t>100% of reports</w:t>
                  </w:r>
                </w:p>
              </w:tc>
            </w:tr>
          </w:tbl>
          <w:p w14:paraId="3DEBB91F" w14:textId="77777777" w:rsidR="00351BE8" w:rsidRDefault="00351BE8"/>
        </w:tc>
        <w:tc>
          <w:tcPr>
            <w:tcW w:w="40" w:type="dxa"/>
            <w:shd w:val="clear" w:color="auto" w:fill="auto"/>
            <w:tcMar>
              <w:top w:w="0" w:type="dxa"/>
              <w:left w:w="10" w:type="dxa"/>
              <w:bottom w:w="0" w:type="dxa"/>
              <w:right w:w="10" w:type="dxa"/>
            </w:tcMar>
          </w:tcPr>
          <w:p w14:paraId="3DEBB920" w14:textId="77777777" w:rsidR="00351BE8" w:rsidRDefault="00351BE8">
            <w:pPr>
              <w:pStyle w:val="ListParagraph"/>
            </w:pPr>
          </w:p>
        </w:tc>
      </w:tr>
      <w:tr w:rsidR="00351BE8" w14:paraId="3DEBB925" w14:textId="77777777">
        <w:trPr>
          <w:trHeight w:val="751"/>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22" w14:textId="77777777" w:rsidR="00351BE8" w:rsidRDefault="0052315A">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DEBB923" w14:textId="77777777" w:rsidR="00351BE8" w:rsidRDefault="0052315A">
            <w:pPr>
              <w:spacing w:before="240"/>
            </w:pPr>
            <w:r>
              <w:t>The onboarding plan for this Call-Off Contract is detailed in Schedule 1: Services</w:t>
            </w:r>
          </w:p>
        </w:tc>
        <w:tc>
          <w:tcPr>
            <w:tcW w:w="40" w:type="dxa"/>
            <w:shd w:val="clear" w:color="auto" w:fill="auto"/>
            <w:tcMar>
              <w:top w:w="0" w:type="dxa"/>
              <w:left w:w="10" w:type="dxa"/>
              <w:bottom w:w="0" w:type="dxa"/>
              <w:right w:w="10" w:type="dxa"/>
            </w:tcMar>
          </w:tcPr>
          <w:p w14:paraId="3DEBB924" w14:textId="77777777" w:rsidR="00351BE8" w:rsidRDefault="00351BE8">
            <w:pPr>
              <w:pStyle w:val="ListParagraph"/>
            </w:pPr>
          </w:p>
        </w:tc>
      </w:tr>
      <w:tr w:rsidR="00351BE8" w14:paraId="3DEBB92A" w14:textId="77777777">
        <w:trPr>
          <w:trHeight w:val="653"/>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26" w14:textId="77777777" w:rsidR="00351BE8" w:rsidRDefault="0052315A">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DEBB927" w14:textId="77777777" w:rsidR="00351BE8" w:rsidRDefault="0052315A">
            <w:pPr>
              <w:spacing w:before="240"/>
            </w:pPr>
            <w:r>
              <w:t>The offboarding plan for this Call-Off Contract is detailed in Schedule 1: Services</w:t>
            </w:r>
          </w:p>
          <w:p w14:paraId="3DEBB928" w14:textId="77777777" w:rsidR="00351BE8" w:rsidRDefault="00351BE8"/>
        </w:tc>
        <w:tc>
          <w:tcPr>
            <w:tcW w:w="40" w:type="dxa"/>
            <w:shd w:val="clear" w:color="auto" w:fill="auto"/>
            <w:tcMar>
              <w:top w:w="0" w:type="dxa"/>
              <w:left w:w="10" w:type="dxa"/>
              <w:bottom w:w="0" w:type="dxa"/>
              <w:right w:w="10" w:type="dxa"/>
            </w:tcMar>
          </w:tcPr>
          <w:p w14:paraId="3DEBB929" w14:textId="77777777" w:rsidR="00351BE8" w:rsidRDefault="00351BE8">
            <w:pPr>
              <w:pStyle w:val="ListParagraph"/>
            </w:pPr>
          </w:p>
        </w:tc>
      </w:tr>
      <w:tr w:rsidR="00351BE8" w14:paraId="3DEBB92E" w14:textId="77777777">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2B" w14:textId="77777777" w:rsidR="00351BE8" w:rsidRDefault="0052315A">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DEBB92C" w14:textId="77777777" w:rsidR="00351BE8" w:rsidRDefault="0052315A">
            <w:pPr>
              <w:spacing w:before="240"/>
            </w:pPr>
            <w:r>
              <w:t>Not Required</w:t>
            </w:r>
          </w:p>
        </w:tc>
        <w:tc>
          <w:tcPr>
            <w:tcW w:w="40" w:type="dxa"/>
            <w:shd w:val="clear" w:color="auto" w:fill="auto"/>
            <w:tcMar>
              <w:top w:w="0" w:type="dxa"/>
              <w:left w:w="10" w:type="dxa"/>
              <w:bottom w:w="0" w:type="dxa"/>
              <w:right w:w="10" w:type="dxa"/>
            </w:tcMar>
          </w:tcPr>
          <w:p w14:paraId="3DEBB92D" w14:textId="77777777" w:rsidR="00351BE8" w:rsidRDefault="00351BE8">
            <w:pPr>
              <w:spacing w:before="240"/>
            </w:pPr>
          </w:p>
        </w:tc>
      </w:tr>
      <w:tr w:rsidR="00351BE8" w14:paraId="3DEBB936" w14:textId="77777777">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2F" w14:textId="77777777" w:rsidR="00351BE8" w:rsidRDefault="0052315A">
            <w:pPr>
              <w:spacing w:before="240"/>
              <w:rPr>
                <w:b/>
              </w:rPr>
            </w:pPr>
            <w:r>
              <w:rPr>
                <w:b/>
              </w:rPr>
              <w:lastRenderedPageBreak/>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30" w14:textId="77777777" w:rsidR="00351BE8" w:rsidRDefault="0052315A">
            <w:pPr>
              <w:spacing w:before="240"/>
            </w:pPr>
            <w:r>
              <w:t xml:space="preserve">The annual total liability of either Party for all Property Defaults will not exceed </w:t>
            </w:r>
            <w:r>
              <w:rPr>
                <w:b/>
              </w:rPr>
              <w:t>£100,000</w:t>
            </w:r>
          </w:p>
          <w:p w14:paraId="3DEBB931" w14:textId="77777777" w:rsidR="00351BE8" w:rsidRDefault="0052315A">
            <w:pPr>
              <w:spacing w:before="240"/>
            </w:pPr>
            <w:r>
              <w:t xml:space="preserve">The annual total liability for Buyer Data Defaults will not exceed </w:t>
            </w:r>
            <w:r>
              <w:rPr>
                <w:b/>
              </w:rPr>
              <w:t>£100,000</w:t>
            </w:r>
            <w:r>
              <w:t xml:space="preserve"> or </w:t>
            </w:r>
            <w:r>
              <w:rPr>
                <w:b/>
                <w:bCs/>
              </w:rPr>
              <w:t>125%</w:t>
            </w:r>
            <w:r>
              <w:t xml:space="preserve"> of the Charges payable by the Buyer to the Supplier during the Call-Off Contract Term (whichever is the greater).</w:t>
            </w:r>
          </w:p>
          <w:p w14:paraId="3DEBB932" w14:textId="77777777" w:rsidR="00351BE8" w:rsidRDefault="0052315A">
            <w:pPr>
              <w:spacing w:before="240"/>
            </w:pPr>
            <w:r>
              <w:t>Clause 24.1 in Part B below applies for a more in-depth definition of Buyer Data Defaults, while still maintaining the definitions and meanings of Buyer Data and Default in Schedule 6: Glossary and Interpretations below.</w:t>
            </w:r>
          </w:p>
          <w:p w14:paraId="3DEBB933" w14:textId="77777777" w:rsidR="00351BE8" w:rsidRDefault="0052315A">
            <w:pPr>
              <w:spacing w:before="240"/>
            </w:pPr>
            <w:r>
              <w:t xml:space="preserve">The annual total liability for all other Defaults will not exceed the greater of </w:t>
            </w:r>
            <w:r>
              <w:rPr>
                <w:b/>
                <w:bCs/>
              </w:rPr>
              <w:t>£100,000</w:t>
            </w:r>
            <w:r>
              <w:t xml:space="preserve"> or </w:t>
            </w:r>
            <w:r>
              <w:rPr>
                <w:b/>
                <w:bCs/>
              </w:rPr>
              <w:t>125% percentage</w:t>
            </w:r>
            <w:r>
              <w:t xml:space="preserve"> of the Charges payable by the Buyer to the Supplier during the Call-Off Contract Term (whichever is the greater). </w:t>
            </w:r>
          </w:p>
          <w:p w14:paraId="3DEBB934" w14:textId="77777777" w:rsidR="00351BE8" w:rsidRDefault="0052315A">
            <w:pPr>
              <w:spacing w:before="240"/>
            </w:pPr>
            <w:r>
              <w:t>Clause 24.1 in Part B below provides a definition of Other Defaults.</w:t>
            </w:r>
          </w:p>
        </w:tc>
        <w:tc>
          <w:tcPr>
            <w:tcW w:w="40" w:type="dxa"/>
            <w:shd w:val="clear" w:color="auto" w:fill="auto"/>
            <w:tcMar>
              <w:top w:w="0" w:type="dxa"/>
              <w:left w:w="10" w:type="dxa"/>
              <w:bottom w:w="0" w:type="dxa"/>
              <w:right w:w="10" w:type="dxa"/>
            </w:tcMar>
          </w:tcPr>
          <w:p w14:paraId="3DEBB935" w14:textId="77777777" w:rsidR="00351BE8" w:rsidRDefault="00351BE8">
            <w:pPr>
              <w:spacing w:before="240"/>
            </w:pPr>
          </w:p>
        </w:tc>
      </w:tr>
      <w:tr w:rsidR="00351BE8" w14:paraId="3DEBB93D" w14:textId="77777777">
        <w:trPr>
          <w:trHeight w:val="3883"/>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37" w14:textId="77777777" w:rsidR="00351BE8" w:rsidRDefault="0052315A">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DEBB938" w14:textId="77777777" w:rsidR="00351BE8" w:rsidRDefault="0052315A">
            <w:pPr>
              <w:spacing w:before="240"/>
            </w:pPr>
            <w:r>
              <w:t>The insurance(s) required will be:</w:t>
            </w:r>
          </w:p>
          <w:p w14:paraId="3DEBB939" w14:textId="77777777" w:rsidR="00351BE8" w:rsidRDefault="0052315A">
            <w:pPr>
              <w:numPr>
                <w:ilvl w:val="0"/>
                <w:numId w:val="5"/>
              </w:numPr>
            </w:pPr>
            <w:r>
              <w:t>a minimum insurance period of 6 years following the expiration or Ending of this Call-Off Contract</w:t>
            </w:r>
          </w:p>
          <w:p w14:paraId="3DEBB93A" w14:textId="77777777" w:rsidR="00351BE8" w:rsidRDefault="0052315A">
            <w:pPr>
              <w:numPr>
                <w:ilvl w:val="0"/>
                <w:numId w:val="5"/>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DEBB93B" w14:textId="77777777" w:rsidR="00351BE8" w:rsidRDefault="0052315A">
            <w:pPr>
              <w:numPr>
                <w:ilvl w:val="0"/>
                <w:numId w:val="5"/>
              </w:numPr>
            </w:pPr>
            <w:r>
              <w:rPr>
                <w:sz w:val="14"/>
                <w:szCs w:val="14"/>
              </w:rPr>
              <w:t xml:space="preserve"> </w:t>
            </w:r>
            <w:r>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3DEBB93C" w14:textId="77777777" w:rsidR="00351BE8" w:rsidRDefault="00351BE8">
            <w:pPr>
              <w:spacing w:before="240"/>
            </w:pPr>
          </w:p>
        </w:tc>
      </w:tr>
      <w:tr w:rsidR="00351BE8" w14:paraId="3DEBB942"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3E" w14:textId="77777777" w:rsidR="00351BE8" w:rsidRDefault="0052315A">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3F" w14:textId="77777777" w:rsidR="00351BE8" w:rsidRDefault="0052315A">
            <w:pPr>
              <w:spacing w:before="240"/>
            </w:pPr>
            <w:r>
              <w:t xml:space="preserve">A Party may End this Call-Off Contract if the Other Party is affected by a Force Majeure Event that lasts for more than </w:t>
            </w:r>
            <w:r>
              <w:rPr>
                <w:b/>
              </w:rPr>
              <w:t>10</w:t>
            </w:r>
            <w:r>
              <w:t xml:space="preserve"> consecutive days. </w:t>
            </w:r>
          </w:p>
          <w:p w14:paraId="3DEBB940" w14:textId="77777777" w:rsidR="00351BE8" w:rsidRDefault="0052315A">
            <w:pPr>
              <w:spacing w:before="240"/>
            </w:pPr>
            <w:r>
              <w:t>This section relates to clause 23.1 in Part B below.</w:t>
            </w:r>
          </w:p>
        </w:tc>
        <w:tc>
          <w:tcPr>
            <w:tcW w:w="40" w:type="dxa"/>
            <w:shd w:val="clear" w:color="auto" w:fill="auto"/>
            <w:tcMar>
              <w:top w:w="0" w:type="dxa"/>
              <w:left w:w="10" w:type="dxa"/>
              <w:bottom w:w="0" w:type="dxa"/>
              <w:right w:w="10" w:type="dxa"/>
            </w:tcMar>
          </w:tcPr>
          <w:p w14:paraId="3DEBB941" w14:textId="77777777" w:rsidR="00351BE8" w:rsidRDefault="00351BE8">
            <w:pPr>
              <w:spacing w:before="240"/>
            </w:pPr>
          </w:p>
        </w:tc>
      </w:tr>
      <w:tr w:rsidR="00351BE8" w14:paraId="3DEBB946" w14:textId="77777777">
        <w:trPr>
          <w:trHeight w:val="145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43" w14:textId="77777777" w:rsidR="00351BE8" w:rsidRDefault="0052315A">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DEBB944" w14:textId="77777777" w:rsidR="00351BE8" w:rsidRDefault="0052315A">
            <w:pPr>
              <w:spacing w:before="240"/>
            </w:pPr>
            <w:r>
              <w:t>The following Framework Agreement audit provisions will be incorporated under clause 2.1 of this Call-Off Contract to enable the Buyer to carry out audits from clauses 7.4 to 7.13 of the Framework Agreement.</w:t>
            </w:r>
          </w:p>
        </w:tc>
        <w:tc>
          <w:tcPr>
            <w:tcW w:w="40" w:type="dxa"/>
            <w:shd w:val="clear" w:color="auto" w:fill="auto"/>
            <w:tcMar>
              <w:top w:w="0" w:type="dxa"/>
              <w:left w:w="10" w:type="dxa"/>
              <w:bottom w:w="0" w:type="dxa"/>
              <w:right w:w="10" w:type="dxa"/>
            </w:tcMar>
          </w:tcPr>
          <w:p w14:paraId="3DEBB945" w14:textId="77777777" w:rsidR="00351BE8" w:rsidRDefault="00351BE8">
            <w:pPr>
              <w:spacing w:before="240"/>
            </w:pPr>
          </w:p>
        </w:tc>
      </w:tr>
      <w:tr w:rsidR="00351BE8" w14:paraId="3DEBB94C" w14:textId="77777777">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47" w14:textId="77777777" w:rsidR="00351BE8" w:rsidRDefault="0052315A">
            <w:pPr>
              <w:spacing w:before="240"/>
              <w:rPr>
                <w:b/>
              </w:rPr>
            </w:pPr>
            <w:r>
              <w:rPr>
                <w:b/>
              </w:rPr>
              <w:lastRenderedPageBreak/>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DEBB948" w14:textId="77777777" w:rsidR="00351BE8" w:rsidRDefault="0052315A">
            <w:pPr>
              <w:spacing w:before="240"/>
            </w:pPr>
            <w:r>
              <w:t>The Buyer is responsible for providing the Supplier with the Documents and Key Information detailed in Schedule 1.</w:t>
            </w:r>
          </w:p>
          <w:p w14:paraId="3DEBB949" w14:textId="77777777" w:rsidR="00351BE8" w:rsidRDefault="0052315A">
            <w:pPr>
              <w:pStyle w:val="Heading2"/>
              <w:rPr>
                <w:sz w:val="22"/>
                <w:szCs w:val="22"/>
              </w:rPr>
            </w:pPr>
            <w:r>
              <w:rPr>
                <w:sz w:val="22"/>
                <w:szCs w:val="22"/>
              </w:rPr>
              <w:t>The Buyer will be responsible for making available individuals to assist with furnishing the Supplier with information needed in order to complete the current state assessment and inform the data strategy, such as subject matter experts (SMEs)</w:t>
            </w:r>
          </w:p>
          <w:p w14:paraId="3DEBB94A" w14:textId="2147B9A4" w:rsidR="00351BE8" w:rsidRDefault="0052315A">
            <w:pPr>
              <w:pStyle w:val="Heading2"/>
              <w:rPr>
                <w:sz w:val="22"/>
                <w:szCs w:val="22"/>
              </w:rPr>
            </w:pPr>
            <w:r>
              <w:rPr>
                <w:sz w:val="22"/>
                <w:szCs w:val="22"/>
              </w:rPr>
              <w:t>The Buyer will be responsible for confirming</w:t>
            </w:r>
            <w:r w:rsidR="00471E0B">
              <w:rPr>
                <w:sz w:val="22"/>
                <w:szCs w:val="22"/>
              </w:rPr>
              <w:t xml:space="preserve"> or rejecting</w:t>
            </w:r>
            <w:r>
              <w:rPr>
                <w:sz w:val="22"/>
                <w:szCs w:val="22"/>
              </w:rPr>
              <w:t xml:space="preserve"> the deliverables meet the acceptance criteria</w:t>
            </w:r>
            <w:r w:rsidR="00471E0B">
              <w:rPr>
                <w:sz w:val="22"/>
                <w:szCs w:val="22"/>
              </w:rPr>
              <w:t xml:space="preserve"> within 7 days of </w:t>
            </w:r>
            <w:r w:rsidR="005E63F9">
              <w:rPr>
                <w:sz w:val="22"/>
                <w:szCs w:val="22"/>
              </w:rPr>
              <w:t>submission</w:t>
            </w:r>
            <w:r w:rsidR="00471E0B">
              <w:rPr>
                <w:sz w:val="22"/>
                <w:szCs w:val="22"/>
              </w:rPr>
              <w:t xml:space="preserve"> of the Milestone deliverables by the Supplier</w:t>
            </w:r>
            <w:r>
              <w:rPr>
                <w:sz w:val="22"/>
                <w:szCs w:val="22"/>
              </w:rPr>
              <w:t>.</w:t>
            </w:r>
          </w:p>
        </w:tc>
        <w:tc>
          <w:tcPr>
            <w:tcW w:w="40" w:type="dxa"/>
            <w:shd w:val="clear" w:color="auto" w:fill="auto"/>
            <w:tcMar>
              <w:top w:w="0" w:type="dxa"/>
              <w:left w:w="10" w:type="dxa"/>
              <w:bottom w:w="0" w:type="dxa"/>
              <w:right w:w="10" w:type="dxa"/>
            </w:tcMar>
          </w:tcPr>
          <w:p w14:paraId="3DEBB94B" w14:textId="77777777" w:rsidR="00351BE8" w:rsidRDefault="00351BE8">
            <w:pPr>
              <w:spacing w:before="240"/>
            </w:pPr>
          </w:p>
        </w:tc>
      </w:tr>
      <w:tr w:rsidR="00351BE8" w14:paraId="3DEBB950" w14:textId="77777777">
        <w:trPr>
          <w:trHeight w:val="103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4D" w14:textId="77777777" w:rsidR="00351BE8" w:rsidRDefault="0052315A">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DEBB94E" w14:textId="77777777" w:rsidR="00351BE8" w:rsidRDefault="0052315A">
            <w:pPr>
              <w:spacing w:before="240"/>
            </w:pPr>
            <w:r>
              <w:t xml:space="preserve">The Buyer’s equipment to be used with this Call-Off Contract where </w:t>
            </w:r>
            <w:r>
              <w:rPr>
                <w:bCs/>
              </w:rPr>
              <w:t>access is required to complete deliverables and conduct works as detailed in Schedule 1.</w:t>
            </w:r>
          </w:p>
        </w:tc>
        <w:tc>
          <w:tcPr>
            <w:tcW w:w="40" w:type="dxa"/>
            <w:shd w:val="clear" w:color="auto" w:fill="auto"/>
            <w:tcMar>
              <w:top w:w="0" w:type="dxa"/>
              <w:left w:w="10" w:type="dxa"/>
              <w:bottom w:w="0" w:type="dxa"/>
              <w:right w:w="10" w:type="dxa"/>
            </w:tcMar>
          </w:tcPr>
          <w:p w14:paraId="3DEBB94F" w14:textId="77777777" w:rsidR="00351BE8" w:rsidRDefault="00351BE8">
            <w:pPr>
              <w:spacing w:before="240"/>
            </w:pPr>
          </w:p>
        </w:tc>
      </w:tr>
    </w:tbl>
    <w:p w14:paraId="3DEBB951" w14:textId="77777777" w:rsidR="00351BE8" w:rsidRDefault="00351BE8">
      <w:pPr>
        <w:spacing w:before="240" w:after="120"/>
      </w:pPr>
    </w:p>
    <w:p w14:paraId="3DEBB952" w14:textId="77777777" w:rsidR="00351BE8" w:rsidRDefault="0052315A">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351BE8" w14:paraId="3DEBB955" w14:textId="77777777">
        <w:trPr>
          <w:trHeight w:val="92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53" w14:textId="77777777" w:rsidR="00351BE8" w:rsidRDefault="0052315A">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54" w14:textId="77777777" w:rsidR="00351BE8" w:rsidRDefault="0052315A">
            <w:pPr>
              <w:spacing w:before="240"/>
            </w:pPr>
            <w:r>
              <w:t>No Subcontractors or partners will be used within the Call-Off Contract.</w:t>
            </w:r>
          </w:p>
        </w:tc>
      </w:tr>
    </w:tbl>
    <w:p w14:paraId="3DEBB956" w14:textId="77777777" w:rsidR="00351BE8" w:rsidRDefault="00351BE8">
      <w:pPr>
        <w:spacing w:before="240" w:after="120"/>
      </w:pPr>
    </w:p>
    <w:p w14:paraId="3DEBB957" w14:textId="77777777" w:rsidR="00351BE8" w:rsidRDefault="0052315A">
      <w:pPr>
        <w:pStyle w:val="Heading3"/>
      </w:pPr>
      <w:r>
        <w:t>Call-Off Contract charges and payment</w:t>
      </w:r>
    </w:p>
    <w:p w14:paraId="3DEBB958" w14:textId="77777777" w:rsidR="00351BE8" w:rsidRDefault="0052315A">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351BE8" w14:paraId="3DEBB95B"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59" w14:textId="77777777" w:rsidR="00351BE8" w:rsidRDefault="0052315A">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5A" w14:textId="77777777" w:rsidR="00351BE8" w:rsidRDefault="0052315A">
            <w:pPr>
              <w:spacing w:before="240"/>
            </w:pPr>
            <w:r>
              <w:t>The payment method for this Call-Off Contract is</w:t>
            </w:r>
            <w:r>
              <w:rPr>
                <w:b/>
              </w:rPr>
              <w:t xml:space="preserve"> via Invoice</w:t>
            </w:r>
          </w:p>
        </w:tc>
      </w:tr>
      <w:tr w:rsidR="00351BE8" w14:paraId="3DEBB95E" w14:textId="77777777">
        <w:trPr>
          <w:trHeight w:val="848"/>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5C" w14:textId="77777777" w:rsidR="00351BE8" w:rsidRDefault="0052315A">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5D" w14:textId="77777777" w:rsidR="00351BE8" w:rsidRDefault="0052315A">
            <w:pPr>
              <w:spacing w:before="240"/>
            </w:pPr>
            <w:r>
              <w:t>The payment profile for this Call-Off Contract is monthly in arrears.</w:t>
            </w:r>
          </w:p>
        </w:tc>
      </w:tr>
      <w:tr w:rsidR="00351BE8" w14:paraId="3DEBB961"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5F" w14:textId="77777777" w:rsidR="00351BE8" w:rsidRDefault="0052315A">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60" w14:textId="77777777" w:rsidR="00351BE8" w:rsidRDefault="0052315A">
            <w:pPr>
              <w:spacing w:before="240"/>
            </w:pPr>
            <w:r>
              <w:t xml:space="preserve">The Supplier will issue electronic invoices in arrears. The Buyer will pay the Supplier within </w:t>
            </w:r>
            <w:r>
              <w:rPr>
                <w:b/>
              </w:rPr>
              <w:t>30</w:t>
            </w:r>
            <w:r>
              <w:t xml:space="preserve"> days of receipt of a valid invoice.</w:t>
            </w:r>
          </w:p>
        </w:tc>
      </w:tr>
      <w:tr w:rsidR="00351BE8" w14:paraId="3DEBB964"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62" w14:textId="77777777" w:rsidR="00351BE8" w:rsidRDefault="0052315A">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63" w14:textId="77777777" w:rsidR="00351BE8" w:rsidRDefault="0052315A">
            <w:pPr>
              <w:spacing w:before="240"/>
            </w:pPr>
            <w:r>
              <w:t xml:space="preserve">Invoices will be sent to </w:t>
            </w:r>
            <w:hyperlink r:id="rId9" w:history="1">
              <w:r>
                <w:rPr>
                  <w:rStyle w:val="Hyperlink"/>
                </w:rPr>
                <w:t>payments@insolvency.gov.uk</w:t>
              </w:r>
            </w:hyperlink>
            <w:r>
              <w:t xml:space="preserve"> </w:t>
            </w:r>
          </w:p>
        </w:tc>
      </w:tr>
      <w:tr w:rsidR="00351BE8" w14:paraId="3DEBB967"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65" w14:textId="77777777" w:rsidR="00351BE8" w:rsidRDefault="0052315A">
            <w:pPr>
              <w:spacing w:before="240"/>
            </w:pPr>
            <w:r>
              <w:rPr>
                <w:b/>
              </w:rPr>
              <w:lastRenderedPageBreak/>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66" w14:textId="77777777" w:rsidR="00351BE8" w:rsidRDefault="0052315A">
            <w:pPr>
              <w:spacing w:before="240"/>
            </w:pPr>
            <w:r>
              <w:t>All invoices must include Contract Reference Number TIS0482, the purchase order number and a full breakdown of the Services being charged for, including any applicable Milestones. Invoices which do not include the above shall not be considered valid for the purposes of this Call-Off Contract.</w:t>
            </w:r>
          </w:p>
        </w:tc>
      </w:tr>
      <w:tr w:rsidR="00351BE8" w14:paraId="3DEBB96A"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68" w14:textId="77777777" w:rsidR="00351BE8" w:rsidRDefault="0052315A">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69" w14:textId="583AA819" w:rsidR="00351BE8" w:rsidRDefault="0052315A">
            <w:pPr>
              <w:spacing w:before="240"/>
            </w:pPr>
            <w:r>
              <w:t xml:space="preserve">Invoice will be sent to the Buyer </w:t>
            </w:r>
            <w:r w:rsidR="00740092">
              <w:t>Monthly following approval of the Milestone Acceptance Criteria</w:t>
            </w:r>
            <w:r>
              <w:t>.</w:t>
            </w:r>
          </w:p>
        </w:tc>
      </w:tr>
      <w:tr w:rsidR="00351BE8" w14:paraId="3DEBB96D"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6B" w14:textId="77777777" w:rsidR="00351BE8" w:rsidRDefault="0052315A">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6C" w14:textId="77777777" w:rsidR="00351BE8" w:rsidRDefault="0052315A">
            <w:pPr>
              <w:spacing w:before="240"/>
            </w:pPr>
            <w:r>
              <w:t xml:space="preserve">The total value of this Call-Off Contract is </w:t>
            </w:r>
            <w:r>
              <w:rPr>
                <w:bCs/>
              </w:rPr>
              <w:t>£198,450.00</w:t>
            </w:r>
            <w:r>
              <w:t>.</w:t>
            </w:r>
          </w:p>
        </w:tc>
      </w:tr>
      <w:tr w:rsidR="00351BE8" w14:paraId="3DEBB978" w14:textId="77777777">
        <w:trPr>
          <w:trHeight w:val="588"/>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6E" w14:textId="77777777" w:rsidR="00351BE8" w:rsidRDefault="0052315A">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6F" w14:textId="77777777" w:rsidR="00351BE8" w:rsidRDefault="0052315A">
            <w:pPr>
              <w:spacing w:before="240"/>
            </w:pPr>
            <w:r>
              <w:t>The breakdown of the Charges is:</w:t>
            </w:r>
          </w:p>
          <w:p w14:paraId="3DEBB970" w14:textId="77777777" w:rsidR="00351BE8" w:rsidRDefault="0052315A">
            <w:pPr>
              <w:pStyle w:val="ListParagraph"/>
              <w:numPr>
                <w:ilvl w:val="0"/>
                <w:numId w:val="4"/>
              </w:numPr>
            </w:pPr>
            <w:r>
              <w:t>Data Maturity Assessment Costs - £32,150.00</w:t>
            </w:r>
          </w:p>
          <w:p w14:paraId="3DEBB971" w14:textId="77777777" w:rsidR="00351BE8" w:rsidRDefault="0052315A">
            <w:pPr>
              <w:pStyle w:val="ListParagraph"/>
              <w:numPr>
                <w:ilvl w:val="0"/>
                <w:numId w:val="4"/>
              </w:numPr>
            </w:pPr>
            <w:r>
              <w:t>Target State Costs - £16,500.00</w:t>
            </w:r>
          </w:p>
          <w:p w14:paraId="3DEBB972" w14:textId="77777777" w:rsidR="00351BE8" w:rsidRDefault="0052315A">
            <w:pPr>
              <w:pStyle w:val="ListParagraph"/>
              <w:numPr>
                <w:ilvl w:val="0"/>
                <w:numId w:val="4"/>
              </w:numPr>
            </w:pPr>
            <w:r>
              <w:t>Data Strategy Costs - £118,350.00</w:t>
            </w:r>
          </w:p>
          <w:p w14:paraId="3DEBB973" w14:textId="77777777" w:rsidR="00351BE8" w:rsidRDefault="0052315A">
            <w:pPr>
              <w:pStyle w:val="ListParagraph"/>
              <w:numPr>
                <w:ilvl w:val="0"/>
                <w:numId w:val="4"/>
              </w:numPr>
            </w:pPr>
            <w:r>
              <w:t>Implementation Plan Costs - £31,450.00</w:t>
            </w:r>
          </w:p>
          <w:p w14:paraId="3DEBB974" w14:textId="77777777" w:rsidR="00351BE8" w:rsidRDefault="0052315A">
            <w:pPr>
              <w:pStyle w:val="ListParagraph"/>
              <w:numPr>
                <w:ilvl w:val="0"/>
                <w:numId w:val="4"/>
              </w:numPr>
            </w:pPr>
            <w:r>
              <w:t>Additional Costs - £0.00</w:t>
            </w:r>
          </w:p>
          <w:p w14:paraId="3DEBB975" w14:textId="77777777" w:rsidR="00351BE8" w:rsidRDefault="0052315A">
            <w:pPr>
              <w:pStyle w:val="Heading2"/>
              <w:rPr>
                <w:sz w:val="22"/>
                <w:szCs w:val="22"/>
              </w:rPr>
            </w:pPr>
            <w:r>
              <w:rPr>
                <w:sz w:val="22"/>
                <w:szCs w:val="22"/>
              </w:rPr>
              <w:t>For full details see Schedule 2: Call-Off Contract charges</w:t>
            </w:r>
          </w:p>
          <w:p w14:paraId="3DEBB976" w14:textId="77777777" w:rsidR="00351BE8" w:rsidRDefault="0052315A">
            <w:pPr>
              <w:spacing w:before="240"/>
            </w:pPr>
            <w:r>
              <w:t>Travel and Subsistence will be paid as per The Buyer’s Travel and Subsistence policy.</w:t>
            </w:r>
          </w:p>
          <w:p w14:paraId="3DEBB977" w14:textId="77777777" w:rsidR="00351BE8" w:rsidRDefault="0052315A">
            <w:pPr>
              <w:spacing w:before="240"/>
            </w:pPr>
            <w:r>
              <w:t xml:space="preserve">Prior to any commitment to any Travel and Subsistence expenses the Supplier must inform and obtain approval from the Buyer. If this approval is not obtained the Buyer will not be liable for such expense costs. </w:t>
            </w:r>
          </w:p>
        </w:tc>
      </w:tr>
    </w:tbl>
    <w:p w14:paraId="3DEBB979" w14:textId="77777777" w:rsidR="00351BE8" w:rsidRDefault="00351BE8"/>
    <w:p w14:paraId="3DEBB97A" w14:textId="77777777" w:rsidR="00351BE8" w:rsidRDefault="0052315A">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351BE8" w14:paraId="3DEBB97E"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7B" w14:textId="77777777" w:rsidR="00351BE8" w:rsidRDefault="0052315A">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7C" w14:textId="77777777" w:rsidR="00351BE8" w:rsidRDefault="0052315A">
            <w:pPr>
              <w:spacing w:before="240"/>
            </w:pPr>
            <w:r>
              <w:t>This Call-Off Contract will include Implementation Plan, exit and offboarding plans and milestones:</w:t>
            </w:r>
          </w:p>
          <w:p w14:paraId="3DEBB97D" w14:textId="77777777" w:rsidR="00351BE8" w:rsidRDefault="0052315A">
            <w:pPr>
              <w:spacing w:before="240"/>
            </w:pPr>
            <w:r>
              <w:t>See Schedule 1: Services</w:t>
            </w:r>
          </w:p>
        </w:tc>
      </w:tr>
      <w:tr w:rsidR="00351BE8" w14:paraId="3DEBB981" w14:textId="77777777">
        <w:trPr>
          <w:trHeight w:val="89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7F" w14:textId="77777777" w:rsidR="00351BE8" w:rsidRDefault="0052315A">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80" w14:textId="77777777" w:rsidR="00351BE8" w:rsidRDefault="0052315A">
            <w:pPr>
              <w:spacing w:before="240"/>
            </w:pPr>
            <w:r>
              <w:t>Not Required</w:t>
            </w:r>
          </w:p>
        </w:tc>
      </w:tr>
      <w:tr w:rsidR="00351BE8" w14:paraId="3DEBB984" w14:textId="77777777">
        <w:trPr>
          <w:trHeight w:val="68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82" w14:textId="77777777" w:rsidR="00351BE8" w:rsidRDefault="0052315A">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83" w14:textId="77777777" w:rsidR="00351BE8" w:rsidRDefault="0052315A">
            <w:pPr>
              <w:spacing w:before="240"/>
            </w:pPr>
            <w:r>
              <w:t>Incorporated Framework Agreement clause 4.1</w:t>
            </w:r>
          </w:p>
        </w:tc>
      </w:tr>
      <w:tr w:rsidR="00351BE8" w14:paraId="3DEBB987"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85" w14:textId="77777777" w:rsidR="00351BE8" w:rsidRDefault="0052315A">
            <w:pPr>
              <w:spacing w:before="240"/>
              <w:rPr>
                <w:b/>
              </w:rPr>
            </w:pPr>
            <w:r>
              <w:rPr>
                <w:b/>
              </w:rPr>
              <w:lastRenderedPageBreak/>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86" w14:textId="77777777" w:rsidR="00351BE8" w:rsidRDefault="0052315A">
            <w:pPr>
              <w:spacing w:before="240"/>
            </w:pPr>
            <w:r>
              <w:t>Not Required</w:t>
            </w:r>
          </w:p>
        </w:tc>
      </w:tr>
      <w:tr w:rsidR="00351BE8" w14:paraId="3DEBB98A" w14:textId="77777777">
        <w:trPr>
          <w:trHeight w:val="56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88" w14:textId="77777777" w:rsidR="00351BE8" w:rsidRDefault="0052315A">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89" w14:textId="77777777" w:rsidR="00351BE8" w:rsidRDefault="0052315A">
            <w:pPr>
              <w:spacing w:before="240"/>
            </w:pPr>
            <w:r>
              <w:t>Not Required</w:t>
            </w:r>
          </w:p>
        </w:tc>
      </w:tr>
      <w:tr w:rsidR="00351BE8" w14:paraId="3DEBB98D"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8B" w14:textId="77777777" w:rsidR="00351BE8" w:rsidRDefault="0052315A">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8C" w14:textId="77777777" w:rsidR="00351BE8" w:rsidRDefault="0052315A">
            <w:pPr>
              <w:spacing w:before="240"/>
            </w:pPr>
            <w:r>
              <w:t>Not Required</w:t>
            </w:r>
          </w:p>
        </w:tc>
      </w:tr>
      <w:tr w:rsidR="00351BE8" w14:paraId="3DEBB990" w14:textId="77777777">
        <w:trPr>
          <w:trHeight w:val="86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8E" w14:textId="77777777" w:rsidR="00351BE8" w:rsidRDefault="0052315A">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8F" w14:textId="77777777" w:rsidR="00351BE8" w:rsidRDefault="0052315A">
            <w:pPr>
              <w:spacing w:before="240"/>
            </w:pPr>
            <w:r>
              <w:t>Not Used</w:t>
            </w:r>
          </w:p>
        </w:tc>
      </w:tr>
      <w:tr w:rsidR="00351BE8" w14:paraId="3DEBB993"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91" w14:textId="77777777" w:rsidR="00351BE8" w:rsidRDefault="0052315A">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92" w14:textId="77777777" w:rsidR="00351BE8" w:rsidRDefault="0052315A">
            <w:pPr>
              <w:spacing w:before="240"/>
            </w:pPr>
            <w:r>
              <w:t>Confirm whether Annex 1 (and Annex 2, if applicable) of Schedule 7 is being used: Annex 1</w:t>
            </w:r>
          </w:p>
        </w:tc>
      </w:tr>
    </w:tbl>
    <w:p w14:paraId="3DEBB994" w14:textId="77777777" w:rsidR="00351BE8" w:rsidRDefault="0052315A">
      <w:pPr>
        <w:spacing w:before="240" w:after="240"/>
      </w:pPr>
      <w:r>
        <w:t xml:space="preserve"> </w:t>
      </w:r>
    </w:p>
    <w:p w14:paraId="3DEBB995" w14:textId="77777777" w:rsidR="00351BE8" w:rsidRDefault="0052315A">
      <w:pPr>
        <w:pStyle w:val="Heading3"/>
      </w:pPr>
      <w:r>
        <w:t xml:space="preserve">1. </w:t>
      </w:r>
      <w:r>
        <w:tab/>
        <w:t>Formation of contract</w:t>
      </w:r>
    </w:p>
    <w:p w14:paraId="3DEBB996" w14:textId="77777777" w:rsidR="00351BE8" w:rsidRDefault="0052315A">
      <w:pPr>
        <w:ind w:left="720" w:hanging="720"/>
      </w:pPr>
      <w:r>
        <w:t>1.1</w:t>
      </w:r>
      <w:r>
        <w:tab/>
        <w:t>By signing and returning this Order Form (Part A), the Supplier agrees to enter into a Call-Off Contract with the Buyer.</w:t>
      </w:r>
    </w:p>
    <w:p w14:paraId="3DEBB997" w14:textId="77777777" w:rsidR="00351BE8" w:rsidRDefault="00351BE8">
      <w:pPr>
        <w:ind w:firstLine="720"/>
      </w:pPr>
    </w:p>
    <w:p w14:paraId="3DEBB998" w14:textId="77777777" w:rsidR="00351BE8" w:rsidRDefault="0052315A">
      <w:pPr>
        <w:ind w:left="720" w:hanging="720"/>
      </w:pPr>
      <w:r>
        <w:t>1.2</w:t>
      </w:r>
      <w:r>
        <w:tab/>
        <w:t>The Parties agree that they have read the Order Form (Part A) and the Call-Off Contract terms and by signing below agree to be bound by this Call-Off Contract.</w:t>
      </w:r>
    </w:p>
    <w:p w14:paraId="3DEBB999" w14:textId="77777777" w:rsidR="00351BE8" w:rsidRDefault="00351BE8">
      <w:pPr>
        <w:ind w:firstLine="720"/>
      </w:pPr>
    </w:p>
    <w:p w14:paraId="3DEBB99A" w14:textId="77777777" w:rsidR="00351BE8" w:rsidRDefault="0052315A">
      <w:pPr>
        <w:ind w:left="720" w:hanging="720"/>
      </w:pPr>
      <w:r>
        <w:t>1.3</w:t>
      </w:r>
      <w:r>
        <w:tab/>
        <w:t>This Call-Off Contract will be formed when the Buyer acknowledges receipt of the signed copy of the Order Form from the Supplier.</w:t>
      </w:r>
    </w:p>
    <w:p w14:paraId="3DEBB99B" w14:textId="77777777" w:rsidR="00351BE8" w:rsidRDefault="00351BE8">
      <w:pPr>
        <w:ind w:firstLine="720"/>
      </w:pPr>
    </w:p>
    <w:p w14:paraId="3DEBB99C" w14:textId="77777777" w:rsidR="00351BE8" w:rsidRDefault="0052315A">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DEBB99D" w14:textId="77777777" w:rsidR="00351BE8" w:rsidRDefault="00351BE8"/>
    <w:p w14:paraId="3DEBB99E" w14:textId="77777777" w:rsidR="00351BE8" w:rsidRDefault="0052315A">
      <w:pPr>
        <w:pStyle w:val="Heading3"/>
      </w:pPr>
      <w:r>
        <w:t xml:space="preserve">2. </w:t>
      </w:r>
      <w:r>
        <w:tab/>
        <w:t>Background to the agreement</w:t>
      </w:r>
    </w:p>
    <w:p w14:paraId="3DEBB99F" w14:textId="77777777" w:rsidR="00351BE8" w:rsidRDefault="0052315A">
      <w:pPr>
        <w:ind w:left="720" w:hanging="720"/>
      </w:pPr>
      <w:r>
        <w:t>2.1</w:t>
      </w:r>
      <w:r>
        <w:tab/>
        <w:t>The Supplier is a provider of G-Cloud Services and agreed to provide the Services under the terms of Framework Agreement number RM1557.12.</w:t>
      </w:r>
    </w:p>
    <w:p w14:paraId="3DEBB9A0" w14:textId="77777777" w:rsidR="00351BE8" w:rsidRDefault="00351BE8">
      <w:pPr>
        <w:ind w:left="720"/>
      </w:pPr>
    </w:p>
    <w:p w14:paraId="3DEBB9A1" w14:textId="77777777" w:rsidR="00351BE8" w:rsidRDefault="0052315A">
      <w:r>
        <w:t>2.2</w:t>
      </w:r>
      <w:r>
        <w:tab/>
        <w:t>The Buyer provided an Order Form for Services to the Supplier.</w:t>
      </w:r>
    </w:p>
    <w:p w14:paraId="3DEBB9A2" w14:textId="77777777" w:rsidR="00351BE8" w:rsidRDefault="00351BE8"/>
    <w:p w14:paraId="3DEBB9A3" w14:textId="77777777" w:rsidR="00351BE8" w:rsidRDefault="00351BE8">
      <w:pPr>
        <w:pageBreakBefore/>
      </w:pPr>
    </w:p>
    <w:p w14:paraId="3DEBB9A4" w14:textId="77777777" w:rsidR="00351BE8" w:rsidRDefault="00351BE8"/>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351BE8" w14:paraId="3DEBB9A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A5" w14:textId="77777777" w:rsidR="00351BE8" w:rsidRDefault="0052315A">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A6" w14:textId="77777777" w:rsidR="00351BE8" w:rsidRDefault="0052315A">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A7" w14:textId="77777777" w:rsidR="00351BE8" w:rsidRDefault="0052315A">
            <w:pPr>
              <w:spacing w:before="240"/>
            </w:pPr>
            <w:r>
              <w:t>Buyer</w:t>
            </w:r>
          </w:p>
        </w:tc>
      </w:tr>
      <w:tr w:rsidR="00351BE8" w14:paraId="3DEBB9AC"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A9" w14:textId="77777777" w:rsidR="00351BE8" w:rsidRDefault="0052315A">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AA" w14:textId="0CFFF098" w:rsidR="00351BE8" w:rsidRPr="00E13858" w:rsidRDefault="00351BE8">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AB" w14:textId="7B768602" w:rsidR="00351BE8" w:rsidRDefault="00351BE8">
            <w:pPr>
              <w:spacing w:before="240"/>
            </w:pPr>
          </w:p>
        </w:tc>
      </w:tr>
      <w:tr w:rsidR="00351BE8" w14:paraId="3DEBB9B0"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AD" w14:textId="77777777" w:rsidR="00351BE8" w:rsidRDefault="0052315A">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AE" w14:textId="72B212B3" w:rsidR="00351BE8" w:rsidRPr="00E13858" w:rsidRDefault="00351BE8">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AF" w14:textId="51BDA00E" w:rsidR="00351BE8" w:rsidRDefault="00351BE8">
            <w:pPr>
              <w:spacing w:before="240"/>
            </w:pPr>
          </w:p>
        </w:tc>
      </w:tr>
      <w:tr w:rsidR="00351BE8" w14:paraId="3DEBB9B4" w14:textId="77777777" w:rsidTr="00E13858">
        <w:trPr>
          <w:trHeight w:val="1023"/>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B1" w14:textId="77777777" w:rsidR="00351BE8" w:rsidRDefault="0052315A">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B2" w14:textId="77777777" w:rsidR="00351BE8" w:rsidRDefault="00351BE8"/>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B3" w14:textId="77777777" w:rsidR="00351BE8" w:rsidRDefault="00351BE8">
            <w:pPr>
              <w:widowControl w:val="0"/>
              <w:pBdr>
                <w:top w:val="single" w:sz="2" w:space="31" w:color="FFFFFF" w:shadow="1"/>
                <w:left w:val="single" w:sz="2" w:space="31" w:color="FFFFFF" w:shadow="1"/>
                <w:bottom w:val="single" w:sz="2" w:space="31" w:color="FFFFFF" w:shadow="1"/>
                <w:right w:val="single" w:sz="2" w:space="31" w:color="FFFFFF" w:shadow="1"/>
              </w:pBdr>
            </w:pPr>
          </w:p>
        </w:tc>
      </w:tr>
      <w:tr w:rsidR="00351BE8" w14:paraId="3DEBB9B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B5" w14:textId="77777777" w:rsidR="00351BE8" w:rsidRDefault="0052315A">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B6" w14:textId="74836FE5" w:rsidR="00351BE8" w:rsidRDefault="00351BE8">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B9B7" w14:textId="60704D48" w:rsidR="00351BE8" w:rsidRDefault="00351BE8">
            <w:pPr>
              <w:spacing w:before="240"/>
            </w:pPr>
          </w:p>
        </w:tc>
      </w:tr>
    </w:tbl>
    <w:p w14:paraId="3DEBB9B9" w14:textId="77777777" w:rsidR="00351BE8" w:rsidRDefault="0052315A">
      <w:pPr>
        <w:spacing w:before="240"/>
        <w:rPr>
          <w:b/>
        </w:rPr>
      </w:pPr>
      <w:r>
        <w:rPr>
          <w:b/>
        </w:rPr>
        <w:t xml:space="preserve"> </w:t>
      </w:r>
    </w:p>
    <w:p w14:paraId="3DEBB9BB" w14:textId="77777777" w:rsidR="00351BE8" w:rsidRDefault="0052315A">
      <w:pPr>
        <w:pStyle w:val="Heading2"/>
        <w:pageBreakBefore/>
      </w:pPr>
      <w:bookmarkStart w:id="3" w:name="_Toc33176233"/>
      <w:r>
        <w:lastRenderedPageBreak/>
        <w:t>Schedule 1: Services</w:t>
      </w:r>
      <w:bookmarkEnd w:id="3"/>
    </w:p>
    <w:p w14:paraId="3DEBB9BC" w14:textId="77777777" w:rsidR="00351BE8" w:rsidRDefault="0052315A">
      <w:r>
        <w:t>The Supplier is required to work with the Authority to access information and individuals as</w:t>
      </w:r>
    </w:p>
    <w:p w14:paraId="3DEBB9BD" w14:textId="77777777" w:rsidR="00351BE8" w:rsidRDefault="0052315A">
      <w:r>
        <w:t xml:space="preserve">necessary in order to produce a Data Strategy which will support the recently released Agency Strategy. At each stage of the process, this is expected to cover the following elements as a minimum. </w:t>
      </w:r>
    </w:p>
    <w:p w14:paraId="3DEBB9BE" w14:textId="77777777" w:rsidR="00351BE8" w:rsidRDefault="0052315A" w:rsidP="00D96B2D">
      <w:pPr>
        <w:numPr>
          <w:ilvl w:val="0"/>
          <w:numId w:val="3"/>
        </w:numPr>
        <w:suppressAutoHyphens w:val="0"/>
        <w:spacing w:line="240" w:lineRule="auto"/>
        <w:textAlignment w:val="auto"/>
      </w:pPr>
      <w:r>
        <w:t>Data management through its lifecycle;</w:t>
      </w:r>
    </w:p>
    <w:p w14:paraId="3DEBB9BF" w14:textId="77777777" w:rsidR="00351BE8" w:rsidRDefault="0052315A" w:rsidP="00D96B2D">
      <w:pPr>
        <w:numPr>
          <w:ilvl w:val="0"/>
          <w:numId w:val="3"/>
        </w:numPr>
        <w:suppressAutoHyphens w:val="0"/>
        <w:spacing w:line="240" w:lineRule="auto"/>
        <w:textAlignment w:val="auto"/>
      </w:pPr>
      <w:r>
        <w:t>Data security;</w:t>
      </w:r>
    </w:p>
    <w:p w14:paraId="3DEBB9C0" w14:textId="77777777" w:rsidR="00351BE8" w:rsidRDefault="0052315A" w:rsidP="00D96B2D">
      <w:pPr>
        <w:numPr>
          <w:ilvl w:val="0"/>
          <w:numId w:val="3"/>
        </w:numPr>
        <w:suppressAutoHyphens w:val="0"/>
        <w:spacing w:line="240" w:lineRule="auto"/>
        <w:textAlignment w:val="auto"/>
      </w:pPr>
      <w:r>
        <w:t>Data architecture;</w:t>
      </w:r>
    </w:p>
    <w:p w14:paraId="3DEBB9C1" w14:textId="77777777" w:rsidR="00351BE8" w:rsidRDefault="0052315A" w:rsidP="00D96B2D">
      <w:pPr>
        <w:numPr>
          <w:ilvl w:val="0"/>
          <w:numId w:val="3"/>
        </w:numPr>
        <w:suppressAutoHyphens w:val="0"/>
        <w:spacing w:line="240" w:lineRule="auto"/>
        <w:textAlignment w:val="auto"/>
      </w:pPr>
      <w:r>
        <w:t>Data governance;</w:t>
      </w:r>
    </w:p>
    <w:p w14:paraId="3DEBB9C2" w14:textId="77777777" w:rsidR="00351BE8" w:rsidRDefault="0052315A" w:rsidP="00D96B2D">
      <w:pPr>
        <w:numPr>
          <w:ilvl w:val="0"/>
          <w:numId w:val="3"/>
        </w:numPr>
        <w:suppressAutoHyphens w:val="0"/>
        <w:spacing w:line="240" w:lineRule="auto"/>
        <w:textAlignment w:val="auto"/>
      </w:pPr>
      <w:r>
        <w:t>Core operational databases and how they interact with each other;</w:t>
      </w:r>
    </w:p>
    <w:p w14:paraId="3DEBB9C3" w14:textId="77777777" w:rsidR="00351BE8" w:rsidRDefault="0052315A" w:rsidP="00D96B2D">
      <w:pPr>
        <w:numPr>
          <w:ilvl w:val="0"/>
          <w:numId w:val="3"/>
        </w:numPr>
        <w:suppressAutoHyphens w:val="0"/>
        <w:spacing w:line="240" w:lineRule="auto"/>
        <w:textAlignment w:val="auto"/>
      </w:pPr>
      <w:r>
        <w:t>Culture and capability;</w:t>
      </w:r>
    </w:p>
    <w:p w14:paraId="3DEBB9C4" w14:textId="77777777" w:rsidR="00351BE8" w:rsidRDefault="0052315A" w:rsidP="00D96B2D">
      <w:pPr>
        <w:numPr>
          <w:ilvl w:val="0"/>
          <w:numId w:val="3"/>
        </w:numPr>
        <w:suppressAutoHyphens w:val="0"/>
        <w:spacing w:line="240" w:lineRule="auto"/>
        <w:textAlignment w:val="auto"/>
      </w:pPr>
      <w:r>
        <w:t>Maximising the value of data.</w:t>
      </w:r>
    </w:p>
    <w:p w14:paraId="3DEBB9C5" w14:textId="77777777" w:rsidR="00351BE8" w:rsidRDefault="00351BE8">
      <w:pPr>
        <w:ind w:left="1069"/>
      </w:pPr>
    </w:p>
    <w:p w14:paraId="3DEBB9C6" w14:textId="77777777" w:rsidR="00351BE8" w:rsidRDefault="0052315A">
      <w:r>
        <w:t>This will include a report on providing a clear understanding of the agency’s existing data landscape, maturity, key risks and opportunities, and a strategy that represents the target state that the Authority aims to achieve through implementation. The Data Strategy will need to be proportionate to the size of the Authority and both the volume and sensitivity of data that is handled on a daily basis.</w:t>
      </w:r>
    </w:p>
    <w:p w14:paraId="3DEBB9C7" w14:textId="77777777" w:rsidR="00351BE8" w:rsidRDefault="00351BE8"/>
    <w:p w14:paraId="3DEBB9C8" w14:textId="77777777" w:rsidR="00351BE8" w:rsidRDefault="0052315A">
      <w:r>
        <w:t>The work is to cover Operational and Finance data, and be applicable to the Human Resources data.</w:t>
      </w:r>
    </w:p>
    <w:p w14:paraId="3DEBB9C9" w14:textId="77777777" w:rsidR="00351BE8" w:rsidRDefault="0052315A">
      <w:pPr>
        <w:pStyle w:val="Heading2"/>
        <w:tabs>
          <w:tab w:val="left" w:pos="709"/>
        </w:tabs>
        <w:ind w:left="709" w:hanging="709"/>
      </w:pPr>
      <w:r>
        <w:rPr>
          <w:b/>
          <w:bCs/>
          <w:sz w:val="22"/>
          <w:szCs w:val="22"/>
        </w:rPr>
        <w:t>Data Maturity Assessment</w:t>
      </w:r>
      <w:r>
        <w:rPr>
          <w:sz w:val="22"/>
          <w:szCs w:val="22"/>
        </w:rPr>
        <w:t>:</w:t>
      </w:r>
    </w:p>
    <w:p w14:paraId="3DEBB9CA" w14:textId="77777777" w:rsidR="00351BE8" w:rsidRDefault="0052315A">
      <w:pPr>
        <w:pStyle w:val="Heading3"/>
      </w:pPr>
      <w:r>
        <w:rPr>
          <w:color w:val="000000"/>
          <w:sz w:val="22"/>
          <w:szCs w:val="22"/>
        </w:rPr>
        <w:t>The Supplier shall undertake an assessment of the current data practices within the Authority, at all levels and across all areas of the Authority. This will require the Supplier to engage and collaborate with teams currently in the Authority to inform the assessment. This is to be presented in the form of a high level PowerPoint presentation, with an accompanying written report providing focused detail on each of the following areas</w:t>
      </w:r>
      <w:r>
        <w:rPr>
          <w:sz w:val="22"/>
          <w:szCs w:val="22"/>
        </w:rPr>
        <w:t>:</w:t>
      </w:r>
    </w:p>
    <w:p w14:paraId="3DEBB9CB" w14:textId="77777777" w:rsidR="00351BE8" w:rsidRDefault="0052315A">
      <w:pPr>
        <w:numPr>
          <w:ilvl w:val="0"/>
          <w:numId w:val="3"/>
        </w:numPr>
        <w:suppressAutoHyphens w:val="0"/>
        <w:spacing w:line="240" w:lineRule="auto"/>
        <w:textAlignment w:val="auto"/>
      </w:pPr>
      <w:r>
        <w:t>Data management through its lifecycle;</w:t>
      </w:r>
    </w:p>
    <w:p w14:paraId="3DEBB9CC" w14:textId="77777777" w:rsidR="00351BE8" w:rsidRDefault="0052315A">
      <w:pPr>
        <w:numPr>
          <w:ilvl w:val="0"/>
          <w:numId w:val="3"/>
        </w:numPr>
        <w:suppressAutoHyphens w:val="0"/>
        <w:spacing w:line="240" w:lineRule="auto"/>
        <w:textAlignment w:val="auto"/>
      </w:pPr>
      <w:r>
        <w:t>Data security;</w:t>
      </w:r>
    </w:p>
    <w:p w14:paraId="3DEBB9CD" w14:textId="77777777" w:rsidR="00351BE8" w:rsidRDefault="0052315A">
      <w:pPr>
        <w:numPr>
          <w:ilvl w:val="0"/>
          <w:numId w:val="3"/>
        </w:numPr>
        <w:suppressAutoHyphens w:val="0"/>
        <w:spacing w:line="240" w:lineRule="auto"/>
        <w:textAlignment w:val="auto"/>
      </w:pPr>
      <w:r>
        <w:t>Data architecture;</w:t>
      </w:r>
    </w:p>
    <w:p w14:paraId="3DEBB9CE" w14:textId="77777777" w:rsidR="00351BE8" w:rsidRDefault="0052315A">
      <w:pPr>
        <w:numPr>
          <w:ilvl w:val="0"/>
          <w:numId w:val="3"/>
        </w:numPr>
        <w:suppressAutoHyphens w:val="0"/>
        <w:spacing w:line="240" w:lineRule="auto"/>
        <w:textAlignment w:val="auto"/>
      </w:pPr>
      <w:r>
        <w:t>Data governance;</w:t>
      </w:r>
    </w:p>
    <w:p w14:paraId="3DEBB9CF" w14:textId="77777777" w:rsidR="00351BE8" w:rsidRDefault="0052315A">
      <w:pPr>
        <w:numPr>
          <w:ilvl w:val="0"/>
          <w:numId w:val="3"/>
        </w:numPr>
        <w:suppressAutoHyphens w:val="0"/>
        <w:spacing w:line="240" w:lineRule="auto"/>
        <w:textAlignment w:val="auto"/>
      </w:pPr>
      <w:r>
        <w:t>Core operational databases and how they interact with each other;</w:t>
      </w:r>
    </w:p>
    <w:p w14:paraId="3DEBB9D0" w14:textId="77777777" w:rsidR="00351BE8" w:rsidRDefault="0052315A">
      <w:pPr>
        <w:numPr>
          <w:ilvl w:val="0"/>
          <w:numId w:val="3"/>
        </w:numPr>
        <w:suppressAutoHyphens w:val="0"/>
        <w:spacing w:line="240" w:lineRule="auto"/>
        <w:textAlignment w:val="auto"/>
      </w:pPr>
      <w:r>
        <w:t>Culture and capability;</w:t>
      </w:r>
    </w:p>
    <w:p w14:paraId="3DEBB9D1" w14:textId="77777777" w:rsidR="00351BE8" w:rsidRDefault="0052315A">
      <w:pPr>
        <w:numPr>
          <w:ilvl w:val="0"/>
          <w:numId w:val="3"/>
        </w:numPr>
        <w:suppressAutoHyphens w:val="0"/>
        <w:spacing w:line="240" w:lineRule="auto"/>
        <w:textAlignment w:val="auto"/>
      </w:pPr>
      <w:r>
        <w:t>Maximising the value of data</w:t>
      </w:r>
    </w:p>
    <w:p w14:paraId="3DEBB9D3" w14:textId="77777777" w:rsidR="00351BE8" w:rsidRDefault="00351BE8">
      <w:pPr>
        <w:suppressAutoHyphens w:val="0"/>
        <w:spacing w:line="240" w:lineRule="auto"/>
        <w:textAlignment w:val="auto"/>
      </w:pPr>
    </w:p>
    <w:p w14:paraId="3DEBB9D4" w14:textId="77777777" w:rsidR="00351BE8" w:rsidRDefault="0052315A">
      <w:pPr>
        <w:suppressAutoHyphens w:val="0"/>
        <w:spacing w:line="240" w:lineRule="auto"/>
        <w:textAlignment w:val="auto"/>
        <w:rPr>
          <w:color w:val="000000"/>
        </w:rPr>
      </w:pPr>
      <w:r>
        <w:rPr>
          <w:color w:val="000000"/>
        </w:rPr>
        <w:t>A scoring system should be used to grade the Authority for each dimension of data maturity, with an explanation of how that grade was decided on, and act as a baseline for the Authority.</w:t>
      </w:r>
    </w:p>
    <w:p w14:paraId="3DEBB9D5" w14:textId="77777777" w:rsidR="00351BE8" w:rsidRDefault="00351BE8">
      <w:pPr>
        <w:suppressAutoHyphens w:val="0"/>
        <w:spacing w:line="240" w:lineRule="auto"/>
        <w:textAlignment w:val="auto"/>
        <w:rPr>
          <w:color w:val="000000"/>
        </w:rPr>
      </w:pPr>
    </w:p>
    <w:p w14:paraId="3DEBB9D6" w14:textId="77777777" w:rsidR="00351BE8" w:rsidRDefault="0052315A">
      <w:pPr>
        <w:suppressAutoHyphens w:val="0"/>
        <w:spacing w:line="240" w:lineRule="auto"/>
        <w:textAlignment w:val="auto"/>
        <w:rPr>
          <w:color w:val="000000"/>
        </w:rPr>
      </w:pPr>
      <w:r>
        <w:rPr>
          <w:color w:val="000000"/>
        </w:rPr>
        <w:t>The Supplier shall include in the above report an analysis of the completed assessment in order to prioritise areas that need immediate attention, quick wins that can be implemented, and areas that will take time or are dependent on other priorities before action can be taken. This should include gaps, regulatory problems, compliance with industry standards, security threats, and the current data culture and capability across the Authority.</w:t>
      </w:r>
    </w:p>
    <w:p w14:paraId="3DEBB9D7" w14:textId="77777777" w:rsidR="00351BE8" w:rsidRDefault="00351BE8">
      <w:pPr>
        <w:suppressAutoHyphens w:val="0"/>
        <w:spacing w:line="240" w:lineRule="auto"/>
        <w:textAlignment w:val="auto"/>
        <w:rPr>
          <w:color w:val="000000"/>
        </w:rPr>
      </w:pPr>
    </w:p>
    <w:p w14:paraId="3DEBB9D8" w14:textId="77777777" w:rsidR="00351BE8" w:rsidRDefault="0052315A">
      <w:pPr>
        <w:suppressAutoHyphens w:val="0"/>
        <w:spacing w:line="240" w:lineRule="auto"/>
        <w:textAlignment w:val="auto"/>
        <w:rPr>
          <w:color w:val="000000"/>
        </w:rPr>
      </w:pPr>
      <w:r>
        <w:rPr>
          <w:color w:val="000000"/>
        </w:rPr>
        <w:t>The Supplier is expected to work with key members of the Authority to discuss their findings, and get the business view on weaknesses and priorities, expectations and reality, as this will also feed into the Data Strategy. The outputs should be used to inform the report and ensure that the Supplier has not missed any key information that would have influenced the outcome of their report.</w:t>
      </w:r>
    </w:p>
    <w:p w14:paraId="3DEBB9D9" w14:textId="77777777" w:rsidR="00351BE8" w:rsidRDefault="00351BE8">
      <w:pPr>
        <w:suppressAutoHyphens w:val="0"/>
        <w:spacing w:line="240" w:lineRule="auto"/>
        <w:textAlignment w:val="auto"/>
        <w:rPr>
          <w:color w:val="000000"/>
        </w:rPr>
      </w:pPr>
    </w:p>
    <w:p w14:paraId="3DEBB9DA" w14:textId="77777777" w:rsidR="00351BE8" w:rsidRDefault="0052315A">
      <w:pPr>
        <w:suppressAutoHyphens w:val="0"/>
        <w:spacing w:line="240" w:lineRule="auto"/>
        <w:textAlignment w:val="auto"/>
        <w:rPr>
          <w:color w:val="000000"/>
        </w:rPr>
      </w:pPr>
      <w:r>
        <w:rPr>
          <w:color w:val="000000"/>
        </w:rPr>
        <w:lastRenderedPageBreak/>
        <w:t>This should provide a benchmark from which to develop the data strategy and measure progress of the Authority against. It should provide demonstrable and auditable evidence to support the adoption of best practices and industry best practices.</w:t>
      </w:r>
    </w:p>
    <w:p w14:paraId="3DEBB9DB" w14:textId="77777777" w:rsidR="00351BE8" w:rsidRDefault="00351BE8">
      <w:pPr>
        <w:suppressAutoHyphens w:val="0"/>
        <w:spacing w:line="240" w:lineRule="auto"/>
        <w:textAlignment w:val="auto"/>
        <w:rPr>
          <w:color w:val="000000"/>
        </w:rPr>
      </w:pPr>
    </w:p>
    <w:p w14:paraId="3DEBB9DC" w14:textId="77777777" w:rsidR="00351BE8" w:rsidRDefault="0052315A">
      <w:pPr>
        <w:suppressAutoHyphens w:val="0"/>
        <w:spacing w:line="240" w:lineRule="auto"/>
        <w:textAlignment w:val="auto"/>
        <w:rPr>
          <w:color w:val="000000"/>
        </w:rPr>
      </w:pPr>
      <w:r>
        <w:rPr>
          <w:color w:val="000000"/>
        </w:rPr>
        <w:t>It must highlight both risks and opportunities to the Authority.</w:t>
      </w:r>
    </w:p>
    <w:p w14:paraId="3DEBB9DD" w14:textId="77777777" w:rsidR="00351BE8" w:rsidRDefault="00351BE8">
      <w:pPr>
        <w:suppressAutoHyphens w:val="0"/>
        <w:spacing w:line="240" w:lineRule="auto"/>
        <w:textAlignment w:val="auto"/>
        <w:rPr>
          <w:color w:val="000000"/>
        </w:rPr>
      </w:pPr>
    </w:p>
    <w:p w14:paraId="3DEBB9DE" w14:textId="77777777" w:rsidR="00351BE8" w:rsidRDefault="0052315A">
      <w:pPr>
        <w:suppressAutoHyphens w:val="0"/>
        <w:spacing w:line="240" w:lineRule="auto"/>
        <w:textAlignment w:val="auto"/>
        <w:rPr>
          <w:color w:val="000000"/>
        </w:rPr>
      </w:pPr>
      <w:r>
        <w:rPr>
          <w:color w:val="000000"/>
        </w:rPr>
        <w:t>It must be an accurate assessment of the current data landscape within the Authority.</w:t>
      </w:r>
    </w:p>
    <w:p w14:paraId="3DEBB9DF" w14:textId="77777777" w:rsidR="00351BE8" w:rsidRDefault="00351BE8">
      <w:pPr>
        <w:suppressAutoHyphens w:val="0"/>
        <w:spacing w:line="240" w:lineRule="auto"/>
        <w:textAlignment w:val="auto"/>
        <w:rPr>
          <w:color w:val="000000"/>
        </w:rPr>
      </w:pPr>
    </w:p>
    <w:p w14:paraId="3DEBB9E0" w14:textId="77777777" w:rsidR="00351BE8" w:rsidRDefault="0052315A">
      <w:pPr>
        <w:suppressAutoHyphens w:val="0"/>
        <w:spacing w:line="240" w:lineRule="auto"/>
        <w:textAlignment w:val="auto"/>
        <w:rPr>
          <w:color w:val="000000"/>
        </w:rPr>
      </w:pPr>
      <w:r>
        <w:rPr>
          <w:color w:val="000000"/>
        </w:rPr>
        <w:t>It will need to be presented to the Executive Leadership Team in order to foster a greater understanding of the current data landscape, risks, opportunities, and provide a baseline from which the Authority can measure progress</w:t>
      </w:r>
    </w:p>
    <w:p w14:paraId="3DEBB9E1" w14:textId="77777777" w:rsidR="00351BE8" w:rsidRDefault="00351BE8">
      <w:pPr>
        <w:suppressAutoHyphens w:val="0"/>
        <w:spacing w:line="240" w:lineRule="auto"/>
        <w:textAlignment w:val="auto"/>
        <w:rPr>
          <w:color w:val="000000"/>
        </w:rPr>
      </w:pPr>
    </w:p>
    <w:p w14:paraId="3DEBB9E2" w14:textId="77777777" w:rsidR="00351BE8" w:rsidRDefault="0052315A">
      <w:pPr>
        <w:suppressAutoHyphens w:val="0"/>
        <w:spacing w:line="240" w:lineRule="auto"/>
        <w:textAlignment w:val="auto"/>
        <w:rPr>
          <w:color w:val="000000"/>
        </w:rPr>
      </w:pPr>
      <w:r>
        <w:rPr>
          <w:color w:val="000000"/>
        </w:rPr>
        <w:t>The target state should be presented at the same time as the data maturity assessment</w:t>
      </w:r>
    </w:p>
    <w:p w14:paraId="3DEBB9E3" w14:textId="77777777" w:rsidR="00351BE8" w:rsidRDefault="00351BE8">
      <w:pPr>
        <w:suppressAutoHyphens w:val="0"/>
        <w:spacing w:line="240" w:lineRule="auto"/>
        <w:textAlignment w:val="auto"/>
        <w:rPr>
          <w:color w:val="000000"/>
        </w:rPr>
      </w:pPr>
    </w:p>
    <w:p w14:paraId="3DEBB9E4" w14:textId="77777777" w:rsidR="00351BE8" w:rsidRDefault="0052315A">
      <w:pPr>
        <w:suppressAutoHyphens w:val="0"/>
        <w:spacing w:line="240" w:lineRule="auto"/>
        <w:textAlignment w:val="auto"/>
        <w:rPr>
          <w:b/>
          <w:bCs/>
          <w:color w:val="000000"/>
        </w:rPr>
      </w:pPr>
      <w:r>
        <w:rPr>
          <w:b/>
          <w:bCs/>
          <w:color w:val="000000"/>
        </w:rPr>
        <w:t>Target Data Maturity</w:t>
      </w:r>
    </w:p>
    <w:p w14:paraId="3DEBB9E5" w14:textId="77777777" w:rsidR="00351BE8" w:rsidRDefault="00351BE8">
      <w:pPr>
        <w:suppressAutoHyphens w:val="0"/>
        <w:spacing w:line="240" w:lineRule="auto"/>
        <w:textAlignment w:val="auto"/>
        <w:rPr>
          <w:b/>
          <w:bCs/>
          <w:color w:val="000000"/>
        </w:rPr>
      </w:pPr>
    </w:p>
    <w:p w14:paraId="3DEBB9E6" w14:textId="77777777" w:rsidR="00351BE8" w:rsidRDefault="0052315A">
      <w:pPr>
        <w:suppressAutoHyphens w:val="0"/>
        <w:spacing w:line="240" w:lineRule="auto"/>
        <w:textAlignment w:val="auto"/>
        <w:rPr>
          <w:color w:val="000000"/>
        </w:rPr>
      </w:pPr>
      <w:r>
        <w:rPr>
          <w:color w:val="000000"/>
        </w:rPr>
        <w:t>The Supplier shall work with key members of the Authority, such as in focus groups, interviews, questionnaires, to develop the Authority’s target state for data maturity. The Supplier will be responsible for setting these up and managing both the engagement and relationship with the Authority staff.</w:t>
      </w:r>
    </w:p>
    <w:p w14:paraId="3DEBB9E7" w14:textId="77777777" w:rsidR="00351BE8" w:rsidRDefault="00351BE8">
      <w:pPr>
        <w:suppressAutoHyphens w:val="0"/>
        <w:spacing w:line="240" w:lineRule="auto"/>
        <w:textAlignment w:val="auto"/>
        <w:rPr>
          <w:color w:val="000000"/>
        </w:rPr>
      </w:pPr>
    </w:p>
    <w:p w14:paraId="3DEBB9E8" w14:textId="77777777" w:rsidR="00351BE8" w:rsidRDefault="0052315A">
      <w:pPr>
        <w:suppressAutoHyphens w:val="0"/>
        <w:spacing w:line="240" w:lineRule="auto"/>
        <w:textAlignment w:val="auto"/>
        <w:rPr>
          <w:color w:val="000000"/>
        </w:rPr>
      </w:pPr>
      <w:r>
        <w:rPr>
          <w:color w:val="000000"/>
        </w:rPr>
        <w:t>The Target State for data maturity should align to the Authority’s vision: “to build confidence in the insolvency regime by underpinning operational and strategic decisions with trusted data and sound analysis.” The Supplier is expected to work with the Authority through discussion with key members of the Authority to ensure that this alignment is realised and obtain sign off from these members that this is the case.</w:t>
      </w:r>
    </w:p>
    <w:p w14:paraId="3DEBB9E9" w14:textId="77777777" w:rsidR="00351BE8" w:rsidRDefault="00351BE8">
      <w:pPr>
        <w:suppressAutoHyphens w:val="0"/>
        <w:spacing w:line="240" w:lineRule="auto"/>
        <w:textAlignment w:val="auto"/>
        <w:rPr>
          <w:color w:val="000000"/>
        </w:rPr>
      </w:pPr>
    </w:p>
    <w:p w14:paraId="3DEBB9EA" w14:textId="77777777" w:rsidR="00351BE8" w:rsidRDefault="0052315A">
      <w:pPr>
        <w:suppressAutoHyphens w:val="0"/>
        <w:spacing w:line="240" w:lineRule="auto"/>
        <w:textAlignment w:val="auto"/>
        <w:rPr>
          <w:color w:val="000000"/>
        </w:rPr>
      </w:pPr>
      <w:r>
        <w:rPr>
          <w:color w:val="000000"/>
        </w:rPr>
        <w:t>This should be presented in a visual format using PowerPoint for a high level view of the Target State which covers what our data maturity would look like at this level. A report providing the key outputs and supporting data should also be provided for audit and delivery purposes. The Supplier is expected to present this to the Authority’s  Executive Leadership Team for approval.</w:t>
      </w:r>
    </w:p>
    <w:p w14:paraId="3DEBB9EB" w14:textId="77777777" w:rsidR="00351BE8" w:rsidRDefault="00351BE8">
      <w:pPr>
        <w:suppressAutoHyphens w:val="0"/>
        <w:spacing w:line="240" w:lineRule="auto"/>
        <w:textAlignment w:val="auto"/>
        <w:rPr>
          <w:color w:val="000000"/>
        </w:rPr>
      </w:pPr>
    </w:p>
    <w:p w14:paraId="3DEBB9EC" w14:textId="77777777" w:rsidR="00351BE8" w:rsidRDefault="0052315A">
      <w:pPr>
        <w:suppressAutoHyphens w:val="0"/>
        <w:spacing w:line="240" w:lineRule="auto"/>
        <w:textAlignment w:val="auto"/>
        <w:rPr>
          <w:b/>
          <w:bCs/>
          <w:color w:val="000000"/>
        </w:rPr>
      </w:pPr>
      <w:r>
        <w:rPr>
          <w:b/>
          <w:bCs/>
          <w:color w:val="000000"/>
        </w:rPr>
        <w:t>Data Strategy</w:t>
      </w:r>
    </w:p>
    <w:p w14:paraId="3DEBB9ED" w14:textId="77777777" w:rsidR="00351BE8" w:rsidRDefault="00351BE8">
      <w:pPr>
        <w:suppressAutoHyphens w:val="0"/>
        <w:spacing w:line="240" w:lineRule="auto"/>
        <w:textAlignment w:val="auto"/>
        <w:rPr>
          <w:b/>
          <w:bCs/>
          <w:color w:val="000000"/>
        </w:rPr>
      </w:pPr>
    </w:p>
    <w:p w14:paraId="3DEBB9EE" w14:textId="77777777" w:rsidR="00351BE8" w:rsidRDefault="0052315A">
      <w:pPr>
        <w:suppressAutoHyphens w:val="0"/>
        <w:spacing w:line="240" w:lineRule="auto"/>
        <w:textAlignment w:val="auto"/>
        <w:rPr>
          <w:b/>
          <w:bCs/>
          <w:color w:val="000000"/>
        </w:rPr>
      </w:pPr>
      <w:r>
        <w:rPr>
          <w:b/>
          <w:bCs/>
          <w:color w:val="000000"/>
        </w:rPr>
        <w:t>Implementation Plan</w:t>
      </w:r>
    </w:p>
    <w:p w14:paraId="3DEBB9EF" w14:textId="77777777" w:rsidR="00351BE8" w:rsidRDefault="00351BE8">
      <w:pPr>
        <w:suppressAutoHyphens w:val="0"/>
        <w:spacing w:line="240" w:lineRule="auto"/>
        <w:textAlignment w:val="auto"/>
        <w:rPr>
          <w:b/>
          <w:bCs/>
          <w:color w:val="000000"/>
        </w:rPr>
      </w:pPr>
    </w:p>
    <w:p w14:paraId="3DEBB9F0" w14:textId="77777777" w:rsidR="00351BE8" w:rsidRDefault="0052315A">
      <w:pPr>
        <w:suppressAutoHyphens w:val="0"/>
        <w:spacing w:line="240" w:lineRule="auto"/>
        <w:textAlignment w:val="auto"/>
        <w:rPr>
          <w:color w:val="000000"/>
        </w:rPr>
      </w:pPr>
      <w:r>
        <w:rPr>
          <w:color w:val="000000"/>
        </w:rPr>
        <w:t>This will be written after finalisation of the Data Strategy and will outline how we will implement the strategy in order to achieve the Target State that has been established.</w:t>
      </w:r>
    </w:p>
    <w:p w14:paraId="3DEBB9F1" w14:textId="77777777" w:rsidR="00351BE8" w:rsidRDefault="00351BE8">
      <w:pPr>
        <w:suppressAutoHyphens w:val="0"/>
        <w:spacing w:line="240" w:lineRule="auto"/>
        <w:textAlignment w:val="auto"/>
        <w:rPr>
          <w:color w:val="000000"/>
        </w:rPr>
      </w:pPr>
    </w:p>
    <w:p w14:paraId="3DEBB9F2" w14:textId="77777777" w:rsidR="00351BE8" w:rsidRDefault="0052315A">
      <w:pPr>
        <w:suppressAutoHyphens w:val="0"/>
        <w:spacing w:line="240" w:lineRule="auto"/>
        <w:textAlignment w:val="auto"/>
        <w:rPr>
          <w:color w:val="000000"/>
        </w:rPr>
      </w:pPr>
      <w:r>
        <w:rPr>
          <w:color w:val="000000"/>
        </w:rPr>
        <w:t>It should be a visual guide that can be shared with any colleague and easily understood. It should also have an accompanying written document with lower level detail. The use of diagrams is encouraged for conveying the information quickly and easily with key members of the Authority from the Executive Leadership Team to business areas with specific roles in the Authority Five Year Strategy.</w:t>
      </w:r>
    </w:p>
    <w:p w14:paraId="3DEBB9F3" w14:textId="77777777" w:rsidR="00351BE8" w:rsidRDefault="00351BE8">
      <w:pPr>
        <w:suppressAutoHyphens w:val="0"/>
        <w:spacing w:line="240" w:lineRule="auto"/>
        <w:textAlignment w:val="auto"/>
        <w:rPr>
          <w:color w:val="000000"/>
        </w:rPr>
      </w:pPr>
    </w:p>
    <w:p w14:paraId="3DEBB9F4" w14:textId="77777777" w:rsidR="00351BE8" w:rsidRDefault="0052315A">
      <w:pPr>
        <w:suppressAutoHyphens w:val="0"/>
        <w:spacing w:line="240" w:lineRule="auto"/>
        <w:textAlignment w:val="auto"/>
        <w:rPr>
          <w:color w:val="000000"/>
        </w:rPr>
      </w:pPr>
      <w:r>
        <w:rPr>
          <w:color w:val="000000"/>
        </w:rPr>
        <w:t>It should provide details of changes that need to be implemented, projects that need to be stood up to achieve parts of the Data Strategy, how to integrate existing projects into aligning with the Data Strategy, signpost to source of best practice in the industry and for data management.</w:t>
      </w:r>
    </w:p>
    <w:p w14:paraId="3DEBB9F5" w14:textId="77777777" w:rsidR="00351BE8" w:rsidRDefault="00351BE8">
      <w:pPr>
        <w:suppressAutoHyphens w:val="0"/>
        <w:spacing w:line="240" w:lineRule="auto"/>
        <w:textAlignment w:val="auto"/>
        <w:rPr>
          <w:color w:val="000000"/>
        </w:rPr>
      </w:pPr>
    </w:p>
    <w:p w14:paraId="3DEBB9F6" w14:textId="77777777" w:rsidR="00351BE8" w:rsidRDefault="0052315A">
      <w:pPr>
        <w:suppressAutoHyphens w:val="0"/>
        <w:spacing w:line="240" w:lineRule="auto"/>
        <w:textAlignment w:val="auto"/>
        <w:rPr>
          <w:color w:val="000000"/>
        </w:rPr>
      </w:pPr>
      <w:r>
        <w:rPr>
          <w:color w:val="000000"/>
        </w:rPr>
        <w:t>It must be achievable and proportionate to the Authority size and data usage.</w:t>
      </w:r>
    </w:p>
    <w:p w14:paraId="3DEBB9F7" w14:textId="77777777" w:rsidR="00351BE8" w:rsidRDefault="00351BE8">
      <w:pPr>
        <w:suppressAutoHyphens w:val="0"/>
        <w:spacing w:line="240" w:lineRule="auto"/>
        <w:textAlignment w:val="auto"/>
        <w:rPr>
          <w:color w:val="000000"/>
        </w:rPr>
      </w:pPr>
    </w:p>
    <w:p w14:paraId="3DEBB9F8" w14:textId="77777777" w:rsidR="00351BE8" w:rsidRDefault="0052315A">
      <w:pPr>
        <w:suppressAutoHyphens w:val="0"/>
        <w:spacing w:line="240" w:lineRule="auto"/>
        <w:textAlignment w:val="auto"/>
        <w:rPr>
          <w:color w:val="000000"/>
        </w:rPr>
      </w:pPr>
      <w:r>
        <w:rPr>
          <w:color w:val="000000"/>
        </w:rPr>
        <w:t>It must be achievable within 4 years in order to support the Authority Five Year Strategy.</w:t>
      </w:r>
    </w:p>
    <w:p w14:paraId="3DEBB9F9" w14:textId="77777777" w:rsidR="00351BE8" w:rsidRDefault="00351BE8">
      <w:pPr>
        <w:suppressAutoHyphens w:val="0"/>
        <w:spacing w:line="240" w:lineRule="auto"/>
        <w:textAlignment w:val="auto"/>
        <w:rPr>
          <w:color w:val="000000"/>
        </w:rPr>
      </w:pPr>
    </w:p>
    <w:p w14:paraId="3DEBB9FA" w14:textId="77777777" w:rsidR="00351BE8" w:rsidRDefault="0052315A">
      <w:pPr>
        <w:suppressAutoHyphens w:val="0"/>
        <w:spacing w:line="240" w:lineRule="auto"/>
        <w:textAlignment w:val="auto"/>
        <w:rPr>
          <w:color w:val="000000"/>
        </w:rPr>
      </w:pPr>
      <w:r>
        <w:rPr>
          <w:color w:val="000000"/>
        </w:rPr>
        <w:t>This will need to be approved by the Executive Leadership Team.</w:t>
      </w:r>
    </w:p>
    <w:p w14:paraId="3DEBB9FB" w14:textId="77777777" w:rsidR="00351BE8" w:rsidRDefault="00351BE8">
      <w:pPr>
        <w:suppressAutoHyphens w:val="0"/>
        <w:spacing w:line="240" w:lineRule="auto"/>
        <w:textAlignment w:val="auto"/>
        <w:rPr>
          <w:color w:val="000000"/>
        </w:rPr>
      </w:pPr>
    </w:p>
    <w:p w14:paraId="3DEBB9FC" w14:textId="77777777" w:rsidR="00351BE8" w:rsidRDefault="0052315A">
      <w:pPr>
        <w:suppressAutoHyphens w:val="0"/>
        <w:spacing w:line="240" w:lineRule="auto"/>
        <w:textAlignment w:val="auto"/>
        <w:rPr>
          <w:color w:val="000000"/>
        </w:rPr>
      </w:pPr>
      <w:r>
        <w:rPr>
          <w:color w:val="000000"/>
        </w:rPr>
        <w:lastRenderedPageBreak/>
        <w:t>The Authority requests that the Supplier to provide examples of their work and their working practices to provide a standard that the Authority can compare with expectations to ensure that they would be met before final agreement on the requirements that must be met.</w:t>
      </w:r>
    </w:p>
    <w:p w14:paraId="3DEBB9FD" w14:textId="77777777" w:rsidR="00351BE8" w:rsidRDefault="0052315A">
      <w:pPr>
        <w:pStyle w:val="Heading2"/>
      </w:pPr>
      <w:r>
        <w:rPr>
          <w:color w:val="000000"/>
          <w:sz w:val="22"/>
          <w:szCs w:val="22"/>
        </w:rPr>
        <w:t>The deliverables must meet industry best practice</w:t>
      </w:r>
      <w:r>
        <w:rPr>
          <w:szCs w:val="22"/>
        </w:rPr>
        <w:t>.</w:t>
      </w:r>
    </w:p>
    <w:p w14:paraId="3DEBB9FE" w14:textId="77777777" w:rsidR="00351BE8" w:rsidRDefault="0052315A">
      <w:pPr>
        <w:pStyle w:val="Heading1"/>
        <w:rPr>
          <w:b/>
          <w:bCs/>
          <w:sz w:val="22"/>
          <w:szCs w:val="22"/>
        </w:rPr>
      </w:pPr>
      <w:bookmarkStart w:id="4" w:name="_Toc368573032"/>
      <w:bookmarkStart w:id="5" w:name="_Toc444518872"/>
      <w:r>
        <w:rPr>
          <w:b/>
          <w:bCs/>
          <w:sz w:val="22"/>
          <w:szCs w:val="22"/>
        </w:rPr>
        <w:t>Key Milestones</w:t>
      </w:r>
      <w:bookmarkEnd w:id="4"/>
      <w:bookmarkEnd w:id="5"/>
    </w:p>
    <w:p w14:paraId="3DEBB9FF" w14:textId="77777777" w:rsidR="00351BE8" w:rsidRDefault="0052315A">
      <w:r>
        <w:t>Based on expected timeframes to enable the data strategy to be implemented through other projects and workstreams, we would require completion within 5-6 calendar months. Please note that the contract must not exceed nine months in duration from signing to completion and handover of all deliverables. Payment will be linked to achieving these milestones and provision of the associated deliverables which must meet the Authority acceptance criteria.</w:t>
      </w:r>
    </w:p>
    <w:p w14:paraId="3DEBBA00" w14:textId="77777777" w:rsidR="00351BE8" w:rsidRDefault="00351BE8"/>
    <w:p w14:paraId="3DEBBA01" w14:textId="77777777" w:rsidR="00351BE8" w:rsidRDefault="0052315A">
      <w:pPr>
        <w:rPr>
          <w:color w:val="000000"/>
        </w:rPr>
      </w:pPr>
      <w:r>
        <w:rPr>
          <w:color w:val="000000"/>
        </w:rPr>
        <w:t>The Supplier should note the following project milestones that the Authority will measure the quality of delivery against:</w:t>
      </w:r>
    </w:p>
    <w:tbl>
      <w:tblPr>
        <w:tblStyle w:val="ListTable4-Accent3"/>
        <w:tblW w:w="5000" w:type="pct"/>
        <w:tblLook w:val="0220" w:firstRow="1" w:lastRow="0" w:firstColumn="0" w:lastColumn="0" w:noHBand="1" w:noVBand="0"/>
      </w:tblPr>
      <w:tblGrid>
        <w:gridCol w:w="955"/>
        <w:gridCol w:w="1875"/>
        <w:gridCol w:w="1134"/>
        <w:gridCol w:w="4421"/>
        <w:gridCol w:w="1246"/>
      </w:tblGrid>
      <w:tr w:rsidR="00C407CB" w:rsidRPr="00187842" w14:paraId="3DEBBA07" w14:textId="44A24282" w:rsidTr="00D96B2D">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955" w:type="dxa"/>
          </w:tcPr>
          <w:p w14:paraId="3DEBBA04" w14:textId="77777777" w:rsidR="00187842" w:rsidRPr="00187842" w:rsidRDefault="00187842">
            <w:pPr>
              <w:pStyle w:val="Heading3"/>
              <w:spacing w:after="120"/>
              <w:jc w:val="center"/>
              <w:outlineLvl w:val="2"/>
              <w:rPr>
                <w:b w:val="0"/>
                <w:color w:val="000000"/>
                <w:sz w:val="16"/>
                <w:szCs w:val="16"/>
              </w:rPr>
            </w:pPr>
            <w:r w:rsidRPr="00187842">
              <w:rPr>
                <w:color w:val="000000"/>
                <w:sz w:val="16"/>
                <w:szCs w:val="16"/>
              </w:rPr>
              <w:lastRenderedPageBreak/>
              <w:t>Milestone</w:t>
            </w:r>
          </w:p>
        </w:tc>
        <w:tc>
          <w:tcPr>
            <w:tcW w:w="1875" w:type="dxa"/>
          </w:tcPr>
          <w:p w14:paraId="3DEBBA05" w14:textId="77777777" w:rsidR="00187842" w:rsidRPr="00187842" w:rsidRDefault="00187842">
            <w:pPr>
              <w:pStyle w:val="Heading3"/>
              <w:spacing w:after="120"/>
              <w:jc w:val="center"/>
              <w:outlineLvl w:val="2"/>
              <w:cnfStyle w:val="100000000000" w:firstRow="1" w:lastRow="0" w:firstColumn="0" w:lastColumn="0" w:oddVBand="0" w:evenVBand="0" w:oddHBand="0" w:evenHBand="0" w:firstRowFirstColumn="0" w:firstRowLastColumn="0" w:lastRowFirstColumn="0" w:lastRowLastColumn="0"/>
              <w:rPr>
                <w:b w:val="0"/>
                <w:color w:val="000000"/>
                <w:sz w:val="16"/>
                <w:szCs w:val="16"/>
              </w:rPr>
            </w:pPr>
            <w:r w:rsidRPr="00187842">
              <w:rPr>
                <w:color w:val="000000"/>
                <w:sz w:val="16"/>
                <w:szCs w:val="16"/>
              </w:rPr>
              <w:t>Description</w:t>
            </w:r>
          </w:p>
        </w:tc>
        <w:tc>
          <w:tcPr>
            <w:cnfStyle w:val="000010000000" w:firstRow="0" w:lastRow="0" w:firstColumn="0" w:lastColumn="0" w:oddVBand="1" w:evenVBand="0" w:oddHBand="0" w:evenHBand="0" w:firstRowFirstColumn="0" w:firstRowLastColumn="0" w:lastRowFirstColumn="0" w:lastRowLastColumn="0"/>
            <w:tcW w:w="1134" w:type="dxa"/>
          </w:tcPr>
          <w:p w14:paraId="3DEBBA06" w14:textId="77777777" w:rsidR="00187842" w:rsidRPr="00187842" w:rsidRDefault="00187842">
            <w:pPr>
              <w:pStyle w:val="Heading3"/>
              <w:spacing w:after="120"/>
              <w:jc w:val="center"/>
              <w:outlineLvl w:val="2"/>
              <w:rPr>
                <w:b w:val="0"/>
                <w:color w:val="000000"/>
                <w:sz w:val="16"/>
                <w:szCs w:val="16"/>
              </w:rPr>
            </w:pPr>
            <w:r w:rsidRPr="00187842">
              <w:rPr>
                <w:color w:val="000000"/>
                <w:sz w:val="16"/>
                <w:szCs w:val="16"/>
              </w:rPr>
              <w:t>Timeframe</w:t>
            </w:r>
          </w:p>
        </w:tc>
        <w:tc>
          <w:tcPr>
            <w:tcW w:w="4421" w:type="dxa"/>
          </w:tcPr>
          <w:p w14:paraId="6E39B1BB" w14:textId="23F32FAA" w:rsidR="00187842" w:rsidRPr="00187842" w:rsidRDefault="00187842">
            <w:pPr>
              <w:pStyle w:val="Heading3"/>
              <w:spacing w:after="120"/>
              <w:jc w:val="center"/>
              <w:outlineLvl w:val="2"/>
              <w:cnfStyle w:val="100000000000" w:firstRow="1" w:lastRow="0" w:firstColumn="0" w:lastColumn="0" w:oddVBand="0" w:evenVBand="0" w:oddHBand="0" w:evenHBand="0" w:firstRowFirstColumn="0" w:firstRowLastColumn="0" w:lastRowFirstColumn="0" w:lastRowLastColumn="0"/>
              <w:rPr>
                <w:b w:val="0"/>
                <w:color w:val="000000"/>
                <w:sz w:val="16"/>
                <w:szCs w:val="16"/>
              </w:rPr>
            </w:pPr>
            <w:r w:rsidRPr="00187842">
              <w:rPr>
                <w:color w:val="000000"/>
                <w:sz w:val="16"/>
                <w:szCs w:val="16"/>
              </w:rPr>
              <w:t>Acceptance Criteria</w:t>
            </w:r>
          </w:p>
        </w:tc>
        <w:tc>
          <w:tcPr>
            <w:cnfStyle w:val="000010000000" w:firstRow="0" w:lastRow="0" w:firstColumn="0" w:lastColumn="0" w:oddVBand="1" w:evenVBand="0" w:oddHBand="0" w:evenHBand="0" w:firstRowFirstColumn="0" w:firstRowLastColumn="0" w:lastRowFirstColumn="0" w:lastRowLastColumn="0"/>
            <w:tcW w:w="1246" w:type="dxa"/>
          </w:tcPr>
          <w:p w14:paraId="1FDE3ECF" w14:textId="76804187" w:rsidR="00187842" w:rsidRPr="00187842" w:rsidRDefault="00187842" w:rsidP="00187842">
            <w:pPr>
              <w:pStyle w:val="Heading3"/>
              <w:spacing w:after="120"/>
              <w:outlineLvl w:val="2"/>
              <w:rPr>
                <w:b w:val="0"/>
                <w:color w:val="000000"/>
                <w:sz w:val="16"/>
                <w:szCs w:val="16"/>
              </w:rPr>
            </w:pPr>
            <w:r>
              <w:rPr>
                <w:b w:val="0"/>
                <w:color w:val="000000"/>
                <w:sz w:val="16"/>
                <w:szCs w:val="16"/>
              </w:rPr>
              <w:t>Milestone Payment</w:t>
            </w:r>
          </w:p>
        </w:tc>
      </w:tr>
      <w:tr w:rsidR="00187842" w:rsidRPr="00187842" w14:paraId="3DEBBA0B" w14:textId="4E9D12EE" w:rsidTr="00D96B2D">
        <w:tc>
          <w:tcPr>
            <w:cnfStyle w:val="000010000000" w:firstRow="0" w:lastRow="0" w:firstColumn="0" w:lastColumn="0" w:oddVBand="1" w:evenVBand="0" w:oddHBand="0" w:evenHBand="0" w:firstRowFirstColumn="0" w:firstRowLastColumn="0" w:lastRowFirstColumn="0" w:lastRowLastColumn="0"/>
            <w:tcW w:w="955" w:type="dxa"/>
          </w:tcPr>
          <w:p w14:paraId="3DEBBA08" w14:textId="77777777" w:rsidR="00187842" w:rsidRPr="00187842" w:rsidRDefault="00187842">
            <w:pPr>
              <w:pStyle w:val="Heading3"/>
              <w:spacing w:after="120"/>
              <w:jc w:val="center"/>
              <w:outlineLvl w:val="2"/>
              <w:rPr>
                <w:color w:val="000000"/>
                <w:sz w:val="16"/>
                <w:szCs w:val="16"/>
              </w:rPr>
            </w:pPr>
            <w:r w:rsidRPr="00187842">
              <w:rPr>
                <w:color w:val="000000"/>
                <w:sz w:val="16"/>
                <w:szCs w:val="16"/>
              </w:rPr>
              <w:t>1</w:t>
            </w:r>
          </w:p>
        </w:tc>
        <w:tc>
          <w:tcPr>
            <w:tcW w:w="1875" w:type="dxa"/>
          </w:tcPr>
          <w:p w14:paraId="3DEBBA09" w14:textId="77777777" w:rsidR="00187842" w:rsidRPr="00187842" w:rsidRDefault="00187842">
            <w:pPr>
              <w:pStyle w:val="Heading3"/>
              <w:spacing w:after="120"/>
              <w:outlineLvl w:val="2"/>
              <w:cnfStyle w:val="000000000000" w:firstRow="0" w:lastRow="0" w:firstColumn="0" w:lastColumn="0" w:oddVBand="0" w:evenVBand="0" w:oddHBand="0" w:evenHBand="0" w:firstRowFirstColumn="0" w:firstRowLastColumn="0" w:lastRowFirstColumn="0" w:lastRowLastColumn="0"/>
              <w:rPr>
                <w:color w:val="000000"/>
                <w:sz w:val="16"/>
                <w:szCs w:val="16"/>
              </w:rPr>
            </w:pPr>
            <w:r w:rsidRPr="00187842">
              <w:rPr>
                <w:color w:val="000000"/>
                <w:sz w:val="16"/>
                <w:szCs w:val="16"/>
              </w:rPr>
              <w:t>Full delivery plan to be supplied by the Supplier</w:t>
            </w:r>
          </w:p>
        </w:tc>
        <w:tc>
          <w:tcPr>
            <w:cnfStyle w:val="000010000000" w:firstRow="0" w:lastRow="0" w:firstColumn="0" w:lastColumn="0" w:oddVBand="1" w:evenVBand="0" w:oddHBand="0" w:evenHBand="0" w:firstRowFirstColumn="0" w:firstRowLastColumn="0" w:lastRowFirstColumn="0" w:lastRowLastColumn="0"/>
            <w:tcW w:w="1134" w:type="dxa"/>
          </w:tcPr>
          <w:p w14:paraId="3DEBBA0A" w14:textId="77777777" w:rsidR="00187842" w:rsidRPr="00187842" w:rsidRDefault="00187842">
            <w:pPr>
              <w:pStyle w:val="Heading3"/>
              <w:spacing w:after="120"/>
              <w:jc w:val="center"/>
              <w:outlineLvl w:val="2"/>
              <w:rPr>
                <w:color w:val="000000"/>
                <w:sz w:val="16"/>
                <w:szCs w:val="16"/>
              </w:rPr>
            </w:pPr>
            <w:r w:rsidRPr="00187842">
              <w:rPr>
                <w:color w:val="000000"/>
                <w:sz w:val="16"/>
                <w:szCs w:val="16"/>
              </w:rPr>
              <w:t>Within 2 weeks of contract signing</w:t>
            </w:r>
          </w:p>
        </w:tc>
        <w:tc>
          <w:tcPr>
            <w:tcW w:w="4421" w:type="dxa"/>
          </w:tcPr>
          <w:p w14:paraId="3520FB1C" w14:textId="14068BF9" w:rsidR="00187842" w:rsidRPr="00187842" w:rsidRDefault="00187842" w:rsidP="001B7161">
            <w:pPr>
              <w:pStyle w:val="Heading3"/>
              <w:spacing w:after="120"/>
              <w:outlineLvl w:val="2"/>
              <w:cnfStyle w:val="000000000000" w:firstRow="0" w:lastRow="0" w:firstColumn="0" w:lastColumn="0" w:oddVBand="0" w:evenVBand="0" w:oddHBand="0" w:evenHBand="0" w:firstRowFirstColumn="0" w:firstRowLastColumn="0" w:lastRowFirstColumn="0" w:lastRowLastColumn="0"/>
              <w:rPr>
                <w:color w:val="000000"/>
                <w:sz w:val="16"/>
                <w:szCs w:val="16"/>
              </w:rPr>
            </w:pPr>
            <w:r w:rsidRPr="00187842">
              <w:rPr>
                <w:color w:val="000000"/>
                <w:sz w:val="16"/>
                <w:szCs w:val="16"/>
              </w:rPr>
              <w:t>Full delivery plan which covers delivery of all of the below Milestones.</w:t>
            </w:r>
          </w:p>
        </w:tc>
        <w:tc>
          <w:tcPr>
            <w:cnfStyle w:val="000010000000" w:firstRow="0" w:lastRow="0" w:firstColumn="0" w:lastColumn="0" w:oddVBand="1" w:evenVBand="0" w:oddHBand="0" w:evenHBand="0" w:firstRowFirstColumn="0" w:firstRowLastColumn="0" w:lastRowFirstColumn="0" w:lastRowLastColumn="0"/>
            <w:tcW w:w="1246" w:type="dxa"/>
          </w:tcPr>
          <w:p w14:paraId="7AEC2380" w14:textId="1EB49966" w:rsidR="00187842" w:rsidRPr="00D96B2D" w:rsidRDefault="00187842" w:rsidP="001B7161">
            <w:pPr>
              <w:pStyle w:val="Heading3"/>
              <w:spacing w:after="120"/>
              <w:outlineLvl w:val="2"/>
              <w:rPr>
                <w:b/>
                <w:bCs/>
                <w:color w:val="000000"/>
                <w:sz w:val="16"/>
                <w:szCs w:val="16"/>
              </w:rPr>
            </w:pPr>
            <w:r w:rsidRPr="00D96B2D">
              <w:rPr>
                <w:b/>
                <w:bCs/>
                <w:color w:val="000000"/>
                <w:sz w:val="16"/>
                <w:szCs w:val="16"/>
              </w:rPr>
              <w:t>£0</w:t>
            </w:r>
          </w:p>
        </w:tc>
      </w:tr>
      <w:tr w:rsidR="00187842" w:rsidRPr="00187842" w14:paraId="3DEBBA0F" w14:textId="32CC345C" w:rsidTr="00D96B2D">
        <w:tc>
          <w:tcPr>
            <w:cnfStyle w:val="000010000000" w:firstRow="0" w:lastRow="0" w:firstColumn="0" w:lastColumn="0" w:oddVBand="1" w:evenVBand="0" w:oddHBand="0" w:evenHBand="0" w:firstRowFirstColumn="0" w:firstRowLastColumn="0" w:lastRowFirstColumn="0" w:lastRowLastColumn="0"/>
            <w:tcW w:w="955" w:type="dxa"/>
          </w:tcPr>
          <w:p w14:paraId="3DEBBA0C" w14:textId="77777777" w:rsidR="00187842" w:rsidRPr="00187842" w:rsidRDefault="00187842">
            <w:pPr>
              <w:pStyle w:val="Heading3"/>
              <w:spacing w:after="120"/>
              <w:jc w:val="center"/>
              <w:outlineLvl w:val="2"/>
              <w:rPr>
                <w:color w:val="000000"/>
                <w:sz w:val="16"/>
                <w:szCs w:val="16"/>
              </w:rPr>
            </w:pPr>
            <w:r w:rsidRPr="00187842">
              <w:rPr>
                <w:color w:val="000000"/>
                <w:sz w:val="16"/>
                <w:szCs w:val="16"/>
              </w:rPr>
              <w:t>2</w:t>
            </w:r>
          </w:p>
        </w:tc>
        <w:tc>
          <w:tcPr>
            <w:tcW w:w="1875" w:type="dxa"/>
          </w:tcPr>
          <w:p w14:paraId="3DEBBA0D" w14:textId="77777777" w:rsidR="00187842" w:rsidRPr="00187842" w:rsidRDefault="00187842">
            <w:pPr>
              <w:pStyle w:val="Heading3"/>
              <w:spacing w:after="120"/>
              <w:outlineLvl w:val="2"/>
              <w:cnfStyle w:val="000000000000" w:firstRow="0" w:lastRow="0" w:firstColumn="0" w:lastColumn="0" w:oddVBand="0" w:evenVBand="0" w:oddHBand="0" w:evenHBand="0" w:firstRowFirstColumn="0" w:firstRowLastColumn="0" w:lastRowFirstColumn="0" w:lastRowLastColumn="0"/>
              <w:rPr>
                <w:color w:val="000000"/>
                <w:sz w:val="16"/>
                <w:szCs w:val="16"/>
              </w:rPr>
            </w:pPr>
            <w:r w:rsidRPr="00187842">
              <w:rPr>
                <w:color w:val="000000"/>
                <w:sz w:val="16"/>
                <w:szCs w:val="16"/>
              </w:rPr>
              <w:t>Delivery of data maturity assessment and details of potential “quick wins” to improve the current state. Must meet requirements as specified in section 6.4. Expected to be 20% of total cost for this milestone.</w:t>
            </w:r>
          </w:p>
        </w:tc>
        <w:tc>
          <w:tcPr>
            <w:cnfStyle w:val="000010000000" w:firstRow="0" w:lastRow="0" w:firstColumn="0" w:lastColumn="0" w:oddVBand="1" w:evenVBand="0" w:oddHBand="0" w:evenHBand="0" w:firstRowFirstColumn="0" w:firstRowLastColumn="0" w:lastRowFirstColumn="0" w:lastRowLastColumn="0"/>
            <w:tcW w:w="1134" w:type="dxa"/>
          </w:tcPr>
          <w:p w14:paraId="3DEBBA0E" w14:textId="7843D146" w:rsidR="00187842" w:rsidRPr="00187842" w:rsidRDefault="00187842">
            <w:pPr>
              <w:pStyle w:val="Heading3"/>
              <w:spacing w:after="120"/>
              <w:jc w:val="center"/>
              <w:outlineLvl w:val="2"/>
              <w:rPr>
                <w:color w:val="000000"/>
                <w:sz w:val="16"/>
                <w:szCs w:val="16"/>
              </w:rPr>
            </w:pPr>
            <w:r w:rsidRPr="00187842">
              <w:rPr>
                <w:color w:val="000000"/>
                <w:sz w:val="16"/>
                <w:szCs w:val="16"/>
              </w:rPr>
              <w:t>Within 4 weeks of Project kick-off</w:t>
            </w:r>
          </w:p>
        </w:tc>
        <w:tc>
          <w:tcPr>
            <w:tcW w:w="4421" w:type="dxa"/>
          </w:tcPr>
          <w:p w14:paraId="3ABAA2D1" w14:textId="77777777" w:rsidR="00187842" w:rsidRPr="00187842" w:rsidRDefault="00187842" w:rsidP="001B7161">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 xml:space="preserve">A high-level PowerPoint presentation (c.8-10 slides), with an accompanying written report providing focused detail on each of the following areas (c.2 slides per area): </w:t>
            </w:r>
          </w:p>
          <w:p w14:paraId="25050B50" w14:textId="77777777" w:rsidR="00187842" w:rsidRPr="00187842" w:rsidRDefault="00187842" w:rsidP="009D7AFD">
            <w:pPr>
              <w:pStyle w:val="ListParagraph"/>
              <w:numPr>
                <w:ilvl w:val="0"/>
                <w:numId w:val="36"/>
              </w:numPr>
              <w:suppressAutoHyphens w:val="0"/>
              <w:autoSpaceDN/>
              <w:ind w:left="360"/>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 xml:space="preserve">Data </w:t>
            </w:r>
          </w:p>
          <w:p w14:paraId="4D8FB84E" w14:textId="77777777" w:rsidR="00187842" w:rsidRPr="00187842" w:rsidRDefault="00187842" w:rsidP="009D7AFD">
            <w:pPr>
              <w:pStyle w:val="ListParagraph"/>
              <w:numPr>
                <w:ilvl w:val="0"/>
                <w:numId w:val="42"/>
              </w:numPr>
              <w:suppressAutoHyphens w:val="0"/>
              <w:autoSpaceDN/>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Data management through its lifecycle</w:t>
            </w:r>
          </w:p>
          <w:p w14:paraId="1D9E63AD" w14:textId="77777777" w:rsidR="00187842" w:rsidRPr="00187842" w:rsidRDefault="00187842" w:rsidP="009D7AFD">
            <w:pPr>
              <w:pStyle w:val="ListParagraph"/>
              <w:numPr>
                <w:ilvl w:val="0"/>
                <w:numId w:val="42"/>
              </w:numPr>
              <w:suppressAutoHyphens w:val="0"/>
              <w:autoSpaceDN/>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Core operational databases</w:t>
            </w:r>
          </w:p>
          <w:p w14:paraId="6062A76E" w14:textId="77777777" w:rsidR="00187842" w:rsidRPr="00187842" w:rsidRDefault="00187842" w:rsidP="009D7AFD">
            <w:pPr>
              <w:pStyle w:val="ListParagraph"/>
              <w:numPr>
                <w:ilvl w:val="0"/>
                <w:numId w:val="35"/>
              </w:numPr>
              <w:suppressAutoHyphens w:val="0"/>
              <w:autoSpaceDN/>
              <w:ind w:left="360"/>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Technology</w:t>
            </w:r>
          </w:p>
          <w:p w14:paraId="43BE2105" w14:textId="77777777" w:rsidR="00187842" w:rsidRPr="00187842" w:rsidRDefault="00187842" w:rsidP="009D7AFD">
            <w:pPr>
              <w:pStyle w:val="ListParagraph"/>
              <w:numPr>
                <w:ilvl w:val="0"/>
                <w:numId w:val="41"/>
              </w:numPr>
              <w:suppressAutoHyphens w:val="0"/>
              <w:autoSpaceDN/>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Data security</w:t>
            </w:r>
          </w:p>
          <w:p w14:paraId="70059288" w14:textId="77777777" w:rsidR="00187842" w:rsidRPr="00187842" w:rsidRDefault="00187842" w:rsidP="009D7AFD">
            <w:pPr>
              <w:pStyle w:val="ListParagraph"/>
              <w:numPr>
                <w:ilvl w:val="0"/>
                <w:numId w:val="41"/>
              </w:numPr>
              <w:suppressAutoHyphens w:val="0"/>
              <w:autoSpaceDN/>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Data architecture</w:t>
            </w:r>
          </w:p>
          <w:p w14:paraId="20D363D1" w14:textId="77777777" w:rsidR="00187842" w:rsidRPr="00187842" w:rsidRDefault="00187842" w:rsidP="009D7AFD">
            <w:pPr>
              <w:pStyle w:val="ListParagraph"/>
              <w:numPr>
                <w:ilvl w:val="0"/>
                <w:numId w:val="35"/>
              </w:numPr>
              <w:suppressAutoHyphens w:val="0"/>
              <w:autoSpaceDN/>
              <w:ind w:left="360"/>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Value proposition</w:t>
            </w:r>
          </w:p>
          <w:p w14:paraId="68A91EDE" w14:textId="77777777" w:rsidR="00187842" w:rsidRPr="00187842" w:rsidRDefault="00187842" w:rsidP="009D7AFD">
            <w:pPr>
              <w:pStyle w:val="ListParagraph"/>
              <w:numPr>
                <w:ilvl w:val="0"/>
                <w:numId w:val="37"/>
              </w:numPr>
              <w:suppressAutoHyphens w:val="0"/>
              <w:autoSpaceDN/>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High level data use cases</w:t>
            </w:r>
          </w:p>
          <w:p w14:paraId="3B12119A" w14:textId="77777777" w:rsidR="00187842" w:rsidRPr="00187842" w:rsidRDefault="00187842" w:rsidP="009D7AFD">
            <w:pPr>
              <w:pStyle w:val="ListParagraph"/>
              <w:numPr>
                <w:ilvl w:val="0"/>
                <w:numId w:val="37"/>
              </w:numPr>
              <w:suppressAutoHyphens w:val="0"/>
              <w:autoSpaceDN/>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Maximising the value of data</w:t>
            </w:r>
          </w:p>
          <w:p w14:paraId="3F3A0A73" w14:textId="77777777" w:rsidR="00187842" w:rsidRPr="00187842" w:rsidRDefault="00187842" w:rsidP="009D7AFD">
            <w:pPr>
              <w:pStyle w:val="ListParagraph"/>
              <w:numPr>
                <w:ilvl w:val="0"/>
                <w:numId w:val="35"/>
              </w:numPr>
              <w:suppressAutoHyphens w:val="0"/>
              <w:autoSpaceDN/>
              <w:ind w:left="360"/>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Culture</w:t>
            </w:r>
          </w:p>
          <w:p w14:paraId="30AFBEE3" w14:textId="77777777" w:rsidR="00187842" w:rsidRPr="00187842" w:rsidRDefault="00187842" w:rsidP="009D7AFD">
            <w:pPr>
              <w:pStyle w:val="ListParagraph"/>
              <w:numPr>
                <w:ilvl w:val="0"/>
                <w:numId w:val="38"/>
              </w:numPr>
              <w:suppressAutoHyphens w:val="0"/>
              <w:autoSpaceDN/>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Concept of data as an asset</w:t>
            </w:r>
          </w:p>
          <w:p w14:paraId="613ACD86" w14:textId="77777777" w:rsidR="00187842" w:rsidRPr="00187842" w:rsidRDefault="00187842" w:rsidP="009D7AFD">
            <w:pPr>
              <w:pStyle w:val="ListParagraph"/>
              <w:numPr>
                <w:ilvl w:val="0"/>
                <w:numId w:val="38"/>
              </w:numPr>
              <w:suppressAutoHyphens w:val="0"/>
              <w:autoSpaceDN/>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Confidence in data</w:t>
            </w:r>
          </w:p>
          <w:p w14:paraId="27EB7D53" w14:textId="77777777" w:rsidR="00187842" w:rsidRPr="00187842" w:rsidRDefault="00187842" w:rsidP="009D7AFD">
            <w:pPr>
              <w:pStyle w:val="ListParagraph"/>
              <w:numPr>
                <w:ilvl w:val="0"/>
                <w:numId w:val="35"/>
              </w:numPr>
              <w:suppressAutoHyphens w:val="0"/>
              <w:autoSpaceDN/>
              <w:ind w:left="360"/>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People</w:t>
            </w:r>
          </w:p>
          <w:p w14:paraId="1033A55C" w14:textId="77777777" w:rsidR="00187842" w:rsidRPr="00187842" w:rsidRDefault="00187842" w:rsidP="009D7AFD">
            <w:pPr>
              <w:pStyle w:val="ListParagraph"/>
              <w:numPr>
                <w:ilvl w:val="0"/>
                <w:numId w:val="39"/>
              </w:numPr>
              <w:suppressAutoHyphens w:val="0"/>
              <w:autoSpaceDN/>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 xml:space="preserve">Roles and Responsibilities </w:t>
            </w:r>
          </w:p>
          <w:p w14:paraId="285B637C" w14:textId="77777777" w:rsidR="00187842" w:rsidRPr="00187842" w:rsidRDefault="00187842" w:rsidP="009D7AFD">
            <w:pPr>
              <w:pStyle w:val="ListParagraph"/>
              <w:numPr>
                <w:ilvl w:val="0"/>
                <w:numId w:val="39"/>
              </w:numPr>
              <w:suppressAutoHyphens w:val="0"/>
              <w:autoSpaceDN/>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Capability</w:t>
            </w:r>
          </w:p>
          <w:p w14:paraId="55045434" w14:textId="77777777" w:rsidR="00187842" w:rsidRPr="00187842" w:rsidRDefault="00187842" w:rsidP="009D7AFD">
            <w:pPr>
              <w:pStyle w:val="ListParagraph"/>
              <w:numPr>
                <w:ilvl w:val="0"/>
                <w:numId w:val="35"/>
              </w:numPr>
              <w:suppressAutoHyphens w:val="0"/>
              <w:autoSpaceDN/>
              <w:ind w:left="360"/>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Process &amp; governance</w:t>
            </w:r>
          </w:p>
          <w:p w14:paraId="221F25A9" w14:textId="77777777" w:rsidR="00187842" w:rsidRPr="00187842" w:rsidRDefault="00187842" w:rsidP="009D7AFD">
            <w:pPr>
              <w:pStyle w:val="ListParagraph"/>
              <w:numPr>
                <w:ilvl w:val="0"/>
                <w:numId w:val="40"/>
              </w:numPr>
              <w:suppressAutoHyphens w:val="0"/>
              <w:autoSpaceDN/>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Data Quality</w:t>
            </w:r>
          </w:p>
          <w:p w14:paraId="1FF484E9" w14:textId="77777777" w:rsidR="00187842" w:rsidRPr="00187842" w:rsidRDefault="00187842" w:rsidP="009D7AFD">
            <w:pPr>
              <w:pStyle w:val="ListParagraph"/>
              <w:numPr>
                <w:ilvl w:val="0"/>
                <w:numId w:val="40"/>
              </w:numPr>
              <w:suppressAutoHyphens w:val="0"/>
              <w:autoSpaceDN/>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Data governance</w:t>
            </w:r>
          </w:p>
          <w:p w14:paraId="029BA12F" w14:textId="77777777" w:rsidR="00187842" w:rsidRPr="00187842" w:rsidRDefault="00187842" w:rsidP="001B7161">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 xml:space="preserve"> </w:t>
            </w:r>
          </w:p>
          <w:p w14:paraId="278346F1" w14:textId="77777777" w:rsidR="00187842" w:rsidRPr="00187842" w:rsidRDefault="00187842" w:rsidP="001B7161">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 xml:space="preserve">Each dimension of data maturity will be graded against scoring criteria, with an explanation of how that grade was decided on. </w:t>
            </w:r>
          </w:p>
          <w:p w14:paraId="72454E3D" w14:textId="77777777" w:rsidR="00187842" w:rsidRPr="00187842" w:rsidRDefault="00187842" w:rsidP="001B7161">
            <w:pPr>
              <w:cnfStyle w:val="000000000000" w:firstRow="0" w:lastRow="0" w:firstColumn="0" w:lastColumn="0" w:oddVBand="0" w:evenVBand="0" w:oddHBand="0" w:evenHBand="0" w:firstRowFirstColumn="0" w:firstRowLastColumn="0" w:lastRowFirstColumn="0" w:lastRowLastColumn="0"/>
              <w:rPr>
                <w:sz w:val="16"/>
                <w:szCs w:val="16"/>
              </w:rPr>
            </w:pPr>
          </w:p>
          <w:p w14:paraId="67D75DF6" w14:textId="77777777" w:rsidR="00187842" w:rsidRPr="00187842" w:rsidRDefault="00187842" w:rsidP="001B7161">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 xml:space="preserve">Identification of areas that need immediate attention, quick wins that can be implemented, and areas that will take time or are dependent on other priorities before action can be taken. </w:t>
            </w:r>
          </w:p>
          <w:p w14:paraId="4C3CA479" w14:textId="77777777" w:rsidR="00187842" w:rsidRPr="00187842" w:rsidRDefault="00187842" w:rsidP="001B7161">
            <w:pPr>
              <w:cnfStyle w:val="000000000000" w:firstRow="0" w:lastRow="0" w:firstColumn="0" w:lastColumn="0" w:oddVBand="0" w:evenVBand="0" w:oddHBand="0" w:evenHBand="0" w:firstRowFirstColumn="0" w:firstRowLastColumn="0" w:lastRowFirstColumn="0" w:lastRowLastColumn="0"/>
              <w:rPr>
                <w:sz w:val="16"/>
                <w:szCs w:val="16"/>
              </w:rPr>
            </w:pPr>
          </w:p>
          <w:p w14:paraId="4D7E8455" w14:textId="77777777" w:rsidR="00187842" w:rsidRPr="00187842" w:rsidRDefault="00187842" w:rsidP="001B7161">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 xml:space="preserve">Key members of the Authority have been engaged with to discuss inputs and findings </w:t>
            </w:r>
          </w:p>
          <w:p w14:paraId="2E6A618E" w14:textId="7B7BC6C5" w:rsidR="00187842" w:rsidRPr="00187842" w:rsidRDefault="00187842" w:rsidP="001B7161">
            <w:pPr>
              <w:pStyle w:val="Heading3"/>
              <w:spacing w:after="120"/>
              <w:outlineLvl w:val="2"/>
              <w:cnfStyle w:val="000000000000" w:firstRow="0" w:lastRow="0" w:firstColumn="0" w:lastColumn="0" w:oddVBand="0" w:evenVBand="0" w:oddHBand="0" w:evenHBand="0" w:firstRowFirstColumn="0" w:firstRowLastColumn="0" w:lastRowFirstColumn="0" w:lastRowLastColumn="0"/>
              <w:rPr>
                <w:color w:val="000000"/>
                <w:sz w:val="16"/>
                <w:szCs w:val="16"/>
              </w:rPr>
            </w:pPr>
            <w:r w:rsidRPr="00187842">
              <w:rPr>
                <w:color w:val="auto"/>
                <w:sz w:val="16"/>
                <w:szCs w:val="16"/>
              </w:rPr>
              <w:t>Presented to the Executive Leadership Team.</w:t>
            </w:r>
          </w:p>
        </w:tc>
        <w:tc>
          <w:tcPr>
            <w:cnfStyle w:val="000010000000" w:firstRow="0" w:lastRow="0" w:firstColumn="0" w:lastColumn="0" w:oddVBand="1" w:evenVBand="0" w:oddHBand="0" w:evenHBand="0" w:firstRowFirstColumn="0" w:firstRowLastColumn="0" w:lastRowFirstColumn="0" w:lastRowLastColumn="0"/>
            <w:tcW w:w="1246" w:type="dxa"/>
          </w:tcPr>
          <w:p w14:paraId="5F0175E0" w14:textId="55505CC3" w:rsidR="00187842" w:rsidRPr="00D96B2D" w:rsidRDefault="000A09CB" w:rsidP="001B7161">
            <w:pPr>
              <w:rPr>
                <w:b/>
                <w:bCs/>
                <w:sz w:val="16"/>
                <w:szCs w:val="16"/>
              </w:rPr>
            </w:pPr>
            <w:r w:rsidRPr="00D96B2D">
              <w:rPr>
                <w:b/>
                <w:bCs/>
                <w:sz w:val="16"/>
                <w:szCs w:val="16"/>
              </w:rPr>
              <w:t>£32,150</w:t>
            </w:r>
          </w:p>
        </w:tc>
      </w:tr>
      <w:tr w:rsidR="00187842" w:rsidRPr="00187842" w14:paraId="3DEBBA13" w14:textId="05F188DF" w:rsidTr="00D96B2D">
        <w:tc>
          <w:tcPr>
            <w:cnfStyle w:val="000010000000" w:firstRow="0" w:lastRow="0" w:firstColumn="0" w:lastColumn="0" w:oddVBand="1" w:evenVBand="0" w:oddHBand="0" w:evenHBand="0" w:firstRowFirstColumn="0" w:firstRowLastColumn="0" w:lastRowFirstColumn="0" w:lastRowLastColumn="0"/>
            <w:tcW w:w="955" w:type="dxa"/>
          </w:tcPr>
          <w:p w14:paraId="3DEBBA10" w14:textId="77777777" w:rsidR="00187842" w:rsidRPr="00187842" w:rsidRDefault="00187842" w:rsidP="00980B53">
            <w:pPr>
              <w:pStyle w:val="Heading3"/>
              <w:spacing w:after="120"/>
              <w:jc w:val="center"/>
              <w:outlineLvl w:val="2"/>
              <w:rPr>
                <w:color w:val="000000"/>
                <w:sz w:val="16"/>
                <w:szCs w:val="16"/>
              </w:rPr>
            </w:pPr>
            <w:r w:rsidRPr="00187842">
              <w:rPr>
                <w:color w:val="000000"/>
                <w:sz w:val="16"/>
                <w:szCs w:val="16"/>
              </w:rPr>
              <w:t>3</w:t>
            </w:r>
          </w:p>
        </w:tc>
        <w:tc>
          <w:tcPr>
            <w:tcW w:w="1875" w:type="dxa"/>
          </w:tcPr>
          <w:p w14:paraId="3DEBBA11" w14:textId="77777777" w:rsidR="00187842" w:rsidRPr="00187842" w:rsidRDefault="00187842" w:rsidP="00980B53">
            <w:pPr>
              <w:pStyle w:val="Heading3"/>
              <w:spacing w:after="120"/>
              <w:outlineLvl w:val="2"/>
              <w:cnfStyle w:val="000000000000" w:firstRow="0" w:lastRow="0" w:firstColumn="0" w:lastColumn="0" w:oddVBand="0" w:evenVBand="0" w:oddHBand="0" w:evenHBand="0" w:firstRowFirstColumn="0" w:firstRowLastColumn="0" w:lastRowFirstColumn="0" w:lastRowLastColumn="0"/>
              <w:rPr>
                <w:color w:val="000000"/>
                <w:sz w:val="16"/>
                <w:szCs w:val="16"/>
              </w:rPr>
            </w:pPr>
            <w:r w:rsidRPr="00187842">
              <w:rPr>
                <w:color w:val="000000"/>
                <w:sz w:val="16"/>
                <w:szCs w:val="16"/>
              </w:rPr>
              <w:t>Agreement of the INSS target state based on the vision for our data maturity level and usage, with details of further quick wins that can be implemented to begin the transition. Must meet requirements as specified in section 6.5. Expected to be 10% of total cost for this milestone.</w:t>
            </w:r>
          </w:p>
        </w:tc>
        <w:tc>
          <w:tcPr>
            <w:cnfStyle w:val="000010000000" w:firstRow="0" w:lastRow="0" w:firstColumn="0" w:lastColumn="0" w:oddVBand="1" w:evenVBand="0" w:oddHBand="0" w:evenHBand="0" w:firstRowFirstColumn="0" w:firstRowLastColumn="0" w:lastRowFirstColumn="0" w:lastRowLastColumn="0"/>
            <w:tcW w:w="1134" w:type="dxa"/>
          </w:tcPr>
          <w:p w14:paraId="3DEBBA12" w14:textId="68CD3783" w:rsidR="00187842" w:rsidRPr="00187842" w:rsidRDefault="00187842" w:rsidP="00980B53">
            <w:pPr>
              <w:pStyle w:val="Heading3"/>
              <w:spacing w:after="120"/>
              <w:jc w:val="center"/>
              <w:outlineLvl w:val="2"/>
              <w:rPr>
                <w:color w:val="000000"/>
                <w:sz w:val="16"/>
                <w:szCs w:val="16"/>
              </w:rPr>
            </w:pPr>
            <w:r w:rsidRPr="00187842">
              <w:rPr>
                <w:color w:val="000000"/>
                <w:sz w:val="16"/>
                <w:szCs w:val="16"/>
              </w:rPr>
              <w:t>Within 4 weeks of Project kick-off</w:t>
            </w:r>
          </w:p>
        </w:tc>
        <w:tc>
          <w:tcPr>
            <w:tcW w:w="4421" w:type="dxa"/>
          </w:tcPr>
          <w:p w14:paraId="487D3017" w14:textId="77DCF745" w:rsidR="00187842" w:rsidRPr="00187842" w:rsidRDefault="00187842" w:rsidP="00725F79">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 xml:space="preserve">A high-level </w:t>
            </w:r>
            <w:proofErr w:type="spellStart"/>
            <w:r w:rsidRPr="00187842">
              <w:rPr>
                <w:sz w:val="16"/>
                <w:szCs w:val="16"/>
              </w:rPr>
              <w:t>Powerpoint</w:t>
            </w:r>
            <w:proofErr w:type="spellEnd"/>
            <w:r w:rsidRPr="00187842">
              <w:rPr>
                <w:sz w:val="16"/>
                <w:szCs w:val="16"/>
              </w:rPr>
              <w:t xml:space="preserve"> presentation (c</w:t>
            </w:r>
            <w:r w:rsidR="00D96B2D">
              <w:rPr>
                <w:sz w:val="16"/>
                <w:szCs w:val="16"/>
              </w:rPr>
              <w:t>irca</w:t>
            </w:r>
            <w:r w:rsidRPr="00187842">
              <w:rPr>
                <w:sz w:val="16"/>
                <w:szCs w:val="16"/>
              </w:rPr>
              <w:t xml:space="preserve">.6 </w:t>
            </w:r>
            <w:r w:rsidR="00D96B2D">
              <w:rPr>
                <w:sz w:val="16"/>
                <w:szCs w:val="16"/>
              </w:rPr>
              <w:t>s</w:t>
            </w:r>
            <w:r w:rsidRPr="00187842">
              <w:rPr>
                <w:sz w:val="16"/>
                <w:szCs w:val="16"/>
              </w:rPr>
              <w:t>lides) outlining the proposed Target State, supported by a summary of key inputs and data points.</w:t>
            </w:r>
          </w:p>
          <w:p w14:paraId="05AABDC6" w14:textId="77777777" w:rsidR="00187842" w:rsidRPr="00187842" w:rsidRDefault="00187842" w:rsidP="00725F79">
            <w:pPr>
              <w:cnfStyle w:val="000000000000" w:firstRow="0" w:lastRow="0" w:firstColumn="0" w:lastColumn="0" w:oddVBand="0" w:evenVBand="0" w:oddHBand="0" w:evenHBand="0" w:firstRowFirstColumn="0" w:firstRowLastColumn="0" w:lastRowFirstColumn="0" w:lastRowLastColumn="0"/>
              <w:rPr>
                <w:sz w:val="16"/>
                <w:szCs w:val="16"/>
              </w:rPr>
            </w:pPr>
          </w:p>
          <w:p w14:paraId="023EF920" w14:textId="77777777" w:rsidR="00187842" w:rsidRPr="00187842" w:rsidRDefault="00187842" w:rsidP="00725F79">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 xml:space="preserve">Engagement with key members of the Authority, such as focus groups, interviews, questionnaires, to develop the Authority’s target state for data maturity. </w:t>
            </w:r>
          </w:p>
          <w:p w14:paraId="44E7E9D6" w14:textId="77777777" w:rsidR="00187842" w:rsidRPr="00187842" w:rsidRDefault="00187842" w:rsidP="00725F79">
            <w:pPr>
              <w:cnfStyle w:val="000000000000" w:firstRow="0" w:lastRow="0" w:firstColumn="0" w:lastColumn="0" w:oddVBand="0" w:evenVBand="0" w:oddHBand="0" w:evenHBand="0" w:firstRowFirstColumn="0" w:firstRowLastColumn="0" w:lastRowFirstColumn="0" w:lastRowLastColumn="0"/>
              <w:rPr>
                <w:sz w:val="16"/>
                <w:szCs w:val="16"/>
              </w:rPr>
            </w:pPr>
          </w:p>
          <w:p w14:paraId="10028CD7" w14:textId="77777777" w:rsidR="00187842" w:rsidRPr="00187842" w:rsidRDefault="00187842" w:rsidP="00725F79">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 xml:space="preserve">The Target State for data maturity should align to the Authority’s vision: “to build confidence in the insolvency regime by underpinning operational and strategic decisions with trusted data and sound analysis.” </w:t>
            </w:r>
          </w:p>
          <w:p w14:paraId="4CE1D345" w14:textId="77777777" w:rsidR="00187842" w:rsidRPr="00187842" w:rsidRDefault="00187842" w:rsidP="00725F79">
            <w:pPr>
              <w:cnfStyle w:val="000000000000" w:firstRow="0" w:lastRow="0" w:firstColumn="0" w:lastColumn="0" w:oddVBand="0" w:evenVBand="0" w:oddHBand="0" w:evenHBand="0" w:firstRowFirstColumn="0" w:firstRowLastColumn="0" w:lastRowFirstColumn="0" w:lastRowLastColumn="0"/>
              <w:rPr>
                <w:sz w:val="16"/>
                <w:szCs w:val="16"/>
              </w:rPr>
            </w:pPr>
          </w:p>
          <w:p w14:paraId="4A25E90A" w14:textId="0D16AE0C" w:rsidR="00187842" w:rsidRPr="00187842" w:rsidRDefault="00187842" w:rsidP="00725F79">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Presented to the Authority’s Executive Leadership Team.</w:t>
            </w:r>
          </w:p>
        </w:tc>
        <w:tc>
          <w:tcPr>
            <w:cnfStyle w:val="000010000000" w:firstRow="0" w:lastRow="0" w:firstColumn="0" w:lastColumn="0" w:oddVBand="1" w:evenVBand="0" w:oddHBand="0" w:evenHBand="0" w:firstRowFirstColumn="0" w:firstRowLastColumn="0" w:lastRowFirstColumn="0" w:lastRowLastColumn="0"/>
            <w:tcW w:w="1246" w:type="dxa"/>
          </w:tcPr>
          <w:p w14:paraId="1E1C83CB" w14:textId="0D92670B" w:rsidR="00187842" w:rsidRPr="00D96B2D" w:rsidRDefault="000A09CB" w:rsidP="00725F79">
            <w:pPr>
              <w:rPr>
                <w:b/>
                <w:bCs/>
                <w:sz w:val="16"/>
                <w:szCs w:val="16"/>
              </w:rPr>
            </w:pPr>
            <w:r w:rsidRPr="00D96B2D">
              <w:rPr>
                <w:b/>
                <w:bCs/>
                <w:sz w:val="16"/>
                <w:szCs w:val="16"/>
              </w:rPr>
              <w:t>£16,500</w:t>
            </w:r>
          </w:p>
        </w:tc>
      </w:tr>
      <w:tr w:rsidR="00187842" w:rsidRPr="00187842" w14:paraId="3DEBBA17" w14:textId="74193CBD" w:rsidTr="00D96B2D">
        <w:tc>
          <w:tcPr>
            <w:cnfStyle w:val="000010000000" w:firstRow="0" w:lastRow="0" w:firstColumn="0" w:lastColumn="0" w:oddVBand="1" w:evenVBand="0" w:oddHBand="0" w:evenHBand="0" w:firstRowFirstColumn="0" w:firstRowLastColumn="0" w:lastRowFirstColumn="0" w:lastRowLastColumn="0"/>
            <w:tcW w:w="955" w:type="dxa"/>
          </w:tcPr>
          <w:p w14:paraId="3DEBBA14" w14:textId="77777777" w:rsidR="00187842" w:rsidRPr="00187842" w:rsidRDefault="00187842" w:rsidP="00980B53">
            <w:pPr>
              <w:pStyle w:val="Heading3"/>
              <w:spacing w:after="120"/>
              <w:jc w:val="center"/>
              <w:outlineLvl w:val="2"/>
              <w:rPr>
                <w:color w:val="000000"/>
                <w:sz w:val="16"/>
                <w:szCs w:val="16"/>
              </w:rPr>
            </w:pPr>
            <w:r w:rsidRPr="00187842">
              <w:rPr>
                <w:color w:val="000000"/>
                <w:sz w:val="16"/>
                <w:szCs w:val="16"/>
              </w:rPr>
              <w:lastRenderedPageBreak/>
              <w:t>4</w:t>
            </w:r>
          </w:p>
        </w:tc>
        <w:tc>
          <w:tcPr>
            <w:tcW w:w="1875" w:type="dxa"/>
          </w:tcPr>
          <w:p w14:paraId="3DEBBA15" w14:textId="33E8E670" w:rsidR="00187842" w:rsidRPr="00187842" w:rsidRDefault="00187842" w:rsidP="00980B53">
            <w:pPr>
              <w:pStyle w:val="Heading3"/>
              <w:spacing w:after="120"/>
              <w:outlineLvl w:val="2"/>
              <w:cnfStyle w:val="000000000000" w:firstRow="0" w:lastRow="0" w:firstColumn="0" w:lastColumn="0" w:oddVBand="0" w:evenVBand="0" w:oddHBand="0" w:evenHBand="0" w:firstRowFirstColumn="0" w:firstRowLastColumn="0" w:lastRowFirstColumn="0" w:lastRowLastColumn="0"/>
              <w:rPr>
                <w:color w:val="000000"/>
                <w:sz w:val="16"/>
                <w:szCs w:val="16"/>
              </w:rPr>
            </w:pPr>
            <w:r w:rsidRPr="00187842">
              <w:rPr>
                <w:color w:val="000000"/>
                <w:sz w:val="16"/>
                <w:szCs w:val="16"/>
              </w:rPr>
              <w:t>Delivery of the first iteration of the data strategy for review and feedback from INSS that needs to be incorporated into the next iteration. Must meet requirements as specified in section 6.6 of the Statement of Requirements see Schedule 1 – Annex 1). Expected to be 20% of total cost for this milestone.</w:t>
            </w:r>
          </w:p>
        </w:tc>
        <w:tc>
          <w:tcPr>
            <w:cnfStyle w:val="000010000000" w:firstRow="0" w:lastRow="0" w:firstColumn="0" w:lastColumn="0" w:oddVBand="1" w:evenVBand="0" w:oddHBand="0" w:evenHBand="0" w:firstRowFirstColumn="0" w:firstRowLastColumn="0" w:lastRowFirstColumn="0" w:lastRowLastColumn="0"/>
            <w:tcW w:w="1134" w:type="dxa"/>
          </w:tcPr>
          <w:p w14:paraId="3DEBBA16" w14:textId="0D9EBC42" w:rsidR="00187842" w:rsidRPr="00187842" w:rsidRDefault="00187842" w:rsidP="00980B53">
            <w:pPr>
              <w:pStyle w:val="Heading3"/>
              <w:spacing w:after="120"/>
              <w:jc w:val="center"/>
              <w:outlineLvl w:val="2"/>
              <w:rPr>
                <w:color w:val="000000"/>
                <w:sz w:val="16"/>
                <w:szCs w:val="16"/>
              </w:rPr>
            </w:pPr>
            <w:r w:rsidRPr="00187842">
              <w:rPr>
                <w:color w:val="000000"/>
                <w:sz w:val="16"/>
                <w:szCs w:val="16"/>
              </w:rPr>
              <w:t>Within 8 weeks of Project kick-off</w:t>
            </w:r>
          </w:p>
        </w:tc>
        <w:tc>
          <w:tcPr>
            <w:tcW w:w="4421" w:type="dxa"/>
          </w:tcPr>
          <w:p w14:paraId="210480B6" w14:textId="77777777" w:rsidR="00187842" w:rsidRPr="00187842" w:rsidRDefault="00187842" w:rsidP="00E731D3">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 xml:space="preserve">A PowerPoint presentation that can be used to communicate the strategy in a user-friendly format that is suitable for an audience with no prior knowledge of data strategies, and a full report that provides the detail, supporting evidence, and rationale for the strategy. </w:t>
            </w:r>
          </w:p>
          <w:p w14:paraId="44CA90D2" w14:textId="77777777" w:rsidR="00187842" w:rsidRPr="00187842" w:rsidRDefault="00187842" w:rsidP="00E731D3">
            <w:pPr>
              <w:cnfStyle w:val="000000000000" w:firstRow="0" w:lastRow="0" w:firstColumn="0" w:lastColumn="0" w:oddVBand="0" w:evenVBand="0" w:oddHBand="0" w:evenHBand="0" w:firstRowFirstColumn="0" w:firstRowLastColumn="0" w:lastRowFirstColumn="0" w:lastRowLastColumn="0"/>
              <w:rPr>
                <w:sz w:val="16"/>
                <w:szCs w:val="16"/>
              </w:rPr>
            </w:pPr>
          </w:p>
          <w:p w14:paraId="2A22A5CD" w14:textId="77777777" w:rsidR="00187842" w:rsidRPr="00187842" w:rsidRDefault="00187842" w:rsidP="00E731D3">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 xml:space="preserve">Summary page summarising where we are now, where we want to get to </w:t>
            </w:r>
            <w:proofErr w:type="spellStart"/>
            <w:r w:rsidRPr="00187842">
              <w:rPr>
                <w:sz w:val="16"/>
                <w:szCs w:val="16"/>
              </w:rPr>
              <w:t>based</w:t>
            </w:r>
            <w:proofErr w:type="spellEnd"/>
            <w:r w:rsidRPr="00187842">
              <w:rPr>
                <w:sz w:val="16"/>
                <w:szCs w:val="16"/>
              </w:rPr>
              <w:t xml:space="preserve"> on the current measures of maturity, and what we do to make it happen. This should provide an outline with a timescale for the actions to reach the target state. </w:t>
            </w:r>
          </w:p>
          <w:p w14:paraId="0E3F7754" w14:textId="77777777" w:rsidR="00187842" w:rsidRPr="00187842" w:rsidRDefault="00187842" w:rsidP="00E731D3">
            <w:pPr>
              <w:cnfStyle w:val="000000000000" w:firstRow="0" w:lastRow="0" w:firstColumn="0" w:lastColumn="0" w:oddVBand="0" w:evenVBand="0" w:oddHBand="0" w:evenHBand="0" w:firstRowFirstColumn="0" w:firstRowLastColumn="0" w:lastRowFirstColumn="0" w:lastRowLastColumn="0"/>
              <w:rPr>
                <w:sz w:val="16"/>
                <w:szCs w:val="16"/>
              </w:rPr>
            </w:pPr>
          </w:p>
          <w:p w14:paraId="33D17A6D" w14:textId="77777777" w:rsidR="00187842" w:rsidRPr="00187842" w:rsidRDefault="00187842" w:rsidP="00E731D3">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 xml:space="preserve">The Data Strategy should be developed in consultation with key members of the Agency, including (but not limited to) Information Governance, Service Architecture, Subject Matter Experts, in-flight projects, Security, Business Areas, change authorities, Analysis and Performance, Finance and Commercial partners.  </w:t>
            </w:r>
          </w:p>
          <w:p w14:paraId="0652882F" w14:textId="77777777" w:rsidR="00187842" w:rsidRPr="00187842" w:rsidRDefault="00187842" w:rsidP="00E731D3">
            <w:pPr>
              <w:cnfStyle w:val="000000000000" w:firstRow="0" w:lastRow="0" w:firstColumn="0" w:lastColumn="0" w:oddVBand="0" w:evenVBand="0" w:oddHBand="0" w:evenHBand="0" w:firstRowFirstColumn="0" w:firstRowLastColumn="0" w:lastRowFirstColumn="0" w:lastRowLastColumn="0"/>
              <w:rPr>
                <w:sz w:val="16"/>
                <w:szCs w:val="16"/>
              </w:rPr>
            </w:pPr>
          </w:p>
          <w:p w14:paraId="273F2BB9" w14:textId="77777777" w:rsidR="00187842" w:rsidRPr="00187842" w:rsidRDefault="00187842" w:rsidP="00E731D3">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 xml:space="preserve">It should cover how the Agency intends to identify, store, provision, process, use, and govern data in its Target State. </w:t>
            </w:r>
          </w:p>
          <w:p w14:paraId="3D7D17F9" w14:textId="77777777" w:rsidR="00187842" w:rsidRPr="00187842" w:rsidRDefault="00187842" w:rsidP="00E731D3">
            <w:pPr>
              <w:cnfStyle w:val="000000000000" w:firstRow="0" w:lastRow="0" w:firstColumn="0" w:lastColumn="0" w:oddVBand="0" w:evenVBand="0" w:oddHBand="0" w:evenHBand="0" w:firstRowFirstColumn="0" w:firstRowLastColumn="0" w:lastRowFirstColumn="0" w:lastRowLastColumn="0"/>
              <w:rPr>
                <w:sz w:val="16"/>
                <w:szCs w:val="16"/>
              </w:rPr>
            </w:pPr>
          </w:p>
          <w:p w14:paraId="25FDB093" w14:textId="64DC1966" w:rsidR="00187842" w:rsidRPr="00187842" w:rsidRDefault="00187842" w:rsidP="00E731D3">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Each section of the Strategy should contain an overview of the current state, the gap, and the Target State, and articulate what the Agency needs to set as the requirements to achieve this Target State, which areas are key to achieving it, the impacts on our people, any regulations that need to be adhered to. It should form a statement of intent.</w:t>
            </w:r>
          </w:p>
        </w:tc>
        <w:tc>
          <w:tcPr>
            <w:cnfStyle w:val="000010000000" w:firstRow="0" w:lastRow="0" w:firstColumn="0" w:lastColumn="0" w:oddVBand="1" w:evenVBand="0" w:oddHBand="0" w:evenHBand="0" w:firstRowFirstColumn="0" w:firstRowLastColumn="0" w:lastRowFirstColumn="0" w:lastRowLastColumn="0"/>
            <w:tcW w:w="1246" w:type="dxa"/>
          </w:tcPr>
          <w:p w14:paraId="1A040E53" w14:textId="77777777" w:rsidR="00187842" w:rsidRPr="00D96B2D" w:rsidRDefault="00E96F4C" w:rsidP="00E731D3">
            <w:pPr>
              <w:rPr>
                <w:b/>
                <w:bCs/>
                <w:sz w:val="16"/>
                <w:szCs w:val="16"/>
              </w:rPr>
            </w:pPr>
            <w:r w:rsidRPr="00D96B2D">
              <w:rPr>
                <w:b/>
                <w:bCs/>
                <w:sz w:val="16"/>
                <w:szCs w:val="16"/>
              </w:rPr>
              <w:t>£23,670</w:t>
            </w:r>
          </w:p>
          <w:p w14:paraId="073C1C78" w14:textId="6797ACBD" w:rsidR="00440188" w:rsidRPr="00187842" w:rsidRDefault="00440188" w:rsidP="00E731D3">
            <w:pPr>
              <w:rPr>
                <w:sz w:val="16"/>
                <w:szCs w:val="16"/>
              </w:rPr>
            </w:pPr>
            <w:r>
              <w:rPr>
                <w:sz w:val="16"/>
                <w:szCs w:val="16"/>
              </w:rPr>
              <w:t>(20% of Data Strategy Costs)</w:t>
            </w:r>
          </w:p>
        </w:tc>
      </w:tr>
      <w:tr w:rsidR="00187842" w:rsidRPr="00187842" w14:paraId="3DEBBA1B" w14:textId="4359E152" w:rsidTr="00D96B2D">
        <w:tc>
          <w:tcPr>
            <w:cnfStyle w:val="000010000000" w:firstRow="0" w:lastRow="0" w:firstColumn="0" w:lastColumn="0" w:oddVBand="1" w:evenVBand="0" w:oddHBand="0" w:evenHBand="0" w:firstRowFirstColumn="0" w:firstRowLastColumn="0" w:lastRowFirstColumn="0" w:lastRowLastColumn="0"/>
            <w:tcW w:w="955" w:type="dxa"/>
          </w:tcPr>
          <w:p w14:paraId="3DEBBA18" w14:textId="77777777" w:rsidR="00187842" w:rsidRPr="00187842" w:rsidRDefault="00187842">
            <w:pPr>
              <w:pStyle w:val="Heading3"/>
              <w:spacing w:after="120"/>
              <w:jc w:val="center"/>
              <w:outlineLvl w:val="2"/>
              <w:rPr>
                <w:color w:val="000000"/>
                <w:sz w:val="16"/>
                <w:szCs w:val="16"/>
              </w:rPr>
            </w:pPr>
            <w:r w:rsidRPr="00187842">
              <w:rPr>
                <w:color w:val="000000"/>
                <w:sz w:val="16"/>
                <w:szCs w:val="16"/>
              </w:rPr>
              <w:t>5</w:t>
            </w:r>
          </w:p>
        </w:tc>
        <w:tc>
          <w:tcPr>
            <w:tcW w:w="1875" w:type="dxa"/>
          </w:tcPr>
          <w:p w14:paraId="3DEBBA19" w14:textId="7BC220A6" w:rsidR="00187842" w:rsidRPr="00187842" w:rsidRDefault="00187842">
            <w:pPr>
              <w:pStyle w:val="Heading3"/>
              <w:spacing w:after="120"/>
              <w:outlineLvl w:val="2"/>
              <w:cnfStyle w:val="000000000000" w:firstRow="0" w:lastRow="0" w:firstColumn="0" w:lastColumn="0" w:oddVBand="0" w:evenVBand="0" w:oddHBand="0" w:evenHBand="0" w:firstRowFirstColumn="0" w:firstRowLastColumn="0" w:lastRowFirstColumn="0" w:lastRowLastColumn="0"/>
              <w:rPr>
                <w:color w:val="000000"/>
                <w:sz w:val="16"/>
                <w:szCs w:val="16"/>
              </w:rPr>
            </w:pPr>
            <w:r w:rsidRPr="00187842">
              <w:rPr>
                <w:color w:val="000000"/>
                <w:sz w:val="16"/>
                <w:szCs w:val="16"/>
              </w:rPr>
              <w:t>Delivery of the second iteration of the data strategy for review and feedback from INSS that needs to be incorporated into the next iteration. Must meet requirements as specified in section 6.6 of the Statement of Requirements (see Schedule 1 – Annex 1). Expected to be 20% of total cost for this milestone.</w:t>
            </w:r>
          </w:p>
        </w:tc>
        <w:tc>
          <w:tcPr>
            <w:cnfStyle w:val="000010000000" w:firstRow="0" w:lastRow="0" w:firstColumn="0" w:lastColumn="0" w:oddVBand="1" w:evenVBand="0" w:oddHBand="0" w:evenHBand="0" w:firstRowFirstColumn="0" w:firstRowLastColumn="0" w:lastRowFirstColumn="0" w:lastRowLastColumn="0"/>
            <w:tcW w:w="1134" w:type="dxa"/>
          </w:tcPr>
          <w:p w14:paraId="3DEBBA1A" w14:textId="1C0F2F15" w:rsidR="00187842" w:rsidRPr="00187842" w:rsidRDefault="00187842">
            <w:pPr>
              <w:pStyle w:val="Heading3"/>
              <w:spacing w:after="120"/>
              <w:jc w:val="center"/>
              <w:outlineLvl w:val="2"/>
              <w:rPr>
                <w:color w:val="000000"/>
                <w:sz w:val="16"/>
                <w:szCs w:val="16"/>
              </w:rPr>
            </w:pPr>
            <w:r w:rsidRPr="00187842">
              <w:rPr>
                <w:color w:val="000000"/>
                <w:sz w:val="16"/>
                <w:szCs w:val="16"/>
              </w:rPr>
              <w:t>Within 10 weeks of Project kick-off</w:t>
            </w:r>
          </w:p>
        </w:tc>
        <w:tc>
          <w:tcPr>
            <w:tcW w:w="4421" w:type="dxa"/>
          </w:tcPr>
          <w:p w14:paraId="0C871F46" w14:textId="77777777" w:rsidR="00187842" w:rsidRPr="00187842" w:rsidRDefault="00187842" w:rsidP="00391288">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Revisions to the findings &amp; conclusions of the 1</w:t>
            </w:r>
            <w:r w:rsidRPr="00187842">
              <w:rPr>
                <w:sz w:val="16"/>
                <w:szCs w:val="16"/>
                <w:vertAlign w:val="superscript"/>
              </w:rPr>
              <w:t>st</w:t>
            </w:r>
            <w:r w:rsidRPr="00187842">
              <w:rPr>
                <w:sz w:val="16"/>
                <w:szCs w:val="16"/>
              </w:rPr>
              <w:t xml:space="preserve"> iteration data strategy based on consultation with key members of the Agency including (but not limited to) Information Governance, Service Architecture, Subject Matter Experts, in-flight projects, Security, Business Areas, change authorities, Analysis and Performance, Finance and Commercial partners.  </w:t>
            </w:r>
          </w:p>
          <w:p w14:paraId="36C77CE6" w14:textId="77777777" w:rsidR="00187842" w:rsidRPr="00187842" w:rsidRDefault="00187842" w:rsidP="00391288">
            <w:pPr>
              <w:cnfStyle w:val="000000000000" w:firstRow="0" w:lastRow="0" w:firstColumn="0" w:lastColumn="0" w:oddVBand="0" w:evenVBand="0" w:oddHBand="0" w:evenHBand="0" w:firstRowFirstColumn="0" w:firstRowLastColumn="0" w:lastRowFirstColumn="0" w:lastRowLastColumn="0"/>
              <w:rPr>
                <w:sz w:val="16"/>
                <w:szCs w:val="16"/>
              </w:rPr>
            </w:pPr>
          </w:p>
          <w:p w14:paraId="7D8ED6C9" w14:textId="5CBBEC6F" w:rsidR="00187842" w:rsidRPr="00187842" w:rsidRDefault="00187842" w:rsidP="00391288">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Any technology-specific recommendations for software, architecture, governance, and storage of data that may be required, compiled in a report using suitable technical language.</w:t>
            </w:r>
          </w:p>
        </w:tc>
        <w:tc>
          <w:tcPr>
            <w:cnfStyle w:val="000010000000" w:firstRow="0" w:lastRow="0" w:firstColumn="0" w:lastColumn="0" w:oddVBand="1" w:evenVBand="0" w:oddHBand="0" w:evenHBand="0" w:firstRowFirstColumn="0" w:firstRowLastColumn="0" w:lastRowFirstColumn="0" w:lastRowLastColumn="0"/>
            <w:tcW w:w="1246" w:type="dxa"/>
          </w:tcPr>
          <w:p w14:paraId="3B501F06" w14:textId="77777777" w:rsidR="00187842" w:rsidRPr="00D96B2D" w:rsidRDefault="00E96F4C" w:rsidP="00391288">
            <w:pPr>
              <w:rPr>
                <w:b/>
                <w:bCs/>
                <w:sz w:val="16"/>
                <w:szCs w:val="16"/>
              </w:rPr>
            </w:pPr>
            <w:r w:rsidRPr="00D96B2D">
              <w:rPr>
                <w:b/>
                <w:bCs/>
                <w:sz w:val="16"/>
                <w:szCs w:val="16"/>
              </w:rPr>
              <w:t>£35,505</w:t>
            </w:r>
          </w:p>
          <w:p w14:paraId="6A25D097" w14:textId="395C6BE6" w:rsidR="00440188" w:rsidRPr="00187842" w:rsidRDefault="00440188" w:rsidP="00391288">
            <w:pPr>
              <w:rPr>
                <w:sz w:val="16"/>
                <w:szCs w:val="16"/>
              </w:rPr>
            </w:pPr>
            <w:r>
              <w:rPr>
                <w:sz w:val="16"/>
                <w:szCs w:val="16"/>
              </w:rPr>
              <w:t>(30% of Data Strategy Costs)</w:t>
            </w:r>
          </w:p>
        </w:tc>
      </w:tr>
      <w:tr w:rsidR="00187842" w:rsidRPr="00187842" w14:paraId="3DEBBA1F" w14:textId="6F505B5A" w:rsidTr="00D96B2D">
        <w:tc>
          <w:tcPr>
            <w:cnfStyle w:val="000010000000" w:firstRow="0" w:lastRow="0" w:firstColumn="0" w:lastColumn="0" w:oddVBand="1" w:evenVBand="0" w:oddHBand="0" w:evenHBand="0" w:firstRowFirstColumn="0" w:firstRowLastColumn="0" w:lastRowFirstColumn="0" w:lastRowLastColumn="0"/>
            <w:tcW w:w="955" w:type="dxa"/>
          </w:tcPr>
          <w:p w14:paraId="3DEBBA1C" w14:textId="77777777" w:rsidR="00187842" w:rsidRPr="00187842" w:rsidRDefault="00187842">
            <w:pPr>
              <w:pStyle w:val="Heading3"/>
              <w:spacing w:after="120"/>
              <w:jc w:val="center"/>
              <w:outlineLvl w:val="2"/>
              <w:rPr>
                <w:color w:val="000000"/>
                <w:sz w:val="16"/>
                <w:szCs w:val="16"/>
              </w:rPr>
            </w:pPr>
            <w:r w:rsidRPr="00187842">
              <w:rPr>
                <w:color w:val="000000"/>
                <w:sz w:val="16"/>
                <w:szCs w:val="16"/>
              </w:rPr>
              <w:t>6</w:t>
            </w:r>
          </w:p>
        </w:tc>
        <w:tc>
          <w:tcPr>
            <w:tcW w:w="1875" w:type="dxa"/>
          </w:tcPr>
          <w:p w14:paraId="3DEBBA1D" w14:textId="77777777" w:rsidR="00187842" w:rsidRPr="00187842" w:rsidRDefault="00187842">
            <w:pPr>
              <w:pStyle w:val="Heading3"/>
              <w:spacing w:after="120"/>
              <w:outlineLvl w:val="2"/>
              <w:cnfStyle w:val="000000000000" w:firstRow="0" w:lastRow="0" w:firstColumn="0" w:lastColumn="0" w:oddVBand="0" w:evenVBand="0" w:oddHBand="0" w:evenHBand="0" w:firstRowFirstColumn="0" w:firstRowLastColumn="0" w:lastRowFirstColumn="0" w:lastRowLastColumn="0"/>
              <w:rPr>
                <w:color w:val="000000"/>
                <w:sz w:val="16"/>
                <w:szCs w:val="16"/>
              </w:rPr>
            </w:pPr>
            <w:r w:rsidRPr="00187842">
              <w:rPr>
                <w:color w:val="000000"/>
                <w:sz w:val="16"/>
                <w:szCs w:val="16"/>
              </w:rPr>
              <w:t>Delivery of the third and final iteration of the data strategy, meeting acceptance criteria of the product and agreed by Executive Leadership Team. Must meet requirements as specified in section 6.6. Expected to be 20% of total cost for this milestone.</w:t>
            </w:r>
          </w:p>
        </w:tc>
        <w:tc>
          <w:tcPr>
            <w:cnfStyle w:val="000010000000" w:firstRow="0" w:lastRow="0" w:firstColumn="0" w:lastColumn="0" w:oddVBand="1" w:evenVBand="0" w:oddHBand="0" w:evenHBand="0" w:firstRowFirstColumn="0" w:firstRowLastColumn="0" w:lastRowFirstColumn="0" w:lastRowLastColumn="0"/>
            <w:tcW w:w="1134" w:type="dxa"/>
          </w:tcPr>
          <w:p w14:paraId="3DEBBA1E" w14:textId="107BAEE9" w:rsidR="00187842" w:rsidRPr="00187842" w:rsidRDefault="00187842">
            <w:pPr>
              <w:pStyle w:val="Heading3"/>
              <w:spacing w:after="120"/>
              <w:jc w:val="center"/>
              <w:outlineLvl w:val="2"/>
              <w:rPr>
                <w:color w:val="000000"/>
                <w:sz w:val="16"/>
                <w:szCs w:val="16"/>
              </w:rPr>
            </w:pPr>
            <w:r w:rsidRPr="00187842">
              <w:rPr>
                <w:color w:val="000000"/>
                <w:sz w:val="16"/>
                <w:szCs w:val="16"/>
              </w:rPr>
              <w:t>Within 12 weeks of Project kick-off</w:t>
            </w:r>
          </w:p>
        </w:tc>
        <w:tc>
          <w:tcPr>
            <w:tcW w:w="4421" w:type="dxa"/>
          </w:tcPr>
          <w:p w14:paraId="64629411" w14:textId="77777777" w:rsidR="00187842" w:rsidRPr="00187842" w:rsidRDefault="00187842" w:rsidP="000E6409">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 xml:space="preserve">Revisions to the findings &amp; conclusions of the 2nd iteration data strategy based on consultation with key members of the Agency including (but not limited to) Information Governance, Service Architecture, Subject Matter Experts, in-flight projects, Security, Business Areas, change authorities, Analysis and Performance, Finance and Commercial partners.  </w:t>
            </w:r>
          </w:p>
          <w:p w14:paraId="76FBD5B4" w14:textId="3E70A1BF" w:rsidR="00187842" w:rsidRPr="00187842" w:rsidRDefault="00187842" w:rsidP="000E6409">
            <w:pPr>
              <w:pStyle w:val="Heading3"/>
              <w:spacing w:after="120"/>
              <w:outlineLvl w:val="2"/>
              <w:cnfStyle w:val="000000000000" w:firstRow="0" w:lastRow="0" w:firstColumn="0" w:lastColumn="0" w:oddVBand="0" w:evenVBand="0" w:oddHBand="0" w:evenHBand="0" w:firstRowFirstColumn="0" w:firstRowLastColumn="0" w:lastRowFirstColumn="0" w:lastRowLastColumn="0"/>
              <w:rPr>
                <w:color w:val="auto"/>
                <w:sz w:val="16"/>
                <w:szCs w:val="16"/>
              </w:rPr>
            </w:pPr>
            <w:r w:rsidRPr="00187842">
              <w:rPr>
                <w:color w:val="auto"/>
                <w:sz w:val="16"/>
                <w:szCs w:val="16"/>
              </w:rPr>
              <w:t>A version of the PowerPoint aimed specifically at, and presented to, the Executive Leadership Team. This will highlight the rationale behind the strategy outcomes, the benefits of implementing each recommendation, and how it supports the Agency Five Year Strategy.</w:t>
            </w:r>
          </w:p>
        </w:tc>
        <w:tc>
          <w:tcPr>
            <w:cnfStyle w:val="000010000000" w:firstRow="0" w:lastRow="0" w:firstColumn="0" w:lastColumn="0" w:oddVBand="1" w:evenVBand="0" w:oddHBand="0" w:evenHBand="0" w:firstRowFirstColumn="0" w:firstRowLastColumn="0" w:lastRowFirstColumn="0" w:lastRowLastColumn="0"/>
            <w:tcW w:w="1246" w:type="dxa"/>
          </w:tcPr>
          <w:p w14:paraId="4CE61C5A" w14:textId="77777777" w:rsidR="00187842" w:rsidRPr="00D96B2D" w:rsidRDefault="00E96F4C" w:rsidP="000E6409">
            <w:pPr>
              <w:rPr>
                <w:b/>
                <w:bCs/>
                <w:sz w:val="16"/>
                <w:szCs w:val="16"/>
              </w:rPr>
            </w:pPr>
            <w:r w:rsidRPr="00D96B2D">
              <w:rPr>
                <w:b/>
                <w:bCs/>
                <w:sz w:val="16"/>
                <w:szCs w:val="16"/>
              </w:rPr>
              <w:t>£59,175</w:t>
            </w:r>
          </w:p>
          <w:p w14:paraId="78CD702C" w14:textId="481E1C1A" w:rsidR="00E96F4C" w:rsidRPr="00187842" w:rsidRDefault="00E96F4C" w:rsidP="000E6409">
            <w:pPr>
              <w:rPr>
                <w:sz w:val="16"/>
                <w:szCs w:val="16"/>
              </w:rPr>
            </w:pPr>
            <w:r>
              <w:rPr>
                <w:sz w:val="16"/>
                <w:szCs w:val="16"/>
              </w:rPr>
              <w:t xml:space="preserve">(50% of </w:t>
            </w:r>
            <w:r w:rsidR="00440188">
              <w:rPr>
                <w:sz w:val="16"/>
                <w:szCs w:val="16"/>
              </w:rPr>
              <w:t>Data Strategy Costs)</w:t>
            </w:r>
          </w:p>
        </w:tc>
      </w:tr>
      <w:tr w:rsidR="00187842" w:rsidRPr="00187842" w14:paraId="3DEBBA23" w14:textId="080C05E9" w:rsidTr="00D96B2D">
        <w:tc>
          <w:tcPr>
            <w:cnfStyle w:val="000010000000" w:firstRow="0" w:lastRow="0" w:firstColumn="0" w:lastColumn="0" w:oddVBand="1" w:evenVBand="0" w:oddHBand="0" w:evenHBand="0" w:firstRowFirstColumn="0" w:firstRowLastColumn="0" w:lastRowFirstColumn="0" w:lastRowLastColumn="0"/>
            <w:tcW w:w="955" w:type="dxa"/>
          </w:tcPr>
          <w:p w14:paraId="3DEBBA20" w14:textId="77777777" w:rsidR="00187842" w:rsidRPr="00187842" w:rsidRDefault="00187842">
            <w:pPr>
              <w:pStyle w:val="Heading3"/>
              <w:spacing w:after="120"/>
              <w:jc w:val="center"/>
              <w:outlineLvl w:val="2"/>
              <w:rPr>
                <w:color w:val="000000"/>
                <w:sz w:val="16"/>
                <w:szCs w:val="16"/>
              </w:rPr>
            </w:pPr>
            <w:r w:rsidRPr="00187842">
              <w:rPr>
                <w:color w:val="000000"/>
                <w:sz w:val="16"/>
                <w:szCs w:val="16"/>
              </w:rPr>
              <w:lastRenderedPageBreak/>
              <w:t>7</w:t>
            </w:r>
          </w:p>
        </w:tc>
        <w:tc>
          <w:tcPr>
            <w:tcW w:w="1875" w:type="dxa"/>
          </w:tcPr>
          <w:p w14:paraId="3DEBBA21" w14:textId="77777777" w:rsidR="00187842" w:rsidRPr="00187842" w:rsidRDefault="00187842">
            <w:pPr>
              <w:pStyle w:val="Heading3"/>
              <w:spacing w:after="120"/>
              <w:outlineLvl w:val="2"/>
              <w:cnfStyle w:val="000000000000" w:firstRow="0" w:lastRow="0" w:firstColumn="0" w:lastColumn="0" w:oddVBand="0" w:evenVBand="0" w:oddHBand="0" w:evenHBand="0" w:firstRowFirstColumn="0" w:firstRowLastColumn="0" w:lastRowFirstColumn="0" w:lastRowLastColumn="0"/>
              <w:rPr>
                <w:color w:val="000000"/>
                <w:sz w:val="16"/>
                <w:szCs w:val="16"/>
              </w:rPr>
            </w:pPr>
            <w:r w:rsidRPr="00187842">
              <w:rPr>
                <w:color w:val="000000"/>
                <w:sz w:val="16"/>
                <w:szCs w:val="16"/>
              </w:rPr>
              <w:t>Delivery and ratification of the implementation plan for achieving the ambitions of the data strategy. Must meet requirements as specified in section 6.7. Expected to be 10% of total cost for this milestone.</w:t>
            </w:r>
          </w:p>
        </w:tc>
        <w:tc>
          <w:tcPr>
            <w:cnfStyle w:val="000010000000" w:firstRow="0" w:lastRow="0" w:firstColumn="0" w:lastColumn="0" w:oddVBand="1" w:evenVBand="0" w:oddHBand="0" w:evenHBand="0" w:firstRowFirstColumn="0" w:firstRowLastColumn="0" w:lastRowFirstColumn="0" w:lastRowLastColumn="0"/>
            <w:tcW w:w="1134" w:type="dxa"/>
          </w:tcPr>
          <w:p w14:paraId="3DEBBA22" w14:textId="649ECE65" w:rsidR="00187842" w:rsidRPr="00187842" w:rsidRDefault="00187842">
            <w:pPr>
              <w:pStyle w:val="Heading3"/>
              <w:spacing w:after="120"/>
              <w:jc w:val="center"/>
              <w:outlineLvl w:val="2"/>
              <w:rPr>
                <w:color w:val="000000"/>
                <w:sz w:val="16"/>
                <w:szCs w:val="16"/>
              </w:rPr>
            </w:pPr>
            <w:r w:rsidRPr="00187842">
              <w:rPr>
                <w:color w:val="000000"/>
                <w:sz w:val="16"/>
                <w:szCs w:val="16"/>
              </w:rPr>
              <w:t>Within 14 weeks of Project kick-off</w:t>
            </w:r>
          </w:p>
        </w:tc>
        <w:tc>
          <w:tcPr>
            <w:tcW w:w="4421" w:type="dxa"/>
          </w:tcPr>
          <w:p w14:paraId="5E27645F" w14:textId="77777777" w:rsidR="00187842" w:rsidRPr="00187842" w:rsidRDefault="00187842" w:rsidP="00187842">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 xml:space="preserve">A visual guide that can be shared with any colleague and easily understood. </w:t>
            </w:r>
          </w:p>
          <w:p w14:paraId="28428387" w14:textId="77777777" w:rsidR="00187842" w:rsidRPr="00187842" w:rsidRDefault="00187842" w:rsidP="00187842">
            <w:pPr>
              <w:cnfStyle w:val="000000000000" w:firstRow="0" w:lastRow="0" w:firstColumn="0" w:lastColumn="0" w:oddVBand="0" w:evenVBand="0" w:oddHBand="0" w:evenHBand="0" w:firstRowFirstColumn="0" w:firstRowLastColumn="0" w:lastRowFirstColumn="0" w:lastRowLastColumn="0"/>
              <w:rPr>
                <w:sz w:val="16"/>
                <w:szCs w:val="16"/>
              </w:rPr>
            </w:pPr>
          </w:p>
          <w:p w14:paraId="1ABCA4EB" w14:textId="77777777" w:rsidR="00187842" w:rsidRPr="00187842" w:rsidRDefault="00187842" w:rsidP="00187842">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 xml:space="preserve">Accompanying written document with lower level detail (c.1 slide per key near term initiative with a high level project charter). </w:t>
            </w:r>
          </w:p>
          <w:p w14:paraId="520F7ACD" w14:textId="77777777" w:rsidR="00187842" w:rsidRPr="00187842" w:rsidRDefault="00187842" w:rsidP="00187842">
            <w:pPr>
              <w:cnfStyle w:val="000000000000" w:firstRow="0" w:lastRow="0" w:firstColumn="0" w:lastColumn="0" w:oddVBand="0" w:evenVBand="0" w:oddHBand="0" w:evenHBand="0" w:firstRowFirstColumn="0" w:firstRowLastColumn="0" w:lastRowFirstColumn="0" w:lastRowLastColumn="0"/>
              <w:rPr>
                <w:sz w:val="16"/>
                <w:szCs w:val="16"/>
              </w:rPr>
            </w:pPr>
          </w:p>
          <w:p w14:paraId="36E6E37D" w14:textId="77777777" w:rsidR="00187842" w:rsidRPr="00187842" w:rsidRDefault="00187842" w:rsidP="00187842">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It should outline:</w:t>
            </w:r>
          </w:p>
          <w:p w14:paraId="52B20428" w14:textId="77777777" w:rsidR="00187842" w:rsidRPr="00187842" w:rsidRDefault="00187842" w:rsidP="009D7AFD">
            <w:pPr>
              <w:pStyle w:val="ListParagraph"/>
              <w:numPr>
                <w:ilvl w:val="0"/>
                <w:numId w:val="43"/>
              </w:numPr>
              <w:suppressAutoHyphens w:val="0"/>
              <w:autoSpaceDN/>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Details of changes that need to be implemented</w:t>
            </w:r>
          </w:p>
          <w:p w14:paraId="125652E4" w14:textId="77777777" w:rsidR="00187842" w:rsidRPr="00187842" w:rsidRDefault="00187842" w:rsidP="009D7AFD">
            <w:pPr>
              <w:pStyle w:val="ListParagraph"/>
              <w:numPr>
                <w:ilvl w:val="0"/>
                <w:numId w:val="43"/>
              </w:numPr>
              <w:suppressAutoHyphens w:val="0"/>
              <w:autoSpaceDN/>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Projects that need to be stood up to achieve parts of the Data Strategy</w:t>
            </w:r>
          </w:p>
          <w:p w14:paraId="14B6BEEF" w14:textId="77777777" w:rsidR="00187842" w:rsidRPr="00187842" w:rsidRDefault="00187842" w:rsidP="009D7AFD">
            <w:pPr>
              <w:pStyle w:val="ListParagraph"/>
              <w:numPr>
                <w:ilvl w:val="0"/>
                <w:numId w:val="43"/>
              </w:numPr>
              <w:suppressAutoHyphens w:val="0"/>
              <w:autoSpaceDN/>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How to integrate existing projects into aligning with the Data Strategy</w:t>
            </w:r>
          </w:p>
          <w:p w14:paraId="41C7A2F4" w14:textId="77777777" w:rsidR="00187842" w:rsidRPr="00187842" w:rsidRDefault="00187842" w:rsidP="009D7AFD">
            <w:pPr>
              <w:pStyle w:val="ListParagraph"/>
              <w:numPr>
                <w:ilvl w:val="0"/>
                <w:numId w:val="43"/>
              </w:numPr>
              <w:suppressAutoHyphens w:val="0"/>
              <w:autoSpaceDN/>
              <w:contextualSpacing/>
              <w:textAlignment w:val="auto"/>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 xml:space="preserve">Sources of best practice in the industry and for data management. </w:t>
            </w:r>
          </w:p>
          <w:p w14:paraId="22C33319" w14:textId="77777777" w:rsidR="00187842" w:rsidRPr="00187842" w:rsidRDefault="00187842" w:rsidP="00187842">
            <w:pPr>
              <w:cnfStyle w:val="000000000000" w:firstRow="0" w:lastRow="0" w:firstColumn="0" w:lastColumn="0" w:oddVBand="0" w:evenVBand="0" w:oddHBand="0" w:evenHBand="0" w:firstRowFirstColumn="0" w:firstRowLastColumn="0" w:lastRowFirstColumn="0" w:lastRowLastColumn="0"/>
              <w:rPr>
                <w:sz w:val="16"/>
                <w:szCs w:val="16"/>
              </w:rPr>
            </w:pPr>
          </w:p>
          <w:p w14:paraId="358C125C" w14:textId="77777777" w:rsidR="00187842" w:rsidRPr="00187842" w:rsidRDefault="00187842" w:rsidP="00187842">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 xml:space="preserve">It must be achievable and proportionate to the size of the Agency and data usage. </w:t>
            </w:r>
          </w:p>
          <w:p w14:paraId="59A929D0" w14:textId="77777777" w:rsidR="00187842" w:rsidRPr="00187842" w:rsidRDefault="00187842" w:rsidP="00187842">
            <w:pPr>
              <w:cnfStyle w:val="000000000000" w:firstRow="0" w:lastRow="0" w:firstColumn="0" w:lastColumn="0" w:oddVBand="0" w:evenVBand="0" w:oddHBand="0" w:evenHBand="0" w:firstRowFirstColumn="0" w:firstRowLastColumn="0" w:lastRowFirstColumn="0" w:lastRowLastColumn="0"/>
              <w:rPr>
                <w:sz w:val="16"/>
                <w:szCs w:val="16"/>
              </w:rPr>
            </w:pPr>
          </w:p>
          <w:p w14:paraId="49B5FAF6" w14:textId="77777777" w:rsidR="00187842" w:rsidRPr="00187842" w:rsidRDefault="00187842" w:rsidP="00187842">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 xml:space="preserve">It must be achievable within 4 years in order to support the Agency Five Year Strategy. </w:t>
            </w:r>
          </w:p>
          <w:p w14:paraId="65698682" w14:textId="77777777" w:rsidR="00187842" w:rsidRPr="00187842" w:rsidRDefault="00187842" w:rsidP="00187842">
            <w:pPr>
              <w:cnfStyle w:val="000000000000" w:firstRow="0" w:lastRow="0" w:firstColumn="0" w:lastColumn="0" w:oddVBand="0" w:evenVBand="0" w:oddHBand="0" w:evenHBand="0" w:firstRowFirstColumn="0" w:firstRowLastColumn="0" w:lastRowFirstColumn="0" w:lastRowLastColumn="0"/>
              <w:rPr>
                <w:sz w:val="16"/>
                <w:szCs w:val="16"/>
              </w:rPr>
            </w:pPr>
          </w:p>
          <w:p w14:paraId="4D2530E0" w14:textId="1735B8C4" w:rsidR="00187842" w:rsidRPr="00187842" w:rsidRDefault="00187842" w:rsidP="00187842">
            <w:pPr>
              <w:cnfStyle w:val="000000000000" w:firstRow="0" w:lastRow="0" w:firstColumn="0" w:lastColumn="0" w:oddVBand="0" w:evenVBand="0" w:oddHBand="0" w:evenHBand="0" w:firstRowFirstColumn="0" w:firstRowLastColumn="0" w:lastRowFirstColumn="0" w:lastRowLastColumn="0"/>
              <w:rPr>
                <w:sz w:val="16"/>
                <w:szCs w:val="16"/>
              </w:rPr>
            </w:pPr>
            <w:r w:rsidRPr="00187842">
              <w:rPr>
                <w:sz w:val="16"/>
                <w:szCs w:val="16"/>
              </w:rPr>
              <w:t>Presented to the Executive Leadership Team.</w:t>
            </w:r>
          </w:p>
        </w:tc>
        <w:tc>
          <w:tcPr>
            <w:cnfStyle w:val="000010000000" w:firstRow="0" w:lastRow="0" w:firstColumn="0" w:lastColumn="0" w:oddVBand="1" w:evenVBand="0" w:oddHBand="0" w:evenHBand="0" w:firstRowFirstColumn="0" w:firstRowLastColumn="0" w:lastRowFirstColumn="0" w:lastRowLastColumn="0"/>
            <w:tcW w:w="1246" w:type="dxa"/>
          </w:tcPr>
          <w:p w14:paraId="504B62FB" w14:textId="4E8D6388" w:rsidR="00187842" w:rsidRPr="00D96B2D" w:rsidRDefault="000A09CB" w:rsidP="00187842">
            <w:pPr>
              <w:rPr>
                <w:b/>
                <w:bCs/>
                <w:sz w:val="16"/>
                <w:szCs w:val="16"/>
              </w:rPr>
            </w:pPr>
            <w:r w:rsidRPr="00D96B2D">
              <w:rPr>
                <w:b/>
                <w:bCs/>
                <w:sz w:val="16"/>
                <w:szCs w:val="16"/>
              </w:rPr>
              <w:t>£31,450</w:t>
            </w:r>
          </w:p>
        </w:tc>
      </w:tr>
    </w:tbl>
    <w:p w14:paraId="583AF3F0" w14:textId="1CD4BE6F" w:rsidR="00E8766F" w:rsidRPr="002404DC" w:rsidRDefault="00B34EFF">
      <w:pPr>
        <w:rPr>
          <w:i/>
          <w:iCs/>
        </w:rPr>
      </w:pPr>
      <w:r w:rsidRPr="002404DC">
        <w:rPr>
          <w:i/>
          <w:iCs/>
        </w:rPr>
        <w:t xml:space="preserve">All deliverables outlined in the above </w:t>
      </w:r>
      <w:r w:rsidR="002404DC">
        <w:rPr>
          <w:i/>
          <w:iCs/>
        </w:rPr>
        <w:t>M</w:t>
      </w:r>
      <w:r w:rsidRPr="002404DC">
        <w:rPr>
          <w:i/>
          <w:iCs/>
        </w:rPr>
        <w:t>ilestones shall be the IPR of the Buyer, or a royalty free licence shall be granted by the Supplier to the Buyer.</w:t>
      </w:r>
    </w:p>
    <w:p w14:paraId="660E3FC7" w14:textId="77777777" w:rsidR="00B34EFF" w:rsidRDefault="00B34EFF">
      <w:pPr>
        <w:rPr>
          <w:b/>
          <w:bCs/>
          <w:u w:val="single"/>
        </w:rPr>
      </w:pPr>
    </w:p>
    <w:p w14:paraId="3DEBBA25" w14:textId="27F7606D" w:rsidR="00351BE8" w:rsidRDefault="0052315A">
      <w:pPr>
        <w:rPr>
          <w:b/>
          <w:bCs/>
          <w:u w:val="single"/>
        </w:rPr>
      </w:pPr>
      <w:r>
        <w:rPr>
          <w:b/>
          <w:bCs/>
          <w:u w:val="single"/>
        </w:rPr>
        <w:t>Delivery of Services: 3 Phases in 12 Weeks:</w:t>
      </w:r>
    </w:p>
    <w:p w14:paraId="3DEBBA26" w14:textId="77777777" w:rsidR="00351BE8" w:rsidRDefault="00351BE8">
      <w:pPr>
        <w:rPr>
          <w:b/>
          <w:bCs/>
          <w:u w:val="single"/>
        </w:rPr>
      </w:pPr>
    </w:p>
    <w:p w14:paraId="3DEBBA27" w14:textId="77777777" w:rsidR="00351BE8" w:rsidRDefault="0052315A">
      <w:pPr>
        <w:pStyle w:val="ListParagraph"/>
        <w:numPr>
          <w:ilvl w:val="0"/>
          <w:numId w:val="6"/>
        </w:numPr>
        <w:rPr>
          <w:b/>
          <w:bCs/>
        </w:rPr>
      </w:pPr>
      <w:r>
        <w:rPr>
          <w:b/>
          <w:bCs/>
        </w:rPr>
        <w:t>Data maturity assessment &amp; target state definition (3 Weeks)</w:t>
      </w:r>
    </w:p>
    <w:p w14:paraId="3DEBBA28" w14:textId="77777777" w:rsidR="00351BE8" w:rsidRDefault="00351BE8"/>
    <w:p w14:paraId="3DEBBA29" w14:textId="77777777" w:rsidR="00351BE8" w:rsidRDefault="0052315A">
      <w:r>
        <w:rPr>
          <w:b/>
          <w:bCs/>
        </w:rPr>
        <w:t>Summary:</w:t>
      </w:r>
      <w:r>
        <w:t xml:space="preserve"> Assess the current and target maturity of your data practices across the Agency, identifying quick win tactical improvements and longer term strategic focus areas.</w:t>
      </w:r>
    </w:p>
    <w:p w14:paraId="3DEBBA2A" w14:textId="77777777" w:rsidR="00351BE8" w:rsidRDefault="00351BE8"/>
    <w:p w14:paraId="3DEBBA2B" w14:textId="77777777" w:rsidR="00351BE8" w:rsidRDefault="0052315A">
      <w:pPr>
        <w:rPr>
          <w:b/>
          <w:bCs/>
        </w:rPr>
      </w:pPr>
      <w:r>
        <w:rPr>
          <w:b/>
          <w:bCs/>
        </w:rPr>
        <w:t xml:space="preserve">Activities: </w:t>
      </w:r>
    </w:p>
    <w:p w14:paraId="3DEBBA2C" w14:textId="77777777" w:rsidR="00351BE8" w:rsidRDefault="0052315A">
      <w:pPr>
        <w:pStyle w:val="ListParagraph"/>
        <w:numPr>
          <w:ilvl w:val="0"/>
          <w:numId w:val="7"/>
        </w:numPr>
      </w:pPr>
      <w:r>
        <w:t>Project initiation activities to agree our measures of success and set us up to achieve them.</w:t>
      </w:r>
    </w:p>
    <w:p w14:paraId="3DEBBA2D" w14:textId="77777777" w:rsidR="00351BE8" w:rsidRDefault="0052315A">
      <w:pPr>
        <w:pStyle w:val="ListParagraph"/>
        <w:numPr>
          <w:ilvl w:val="0"/>
          <w:numId w:val="7"/>
        </w:numPr>
      </w:pPr>
      <w:r>
        <w:t>Review the Five Year Strategy and identify implications on data strategy.</w:t>
      </w:r>
    </w:p>
    <w:p w14:paraId="3DEBBA2E" w14:textId="77777777" w:rsidR="00351BE8" w:rsidRDefault="0052315A">
      <w:pPr>
        <w:pStyle w:val="ListParagraph"/>
        <w:numPr>
          <w:ilvl w:val="0"/>
          <w:numId w:val="7"/>
        </w:numPr>
      </w:pPr>
      <w:r>
        <w:t xml:space="preserve">Document review and structured interviews with key stakeholders from each relevant area of the organisation to gather information on the current and desired target states. </w:t>
      </w:r>
    </w:p>
    <w:p w14:paraId="3DEBBA2F" w14:textId="77777777" w:rsidR="00351BE8" w:rsidRDefault="0052315A">
      <w:pPr>
        <w:pStyle w:val="ListParagraph"/>
        <w:numPr>
          <w:ilvl w:val="0"/>
          <w:numId w:val="7"/>
        </w:numPr>
      </w:pPr>
      <w:r>
        <w:t xml:space="preserve">Workshop with core team to validate findings of the maturity assessment and agree the target state. </w:t>
      </w:r>
    </w:p>
    <w:p w14:paraId="3DEBBA30" w14:textId="77777777" w:rsidR="00351BE8" w:rsidRDefault="0052315A">
      <w:pPr>
        <w:pStyle w:val="ListParagraph"/>
        <w:numPr>
          <w:ilvl w:val="0"/>
          <w:numId w:val="7"/>
        </w:numPr>
      </w:pPr>
      <w:r>
        <w:t>Presentation of findings to Executive Leadership Team</w:t>
      </w:r>
    </w:p>
    <w:p w14:paraId="3DEBBA31" w14:textId="77777777" w:rsidR="00351BE8" w:rsidRDefault="0052315A">
      <w:pPr>
        <w:pStyle w:val="ListParagraph"/>
        <w:numPr>
          <w:ilvl w:val="0"/>
          <w:numId w:val="6"/>
        </w:numPr>
        <w:spacing w:before="240"/>
        <w:rPr>
          <w:b/>
          <w:bCs/>
        </w:rPr>
      </w:pPr>
      <w:r>
        <w:rPr>
          <w:b/>
          <w:bCs/>
        </w:rPr>
        <w:t>Gap analysis &amp; data strategy development (7 Weeks)</w:t>
      </w:r>
    </w:p>
    <w:p w14:paraId="3DEBBA32" w14:textId="77777777" w:rsidR="00351BE8" w:rsidRDefault="0052315A">
      <w:r>
        <w:rPr>
          <w:b/>
          <w:bCs/>
        </w:rPr>
        <w:t>Summary</w:t>
      </w:r>
      <w:r>
        <w:t>: Develop, iteratively refine, and gain organisational support for, a data strategy to close the gaps between your current and target states</w:t>
      </w:r>
    </w:p>
    <w:p w14:paraId="3DEBBA33" w14:textId="77777777" w:rsidR="00351BE8" w:rsidRDefault="00351BE8"/>
    <w:p w14:paraId="3DEBBA34" w14:textId="77777777" w:rsidR="00351BE8" w:rsidRDefault="0052315A">
      <w:pPr>
        <w:rPr>
          <w:b/>
          <w:bCs/>
        </w:rPr>
      </w:pPr>
      <w:r>
        <w:rPr>
          <w:b/>
          <w:bCs/>
        </w:rPr>
        <w:t xml:space="preserve">Activities: </w:t>
      </w:r>
    </w:p>
    <w:p w14:paraId="3DEBBA35" w14:textId="77777777" w:rsidR="00351BE8" w:rsidRDefault="0052315A">
      <w:pPr>
        <w:pStyle w:val="ListParagraph"/>
        <w:numPr>
          <w:ilvl w:val="0"/>
          <w:numId w:val="8"/>
        </w:numPr>
      </w:pPr>
      <w:r>
        <w:t>Identify data initiatives to close gaps &amp; remove constraints.</w:t>
      </w:r>
    </w:p>
    <w:p w14:paraId="3DEBBA36" w14:textId="77777777" w:rsidR="00351BE8" w:rsidRDefault="0052315A">
      <w:pPr>
        <w:pStyle w:val="ListParagraph"/>
        <w:numPr>
          <w:ilvl w:val="0"/>
          <w:numId w:val="8"/>
        </w:numPr>
      </w:pPr>
      <w:r>
        <w:t>Bring together the results of the maturity assessment, target state definition and initiative identification into a consolidated gap analysis.</w:t>
      </w:r>
    </w:p>
    <w:p w14:paraId="3DEBBA37" w14:textId="77777777" w:rsidR="00351BE8" w:rsidRDefault="0052315A">
      <w:pPr>
        <w:pStyle w:val="ListParagraph"/>
        <w:numPr>
          <w:ilvl w:val="0"/>
          <w:numId w:val="8"/>
        </w:numPr>
      </w:pPr>
      <w:r>
        <w:t>Identify and articulate strategic benefits that will be delivered by the data strategy.</w:t>
      </w:r>
    </w:p>
    <w:p w14:paraId="3DEBBA38" w14:textId="77777777" w:rsidR="00351BE8" w:rsidRDefault="0052315A">
      <w:pPr>
        <w:pStyle w:val="ListParagraph"/>
        <w:numPr>
          <w:ilvl w:val="0"/>
          <w:numId w:val="8"/>
        </w:numPr>
      </w:pPr>
      <w:r>
        <w:t xml:space="preserve">Validate your data vision statement and articulate a set of supporting guiding principles. </w:t>
      </w:r>
    </w:p>
    <w:p w14:paraId="3DEBBA39" w14:textId="77777777" w:rsidR="00351BE8" w:rsidRDefault="0052315A">
      <w:pPr>
        <w:pStyle w:val="ListParagraph"/>
        <w:numPr>
          <w:ilvl w:val="0"/>
          <w:numId w:val="8"/>
        </w:numPr>
      </w:pPr>
      <w:r>
        <w:t>Summarise your data strategy into a user-friendly document for general consumption as well as a concise Executive Leadership Team version.</w:t>
      </w:r>
    </w:p>
    <w:p w14:paraId="3DEBBA3A" w14:textId="77777777" w:rsidR="00351BE8" w:rsidRDefault="0052315A">
      <w:pPr>
        <w:pStyle w:val="ListParagraph"/>
        <w:numPr>
          <w:ilvl w:val="0"/>
          <w:numId w:val="6"/>
        </w:numPr>
        <w:spacing w:before="240"/>
        <w:rPr>
          <w:b/>
          <w:bCs/>
        </w:rPr>
      </w:pPr>
      <w:r>
        <w:rPr>
          <w:b/>
          <w:bCs/>
        </w:rPr>
        <w:lastRenderedPageBreak/>
        <w:t>Implementation planning (2 Weeks)</w:t>
      </w:r>
    </w:p>
    <w:p w14:paraId="3DEBBA3B" w14:textId="77777777" w:rsidR="00351BE8" w:rsidRDefault="0052315A">
      <w:r>
        <w:rPr>
          <w:b/>
          <w:bCs/>
        </w:rPr>
        <w:t>Summary:</w:t>
      </w:r>
      <w:r>
        <w:t xml:space="preserve"> Create an implementation plan articulating what needs to happen, when it needs to happen, and how it all comes together to deliver your data strategy.</w:t>
      </w:r>
    </w:p>
    <w:p w14:paraId="3DEBBA3C" w14:textId="77777777" w:rsidR="00351BE8" w:rsidRDefault="00351BE8"/>
    <w:p w14:paraId="3DEBBA3D" w14:textId="77777777" w:rsidR="00351BE8" w:rsidRDefault="0052315A">
      <w:pPr>
        <w:rPr>
          <w:b/>
          <w:bCs/>
        </w:rPr>
      </w:pPr>
      <w:r>
        <w:rPr>
          <w:b/>
          <w:bCs/>
        </w:rPr>
        <w:t xml:space="preserve">Activities: </w:t>
      </w:r>
    </w:p>
    <w:p w14:paraId="3DEBBA3E" w14:textId="77777777" w:rsidR="00351BE8" w:rsidRDefault="0052315A">
      <w:pPr>
        <w:pStyle w:val="ListParagraph"/>
        <w:numPr>
          <w:ilvl w:val="0"/>
          <w:numId w:val="9"/>
        </w:numPr>
      </w:pPr>
      <w:r>
        <w:t>Prioritise defined initiatives against benefit value vs. cost/complexity framework</w:t>
      </w:r>
    </w:p>
    <w:p w14:paraId="3DEBBA3F" w14:textId="77777777" w:rsidR="00351BE8" w:rsidRDefault="0052315A">
      <w:pPr>
        <w:pStyle w:val="ListParagraph"/>
        <w:numPr>
          <w:ilvl w:val="0"/>
          <w:numId w:val="9"/>
        </w:numPr>
      </w:pPr>
      <w:r>
        <w:t>Build high-level delivery roadmap with clear timeframes, milestones and KPIs.</w:t>
      </w:r>
    </w:p>
    <w:p w14:paraId="3DEBBA40" w14:textId="77777777" w:rsidR="00351BE8" w:rsidRDefault="0052315A">
      <w:pPr>
        <w:pStyle w:val="ListParagraph"/>
        <w:numPr>
          <w:ilvl w:val="0"/>
          <w:numId w:val="9"/>
        </w:numPr>
      </w:pPr>
      <w:r>
        <w:t>Identify working teams to further define activities within initiatives, including the integration of existing projects into the strategy.</w:t>
      </w:r>
    </w:p>
    <w:p w14:paraId="3DEBBA41" w14:textId="77777777" w:rsidR="00351BE8" w:rsidRDefault="0052315A">
      <w:pPr>
        <w:pStyle w:val="ListParagraph"/>
        <w:numPr>
          <w:ilvl w:val="0"/>
          <w:numId w:val="9"/>
        </w:numPr>
      </w:pPr>
      <w:r>
        <w:t>Implementation workshop with senior staff to discuss strategic planning and investment processes.</w:t>
      </w:r>
    </w:p>
    <w:p w14:paraId="3DEBBA42" w14:textId="77777777" w:rsidR="00351BE8" w:rsidRDefault="0052315A">
      <w:pPr>
        <w:pStyle w:val="ListParagraph"/>
        <w:numPr>
          <w:ilvl w:val="0"/>
          <w:numId w:val="9"/>
        </w:numPr>
      </w:pPr>
      <w:r>
        <w:t>Summarise into a visual guide for general and Executive Leadership Team consumption.</w:t>
      </w:r>
    </w:p>
    <w:p w14:paraId="3DEBBA43" w14:textId="77777777" w:rsidR="00351BE8" w:rsidRDefault="0052315A">
      <w:pPr>
        <w:spacing w:before="240"/>
        <w:rPr>
          <w:b/>
        </w:rPr>
      </w:pPr>
      <w:r>
        <w:rPr>
          <w:b/>
        </w:rPr>
        <w:t>Information Required from the Authority:</w:t>
      </w:r>
    </w:p>
    <w:p w14:paraId="3DEBBA44" w14:textId="7D6696CD" w:rsidR="00351BE8" w:rsidRDefault="0052315A">
      <w:pPr>
        <w:spacing w:before="240"/>
        <w:rPr>
          <w:b/>
        </w:rPr>
      </w:pPr>
      <w:r>
        <w:rPr>
          <w:b/>
        </w:rPr>
        <w:t>Documents and Key Information</w:t>
      </w:r>
      <w:r w:rsidR="00E36248">
        <w:rPr>
          <w:b/>
        </w:rPr>
        <w:t xml:space="preserve"> (further documentation may be required during the delivery of the Services)</w:t>
      </w:r>
    </w:p>
    <w:p w14:paraId="3DEBBA45" w14:textId="77777777" w:rsidR="00351BE8" w:rsidRDefault="0052315A">
      <w:pPr>
        <w:spacing w:before="240"/>
      </w:pPr>
      <w:r>
        <w:rPr>
          <w:b/>
          <w:bCs/>
        </w:rPr>
        <w:t xml:space="preserve">People </w:t>
      </w:r>
    </w:p>
    <w:p w14:paraId="3DEBBA46" w14:textId="77777777" w:rsidR="00351BE8" w:rsidRDefault="0052315A">
      <w:pPr>
        <w:pStyle w:val="ListParagraph"/>
        <w:numPr>
          <w:ilvl w:val="0"/>
          <w:numId w:val="10"/>
        </w:numPr>
      </w:pPr>
      <w:r>
        <w:t xml:space="preserve">Organisational charts (people we need to reach out to for buy-in / comms) </w:t>
      </w:r>
    </w:p>
    <w:p w14:paraId="3DEBBA47" w14:textId="77777777" w:rsidR="00351BE8" w:rsidRDefault="0052315A">
      <w:pPr>
        <w:pStyle w:val="ListParagraph"/>
        <w:numPr>
          <w:ilvl w:val="0"/>
          <w:numId w:val="10"/>
        </w:numPr>
      </w:pPr>
      <w:r>
        <w:t xml:space="preserve">Reporting lines / Escalation Paths </w:t>
      </w:r>
    </w:p>
    <w:p w14:paraId="3DEBBA48" w14:textId="77777777" w:rsidR="00351BE8" w:rsidRDefault="0052315A">
      <w:pPr>
        <w:pStyle w:val="ListParagraph"/>
        <w:numPr>
          <w:ilvl w:val="0"/>
          <w:numId w:val="10"/>
        </w:numPr>
      </w:pPr>
      <w:r>
        <w:t xml:space="preserve">Capability assessment(s) </w:t>
      </w:r>
    </w:p>
    <w:p w14:paraId="3DEBBA49" w14:textId="77777777" w:rsidR="00351BE8" w:rsidRDefault="0052315A">
      <w:pPr>
        <w:pStyle w:val="ListParagraph"/>
        <w:numPr>
          <w:ilvl w:val="0"/>
          <w:numId w:val="10"/>
        </w:numPr>
      </w:pPr>
      <w:r>
        <w:t xml:space="preserve">List of team member qualifications </w:t>
      </w:r>
    </w:p>
    <w:p w14:paraId="3DEBBA4A" w14:textId="77777777" w:rsidR="00351BE8" w:rsidRDefault="0052315A">
      <w:pPr>
        <w:spacing w:before="240"/>
      </w:pPr>
      <w:r>
        <w:rPr>
          <w:b/>
          <w:bCs/>
        </w:rPr>
        <w:t>Value proposition</w:t>
      </w:r>
      <w:r>
        <w:t xml:space="preserve"> </w:t>
      </w:r>
    </w:p>
    <w:p w14:paraId="3DEBBA4B" w14:textId="77777777" w:rsidR="00351BE8" w:rsidRDefault="0052315A">
      <w:pPr>
        <w:pStyle w:val="ListParagraph"/>
        <w:numPr>
          <w:ilvl w:val="0"/>
          <w:numId w:val="11"/>
        </w:numPr>
      </w:pPr>
      <w:r>
        <w:t xml:space="preserve">Full list of processes / services </w:t>
      </w:r>
    </w:p>
    <w:p w14:paraId="3DEBBA4C" w14:textId="77777777" w:rsidR="00351BE8" w:rsidRDefault="0052315A">
      <w:pPr>
        <w:pStyle w:val="ListParagraph"/>
        <w:numPr>
          <w:ilvl w:val="0"/>
          <w:numId w:val="11"/>
        </w:numPr>
      </w:pPr>
      <w:r>
        <w:t xml:space="preserve">List KPIs (other benefits tracking mechanisms) </w:t>
      </w:r>
    </w:p>
    <w:p w14:paraId="3DEBBA4D" w14:textId="77777777" w:rsidR="00351BE8" w:rsidRDefault="0052315A">
      <w:pPr>
        <w:pStyle w:val="ListParagraph"/>
        <w:numPr>
          <w:ilvl w:val="0"/>
          <w:numId w:val="11"/>
        </w:numPr>
      </w:pPr>
      <w:r>
        <w:t xml:space="preserve">Information on SLAs </w:t>
      </w:r>
    </w:p>
    <w:p w14:paraId="3DEBBA4E" w14:textId="77777777" w:rsidR="00351BE8" w:rsidRDefault="0052315A">
      <w:pPr>
        <w:pStyle w:val="ListParagraph"/>
        <w:numPr>
          <w:ilvl w:val="0"/>
          <w:numId w:val="11"/>
        </w:numPr>
      </w:pPr>
      <w:r>
        <w:t xml:space="preserve">Business team performance data (baseline performance metrics) </w:t>
      </w:r>
    </w:p>
    <w:p w14:paraId="3DEBBA4F" w14:textId="77777777" w:rsidR="00351BE8" w:rsidRDefault="0052315A">
      <w:pPr>
        <w:spacing w:before="240"/>
        <w:rPr>
          <w:b/>
          <w:bCs/>
        </w:rPr>
      </w:pPr>
      <w:r>
        <w:rPr>
          <w:b/>
          <w:bCs/>
        </w:rPr>
        <w:t xml:space="preserve">Technology </w:t>
      </w:r>
    </w:p>
    <w:p w14:paraId="3DEBBA50" w14:textId="77777777" w:rsidR="00351BE8" w:rsidRDefault="0052315A">
      <w:pPr>
        <w:pStyle w:val="ListParagraph"/>
        <w:numPr>
          <w:ilvl w:val="0"/>
          <w:numId w:val="12"/>
        </w:numPr>
      </w:pPr>
      <w:r>
        <w:t xml:space="preserve">List of current systems/tools used </w:t>
      </w:r>
    </w:p>
    <w:p w14:paraId="3DEBBA51" w14:textId="77777777" w:rsidR="00351BE8" w:rsidRDefault="0052315A">
      <w:pPr>
        <w:pStyle w:val="ListParagraph"/>
        <w:numPr>
          <w:ilvl w:val="0"/>
          <w:numId w:val="12"/>
        </w:numPr>
      </w:pPr>
      <w:r>
        <w:t xml:space="preserve">List of current programmes/applications required </w:t>
      </w:r>
    </w:p>
    <w:p w14:paraId="3DEBBA52" w14:textId="77777777" w:rsidR="00351BE8" w:rsidRDefault="0052315A">
      <w:pPr>
        <w:pStyle w:val="ListParagraph"/>
        <w:numPr>
          <w:ilvl w:val="0"/>
          <w:numId w:val="12"/>
        </w:numPr>
      </w:pPr>
      <w:r>
        <w:t xml:space="preserve">List of specialist equipment/assets/tooling required </w:t>
      </w:r>
    </w:p>
    <w:p w14:paraId="3DEBBA53" w14:textId="77777777" w:rsidR="00351BE8" w:rsidRDefault="0052315A">
      <w:pPr>
        <w:spacing w:before="240"/>
      </w:pPr>
      <w:r>
        <w:rPr>
          <w:b/>
          <w:bCs/>
        </w:rPr>
        <w:t>Data</w:t>
      </w:r>
      <w:r>
        <w:t xml:space="preserve"> </w:t>
      </w:r>
    </w:p>
    <w:p w14:paraId="3DEBBA54" w14:textId="77777777" w:rsidR="00351BE8" w:rsidRDefault="0052315A">
      <w:pPr>
        <w:pStyle w:val="ListParagraph"/>
        <w:numPr>
          <w:ilvl w:val="0"/>
          <w:numId w:val="13"/>
        </w:numPr>
      </w:pPr>
      <w:r>
        <w:t xml:space="preserve">Key 'handoffs' and dependencies between data and processes </w:t>
      </w:r>
    </w:p>
    <w:p w14:paraId="3DEBBA55" w14:textId="77777777" w:rsidR="00351BE8" w:rsidRDefault="0052315A">
      <w:pPr>
        <w:pStyle w:val="ListParagraph"/>
        <w:numPr>
          <w:ilvl w:val="0"/>
          <w:numId w:val="13"/>
        </w:numPr>
      </w:pPr>
      <w:r>
        <w:t xml:space="preserve">List of core datasets </w:t>
      </w:r>
    </w:p>
    <w:p w14:paraId="3DEBBA56" w14:textId="77777777" w:rsidR="00351BE8" w:rsidRDefault="0052315A">
      <w:pPr>
        <w:pStyle w:val="ListParagraph"/>
        <w:numPr>
          <w:ilvl w:val="0"/>
          <w:numId w:val="13"/>
        </w:numPr>
      </w:pPr>
      <w:r>
        <w:t xml:space="preserve">Data model(s) </w:t>
      </w:r>
    </w:p>
    <w:p w14:paraId="3DEBBA57" w14:textId="77777777" w:rsidR="00351BE8" w:rsidRDefault="0052315A">
      <w:pPr>
        <w:pStyle w:val="ListParagraph"/>
        <w:numPr>
          <w:ilvl w:val="0"/>
          <w:numId w:val="13"/>
        </w:numPr>
      </w:pPr>
      <w:r>
        <w:t>Data architecture diagrams</w:t>
      </w:r>
    </w:p>
    <w:p w14:paraId="3DEBBA58" w14:textId="77777777" w:rsidR="00351BE8" w:rsidRDefault="0052315A">
      <w:pPr>
        <w:spacing w:before="240"/>
      </w:pPr>
      <w:r>
        <w:t xml:space="preserve"> </w:t>
      </w:r>
      <w:r>
        <w:rPr>
          <w:b/>
          <w:bCs/>
        </w:rPr>
        <w:t>Process &amp; governance</w:t>
      </w:r>
      <w:r>
        <w:t xml:space="preserve"> </w:t>
      </w:r>
    </w:p>
    <w:p w14:paraId="3DEBBA59" w14:textId="77777777" w:rsidR="00351BE8" w:rsidRDefault="0052315A">
      <w:pPr>
        <w:pStyle w:val="ListParagraph"/>
        <w:numPr>
          <w:ilvl w:val="0"/>
          <w:numId w:val="14"/>
        </w:numPr>
      </w:pPr>
      <w:r>
        <w:t xml:space="preserve">Information around relevant current in-flight projects </w:t>
      </w:r>
    </w:p>
    <w:p w14:paraId="3DEBBA5A" w14:textId="77777777" w:rsidR="00351BE8" w:rsidRDefault="0052315A">
      <w:pPr>
        <w:pStyle w:val="ListParagraph"/>
        <w:numPr>
          <w:ilvl w:val="0"/>
          <w:numId w:val="14"/>
        </w:numPr>
      </w:pPr>
      <w:r>
        <w:t xml:space="preserve">Process Maps </w:t>
      </w:r>
    </w:p>
    <w:p w14:paraId="3DEBBA5B" w14:textId="77777777" w:rsidR="00351BE8" w:rsidRDefault="0052315A">
      <w:pPr>
        <w:pStyle w:val="ListParagraph"/>
        <w:numPr>
          <w:ilvl w:val="0"/>
          <w:numId w:val="14"/>
        </w:numPr>
      </w:pPr>
      <w:r>
        <w:t xml:space="preserve">Governance Structure </w:t>
      </w:r>
    </w:p>
    <w:p w14:paraId="3DEBBA5C" w14:textId="77777777" w:rsidR="00351BE8" w:rsidRDefault="0052315A">
      <w:pPr>
        <w:pStyle w:val="ListParagraph"/>
        <w:numPr>
          <w:ilvl w:val="0"/>
          <w:numId w:val="14"/>
        </w:numPr>
      </w:pPr>
      <w:r>
        <w:t>Pain-points and challenges around current processes</w:t>
      </w:r>
    </w:p>
    <w:p w14:paraId="3DEBBA5D" w14:textId="77777777" w:rsidR="00351BE8" w:rsidRDefault="0052315A">
      <w:pPr>
        <w:pStyle w:val="Heading2"/>
        <w:rPr>
          <w:b/>
          <w:bCs/>
          <w:sz w:val="22"/>
          <w:szCs w:val="22"/>
        </w:rPr>
      </w:pPr>
      <w:bookmarkStart w:id="6" w:name="_Toc33176234"/>
      <w:r>
        <w:rPr>
          <w:b/>
          <w:bCs/>
          <w:sz w:val="22"/>
          <w:szCs w:val="22"/>
        </w:rPr>
        <w:t>Stakeholders</w:t>
      </w:r>
    </w:p>
    <w:p w14:paraId="3DEBBA5E" w14:textId="77777777" w:rsidR="00351BE8" w:rsidRDefault="0052315A">
      <w:r>
        <w:t>For information gathering The Buyer will interview stakeholders from the following areas:</w:t>
      </w:r>
    </w:p>
    <w:p w14:paraId="3DEBBA5F" w14:textId="77777777" w:rsidR="00351BE8" w:rsidRDefault="0052315A">
      <w:pPr>
        <w:pStyle w:val="ListParagraph"/>
        <w:numPr>
          <w:ilvl w:val="0"/>
          <w:numId w:val="15"/>
        </w:numPr>
      </w:pPr>
      <w:r>
        <w:lastRenderedPageBreak/>
        <w:t xml:space="preserve">Information Governance </w:t>
      </w:r>
    </w:p>
    <w:p w14:paraId="3DEBBA60" w14:textId="77777777" w:rsidR="00351BE8" w:rsidRDefault="0052315A">
      <w:pPr>
        <w:pStyle w:val="ListParagraph"/>
        <w:numPr>
          <w:ilvl w:val="0"/>
          <w:numId w:val="15"/>
        </w:numPr>
      </w:pPr>
      <w:r>
        <w:t>Service Architecture</w:t>
      </w:r>
    </w:p>
    <w:p w14:paraId="3DEBBA61" w14:textId="77777777" w:rsidR="00351BE8" w:rsidRDefault="0052315A">
      <w:pPr>
        <w:pStyle w:val="ListParagraph"/>
        <w:numPr>
          <w:ilvl w:val="0"/>
          <w:numId w:val="15"/>
        </w:numPr>
      </w:pPr>
      <w:r>
        <w:t xml:space="preserve">Subject Matter Experts </w:t>
      </w:r>
    </w:p>
    <w:p w14:paraId="3DEBBA62" w14:textId="77777777" w:rsidR="00351BE8" w:rsidRDefault="0052315A">
      <w:pPr>
        <w:pStyle w:val="ListParagraph"/>
        <w:numPr>
          <w:ilvl w:val="0"/>
          <w:numId w:val="15"/>
        </w:numPr>
      </w:pPr>
      <w:r>
        <w:t>Relevant in-flight projects</w:t>
      </w:r>
    </w:p>
    <w:p w14:paraId="3DEBBA63" w14:textId="77777777" w:rsidR="00351BE8" w:rsidRDefault="0052315A">
      <w:pPr>
        <w:pStyle w:val="ListParagraph"/>
        <w:numPr>
          <w:ilvl w:val="0"/>
          <w:numId w:val="15"/>
        </w:numPr>
      </w:pPr>
      <w:r>
        <w:t>Data security</w:t>
      </w:r>
    </w:p>
    <w:p w14:paraId="3DEBBA64" w14:textId="77777777" w:rsidR="00351BE8" w:rsidRDefault="0052315A">
      <w:pPr>
        <w:pStyle w:val="ListParagraph"/>
        <w:numPr>
          <w:ilvl w:val="0"/>
          <w:numId w:val="15"/>
        </w:numPr>
      </w:pPr>
      <w:r>
        <w:t>Key business areas (i.e. internal customers)</w:t>
      </w:r>
    </w:p>
    <w:p w14:paraId="3DEBBA65" w14:textId="77777777" w:rsidR="00351BE8" w:rsidRDefault="0052315A">
      <w:pPr>
        <w:pStyle w:val="ListParagraph"/>
        <w:numPr>
          <w:ilvl w:val="0"/>
          <w:numId w:val="15"/>
        </w:numPr>
      </w:pPr>
      <w:r>
        <w:t>Change authorities</w:t>
      </w:r>
    </w:p>
    <w:p w14:paraId="3DEBBA66" w14:textId="77777777" w:rsidR="00351BE8" w:rsidRDefault="0052315A">
      <w:pPr>
        <w:pStyle w:val="ListParagraph"/>
        <w:numPr>
          <w:ilvl w:val="0"/>
          <w:numId w:val="15"/>
        </w:numPr>
      </w:pPr>
      <w:r>
        <w:t>Analysis and Performance</w:t>
      </w:r>
    </w:p>
    <w:p w14:paraId="3DEBBA67" w14:textId="02382BFB" w:rsidR="00351BE8" w:rsidRDefault="0052315A">
      <w:pPr>
        <w:pStyle w:val="ListParagraph"/>
        <w:numPr>
          <w:ilvl w:val="0"/>
          <w:numId w:val="15"/>
        </w:numPr>
      </w:pPr>
      <w:r>
        <w:t>Finance and Commercial partners</w:t>
      </w:r>
    </w:p>
    <w:p w14:paraId="63230AA9" w14:textId="77777777" w:rsidR="00E8766F" w:rsidRDefault="00E8766F" w:rsidP="00E8766F">
      <w:pPr>
        <w:rPr>
          <w:sz w:val="32"/>
          <w:szCs w:val="32"/>
        </w:rPr>
      </w:pPr>
    </w:p>
    <w:p w14:paraId="6CAF5B75" w14:textId="5AA410BD" w:rsidR="003E4B89" w:rsidRPr="00E8766F" w:rsidRDefault="003E4B89" w:rsidP="00E8766F">
      <w:pPr>
        <w:rPr>
          <w:sz w:val="32"/>
          <w:szCs w:val="32"/>
        </w:rPr>
      </w:pPr>
      <w:r w:rsidRPr="00E8766F">
        <w:rPr>
          <w:sz w:val="32"/>
          <w:szCs w:val="32"/>
        </w:rPr>
        <w:t xml:space="preserve">Schedule </w:t>
      </w:r>
      <w:r w:rsidR="00E8766F" w:rsidRPr="00E8766F">
        <w:rPr>
          <w:sz w:val="32"/>
          <w:szCs w:val="32"/>
        </w:rPr>
        <w:t xml:space="preserve">1 – Annex </w:t>
      </w:r>
      <w:r w:rsidR="00E8766F">
        <w:rPr>
          <w:sz w:val="32"/>
          <w:szCs w:val="32"/>
        </w:rPr>
        <w:t>1</w:t>
      </w:r>
      <w:r w:rsidRPr="00E8766F">
        <w:rPr>
          <w:sz w:val="32"/>
          <w:szCs w:val="32"/>
        </w:rPr>
        <w:t>: Supporting Documentation</w:t>
      </w:r>
    </w:p>
    <w:p w14:paraId="1E547C23" w14:textId="77777777" w:rsidR="003E4B89" w:rsidRDefault="003E4B89" w:rsidP="00E8766F">
      <w:pPr>
        <w:ind w:left="360"/>
      </w:pPr>
    </w:p>
    <w:p w14:paraId="2A2AFC18" w14:textId="77777777" w:rsidR="003E4B89" w:rsidRDefault="003E4B89" w:rsidP="00E8766F">
      <w:pPr>
        <w:ind w:left="360"/>
      </w:pPr>
      <w:r>
        <w:t>TIS0482 Clarification Request Pack (Issued 17/11/21)</w:t>
      </w:r>
    </w:p>
    <w:p w14:paraId="4E15F318" w14:textId="77777777" w:rsidR="003E4B89" w:rsidRDefault="003E4B89" w:rsidP="00E8766F">
      <w:pPr>
        <w:ind w:left="360"/>
      </w:pPr>
    </w:p>
    <w:p w14:paraId="3B1BB969" w14:textId="77777777" w:rsidR="003E4B89" w:rsidRDefault="007D1BC9" w:rsidP="00E8766F">
      <w:pPr>
        <w:ind w:left="360"/>
      </w:pPr>
      <w:r>
        <w:rPr>
          <w:noProof/>
        </w:rPr>
        <w:object w:dxaOrig="1534" w:dyaOrig="997" w14:anchorId="3E3D2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5pt;height:49.5pt;visibility:visible;mso-wrap-style:square;mso-width-percent:0;mso-height-percent:0;mso-width-percent:0;mso-height-percent:0" o:ole="">
            <v:imagedata r:id="rId10" o:title=""/>
          </v:shape>
          <o:OLEObject Type="Embed" ProgID="Word.Document.12" ShapeID="_x0000_i1025" DrawAspect="Content" ObjectID="_1704265745" r:id="rId11"/>
        </w:object>
      </w:r>
      <w:r>
        <w:rPr>
          <w:noProof/>
        </w:rPr>
        <w:object w:dxaOrig="1534" w:dyaOrig="997" w14:anchorId="4A63136D">
          <v:shape id="_x0000_i1026" type="#_x0000_t75" alt="" style="width:76.5pt;height:49.5pt;visibility:visible;mso-wrap-style:square;mso-width-percent:0;mso-height-percent:0;mso-width-percent:0;mso-height-percent:0" o:ole="">
            <v:imagedata r:id="rId12" o:title=""/>
          </v:shape>
          <o:OLEObject Type="Embed" ProgID="Excel.Sheet.12" ShapeID="_x0000_i1026" DrawAspect="Content" ObjectID="_1704265746" r:id="rId13"/>
        </w:object>
      </w:r>
      <w:r>
        <w:rPr>
          <w:noProof/>
        </w:rPr>
        <w:object w:dxaOrig="1534" w:dyaOrig="997" w14:anchorId="55ED09C6">
          <v:shape id="_x0000_i1027" type="#_x0000_t75" alt="" style="width:76.5pt;height:49.5pt;visibility:visible;mso-wrap-style:square;mso-width-percent:0;mso-height-percent:0;mso-width-percent:0;mso-height-percent:0" o:ole="">
            <v:imagedata r:id="rId14" o:title=""/>
          </v:shape>
          <o:OLEObject Type="Embed" ProgID="Word.Document.12" ShapeID="_x0000_i1027" DrawAspect="Content" ObjectID="_1704265747" r:id="rId15"/>
        </w:object>
      </w:r>
      <w:r>
        <w:rPr>
          <w:noProof/>
        </w:rPr>
        <w:object w:dxaOrig="1534" w:dyaOrig="997" w14:anchorId="019CCE38">
          <v:shape id="_x0000_i1028" type="#_x0000_t75" alt="" style="width:76.5pt;height:49.5pt;visibility:visible;mso-wrap-style:square;mso-width-percent:0;mso-height-percent:0;mso-width-percent:0;mso-height-percent:0" o:ole="">
            <v:imagedata r:id="rId16" o:title=""/>
          </v:shape>
          <o:OLEObject Type="Embed" ProgID="Word.Document.12" ShapeID="_x0000_i1028" DrawAspect="Content" ObjectID="_1704265748" r:id="rId17"/>
        </w:object>
      </w:r>
    </w:p>
    <w:p w14:paraId="31A4B4E2" w14:textId="77777777" w:rsidR="003E4B89" w:rsidRDefault="003E4B89" w:rsidP="00E8766F">
      <w:pPr>
        <w:ind w:left="360"/>
      </w:pPr>
    </w:p>
    <w:p w14:paraId="16BBFD5F" w14:textId="77777777" w:rsidR="003E4B89" w:rsidRDefault="003E4B89" w:rsidP="00E8766F">
      <w:pPr>
        <w:ind w:left="360"/>
      </w:pPr>
      <w:r>
        <w:t>TIS0482 Data Strategy Response – Moorhouse Consulting Ltd (Received 01/12/21)</w:t>
      </w:r>
    </w:p>
    <w:p w14:paraId="44F3F2FD" w14:textId="77777777" w:rsidR="003E4B89" w:rsidRDefault="003E4B89" w:rsidP="00E8766F">
      <w:pPr>
        <w:ind w:left="360"/>
      </w:pPr>
    </w:p>
    <w:p w14:paraId="5DBDA6B4" w14:textId="4FD700F8" w:rsidR="003E4B89" w:rsidRDefault="00A90966" w:rsidP="00E8766F">
      <w:pPr>
        <w:ind w:left="360"/>
      </w:pPr>
      <w:r>
        <w:t>REDACTED</w:t>
      </w:r>
    </w:p>
    <w:p w14:paraId="7DC9FEC3" w14:textId="77777777" w:rsidR="00440188" w:rsidRDefault="00440188">
      <w:pPr>
        <w:suppressAutoHyphens w:val="0"/>
        <w:rPr>
          <w:sz w:val="32"/>
          <w:szCs w:val="32"/>
        </w:rPr>
      </w:pPr>
      <w:r>
        <w:br w:type="page"/>
      </w:r>
    </w:p>
    <w:p w14:paraId="3DEBBA69" w14:textId="665C4B84" w:rsidR="00351BE8" w:rsidRDefault="0052315A">
      <w:pPr>
        <w:pStyle w:val="Heading2"/>
      </w:pPr>
      <w:r>
        <w:lastRenderedPageBreak/>
        <w:t>Schedule 2: Call-Off Contract charges</w:t>
      </w:r>
      <w:bookmarkEnd w:id="6"/>
    </w:p>
    <w:p w14:paraId="3DEBBA6A" w14:textId="77777777" w:rsidR="00351BE8" w:rsidRDefault="0052315A">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3DEBBA6B" w14:textId="77777777" w:rsidR="00351BE8" w:rsidRDefault="0052315A">
      <w:pPr>
        <w:spacing w:before="240"/>
        <w:rPr>
          <w:b/>
          <w:bCs/>
          <w:u w:val="single"/>
        </w:rPr>
      </w:pPr>
      <w:r>
        <w:rPr>
          <w:b/>
          <w:bCs/>
          <w:u w:val="single"/>
        </w:rPr>
        <w:t>Total Costs:</w:t>
      </w:r>
    </w:p>
    <w:p w14:paraId="3DEBBA6C" w14:textId="77777777" w:rsidR="00351BE8" w:rsidRDefault="00351BE8">
      <w:pPr>
        <w:spacing w:before="240"/>
      </w:pPr>
    </w:p>
    <w:tbl>
      <w:tblPr>
        <w:tblW w:w="5560" w:type="dxa"/>
        <w:tblCellMar>
          <w:left w:w="10" w:type="dxa"/>
          <w:right w:w="10" w:type="dxa"/>
        </w:tblCellMar>
        <w:tblLook w:val="0000" w:firstRow="0" w:lastRow="0" w:firstColumn="0" w:lastColumn="0" w:noHBand="0" w:noVBand="0"/>
      </w:tblPr>
      <w:tblGrid>
        <w:gridCol w:w="3620"/>
        <w:gridCol w:w="1940"/>
      </w:tblGrid>
      <w:tr w:rsidR="00351BE8" w14:paraId="3DEBBA6F" w14:textId="77777777">
        <w:trPr>
          <w:trHeight w:val="300"/>
        </w:trPr>
        <w:tc>
          <w:tcPr>
            <w:tcW w:w="3620" w:type="dxa"/>
            <w:tcBorders>
              <w:top w:val="single" w:sz="4" w:space="0" w:color="000000"/>
              <w:left w:val="single" w:sz="4" w:space="0" w:color="000000"/>
              <w:bottom w:val="single" w:sz="4" w:space="0" w:color="000000"/>
              <w:right w:val="single" w:sz="4" w:space="0" w:color="000000"/>
            </w:tcBorders>
            <w:shd w:val="clear" w:color="auto" w:fill="DCE6F1"/>
            <w:noWrap/>
            <w:tcMar>
              <w:top w:w="0" w:type="dxa"/>
              <w:left w:w="108" w:type="dxa"/>
              <w:bottom w:w="0" w:type="dxa"/>
              <w:right w:w="108" w:type="dxa"/>
            </w:tcMar>
            <w:vAlign w:val="bottom"/>
          </w:tcPr>
          <w:p w14:paraId="3DEBBA6D" w14:textId="77777777" w:rsidR="00351BE8" w:rsidRDefault="0052315A">
            <w:pPr>
              <w:suppressAutoHyphens w:val="0"/>
              <w:spacing w:line="240" w:lineRule="auto"/>
              <w:textAlignment w:val="auto"/>
              <w:rPr>
                <w:rFonts w:eastAsia="Times New Roman"/>
                <w:b/>
                <w:bCs/>
                <w:color w:val="000000"/>
              </w:rPr>
            </w:pPr>
            <w:r>
              <w:rPr>
                <w:rFonts w:eastAsia="Times New Roman"/>
                <w:b/>
                <w:bCs/>
                <w:color w:val="000000"/>
              </w:rPr>
              <w:t>Costed Element</w:t>
            </w:r>
          </w:p>
        </w:tc>
        <w:tc>
          <w:tcPr>
            <w:tcW w:w="1940" w:type="dxa"/>
            <w:tcBorders>
              <w:top w:val="single" w:sz="4" w:space="0" w:color="000000"/>
              <w:bottom w:val="single" w:sz="4" w:space="0" w:color="000000"/>
              <w:right w:val="single" w:sz="4" w:space="0" w:color="000000"/>
            </w:tcBorders>
            <w:shd w:val="clear" w:color="auto" w:fill="DCE6F1"/>
            <w:noWrap/>
            <w:tcMar>
              <w:top w:w="0" w:type="dxa"/>
              <w:left w:w="108" w:type="dxa"/>
              <w:bottom w:w="0" w:type="dxa"/>
              <w:right w:w="108" w:type="dxa"/>
            </w:tcMar>
            <w:vAlign w:val="bottom"/>
          </w:tcPr>
          <w:p w14:paraId="3DEBBA6E" w14:textId="77777777" w:rsidR="00351BE8" w:rsidRDefault="0052315A">
            <w:pPr>
              <w:suppressAutoHyphens w:val="0"/>
              <w:spacing w:line="240" w:lineRule="auto"/>
              <w:textAlignment w:val="auto"/>
              <w:rPr>
                <w:rFonts w:eastAsia="Times New Roman"/>
                <w:b/>
                <w:bCs/>
                <w:color w:val="000000"/>
              </w:rPr>
            </w:pPr>
            <w:r>
              <w:rPr>
                <w:rFonts w:eastAsia="Times New Roman"/>
                <w:b/>
                <w:bCs/>
                <w:color w:val="000000"/>
              </w:rPr>
              <w:t>Total Cost:</w:t>
            </w:r>
          </w:p>
        </w:tc>
      </w:tr>
      <w:tr w:rsidR="00351BE8" w14:paraId="3DEBBA72" w14:textId="77777777">
        <w:trPr>
          <w:trHeight w:val="300"/>
        </w:trPr>
        <w:tc>
          <w:tcPr>
            <w:tcW w:w="3620" w:type="dxa"/>
            <w:tcBorders>
              <w:left w:val="single" w:sz="4" w:space="0" w:color="000000"/>
              <w:bottom w:val="single" w:sz="4" w:space="0" w:color="000000"/>
              <w:right w:val="single" w:sz="4" w:space="0" w:color="000000"/>
            </w:tcBorders>
            <w:shd w:val="clear" w:color="auto" w:fill="DCE6F1"/>
            <w:noWrap/>
            <w:tcMar>
              <w:top w:w="0" w:type="dxa"/>
              <w:left w:w="108" w:type="dxa"/>
              <w:bottom w:w="0" w:type="dxa"/>
              <w:right w:w="108" w:type="dxa"/>
            </w:tcMar>
            <w:vAlign w:val="bottom"/>
          </w:tcPr>
          <w:p w14:paraId="3DEBBA70" w14:textId="77777777" w:rsidR="00351BE8" w:rsidRDefault="0052315A">
            <w:pPr>
              <w:suppressAutoHyphens w:val="0"/>
              <w:spacing w:line="240" w:lineRule="auto"/>
              <w:textAlignment w:val="auto"/>
              <w:rPr>
                <w:rFonts w:eastAsia="Times New Roman"/>
                <w:b/>
                <w:bCs/>
                <w:color w:val="000000"/>
              </w:rPr>
            </w:pPr>
            <w:r>
              <w:rPr>
                <w:rFonts w:eastAsia="Times New Roman"/>
                <w:b/>
                <w:bCs/>
                <w:color w:val="000000"/>
              </w:rPr>
              <w:t>Data Maturity Assessment Costs</w:t>
            </w:r>
          </w:p>
        </w:tc>
        <w:tc>
          <w:tcPr>
            <w:tcW w:w="1940" w:type="dxa"/>
            <w:tcBorders>
              <w:bottom w:val="single" w:sz="4" w:space="0" w:color="000000"/>
              <w:right w:val="single" w:sz="4" w:space="0" w:color="000000"/>
            </w:tcBorders>
            <w:shd w:val="clear" w:color="auto" w:fill="DCE6F1"/>
            <w:noWrap/>
            <w:tcMar>
              <w:top w:w="0" w:type="dxa"/>
              <w:left w:w="108" w:type="dxa"/>
              <w:bottom w:w="0" w:type="dxa"/>
              <w:right w:w="108" w:type="dxa"/>
            </w:tcMar>
            <w:vAlign w:val="bottom"/>
          </w:tcPr>
          <w:p w14:paraId="3DEBBA71" w14:textId="5155E02A" w:rsidR="00351BE8" w:rsidRPr="00D96B2D" w:rsidRDefault="00187842">
            <w:pPr>
              <w:suppressAutoHyphens w:val="0"/>
              <w:spacing w:line="240" w:lineRule="auto"/>
              <w:jc w:val="right"/>
              <w:textAlignment w:val="auto"/>
              <w:rPr>
                <w:rFonts w:eastAsia="Times New Roman"/>
                <w:b/>
                <w:bCs/>
                <w:color w:val="000000"/>
              </w:rPr>
            </w:pPr>
            <w:r w:rsidRPr="00D96B2D">
              <w:rPr>
                <w:rFonts w:eastAsia="Times New Roman"/>
                <w:b/>
                <w:bCs/>
                <w:color w:val="000000"/>
              </w:rPr>
              <w:t>£</w:t>
            </w:r>
            <w:r w:rsidR="0052315A" w:rsidRPr="00D96B2D">
              <w:rPr>
                <w:rFonts w:eastAsia="Times New Roman"/>
                <w:b/>
                <w:bCs/>
                <w:color w:val="000000"/>
              </w:rPr>
              <w:t>32</w:t>
            </w:r>
            <w:r w:rsidRPr="00D96B2D">
              <w:rPr>
                <w:rFonts w:eastAsia="Times New Roman"/>
                <w:b/>
                <w:bCs/>
                <w:color w:val="000000"/>
              </w:rPr>
              <w:t>,</w:t>
            </w:r>
            <w:r w:rsidR="0052315A" w:rsidRPr="00D96B2D">
              <w:rPr>
                <w:rFonts w:eastAsia="Times New Roman"/>
                <w:b/>
                <w:bCs/>
                <w:color w:val="000000"/>
              </w:rPr>
              <w:t>150</w:t>
            </w:r>
          </w:p>
        </w:tc>
      </w:tr>
      <w:tr w:rsidR="00351BE8" w14:paraId="3DEBBA75" w14:textId="77777777">
        <w:trPr>
          <w:trHeight w:val="300"/>
        </w:trPr>
        <w:tc>
          <w:tcPr>
            <w:tcW w:w="3620" w:type="dxa"/>
            <w:tcBorders>
              <w:left w:val="single" w:sz="4" w:space="0" w:color="000000"/>
              <w:bottom w:val="single" w:sz="4" w:space="0" w:color="000000"/>
              <w:right w:val="single" w:sz="4" w:space="0" w:color="000000"/>
            </w:tcBorders>
            <w:shd w:val="clear" w:color="auto" w:fill="DCE6F1"/>
            <w:noWrap/>
            <w:tcMar>
              <w:top w:w="0" w:type="dxa"/>
              <w:left w:w="108" w:type="dxa"/>
              <w:bottom w:w="0" w:type="dxa"/>
              <w:right w:w="108" w:type="dxa"/>
            </w:tcMar>
            <w:vAlign w:val="bottom"/>
          </w:tcPr>
          <w:p w14:paraId="3DEBBA73" w14:textId="77777777" w:rsidR="00351BE8" w:rsidRDefault="0052315A">
            <w:pPr>
              <w:suppressAutoHyphens w:val="0"/>
              <w:spacing w:line="240" w:lineRule="auto"/>
              <w:textAlignment w:val="auto"/>
              <w:rPr>
                <w:rFonts w:eastAsia="Times New Roman"/>
                <w:b/>
                <w:bCs/>
                <w:color w:val="000000"/>
              </w:rPr>
            </w:pPr>
            <w:r>
              <w:rPr>
                <w:rFonts w:eastAsia="Times New Roman"/>
                <w:b/>
                <w:bCs/>
                <w:color w:val="000000"/>
              </w:rPr>
              <w:t>Target State Costs</w:t>
            </w:r>
          </w:p>
        </w:tc>
        <w:tc>
          <w:tcPr>
            <w:tcW w:w="1940" w:type="dxa"/>
            <w:tcBorders>
              <w:bottom w:val="single" w:sz="4" w:space="0" w:color="000000"/>
              <w:right w:val="single" w:sz="4" w:space="0" w:color="000000"/>
            </w:tcBorders>
            <w:shd w:val="clear" w:color="auto" w:fill="DCE6F1"/>
            <w:noWrap/>
            <w:tcMar>
              <w:top w:w="0" w:type="dxa"/>
              <w:left w:w="108" w:type="dxa"/>
              <w:bottom w:w="0" w:type="dxa"/>
              <w:right w:w="108" w:type="dxa"/>
            </w:tcMar>
            <w:vAlign w:val="bottom"/>
          </w:tcPr>
          <w:p w14:paraId="3DEBBA74" w14:textId="6685901C" w:rsidR="00351BE8" w:rsidRPr="00D96B2D" w:rsidRDefault="00187842">
            <w:pPr>
              <w:suppressAutoHyphens w:val="0"/>
              <w:spacing w:line="240" w:lineRule="auto"/>
              <w:jc w:val="right"/>
              <w:textAlignment w:val="auto"/>
              <w:rPr>
                <w:rFonts w:eastAsia="Times New Roman"/>
                <w:b/>
                <w:bCs/>
                <w:color w:val="000000"/>
              </w:rPr>
            </w:pPr>
            <w:r w:rsidRPr="00D96B2D">
              <w:rPr>
                <w:rFonts w:eastAsia="Times New Roman"/>
                <w:b/>
                <w:bCs/>
                <w:color w:val="000000"/>
              </w:rPr>
              <w:t>£</w:t>
            </w:r>
            <w:r w:rsidR="0052315A" w:rsidRPr="00D96B2D">
              <w:rPr>
                <w:rFonts w:eastAsia="Times New Roman"/>
                <w:b/>
                <w:bCs/>
                <w:color w:val="000000"/>
              </w:rPr>
              <w:t>16</w:t>
            </w:r>
            <w:r w:rsidRPr="00D96B2D">
              <w:rPr>
                <w:rFonts w:eastAsia="Times New Roman"/>
                <w:b/>
                <w:bCs/>
                <w:color w:val="000000"/>
              </w:rPr>
              <w:t>,</w:t>
            </w:r>
            <w:r w:rsidR="0052315A" w:rsidRPr="00D96B2D">
              <w:rPr>
                <w:rFonts w:eastAsia="Times New Roman"/>
                <w:b/>
                <w:bCs/>
                <w:color w:val="000000"/>
              </w:rPr>
              <w:t>500</w:t>
            </w:r>
          </w:p>
        </w:tc>
      </w:tr>
      <w:tr w:rsidR="00351BE8" w14:paraId="3DEBBA78" w14:textId="77777777">
        <w:trPr>
          <w:trHeight w:val="300"/>
        </w:trPr>
        <w:tc>
          <w:tcPr>
            <w:tcW w:w="3620" w:type="dxa"/>
            <w:tcBorders>
              <w:left w:val="single" w:sz="4" w:space="0" w:color="000000"/>
              <w:bottom w:val="single" w:sz="4" w:space="0" w:color="000000"/>
              <w:right w:val="single" w:sz="4" w:space="0" w:color="000000"/>
            </w:tcBorders>
            <w:shd w:val="clear" w:color="auto" w:fill="DCE6F1"/>
            <w:noWrap/>
            <w:tcMar>
              <w:top w:w="0" w:type="dxa"/>
              <w:left w:w="108" w:type="dxa"/>
              <w:bottom w:w="0" w:type="dxa"/>
              <w:right w:w="108" w:type="dxa"/>
            </w:tcMar>
            <w:vAlign w:val="bottom"/>
          </w:tcPr>
          <w:p w14:paraId="3DEBBA76" w14:textId="77777777" w:rsidR="00351BE8" w:rsidRDefault="0052315A">
            <w:pPr>
              <w:suppressAutoHyphens w:val="0"/>
              <w:spacing w:line="240" w:lineRule="auto"/>
              <w:textAlignment w:val="auto"/>
              <w:rPr>
                <w:rFonts w:eastAsia="Times New Roman"/>
                <w:b/>
                <w:bCs/>
                <w:color w:val="000000"/>
              </w:rPr>
            </w:pPr>
            <w:r>
              <w:rPr>
                <w:rFonts w:eastAsia="Times New Roman"/>
                <w:b/>
                <w:bCs/>
                <w:color w:val="000000"/>
              </w:rPr>
              <w:t>Data Strategy Costs</w:t>
            </w:r>
          </w:p>
        </w:tc>
        <w:tc>
          <w:tcPr>
            <w:tcW w:w="1940" w:type="dxa"/>
            <w:tcBorders>
              <w:bottom w:val="single" w:sz="4" w:space="0" w:color="000000"/>
              <w:right w:val="single" w:sz="4" w:space="0" w:color="000000"/>
            </w:tcBorders>
            <w:shd w:val="clear" w:color="auto" w:fill="DCE6F1"/>
            <w:noWrap/>
            <w:tcMar>
              <w:top w:w="0" w:type="dxa"/>
              <w:left w:w="108" w:type="dxa"/>
              <w:bottom w:w="0" w:type="dxa"/>
              <w:right w:w="108" w:type="dxa"/>
            </w:tcMar>
            <w:vAlign w:val="bottom"/>
          </w:tcPr>
          <w:p w14:paraId="3DEBBA77" w14:textId="2CF66EBF" w:rsidR="00351BE8" w:rsidRPr="00D96B2D" w:rsidRDefault="00187842">
            <w:pPr>
              <w:suppressAutoHyphens w:val="0"/>
              <w:spacing w:line="240" w:lineRule="auto"/>
              <w:jc w:val="right"/>
              <w:textAlignment w:val="auto"/>
              <w:rPr>
                <w:rFonts w:eastAsia="Times New Roman"/>
                <w:b/>
                <w:bCs/>
                <w:color w:val="000000"/>
              </w:rPr>
            </w:pPr>
            <w:r w:rsidRPr="00D96B2D">
              <w:rPr>
                <w:rFonts w:eastAsia="Times New Roman"/>
                <w:b/>
                <w:bCs/>
                <w:color w:val="000000"/>
              </w:rPr>
              <w:t>£</w:t>
            </w:r>
            <w:r w:rsidR="0052315A" w:rsidRPr="00D96B2D">
              <w:rPr>
                <w:rFonts w:eastAsia="Times New Roman"/>
                <w:b/>
                <w:bCs/>
                <w:color w:val="000000"/>
              </w:rPr>
              <w:t>118</w:t>
            </w:r>
            <w:r w:rsidRPr="00D96B2D">
              <w:rPr>
                <w:rFonts w:eastAsia="Times New Roman"/>
                <w:b/>
                <w:bCs/>
                <w:color w:val="000000"/>
              </w:rPr>
              <w:t>,</w:t>
            </w:r>
            <w:r w:rsidR="0052315A" w:rsidRPr="00D96B2D">
              <w:rPr>
                <w:rFonts w:eastAsia="Times New Roman"/>
                <w:b/>
                <w:bCs/>
                <w:color w:val="000000"/>
              </w:rPr>
              <w:t>350</w:t>
            </w:r>
          </w:p>
        </w:tc>
      </w:tr>
      <w:tr w:rsidR="00351BE8" w14:paraId="3DEBBA7B" w14:textId="77777777">
        <w:trPr>
          <w:trHeight w:val="300"/>
        </w:trPr>
        <w:tc>
          <w:tcPr>
            <w:tcW w:w="3620" w:type="dxa"/>
            <w:tcBorders>
              <w:left w:val="single" w:sz="4" w:space="0" w:color="000000"/>
              <w:bottom w:val="single" w:sz="4" w:space="0" w:color="000000"/>
              <w:right w:val="single" w:sz="4" w:space="0" w:color="000000"/>
            </w:tcBorders>
            <w:shd w:val="clear" w:color="auto" w:fill="DCE6F1"/>
            <w:noWrap/>
            <w:tcMar>
              <w:top w:w="0" w:type="dxa"/>
              <w:left w:w="108" w:type="dxa"/>
              <w:bottom w:w="0" w:type="dxa"/>
              <w:right w:w="108" w:type="dxa"/>
            </w:tcMar>
            <w:vAlign w:val="bottom"/>
          </w:tcPr>
          <w:p w14:paraId="3DEBBA79" w14:textId="77777777" w:rsidR="00351BE8" w:rsidRDefault="0052315A">
            <w:pPr>
              <w:suppressAutoHyphens w:val="0"/>
              <w:spacing w:line="240" w:lineRule="auto"/>
              <w:textAlignment w:val="auto"/>
              <w:rPr>
                <w:rFonts w:eastAsia="Times New Roman"/>
                <w:b/>
                <w:bCs/>
                <w:color w:val="000000"/>
              </w:rPr>
            </w:pPr>
            <w:r>
              <w:rPr>
                <w:rFonts w:eastAsia="Times New Roman"/>
                <w:b/>
                <w:bCs/>
                <w:color w:val="000000"/>
              </w:rPr>
              <w:t>Implementation Plan Costs</w:t>
            </w:r>
          </w:p>
        </w:tc>
        <w:tc>
          <w:tcPr>
            <w:tcW w:w="1940" w:type="dxa"/>
            <w:tcBorders>
              <w:bottom w:val="single" w:sz="4" w:space="0" w:color="000000"/>
              <w:right w:val="single" w:sz="4" w:space="0" w:color="000000"/>
            </w:tcBorders>
            <w:shd w:val="clear" w:color="auto" w:fill="DCE6F1"/>
            <w:noWrap/>
            <w:tcMar>
              <w:top w:w="0" w:type="dxa"/>
              <w:left w:w="108" w:type="dxa"/>
              <w:bottom w:w="0" w:type="dxa"/>
              <w:right w:w="108" w:type="dxa"/>
            </w:tcMar>
            <w:vAlign w:val="bottom"/>
          </w:tcPr>
          <w:p w14:paraId="3DEBBA7A" w14:textId="0503506F" w:rsidR="00351BE8" w:rsidRPr="00D96B2D" w:rsidRDefault="00187842">
            <w:pPr>
              <w:suppressAutoHyphens w:val="0"/>
              <w:spacing w:line="240" w:lineRule="auto"/>
              <w:jc w:val="right"/>
              <w:textAlignment w:val="auto"/>
              <w:rPr>
                <w:rFonts w:eastAsia="Times New Roman"/>
                <w:b/>
                <w:bCs/>
                <w:color w:val="000000"/>
              </w:rPr>
            </w:pPr>
            <w:r w:rsidRPr="00D96B2D">
              <w:rPr>
                <w:rFonts w:eastAsia="Times New Roman"/>
                <w:b/>
                <w:bCs/>
                <w:color w:val="000000"/>
              </w:rPr>
              <w:t>£</w:t>
            </w:r>
            <w:r w:rsidR="0052315A" w:rsidRPr="00D96B2D">
              <w:rPr>
                <w:rFonts w:eastAsia="Times New Roman"/>
                <w:b/>
                <w:bCs/>
                <w:color w:val="000000"/>
              </w:rPr>
              <w:t>31</w:t>
            </w:r>
            <w:r w:rsidRPr="00D96B2D">
              <w:rPr>
                <w:rFonts w:eastAsia="Times New Roman"/>
                <w:b/>
                <w:bCs/>
                <w:color w:val="000000"/>
              </w:rPr>
              <w:t>,</w:t>
            </w:r>
            <w:r w:rsidR="0052315A" w:rsidRPr="00D96B2D">
              <w:rPr>
                <w:rFonts w:eastAsia="Times New Roman"/>
                <w:b/>
                <w:bCs/>
                <w:color w:val="000000"/>
              </w:rPr>
              <w:t>450</w:t>
            </w:r>
          </w:p>
        </w:tc>
      </w:tr>
      <w:tr w:rsidR="00351BE8" w14:paraId="3DEBBA7E" w14:textId="77777777">
        <w:trPr>
          <w:trHeight w:val="300"/>
        </w:trPr>
        <w:tc>
          <w:tcPr>
            <w:tcW w:w="3620" w:type="dxa"/>
            <w:tcBorders>
              <w:left w:val="single" w:sz="4" w:space="0" w:color="000000"/>
              <w:bottom w:val="single" w:sz="4" w:space="0" w:color="000000"/>
            </w:tcBorders>
            <w:shd w:val="clear" w:color="auto" w:fill="DCE6F1"/>
            <w:noWrap/>
            <w:tcMar>
              <w:top w:w="0" w:type="dxa"/>
              <w:left w:w="108" w:type="dxa"/>
              <w:bottom w:w="0" w:type="dxa"/>
              <w:right w:w="108" w:type="dxa"/>
            </w:tcMar>
            <w:vAlign w:val="bottom"/>
          </w:tcPr>
          <w:p w14:paraId="3DEBBA7C" w14:textId="77777777" w:rsidR="00351BE8" w:rsidRDefault="0052315A">
            <w:pPr>
              <w:suppressAutoHyphens w:val="0"/>
              <w:spacing w:line="240" w:lineRule="auto"/>
              <w:textAlignment w:val="auto"/>
              <w:rPr>
                <w:rFonts w:eastAsia="Times New Roman"/>
                <w:b/>
                <w:bCs/>
                <w:color w:val="000000"/>
              </w:rPr>
            </w:pPr>
            <w:r>
              <w:rPr>
                <w:rFonts w:eastAsia="Times New Roman"/>
                <w:b/>
                <w:bCs/>
                <w:color w:val="000000"/>
              </w:rPr>
              <w:t>Additional Costs</w:t>
            </w:r>
          </w:p>
        </w:tc>
        <w:tc>
          <w:tcPr>
            <w:tcW w:w="1940" w:type="dxa"/>
            <w:tcBorders>
              <w:left w:val="single" w:sz="4" w:space="0" w:color="000000"/>
              <w:bottom w:val="single" w:sz="4" w:space="0" w:color="000000"/>
              <w:right w:val="single" w:sz="4" w:space="0" w:color="000000"/>
            </w:tcBorders>
            <w:shd w:val="clear" w:color="auto" w:fill="DCE6F1"/>
            <w:noWrap/>
            <w:tcMar>
              <w:top w:w="0" w:type="dxa"/>
              <w:left w:w="108" w:type="dxa"/>
              <w:bottom w:w="0" w:type="dxa"/>
              <w:right w:w="108" w:type="dxa"/>
            </w:tcMar>
            <w:vAlign w:val="bottom"/>
          </w:tcPr>
          <w:p w14:paraId="3DEBBA7D" w14:textId="1AF3A0C6" w:rsidR="00351BE8" w:rsidRPr="00D96B2D" w:rsidRDefault="009D7AFD">
            <w:pPr>
              <w:suppressAutoHyphens w:val="0"/>
              <w:spacing w:line="240" w:lineRule="auto"/>
              <w:jc w:val="right"/>
              <w:textAlignment w:val="auto"/>
              <w:rPr>
                <w:rFonts w:eastAsia="Times New Roman"/>
                <w:b/>
                <w:bCs/>
                <w:color w:val="000000"/>
              </w:rPr>
            </w:pPr>
            <w:r>
              <w:rPr>
                <w:rFonts w:eastAsia="Times New Roman"/>
                <w:b/>
                <w:bCs/>
                <w:color w:val="000000"/>
              </w:rPr>
              <w:t>£</w:t>
            </w:r>
            <w:r w:rsidR="0052315A" w:rsidRPr="00D96B2D">
              <w:rPr>
                <w:rFonts w:eastAsia="Times New Roman"/>
                <w:b/>
                <w:bCs/>
                <w:color w:val="000000"/>
              </w:rPr>
              <w:t>0</w:t>
            </w:r>
          </w:p>
        </w:tc>
      </w:tr>
      <w:tr w:rsidR="00351BE8" w14:paraId="3DEBBA84" w14:textId="77777777">
        <w:trPr>
          <w:trHeight w:val="300"/>
        </w:trPr>
        <w:tc>
          <w:tcPr>
            <w:tcW w:w="3620" w:type="dxa"/>
            <w:shd w:val="clear" w:color="auto" w:fill="auto"/>
            <w:noWrap/>
            <w:tcMar>
              <w:top w:w="0" w:type="dxa"/>
              <w:left w:w="108" w:type="dxa"/>
              <w:bottom w:w="0" w:type="dxa"/>
              <w:right w:w="108" w:type="dxa"/>
            </w:tcMar>
            <w:vAlign w:val="bottom"/>
          </w:tcPr>
          <w:p w14:paraId="3DEBBA82" w14:textId="77777777" w:rsidR="00351BE8" w:rsidRDefault="0052315A">
            <w:pPr>
              <w:suppressAutoHyphens w:val="0"/>
              <w:spacing w:line="240" w:lineRule="auto"/>
              <w:jc w:val="right"/>
              <w:textAlignment w:val="auto"/>
              <w:rPr>
                <w:rFonts w:eastAsia="Times New Roman"/>
                <w:b/>
                <w:bCs/>
                <w:color w:val="000000"/>
              </w:rPr>
            </w:pPr>
            <w:r>
              <w:rPr>
                <w:rFonts w:eastAsia="Times New Roman"/>
                <w:b/>
                <w:bCs/>
                <w:color w:val="000000"/>
              </w:rPr>
              <w:t>Total Cost:</w:t>
            </w:r>
          </w:p>
        </w:tc>
        <w:tc>
          <w:tcPr>
            <w:tcW w:w="1940" w:type="dxa"/>
            <w:tcBorders>
              <w:left w:val="single" w:sz="4" w:space="0" w:color="000000"/>
              <w:bottom w:val="single" w:sz="4" w:space="0" w:color="000000"/>
              <w:right w:val="single" w:sz="4" w:space="0" w:color="000000"/>
            </w:tcBorders>
            <w:shd w:val="clear" w:color="auto" w:fill="DCE6F1"/>
            <w:noWrap/>
            <w:tcMar>
              <w:top w:w="0" w:type="dxa"/>
              <w:left w:w="108" w:type="dxa"/>
              <w:bottom w:w="0" w:type="dxa"/>
              <w:right w:w="108" w:type="dxa"/>
            </w:tcMar>
            <w:vAlign w:val="bottom"/>
          </w:tcPr>
          <w:p w14:paraId="3DEBBA83" w14:textId="61DEB259" w:rsidR="00351BE8" w:rsidRPr="00440188" w:rsidRDefault="00187842">
            <w:pPr>
              <w:suppressAutoHyphens w:val="0"/>
              <w:spacing w:line="240" w:lineRule="auto"/>
              <w:jc w:val="right"/>
              <w:textAlignment w:val="auto"/>
              <w:rPr>
                <w:rFonts w:eastAsia="Times New Roman"/>
                <w:b/>
                <w:bCs/>
                <w:color w:val="000000"/>
              </w:rPr>
            </w:pPr>
            <w:r w:rsidRPr="00440188">
              <w:rPr>
                <w:rFonts w:eastAsia="Times New Roman"/>
                <w:b/>
                <w:bCs/>
                <w:color w:val="000000"/>
              </w:rPr>
              <w:t>£</w:t>
            </w:r>
            <w:r w:rsidR="0052315A" w:rsidRPr="00440188">
              <w:rPr>
                <w:rFonts w:eastAsia="Times New Roman"/>
                <w:b/>
                <w:bCs/>
                <w:color w:val="000000"/>
              </w:rPr>
              <w:t>198</w:t>
            </w:r>
            <w:r w:rsidRPr="00440188">
              <w:rPr>
                <w:rFonts w:eastAsia="Times New Roman"/>
                <w:b/>
                <w:bCs/>
                <w:color w:val="000000"/>
              </w:rPr>
              <w:t>,</w:t>
            </w:r>
            <w:r w:rsidR="0052315A" w:rsidRPr="00440188">
              <w:rPr>
                <w:rFonts w:eastAsia="Times New Roman"/>
                <w:b/>
                <w:bCs/>
                <w:color w:val="000000"/>
              </w:rPr>
              <w:t>450</w:t>
            </w:r>
          </w:p>
        </w:tc>
      </w:tr>
    </w:tbl>
    <w:p w14:paraId="3DEBBA85" w14:textId="77777777" w:rsidR="00351BE8" w:rsidRDefault="0052315A">
      <w:pPr>
        <w:spacing w:before="240"/>
      </w:pPr>
      <w:r>
        <w:rPr>
          <w:rFonts w:eastAsia="Times New Roman"/>
          <w:b/>
          <w:bCs/>
          <w:color w:val="000000"/>
          <w:u w:val="single"/>
        </w:rPr>
        <w:t>Data Maturity Assessment Costs</w:t>
      </w:r>
    </w:p>
    <w:p w14:paraId="3DEBBA86" w14:textId="77777777" w:rsidR="00351BE8" w:rsidRDefault="0052315A">
      <w:pPr>
        <w:spacing w:before="240"/>
      </w:pPr>
      <w:r>
        <w:rPr>
          <w:b/>
        </w:rPr>
        <w:t xml:space="preserve"> </w:t>
      </w:r>
    </w:p>
    <w:tbl>
      <w:tblPr>
        <w:tblW w:w="11052" w:type="dxa"/>
        <w:tblInd w:w="-713" w:type="dxa"/>
        <w:tblCellMar>
          <w:left w:w="10" w:type="dxa"/>
          <w:right w:w="10" w:type="dxa"/>
        </w:tblCellMar>
        <w:tblLook w:val="0000" w:firstRow="0" w:lastRow="0" w:firstColumn="0" w:lastColumn="0" w:noHBand="0" w:noVBand="0"/>
      </w:tblPr>
      <w:tblGrid>
        <w:gridCol w:w="1798"/>
        <w:gridCol w:w="3021"/>
        <w:gridCol w:w="1559"/>
        <w:gridCol w:w="1560"/>
        <w:gridCol w:w="1434"/>
        <w:gridCol w:w="1680"/>
      </w:tblGrid>
      <w:tr w:rsidR="00C31629" w14:paraId="3DEBBA8D" w14:textId="77777777" w:rsidTr="00C31629">
        <w:trPr>
          <w:trHeight w:val="930"/>
        </w:trPr>
        <w:tc>
          <w:tcPr>
            <w:tcW w:w="17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EBBA87"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Name(s)</w:t>
            </w:r>
          </w:p>
        </w:tc>
        <w:tc>
          <w:tcPr>
            <w:tcW w:w="3021"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EBBA88"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 xml:space="preserve">Grade </w:t>
            </w:r>
          </w:p>
        </w:tc>
        <w:tc>
          <w:tcPr>
            <w:tcW w:w="1559"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EBBA89"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Framework Maximum Rate</w:t>
            </w:r>
          </w:p>
        </w:tc>
        <w:tc>
          <w:tcPr>
            <w:tcW w:w="156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EBBA8A"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Tendered Daily Rate £</w:t>
            </w:r>
            <w:r>
              <w:rPr>
                <w:rFonts w:eastAsia="Times New Roman"/>
                <w:b/>
                <w:bCs/>
                <w:color w:val="000000"/>
              </w:rPr>
              <w:br/>
              <w:t>(</w:t>
            </w:r>
            <w:proofErr w:type="spellStart"/>
            <w:r>
              <w:rPr>
                <w:rFonts w:eastAsia="Times New Roman"/>
                <w:b/>
                <w:bCs/>
                <w:color w:val="000000"/>
              </w:rPr>
              <w:t>exc</w:t>
            </w:r>
            <w:proofErr w:type="spellEnd"/>
            <w:r>
              <w:rPr>
                <w:rFonts w:eastAsia="Times New Roman"/>
                <w:b/>
                <w:bCs/>
                <w:color w:val="000000"/>
              </w:rPr>
              <w:t xml:space="preserve"> VAT)</w:t>
            </w:r>
          </w:p>
        </w:tc>
        <w:tc>
          <w:tcPr>
            <w:tcW w:w="1434"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EBBA8B"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 xml:space="preserve">Number </w:t>
            </w:r>
            <w:r>
              <w:rPr>
                <w:rFonts w:eastAsia="Times New Roman"/>
                <w:b/>
                <w:bCs/>
                <w:color w:val="000000"/>
              </w:rPr>
              <w:br/>
              <w:t xml:space="preserve">of days </w:t>
            </w:r>
          </w:p>
        </w:tc>
        <w:tc>
          <w:tcPr>
            <w:tcW w:w="168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EBBA8C"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Total £</w:t>
            </w:r>
            <w:r>
              <w:rPr>
                <w:rFonts w:eastAsia="Times New Roman"/>
                <w:b/>
                <w:bCs/>
                <w:color w:val="000000"/>
              </w:rPr>
              <w:br/>
              <w:t>(</w:t>
            </w:r>
            <w:proofErr w:type="spellStart"/>
            <w:r>
              <w:rPr>
                <w:rFonts w:eastAsia="Times New Roman"/>
                <w:b/>
                <w:bCs/>
                <w:color w:val="000000"/>
              </w:rPr>
              <w:t>exc</w:t>
            </w:r>
            <w:proofErr w:type="spellEnd"/>
            <w:r>
              <w:rPr>
                <w:rFonts w:eastAsia="Times New Roman"/>
                <w:b/>
                <w:bCs/>
                <w:color w:val="000000"/>
              </w:rPr>
              <w:t xml:space="preserve"> VAT)</w:t>
            </w:r>
          </w:p>
        </w:tc>
      </w:tr>
      <w:tr w:rsidR="00C31629" w14:paraId="3DEBBA94" w14:textId="77777777" w:rsidTr="00C31629">
        <w:trPr>
          <w:trHeight w:val="285"/>
        </w:trPr>
        <w:tc>
          <w:tcPr>
            <w:tcW w:w="1798" w:type="dxa"/>
            <w:tcBorders>
              <w:left w:val="single" w:sz="4" w:space="0" w:color="000000"/>
              <w:bottom w:val="single" w:sz="4" w:space="0" w:color="000000"/>
              <w:right w:val="single" w:sz="4" w:space="0" w:color="000000"/>
            </w:tcBorders>
            <w:shd w:val="clear" w:color="auto" w:fill="F79646"/>
            <w:tcMar>
              <w:top w:w="0" w:type="dxa"/>
              <w:left w:w="108" w:type="dxa"/>
              <w:bottom w:w="0" w:type="dxa"/>
              <w:right w:w="108" w:type="dxa"/>
            </w:tcMar>
            <w:vAlign w:val="center"/>
          </w:tcPr>
          <w:p w14:paraId="3DEBBA8E" w14:textId="551B084B" w:rsidR="00C31629" w:rsidRDefault="00C31629" w:rsidP="00C31629">
            <w:pPr>
              <w:suppressAutoHyphens w:val="0"/>
              <w:spacing w:line="240" w:lineRule="auto"/>
              <w:jc w:val="center"/>
              <w:textAlignment w:val="auto"/>
              <w:rPr>
                <w:rFonts w:eastAsia="Times New Roman"/>
                <w:color w:val="000000"/>
              </w:rPr>
            </w:pPr>
            <w:r>
              <w:t>REDACTED</w:t>
            </w:r>
          </w:p>
        </w:tc>
        <w:tc>
          <w:tcPr>
            <w:tcW w:w="3021"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8F" w14:textId="1B56815A" w:rsidR="00C31629" w:rsidRDefault="00C31629" w:rsidP="00C31629">
            <w:pPr>
              <w:suppressAutoHyphens w:val="0"/>
              <w:spacing w:line="240" w:lineRule="auto"/>
              <w:jc w:val="center"/>
              <w:textAlignment w:val="auto"/>
              <w:rPr>
                <w:rFonts w:eastAsia="Times New Roman"/>
                <w:b/>
                <w:bCs/>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90" w14:textId="23B04521" w:rsidR="00C31629" w:rsidRDefault="00C31629" w:rsidP="00C31629">
            <w:pPr>
              <w:suppressAutoHyphens w:val="0"/>
              <w:spacing w:line="240" w:lineRule="auto"/>
              <w:jc w:val="center"/>
              <w:textAlignment w:val="auto"/>
              <w:rPr>
                <w:rFonts w:eastAsia="Times New Roman"/>
                <w:color w:val="000000"/>
              </w:rPr>
            </w:pPr>
            <w:r>
              <w:t>REDACTED</w:t>
            </w:r>
          </w:p>
        </w:tc>
        <w:tc>
          <w:tcPr>
            <w:tcW w:w="1560"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91" w14:textId="1E086E81" w:rsidR="00C31629" w:rsidRDefault="00C31629" w:rsidP="00C31629">
            <w:pPr>
              <w:suppressAutoHyphens w:val="0"/>
              <w:spacing w:line="240" w:lineRule="auto"/>
              <w:jc w:val="center"/>
              <w:textAlignment w:val="auto"/>
              <w:rPr>
                <w:rFonts w:eastAsia="Times New Roman"/>
                <w:color w:val="000000"/>
              </w:rPr>
            </w:pPr>
            <w:r>
              <w:t>REDACTED</w:t>
            </w:r>
          </w:p>
        </w:tc>
        <w:tc>
          <w:tcPr>
            <w:tcW w:w="1434"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92" w14:textId="3D6B4CB3" w:rsidR="00C31629" w:rsidRDefault="00C31629" w:rsidP="00C31629">
            <w:pPr>
              <w:suppressAutoHyphens w:val="0"/>
              <w:spacing w:line="240" w:lineRule="auto"/>
              <w:jc w:val="center"/>
              <w:textAlignment w:val="auto"/>
              <w:rPr>
                <w:rFonts w:eastAsia="Times New Roman"/>
                <w:color w:val="000000"/>
              </w:rPr>
            </w:pPr>
            <w:r>
              <w:t>REDACTED</w:t>
            </w:r>
          </w:p>
        </w:tc>
        <w:tc>
          <w:tcPr>
            <w:tcW w:w="1680"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93" w14:textId="1E47AC92" w:rsidR="00C31629" w:rsidRDefault="00C31629" w:rsidP="00C31629">
            <w:pPr>
              <w:suppressAutoHyphens w:val="0"/>
              <w:spacing w:line="240" w:lineRule="auto"/>
              <w:jc w:val="center"/>
              <w:textAlignment w:val="auto"/>
              <w:rPr>
                <w:rFonts w:eastAsia="Times New Roman"/>
                <w:color w:val="000000"/>
              </w:rPr>
            </w:pPr>
            <w:r>
              <w:t>REDACTED</w:t>
            </w:r>
          </w:p>
        </w:tc>
      </w:tr>
      <w:tr w:rsidR="00C31629" w14:paraId="3DEBBA9B" w14:textId="77777777" w:rsidTr="00C31629">
        <w:trPr>
          <w:trHeight w:val="285"/>
        </w:trPr>
        <w:tc>
          <w:tcPr>
            <w:tcW w:w="1798" w:type="dxa"/>
            <w:tcBorders>
              <w:left w:val="single" w:sz="4" w:space="0" w:color="000000"/>
              <w:bottom w:val="single" w:sz="4" w:space="0" w:color="000000"/>
              <w:right w:val="single" w:sz="4" w:space="0" w:color="000000"/>
            </w:tcBorders>
            <w:shd w:val="clear" w:color="auto" w:fill="F79646"/>
            <w:tcMar>
              <w:top w:w="0" w:type="dxa"/>
              <w:left w:w="108" w:type="dxa"/>
              <w:bottom w:w="0" w:type="dxa"/>
              <w:right w:w="108" w:type="dxa"/>
            </w:tcMar>
            <w:vAlign w:val="center"/>
          </w:tcPr>
          <w:p w14:paraId="3DEBBA95" w14:textId="4963B23C" w:rsidR="00C31629" w:rsidRDefault="00C31629" w:rsidP="00C31629">
            <w:pPr>
              <w:suppressAutoHyphens w:val="0"/>
              <w:spacing w:line="240" w:lineRule="auto"/>
              <w:jc w:val="center"/>
              <w:textAlignment w:val="auto"/>
              <w:rPr>
                <w:rFonts w:eastAsia="Times New Roman"/>
                <w:color w:val="000000"/>
              </w:rPr>
            </w:pPr>
            <w:r>
              <w:t>REDACTED</w:t>
            </w:r>
          </w:p>
        </w:tc>
        <w:tc>
          <w:tcPr>
            <w:tcW w:w="3021"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96" w14:textId="2BDF5AAC" w:rsidR="00C31629" w:rsidRDefault="00C31629" w:rsidP="00C31629">
            <w:pPr>
              <w:suppressAutoHyphens w:val="0"/>
              <w:spacing w:line="240" w:lineRule="auto"/>
              <w:jc w:val="center"/>
              <w:textAlignment w:val="auto"/>
              <w:rPr>
                <w:rFonts w:eastAsia="Times New Roman"/>
                <w:b/>
                <w:bCs/>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97" w14:textId="3AD47480" w:rsidR="00C31629" w:rsidRDefault="00C31629" w:rsidP="00C31629">
            <w:pPr>
              <w:suppressAutoHyphens w:val="0"/>
              <w:spacing w:line="240" w:lineRule="auto"/>
              <w:jc w:val="center"/>
              <w:textAlignment w:val="auto"/>
              <w:rPr>
                <w:rFonts w:eastAsia="Times New Roman"/>
                <w:color w:val="000000"/>
              </w:rPr>
            </w:pPr>
            <w:r>
              <w:t>REDACTED</w:t>
            </w:r>
          </w:p>
        </w:tc>
        <w:tc>
          <w:tcPr>
            <w:tcW w:w="1560"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98" w14:textId="07A40496" w:rsidR="00C31629" w:rsidRDefault="00C31629" w:rsidP="00C31629">
            <w:pPr>
              <w:suppressAutoHyphens w:val="0"/>
              <w:spacing w:line="240" w:lineRule="auto"/>
              <w:jc w:val="center"/>
              <w:textAlignment w:val="auto"/>
              <w:rPr>
                <w:rFonts w:eastAsia="Times New Roman"/>
                <w:color w:val="000000"/>
              </w:rPr>
            </w:pPr>
            <w:r>
              <w:t>REDACTED</w:t>
            </w:r>
          </w:p>
        </w:tc>
        <w:tc>
          <w:tcPr>
            <w:tcW w:w="1434"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99" w14:textId="76381D7F" w:rsidR="00C31629" w:rsidRDefault="00C31629" w:rsidP="00C31629">
            <w:pPr>
              <w:suppressAutoHyphens w:val="0"/>
              <w:spacing w:line="240" w:lineRule="auto"/>
              <w:jc w:val="center"/>
              <w:textAlignment w:val="auto"/>
              <w:rPr>
                <w:rFonts w:eastAsia="Times New Roman"/>
                <w:color w:val="000000"/>
              </w:rPr>
            </w:pPr>
            <w:r>
              <w:t>REDACTED</w:t>
            </w:r>
          </w:p>
        </w:tc>
        <w:tc>
          <w:tcPr>
            <w:tcW w:w="1680"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9A" w14:textId="4B8EE820" w:rsidR="00C31629" w:rsidRDefault="00C31629" w:rsidP="00C31629">
            <w:pPr>
              <w:suppressAutoHyphens w:val="0"/>
              <w:spacing w:line="240" w:lineRule="auto"/>
              <w:jc w:val="center"/>
              <w:textAlignment w:val="auto"/>
              <w:rPr>
                <w:rFonts w:eastAsia="Times New Roman"/>
                <w:color w:val="000000"/>
              </w:rPr>
            </w:pPr>
            <w:r>
              <w:t>REDACTED</w:t>
            </w:r>
          </w:p>
        </w:tc>
      </w:tr>
      <w:tr w:rsidR="00C31629" w14:paraId="3DEBBAA2" w14:textId="77777777" w:rsidTr="00C31629">
        <w:trPr>
          <w:trHeight w:val="285"/>
        </w:trPr>
        <w:tc>
          <w:tcPr>
            <w:tcW w:w="1798" w:type="dxa"/>
            <w:tcBorders>
              <w:left w:val="single" w:sz="4" w:space="0" w:color="000000"/>
              <w:bottom w:val="single" w:sz="4" w:space="0" w:color="000000"/>
              <w:right w:val="single" w:sz="4" w:space="0" w:color="000000"/>
            </w:tcBorders>
            <w:shd w:val="clear" w:color="auto" w:fill="F79646"/>
            <w:tcMar>
              <w:top w:w="0" w:type="dxa"/>
              <w:left w:w="108" w:type="dxa"/>
              <w:bottom w:w="0" w:type="dxa"/>
              <w:right w:w="108" w:type="dxa"/>
            </w:tcMar>
            <w:vAlign w:val="center"/>
          </w:tcPr>
          <w:p w14:paraId="3DEBBA9C" w14:textId="3A1EDFD3" w:rsidR="00C31629" w:rsidRDefault="00C31629" w:rsidP="00C31629">
            <w:pPr>
              <w:suppressAutoHyphens w:val="0"/>
              <w:spacing w:line="240" w:lineRule="auto"/>
              <w:jc w:val="center"/>
              <w:textAlignment w:val="auto"/>
              <w:rPr>
                <w:rFonts w:eastAsia="Times New Roman"/>
                <w:color w:val="000000"/>
              </w:rPr>
            </w:pPr>
            <w:r>
              <w:t>REDACTED</w:t>
            </w:r>
          </w:p>
        </w:tc>
        <w:tc>
          <w:tcPr>
            <w:tcW w:w="3021"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9D" w14:textId="2ECB6D31" w:rsidR="00C31629" w:rsidRDefault="00C31629" w:rsidP="00C31629">
            <w:pPr>
              <w:suppressAutoHyphens w:val="0"/>
              <w:spacing w:line="240" w:lineRule="auto"/>
              <w:jc w:val="center"/>
              <w:textAlignment w:val="auto"/>
              <w:rPr>
                <w:rFonts w:eastAsia="Times New Roman"/>
                <w:b/>
                <w:bCs/>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9E" w14:textId="4A017E13" w:rsidR="00C31629" w:rsidRDefault="00C31629" w:rsidP="00C31629">
            <w:pPr>
              <w:suppressAutoHyphens w:val="0"/>
              <w:spacing w:line="240" w:lineRule="auto"/>
              <w:jc w:val="center"/>
              <w:textAlignment w:val="auto"/>
              <w:rPr>
                <w:rFonts w:eastAsia="Times New Roman"/>
                <w:color w:val="000000"/>
              </w:rPr>
            </w:pPr>
            <w:r>
              <w:t>REDACTED</w:t>
            </w:r>
          </w:p>
        </w:tc>
        <w:tc>
          <w:tcPr>
            <w:tcW w:w="1560"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9F" w14:textId="455F165D" w:rsidR="00C31629" w:rsidRDefault="00C31629" w:rsidP="00C31629">
            <w:pPr>
              <w:suppressAutoHyphens w:val="0"/>
              <w:spacing w:line="240" w:lineRule="auto"/>
              <w:jc w:val="center"/>
              <w:textAlignment w:val="auto"/>
              <w:rPr>
                <w:rFonts w:eastAsia="Times New Roman"/>
                <w:color w:val="000000"/>
              </w:rPr>
            </w:pPr>
            <w:r>
              <w:t>REDACTED</w:t>
            </w:r>
          </w:p>
        </w:tc>
        <w:tc>
          <w:tcPr>
            <w:tcW w:w="1434"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A0" w14:textId="1642A371" w:rsidR="00C31629" w:rsidRDefault="00C31629" w:rsidP="00C31629">
            <w:pPr>
              <w:suppressAutoHyphens w:val="0"/>
              <w:spacing w:line="240" w:lineRule="auto"/>
              <w:jc w:val="center"/>
              <w:textAlignment w:val="auto"/>
              <w:rPr>
                <w:rFonts w:eastAsia="Times New Roman"/>
                <w:color w:val="000000"/>
              </w:rPr>
            </w:pPr>
            <w:r>
              <w:t>REDACTED</w:t>
            </w:r>
          </w:p>
        </w:tc>
        <w:tc>
          <w:tcPr>
            <w:tcW w:w="1680"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A1" w14:textId="79907646" w:rsidR="00C31629" w:rsidRDefault="00C31629" w:rsidP="00C31629">
            <w:pPr>
              <w:suppressAutoHyphens w:val="0"/>
              <w:spacing w:line="240" w:lineRule="auto"/>
              <w:jc w:val="center"/>
              <w:textAlignment w:val="auto"/>
              <w:rPr>
                <w:rFonts w:eastAsia="Times New Roman"/>
                <w:color w:val="000000"/>
              </w:rPr>
            </w:pPr>
            <w:r>
              <w:t>REDACTED</w:t>
            </w:r>
          </w:p>
        </w:tc>
      </w:tr>
      <w:tr w:rsidR="00C31629" w14:paraId="3DEBBAA9" w14:textId="77777777" w:rsidTr="00C31629">
        <w:trPr>
          <w:trHeight w:val="285"/>
        </w:trPr>
        <w:tc>
          <w:tcPr>
            <w:tcW w:w="1798" w:type="dxa"/>
            <w:tcBorders>
              <w:left w:val="single" w:sz="4" w:space="0" w:color="000000"/>
              <w:bottom w:val="single" w:sz="4" w:space="0" w:color="000000"/>
              <w:right w:val="single" w:sz="4" w:space="0" w:color="000000"/>
            </w:tcBorders>
            <w:shd w:val="clear" w:color="auto" w:fill="F79646"/>
            <w:tcMar>
              <w:top w:w="0" w:type="dxa"/>
              <w:left w:w="108" w:type="dxa"/>
              <w:bottom w:w="0" w:type="dxa"/>
              <w:right w:w="108" w:type="dxa"/>
            </w:tcMar>
            <w:vAlign w:val="center"/>
          </w:tcPr>
          <w:p w14:paraId="3DEBBAA3" w14:textId="601D17C8" w:rsidR="00C31629" w:rsidRDefault="00C31629" w:rsidP="00C31629">
            <w:pPr>
              <w:suppressAutoHyphens w:val="0"/>
              <w:spacing w:line="240" w:lineRule="auto"/>
              <w:jc w:val="center"/>
              <w:textAlignment w:val="auto"/>
              <w:rPr>
                <w:rFonts w:eastAsia="Times New Roman"/>
                <w:color w:val="000000"/>
              </w:rPr>
            </w:pPr>
            <w:r>
              <w:t>REDACTED</w:t>
            </w:r>
          </w:p>
        </w:tc>
        <w:tc>
          <w:tcPr>
            <w:tcW w:w="3021"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A4" w14:textId="2F3DDAE9" w:rsidR="00C31629" w:rsidRDefault="00C31629" w:rsidP="00C31629">
            <w:pPr>
              <w:suppressAutoHyphens w:val="0"/>
              <w:spacing w:line="240" w:lineRule="auto"/>
              <w:jc w:val="center"/>
              <w:textAlignment w:val="auto"/>
              <w:rPr>
                <w:rFonts w:eastAsia="Times New Roman"/>
                <w:b/>
                <w:bCs/>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A5" w14:textId="7CB71477" w:rsidR="00C31629" w:rsidRDefault="00C31629" w:rsidP="00C31629">
            <w:pPr>
              <w:suppressAutoHyphens w:val="0"/>
              <w:spacing w:line="240" w:lineRule="auto"/>
              <w:jc w:val="center"/>
              <w:textAlignment w:val="auto"/>
              <w:rPr>
                <w:rFonts w:eastAsia="Times New Roman"/>
                <w:color w:val="000000"/>
              </w:rPr>
            </w:pPr>
            <w:r>
              <w:t>REDACTED</w:t>
            </w:r>
          </w:p>
        </w:tc>
        <w:tc>
          <w:tcPr>
            <w:tcW w:w="1560"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A6" w14:textId="04FD7B62" w:rsidR="00C31629" w:rsidRDefault="00C31629" w:rsidP="00C31629">
            <w:pPr>
              <w:suppressAutoHyphens w:val="0"/>
              <w:spacing w:line="240" w:lineRule="auto"/>
              <w:jc w:val="center"/>
              <w:textAlignment w:val="auto"/>
              <w:rPr>
                <w:rFonts w:eastAsia="Times New Roman"/>
                <w:color w:val="000000"/>
              </w:rPr>
            </w:pPr>
            <w:r>
              <w:t>REDACTED</w:t>
            </w:r>
          </w:p>
        </w:tc>
        <w:tc>
          <w:tcPr>
            <w:tcW w:w="1434"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A7" w14:textId="240D080E" w:rsidR="00C31629" w:rsidRDefault="00C31629" w:rsidP="00C31629">
            <w:pPr>
              <w:suppressAutoHyphens w:val="0"/>
              <w:spacing w:line="240" w:lineRule="auto"/>
              <w:jc w:val="center"/>
              <w:textAlignment w:val="auto"/>
              <w:rPr>
                <w:rFonts w:eastAsia="Times New Roman"/>
                <w:color w:val="000000"/>
              </w:rPr>
            </w:pPr>
            <w:r>
              <w:t>REDACTED</w:t>
            </w:r>
          </w:p>
        </w:tc>
        <w:tc>
          <w:tcPr>
            <w:tcW w:w="1680"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A8" w14:textId="1050A3D9" w:rsidR="00C31629" w:rsidRDefault="00C31629" w:rsidP="00C31629">
            <w:pPr>
              <w:suppressAutoHyphens w:val="0"/>
              <w:spacing w:line="240" w:lineRule="auto"/>
              <w:jc w:val="center"/>
              <w:textAlignment w:val="auto"/>
              <w:rPr>
                <w:rFonts w:eastAsia="Times New Roman"/>
                <w:color w:val="000000"/>
              </w:rPr>
            </w:pPr>
            <w:r>
              <w:t>REDACTED</w:t>
            </w:r>
          </w:p>
        </w:tc>
      </w:tr>
      <w:tr w:rsidR="00C31629" w14:paraId="3DEBBAB0" w14:textId="77777777" w:rsidTr="00C31629">
        <w:trPr>
          <w:trHeight w:val="285"/>
        </w:trPr>
        <w:tc>
          <w:tcPr>
            <w:tcW w:w="1798" w:type="dxa"/>
            <w:tcBorders>
              <w:left w:val="single" w:sz="4" w:space="0" w:color="000000"/>
              <w:bottom w:val="single" w:sz="4" w:space="0" w:color="000000"/>
              <w:right w:val="single" w:sz="4" w:space="0" w:color="000000"/>
            </w:tcBorders>
            <w:shd w:val="clear" w:color="auto" w:fill="F79646"/>
            <w:tcMar>
              <w:top w:w="0" w:type="dxa"/>
              <w:left w:w="108" w:type="dxa"/>
              <w:bottom w:w="0" w:type="dxa"/>
              <w:right w:w="108" w:type="dxa"/>
            </w:tcMar>
            <w:vAlign w:val="center"/>
          </w:tcPr>
          <w:p w14:paraId="3DEBBAAA" w14:textId="72C5639A" w:rsidR="00C31629" w:rsidRDefault="00C31629" w:rsidP="00C31629">
            <w:pPr>
              <w:suppressAutoHyphens w:val="0"/>
              <w:spacing w:line="240" w:lineRule="auto"/>
              <w:jc w:val="center"/>
              <w:textAlignment w:val="auto"/>
              <w:rPr>
                <w:rFonts w:eastAsia="Times New Roman"/>
                <w:color w:val="000000"/>
              </w:rPr>
            </w:pPr>
            <w:r>
              <w:t>REDACTED</w:t>
            </w:r>
          </w:p>
        </w:tc>
        <w:tc>
          <w:tcPr>
            <w:tcW w:w="3021"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AB" w14:textId="7625B1FB" w:rsidR="00C31629" w:rsidRDefault="00C31629" w:rsidP="00C31629">
            <w:pPr>
              <w:suppressAutoHyphens w:val="0"/>
              <w:spacing w:line="240" w:lineRule="auto"/>
              <w:jc w:val="center"/>
              <w:textAlignment w:val="auto"/>
              <w:rPr>
                <w:rFonts w:eastAsia="Times New Roman"/>
                <w:b/>
                <w:bCs/>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AC" w14:textId="0B6E7DB2" w:rsidR="00C31629" w:rsidRDefault="00C31629" w:rsidP="00C31629">
            <w:pPr>
              <w:suppressAutoHyphens w:val="0"/>
              <w:spacing w:line="240" w:lineRule="auto"/>
              <w:jc w:val="center"/>
              <w:textAlignment w:val="auto"/>
              <w:rPr>
                <w:rFonts w:eastAsia="Times New Roman"/>
                <w:color w:val="000000"/>
              </w:rPr>
            </w:pPr>
            <w:r>
              <w:t>REDACTED</w:t>
            </w:r>
          </w:p>
        </w:tc>
        <w:tc>
          <w:tcPr>
            <w:tcW w:w="1560"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AD" w14:textId="59CB4C74" w:rsidR="00C31629" w:rsidRDefault="00C31629" w:rsidP="00C31629">
            <w:pPr>
              <w:suppressAutoHyphens w:val="0"/>
              <w:spacing w:line="240" w:lineRule="auto"/>
              <w:jc w:val="center"/>
              <w:textAlignment w:val="auto"/>
              <w:rPr>
                <w:rFonts w:eastAsia="Times New Roman"/>
                <w:color w:val="000000"/>
              </w:rPr>
            </w:pPr>
            <w:r>
              <w:t>REDACTED</w:t>
            </w:r>
          </w:p>
        </w:tc>
        <w:tc>
          <w:tcPr>
            <w:tcW w:w="1434"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AE" w14:textId="0860994E" w:rsidR="00C31629" w:rsidRDefault="00C31629" w:rsidP="00C31629">
            <w:pPr>
              <w:suppressAutoHyphens w:val="0"/>
              <w:spacing w:line="240" w:lineRule="auto"/>
              <w:jc w:val="center"/>
              <w:textAlignment w:val="auto"/>
              <w:rPr>
                <w:rFonts w:eastAsia="Times New Roman"/>
                <w:color w:val="000000"/>
              </w:rPr>
            </w:pPr>
            <w:r>
              <w:t>REDACTED</w:t>
            </w:r>
          </w:p>
        </w:tc>
        <w:tc>
          <w:tcPr>
            <w:tcW w:w="1680"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AF" w14:textId="2870F95C" w:rsidR="00C31629" w:rsidRDefault="00C31629" w:rsidP="00C31629">
            <w:pPr>
              <w:suppressAutoHyphens w:val="0"/>
              <w:spacing w:line="240" w:lineRule="auto"/>
              <w:jc w:val="center"/>
              <w:textAlignment w:val="auto"/>
              <w:rPr>
                <w:rFonts w:eastAsia="Times New Roman"/>
                <w:color w:val="000000"/>
              </w:rPr>
            </w:pPr>
            <w:r>
              <w:t>REDACTED</w:t>
            </w:r>
          </w:p>
        </w:tc>
      </w:tr>
      <w:tr w:rsidR="00C31629" w14:paraId="3DEBBAB7" w14:textId="77777777" w:rsidTr="00C31629">
        <w:trPr>
          <w:trHeight w:val="285"/>
        </w:trPr>
        <w:tc>
          <w:tcPr>
            <w:tcW w:w="1798" w:type="dxa"/>
            <w:tcBorders>
              <w:left w:val="single" w:sz="4" w:space="0" w:color="000000"/>
              <w:bottom w:val="single" w:sz="4" w:space="0" w:color="000000"/>
              <w:right w:val="single" w:sz="4" w:space="0" w:color="000000"/>
            </w:tcBorders>
            <w:shd w:val="clear" w:color="auto" w:fill="D8D8D8"/>
            <w:tcMar>
              <w:top w:w="0" w:type="dxa"/>
              <w:left w:w="108" w:type="dxa"/>
              <w:bottom w:w="0" w:type="dxa"/>
              <w:right w:w="108" w:type="dxa"/>
            </w:tcMar>
            <w:vAlign w:val="center"/>
          </w:tcPr>
          <w:p w14:paraId="3DEBBAB1"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 </w:t>
            </w:r>
          </w:p>
        </w:tc>
        <w:tc>
          <w:tcPr>
            <w:tcW w:w="3021" w:type="dxa"/>
            <w:tcBorders>
              <w:bottom w:val="single" w:sz="4" w:space="0" w:color="000000"/>
              <w:right w:val="single" w:sz="4" w:space="0" w:color="000000"/>
            </w:tcBorders>
            <w:shd w:val="clear" w:color="auto" w:fill="D8D8D8"/>
            <w:tcMar>
              <w:top w:w="0" w:type="dxa"/>
              <w:left w:w="108" w:type="dxa"/>
              <w:bottom w:w="0" w:type="dxa"/>
              <w:right w:w="108" w:type="dxa"/>
            </w:tcMar>
            <w:vAlign w:val="center"/>
          </w:tcPr>
          <w:p w14:paraId="3DEBBAB2"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TOTAL</w:t>
            </w:r>
          </w:p>
        </w:tc>
        <w:tc>
          <w:tcPr>
            <w:tcW w:w="1559" w:type="dxa"/>
            <w:tcBorders>
              <w:bottom w:val="single" w:sz="4" w:space="0" w:color="000000"/>
              <w:right w:val="single" w:sz="4" w:space="0" w:color="000000"/>
            </w:tcBorders>
            <w:shd w:val="clear" w:color="auto" w:fill="D8D8D8"/>
            <w:tcMar>
              <w:top w:w="0" w:type="dxa"/>
              <w:left w:w="108" w:type="dxa"/>
              <w:bottom w:w="0" w:type="dxa"/>
              <w:right w:w="108" w:type="dxa"/>
            </w:tcMar>
            <w:vAlign w:val="center"/>
          </w:tcPr>
          <w:p w14:paraId="3DEBBAB3"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 </w:t>
            </w:r>
          </w:p>
        </w:tc>
        <w:tc>
          <w:tcPr>
            <w:tcW w:w="1560" w:type="dxa"/>
            <w:tcBorders>
              <w:bottom w:val="single" w:sz="4" w:space="0" w:color="000000"/>
              <w:right w:val="single" w:sz="4" w:space="0" w:color="000000"/>
            </w:tcBorders>
            <w:shd w:val="clear" w:color="auto" w:fill="D8D8D8"/>
            <w:tcMar>
              <w:top w:w="0" w:type="dxa"/>
              <w:left w:w="108" w:type="dxa"/>
              <w:bottom w:w="0" w:type="dxa"/>
              <w:right w:w="108" w:type="dxa"/>
            </w:tcMar>
            <w:vAlign w:val="center"/>
          </w:tcPr>
          <w:p w14:paraId="3DEBBAB4" w14:textId="77777777" w:rsidR="00351BE8" w:rsidRDefault="0052315A">
            <w:pPr>
              <w:suppressAutoHyphens w:val="0"/>
              <w:spacing w:line="240" w:lineRule="auto"/>
              <w:jc w:val="center"/>
              <w:textAlignment w:val="auto"/>
              <w:rPr>
                <w:rFonts w:eastAsia="Times New Roman"/>
                <w:color w:val="000000"/>
              </w:rPr>
            </w:pPr>
            <w:r>
              <w:rPr>
                <w:rFonts w:eastAsia="Times New Roman"/>
                <w:color w:val="000000"/>
              </w:rPr>
              <w:t> </w:t>
            </w:r>
          </w:p>
        </w:tc>
        <w:tc>
          <w:tcPr>
            <w:tcW w:w="1434" w:type="dxa"/>
            <w:tcBorders>
              <w:bottom w:val="single" w:sz="4" w:space="0" w:color="000000"/>
              <w:right w:val="single" w:sz="4" w:space="0" w:color="000000"/>
            </w:tcBorders>
            <w:shd w:val="clear" w:color="auto" w:fill="D8D8D8"/>
            <w:tcMar>
              <w:top w:w="0" w:type="dxa"/>
              <w:left w:w="108" w:type="dxa"/>
              <w:bottom w:w="0" w:type="dxa"/>
              <w:right w:w="108" w:type="dxa"/>
            </w:tcMar>
            <w:vAlign w:val="center"/>
          </w:tcPr>
          <w:p w14:paraId="3DEBBAB5" w14:textId="77777777" w:rsidR="00351BE8" w:rsidRDefault="0052315A">
            <w:pPr>
              <w:suppressAutoHyphens w:val="0"/>
              <w:spacing w:line="240" w:lineRule="auto"/>
              <w:jc w:val="center"/>
              <w:textAlignment w:val="auto"/>
              <w:rPr>
                <w:rFonts w:eastAsia="Times New Roman"/>
                <w:color w:val="000000"/>
              </w:rPr>
            </w:pPr>
            <w:r>
              <w:rPr>
                <w:rFonts w:eastAsia="Times New Roman"/>
                <w:color w:val="000000"/>
              </w:rPr>
              <w:t> </w:t>
            </w:r>
          </w:p>
        </w:tc>
        <w:tc>
          <w:tcPr>
            <w:tcW w:w="1680"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AB6" w14:textId="77777777" w:rsidR="00351BE8" w:rsidRDefault="0052315A">
            <w:pPr>
              <w:suppressAutoHyphens w:val="0"/>
              <w:spacing w:line="240" w:lineRule="auto"/>
              <w:jc w:val="center"/>
              <w:textAlignment w:val="auto"/>
              <w:rPr>
                <w:rFonts w:eastAsia="Times New Roman"/>
                <w:color w:val="000000"/>
              </w:rPr>
            </w:pPr>
            <w:r>
              <w:rPr>
                <w:rFonts w:eastAsia="Times New Roman"/>
                <w:color w:val="000000"/>
              </w:rPr>
              <w:t>£32,150</w:t>
            </w:r>
          </w:p>
        </w:tc>
      </w:tr>
    </w:tbl>
    <w:p w14:paraId="3DEBBAB8" w14:textId="77777777" w:rsidR="00351BE8" w:rsidRDefault="00351BE8">
      <w:pPr>
        <w:pStyle w:val="ListParagraph"/>
      </w:pPr>
    </w:p>
    <w:p w14:paraId="3DEBBAB9" w14:textId="77777777" w:rsidR="00351BE8" w:rsidRDefault="0052315A">
      <w:r>
        <w:rPr>
          <w:rFonts w:eastAsia="Times New Roman"/>
          <w:b/>
          <w:bCs/>
          <w:color w:val="000000"/>
          <w:u w:val="single"/>
        </w:rPr>
        <w:t>Target State Costs</w:t>
      </w:r>
    </w:p>
    <w:p w14:paraId="3DEBBABA" w14:textId="77777777" w:rsidR="00351BE8" w:rsidRDefault="00351BE8">
      <w:pPr>
        <w:pStyle w:val="ListParagraph"/>
      </w:pPr>
    </w:p>
    <w:tbl>
      <w:tblPr>
        <w:tblW w:w="13874" w:type="dxa"/>
        <w:tblInd w:w="-714" w:type="dxa"/>
        <w:tblCellMar>
          <w:left w:w="10" w:type="dxa"/>
          <w:right w:w="10" w:type="dxa"/>
        </w:tblCellMar>
        <w:tblLook w:val="0000" w:firstRow="0" w:lastRow="0" w:firstColumn="0" w:lastColumn="0" w:noHBand="0" w:noVBand="0"/>
      </w:tblPr>
      <w:tblGrid>
        <w:gridCol w:w="2015"/>
        <w:gridCol w:w="3268"/>
        <w:gridCol w:w="1494"/>
        <w:gridCol w:w="1513"/>
        <w:gridCol w:w="1221"/>
        <w:gridCol w:w="1506"/>
        <w:gridCol w:w="2857"/>
      </w:tblGrid>
      <w:tr w:rsidR="00351BE8" w14:paraId="3DEBBAC2" w14:textId="77777777" w:rsidTr="00C31629">
        <w:trPr>
          <w:trHeight w:val="930"/>
        </w:trPr>
        <w:tc>
          <w:tcPr>
            <w:tcW w:w="209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3DEBBABB" w14:textId="77777777" w:rsidR="00351BE8" w:rsidRDefault="0052315A">
            <w:pPr>
              <w:suppressAutoHyphens w:val="0"/>
              <w:jc w:val="center"/>
              <w:rPr>
                <w:b/>
                <w:bCs/>
                <w:color w:val="000000"/>
              </w:rPr>
            </w:pPr>
            <w:r>
              <w:rPr>
                <w:b/>
                <w:bCs/>
                <w:color w:val="000000"/>
              </w:rPr>
              <w:t>Name(s)</w:t>
            </w:r>
          </w:p>
        </w:tc>
        <w:tc>
          <w:tcPr>
            <w:tcW w:w="3483" w:type="dxa"/>
            <w:tcBorders>
              <w:top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3DEBBABC" w14:textId="77777777" w:rsidR="00351BE8" w:rsidRDefault="0052315A">
            <w:pPr>
              <w:jc w:val="center"/>
              <w:rPr>
                <w:b/>
                <w:bCs/>
                <w:color w:val="000000"/>
              </w:rPr>
            </w:pPr>
            <w:r>
              <w:rPr>
                <w:b/>
                <w:bCs/>
                <w:color w:val="000000"/>
              </w:rPr>
              <w:t xml:space="preserve">Grade </w:t>
            </w:r>
          </w:p>
        </w:tc>
        <w:tc>
          <w:tcPr>
            <w:tcW w:w="1523" w:type="dxa"/>
            <w:tcBorders>
              <w:top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3DEBBABD" w14:textId="77777777" w:rsidR="00351BE8" w:rsidRDefault="0052315A">
            <w:pPr>
              <w:jc w:val="center"/>
              <w:rPr>
                <w:b/>
                <w:bCs/>
                <w:color w:val="000000"/>
              </w:rPr>
            </w:pPr>
            <w:r>
              <w:rPr>
                <w:b/>
                <w:bCs/>
                <w:color w:val="000000"/>
              </w:rPr>
              <w:t>Framework Maximum Rate</w:t>
            </w:r>
          </w:p>
        </w:tc>
        <w:tc>
          <w:tcPr>
            <w:tcW w:w="1544" w:type="dxa"/>
            <w:tcBorders>
              <w:top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3DEBBABE" w14:textId="77777777" w:rsidR="00351BE8" w:rsidRDefault="0052315A">
            <w:pPr>
              <w:jc w:val="center"/>
              <w:rPr>
                <w:b/>
                <w:bCs/>
                <w:color w:val="000000"/>
              </w:rPr>
            </w:pPr>
            <w:r>
              <w:rPr>
                <w:b/>
                <w:bCs/>
                <w:color w:val="000000"/>
              </w:rPr>
              <w:t>Tendered Daily Rate £</w:t>
            </w:r>
            <w:r>
              <w:rPr>
                <w:b/>
                <w:bCs/>
                <w:color w:val="000000"/>
              </w:rPr>
              <w:br/>
              <w:t>(</w:t>
            </w:r>
            <w:proofErr w:type="spellStart"/>
            <w:r>
              <w:rPr>
                <w:b/>
                <w:bCs/>
                <w:color w:val="000000"/>
              </w:rPr>
              <w:t>exc</w:t>
            </w:r>
            <w:proofErr w:type="spellEnd"/>
            <w:r>
              <w:rPr>
                <w:b/>
                <w:bCs/>
                <w:color w:val="000000"/>
              </w:rPr>
              <w:t xml:space="preserve"> VAT)</w:t>
            </w:r>
          </w:p>
        </w:tc>
        <w:tc>
          <w:tcPr>
            <w:tcW w:w="842" w:type="dxa"/>
            <w:tcBorders>
              <w:top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3DEBBABF" w14:textId="77777777" w:rsidR="00351BE8" w:rsidRDefault="0052315A">
            <w:pPr>
              <w:jc w:val="center"/>
              <w:rPr>
                <w:b/>
                <w:bCs/>
                <w:color w:val="000000"/>
              </w:rPr>
            </w:pPr>
            <w:r>
              <w:rPr>
                <w:b/>
                <w:bCs/>
                <w:color w:val="000000"/>
              </w:rPr>
              <w:t xml:space="preserve">Number </w:t>
            </w:r>
            <w:r>
              <w:rPr>
                <w:b/>
                <w:bCs/>
                <w:color w:val="000000"/>
              </w:rPr>
              <w:br/>
              <w:t xml:space="preserve">of days </w:t>
            </w:r>
          </w:p>
        </w:tc>
        <w:tc>
          <w:tcPr>
            <w:tcW w:w="1536" w:type="dxa"/>
            <w:tcBorders>
              <w:top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3DEBBAC0" w14:textId="77777777" w:rsidR="00351BE8" w:rsidRDefault="0052315A">
            <w:pPr>
              <w:jc w:val="center"/>
              <w:rPr>
                <w:b/>
                <w:bCs/>
                <w:color w:val="000000"/>
              </w:rPr>
            </w:pPr>
            <w:r>
              <w:rPr>
                <w:b/>
                <w:bCs/>
                <w:color w:val="000000"/>
              </w:rPr>
              <w:t>Total £</w:t>
            </w:r>
            <w:r>
              <w:rPr>
                <w:b/>
                <w:bCs/>
                <w:color w:val="000000"/>
              </w:rPr>
              <w:br/>
              <w:t>(</w:t>
            </w:r>
            <w:proofErr w:type="spellStart"/>
            <w:r>
              <w:rPr>
                <w:b/>
                <w:bCs/>
                <w:color w:val="000000"/>
              </w:rPr>
              <w:t>exc</w:t>
            </w:r>
            <w:proofErr w:type="spellEnd"/>
            <w:r>
              <w:rPr>
                <w:b/>
                <w:bCs/>
                <w:color w:val="000000"/>
              </w:rPr>
              <w:t xml:space="preserve"> VAT)</w:t>
            </w:r>
          </w:p>
        </w:tc>
        <w:tc>
          <w:tcPr>
            <w:tcW w:w="2849" w:type="dxa"/>
            <w:shd w:val="clear" w:color="auto" w:fill="FFFFFF"/>
            <w:noWrap/>
            <w:tcMar>
              <w:top w:w="0" w:type="dxa"/>
              <w:left w:w="0" w:type="dxa"/>
              <w:bottom w:w="0" w:type="dxa"/>
              <w:right w:w="0" w:type="dxa"/>
            </w:tcMar>
            <w:vAlign w:val="bottom"/>
          </w:tcPr>
          <w:p w14:paraId="3DEBBAC1" w14:textId="77777777" w:rsidR="00351BE8" w:rsidRDefault="0052315A">
            <w:pPr>
              <w:rPr>
                <w:rFonts w:ascii="Calibri" w:hAnsi="Calibri" w:cs="Calibri"/>
                <w:color w:val="000000"/>
              </w:rPr>
            </w:pPr>
            <w:r>
              <w:rPr>
                <w:rFonts w:ascii="Calibri" w:hAnsi="Calibri" w:cs="Calibri"/>
                <w:color w:val="000000"/>
              </w:rPr>
              <w:t> </w:t>
            </w:r>
          </w:p>
        </w:tc>
      </w:tr>
      <w:tr w:rsidR="00C31629" w14:paraId="3DEBBACA" w14:textId="77777777" w:rsidTr="00C31629">
        <w:trPr>
          <w:trHeight w:val="285"/>
        </w:trPr>
        <w:tc>
          <w:tcPr>
            <w:tcW w:w="2097" w:type="dxa"/>
            <w:tcBorders>
              <w:left w:val="single" w:sz="4" w:space="0" w:color="000000"/>
              <w:bottom w:val="single" w:sz="4" w:space="0" w:color="000000"/>
              <w:right w:val="single" w:sz="4" w:space="0" w:color="000000"/>
            </w:tcBorders>
            <w:shd w:val="clear" w:color="auto" w:fill="F79646"/>
            <w:tcMar>
              <w:top w:w="0" w:type="dxa"/>
              <w:left w:w="0" w:type="dxa"/>
              <w:bottom w:w="0" w:type="dxa"/>
              <w:right w:w="0" w:type="dxa"/>
            </w:tcMar>
            <w:vAlign w:val="center"/>
          </w:tcPr>
          <w:p w14:paraId="3DEBBAC3" w14:textId="713A355D" w:rsidR="00C31629" w:rsidRDefault="00C31629" w:rsidP="00C31629">
            <w:pPr>
              <w:jc w:val="center"/>
              <w:rPr>
                <w:color w:val="000000"/>
              </w:rPr>
            </w:pPr>
            <w:r>
              <w:t>REDACTED</w:t>
            </w:r>
          </w:p>
        </w:tc>
        <w:tc>
          <w:tcPr>
            <w:tcW w:w="3483"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C4" w14:textId="3EAFD568" w:rsidR="00C31629" w:rsidRDefault="00C31629" w:rsidP="00C31629">
            <w:pPr>
              <w:jc w:val="center"/>
              <w:rPr>
                <w:b/>
                <w:bCs/>
                <w:color w:val="000000"/>
              </w:rPr>
            </w:pPr>
            <w:r>
              <w:t>REDACTED</w:t>
            </w:r>
          </w:p>
        </w:tc>
        <w:tc>
          <w:tcPr>
            <w:tcW w:w="1523"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C5" w14:textId="29D224EA" w:rsidR="00C31629" w:rsidRDefault="00C31629" w:rsidP="00C31629">
            <w:pPr>
              <w:jc w:val="center"/>
              <w:rPr>
                <w:color w:val="000000"/>
              </w:rPr>
            </w:pPr>
            <w:r>
              <w:t>REDACTED</w:t>
            </w:r>
          </w:p>
        </w:tc>
        <w:tc>
          <w:tcPr>
            <w:tcW w:w="1544"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C6" w14:textId="1826DCBD" w:rsidR="00C31629" w:rsidRDefault="00C31629" w:rsidP="00C31629">
            <w:pPr>
              <w:jc w:val="center"/>
              <w:rPr>
                <w:color w:val="000000"/>
              </w:rPr>
            </w:pPr>
            <w:r>
              <w:t>REDACTED</w:t>
            </w:r>
          </w:p>
        </w:tc>
        <w:tc>
          <w:tcPr>
            <w:tcW w:w="842"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C7" w14:textId="76817F2E" w:rsidR="00C31629" w:rsidRDefault="00C31629" w:rsidP="00C31629">
            <w:pPr>
              <w:jc w:val="center"/>
              <w:rPr>
                <w:color w:val="000000"/>
              </w:rPr>
            </w:pPr>
            <w:r>
              <w:t>REDACTED</w:t>
            </w:r>
          </w:p>
        </w:tc>
        <w:tc>
          <w:tcPr>
            <w:tcW w:w="1536"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C8" w14:textId="4B0EB546" w:rsidR="00C31629" w:rsidRDefault="00C31629" w:rsidP="00C31629">
            <w:pPr>
              <w:jc w:val="center"/>
              <w:rPr>
                <w:color w:val="000000"/>
              </w:rPr>
            </w:pPr>
            <w:r>
              <w:t>REDACTED</w:t>
            </w:r>
          </w:p>
        </w:tc>
        <w:tc>
          <w:tcPr>
            <w:tcW w:w="2849" w:type="dxa"/>
            <w:shd w:val="clear" w:color="auto" w:fill="FFFFFF"/>
            <w:noWrap/>
            <w:tcMar>
              <w:top w:w="0" w:type="dxa"/>
              <w:left w:w="0" w:type="dxa"/>
              <w:bottom w:w="0" w:type="dxa"/>
              <w:right w:w="0" w:type="dxa"/>
            </w:tcMar>
            <w:vAlign w:val="bottom"/>
          </w:tcPr>
          <w:p w14:paraId="3DEBBAC9" w14:textId="77777777" w:rsidR="00C31629" w:rsidRDefault="00C31629" w:rsidP="00C31629">
            <w:pPr>
              <w:rPr>
                <w:rFonts w:ascii="Calibri" w:hAnsi="Calibri" w:cs="Calibri"/>
                <w:color w:val="000000"/>
              </w:rPr>
            </w:pPr>
            <w:r>
              <w:rPr>
                <w:rFonts w:ascii="Calibri" w:hAnsi="Calibri" w:cs="Calibri"/>
                <w:color w:val="000000"/>
              </w:rPr>
              <w:t> </w:t>
            </w:r>
          </w:p>
        </w:tc>
      </w:tr>
      <w:tr w:rsidR="00C31629" w14:paraId="3DEBBAD2" w14:textId="77777777" w:rsidTr="00C31629">
        <w:trPr>
          <w:trHeight w:val="285"/>
        </w:trPr>
        <w:tc>
          <w:tcPr>
            <w:tcW w:w="2097" w:type="dxa"/>
            <w:tcBorders>
              <w:left w:val="single" w:sz="4" w:space="0" w:color="000000"/>
              <w:bottom w:val="single" w:sz="4" w:space="0" w:color="000000"/>
              <w:right w:val="single" w:sz="4" w:space="0" w:color="000000"/>
            </w:tcBorders>
            <w:shd w:val="clear" w:color="auto" w:fill="F79646"/>
            <w:tcMar>
              <w:top w:w="0" w:type="dxa"/>
              <w:left w:w="0" w:type="dxa"/>
              <w:bottom w:w="0" w:type="dxa"/>
              <w:right w:w="0" w:type="dxa"/>
            </w:tcMar>
            <w:vAlign w:val="center"/>
          </w:tcPr>
          <w:p w14:paraId="3DEBBACB" w14:textId="5B534DCC" w:rsidR="00C31629" w:rsidRDefault="00C31629" w:rsidP="00C31629">
            <w:pPr>
              <w:jc w:val="center"/>
              <w:rPr>
                <w:color w:val="000000"/>
              </w:rPr>
            </w:pPr>
            <w:r>
              <w:t>REDACTED</w:t>
            </w:r>
          </w:p>
        </w:tc>
        <w:tc>
          <w:tcPr>
            <w:tcW w:w="3483"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CC" w14:textId="3995D04A" w:rsidR="00C31629" w:rsidRDefault="00C31629" w:rsidP="00C31629">
            <w:pPr>
              <w:jc w:val="center"/>
              <w:rPr>
                <w:b/>
                <w:bCs/>
                <w:color w:val="000000"/>
              </w:rPr>
            </w:pPr>
            <w:r>
              <w:t>REDACTED</w:t>
            </w:r>
          </w:p>
        </w:tc>
        <w:tc>
          <w:tcPr>
            <w:tcW w:w="1523"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CD" w14:textId="6EA5FB13" w:rsidR="00C31629" w:rsidRDefault="00C31629" w:rsidP="00C31629">
            <w:pPr>
              <w:jc w:val="center"/>
              <w:rPr>
                <w:color w:val="000000"/>
              </w:rPr>
            </w:pPr>
            <w:r>
              <w:t>REDACTED</w:t>
            </w:r>
          </w:p>
        </w:tc>
        <w:tc>
          <w:tcPr>
            <w:tcW w:w="1544"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CE" w14:textId="798D8BC8" w:rsidR="00C31629" w:rsidRDefault="00C31629" w:rsidP="00C31629">
            <w:pPr>
              <w:jc w:val="center"/>
              <w:rPr>
                <w:color w:val="000000"/>
              </w:rPr>
            </w:pPr>
            <w:r>
              <w:t>REDACTED</w:t>
            </w:r>
          </w:p>
        </w:tc>
        <w:tc>
          <w:tcPr>
            <w:tcW w:w="842"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CF" w14:textId="6F3C7063" w:rsidR="00C31629" w:rsidRDefault="00C31629" w:rsidP="00C31629">
            <w:pPr>
              <w:jc w:val="center"/>
              <w:rPr>
                <w:color w:val="000000"/>
              </w:rPr>
            </w:pPr>
            <w:r>
              <w:t>REDACTED</w:t>
            </w:r>
          </w:p>
        </w:tc>
        <w:tc>
          <w:tcPr>
            <w:tcW w:w="1536"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D0" w14:textId="31135567" w:rsidR="00C31629" w:rsidRDefault="00C31629" w:rsidP="00C31629">
            <w:pPr>
              <w:jc w:val="center"/>
              <w:rPr>
                <w:color w:val="000000"/>
              </w:rPr>
            </w:pPr>
            <w:r>
              <w:t>REDACTED</w:t>
            </w:r>
          </w:p>
        </w:tc>
        <w:tc>
          <w:tcPr>
            <w:tcW w:w="2849" w:type="dxa"/>
            <w:shd w:val="clear" w:color="auto" w:fill="FFFFFF"/>
            <w:noWrap/>
            <w:tcMar>
              <w:top w:w="0" w:type="dxa"/>
              <w:left w:w="0" w:type="dxa"/>
              <w:bottom w:w="0" w:type="dxa"/>
              <w:right w:w="0" w:type="dxa"/>
            </w:tcMar>
            <w:vAlign w:val="bottom"/>
          </w:tcPr>
          <w:p w14:paraId="3DEBBAD1" w14:textId="77777777" w:rsidR="00C31629" w:rsidRDefault="00C31629" w:rsidP="00C31629">
            <w:pPr>
              <w:rPr>
                <w:rFonts w:ascii="Calibri" w:hAnsi="Calibri" w:cs="Calibri"/>
                <w:color w:val="000000"/>
              </w:rPr>
            </w:pPr>
            <w:r>
              <w:rPr>
                <w:rFonts w:ascii="Calibri" w:hAnsi="Calibri" w:cs="Calibri"/>
                <w:color w:val="000000"/>
              </w:rPr>
              <w:t> </w:t>
            </w:r>
          </w:p>
        </w:tc>
      </w:tr>
      <w:tr w:rsidR="00C31629" w14:paraId="3DEBBADA" w14:textId="77777777" w:rsidTr="00C31629">
        <w:trPr>
          <w:trHeight w:val="285"/>
        </w:trPr>
        <w:tc>
          <w:tcPr>
            <w:tcW w:w="2097" w:type="dxa"/>
            <w:tcBorders>
              <w:left w:val="single" w:sz="4" w:space="0" w:color="000000"/>
              <w:bottom w:val="single" w:sz="4" w:space="0" w:color="000000"/>
              <w:right w:val="single" w:sz="4" w:space="0" w:color="000000"/>
            </w:tcBorders>
            <w:shd w:val="clear" w:color="auto" w:fill="F79646"/>
            <w:tcMar>
              <w:top w:w="0" w:type="dxa"/>
              <w:left w:w="0" w:type="dxa"/>
              <w:bottom w:w="0" w:type="dxa"/>
              <w:right w:w="0" w:type="dxa"/>
            </w:tcMar>
            <w:vAlign w:val="center"/>
          </w:tcPr>
          <w:p w14:paraId="3DEBBAD3" w14:textId="16248CE8" w:rsidR="00C31629" w:rsidRDefault="00C31629" w:rsidP="00C31629">
            <w:pPr>
              <w:jc w:val="center"/>
              <w:rPr>
                <w:color w:val="000000"/>
              </w:rPr>
            </w:pPr>
            <w:r>
              <w:t>REDACTED</w:t>
            </w:r>
          </w:p>
        </w:tc>
        <w:tc>
          <w:tcPr>
            <w:tcW w:w="3483"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D4" w14:textId="031DDA33" w:rsidR="00C31629" w:rsidRDefault="00C31629" w:rsidP="00C31629">
            <w:pPr>
              <w:jc w:val="center"/>
              <w:rPr>
                <w:b/>
                <w:bCs/>
                <w:color w:val="000000"/>
              </w:rPr>
            </w:pPr>
            <w:r>
              <w:t>REDACTED</w:t>
            </w:r>
          </w:p>
        </w:tc>
        <w:tc>
          <w:tcPr>
            <w:tcW w:w="1523"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D5" w14:textId="765F8B85" w:rsidR="00C31629" w:rsidRDefault="00C31629" w:rsidP="00C31629">
            <w:pPr>
              <w:jc w:val="center"/>
              <w:rPr>
                <w:color w:val="000000"/>
              </w:rPr>
            </w:pPr>
            <w:r>
              <w:t>REDACTED</w:t>
            </w:r>
          </w:p>
        </w:tc>
        <w:tc>
          <w:tcPr>
            <w:tcW w:w="1544"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D6" w14:textId="7C2AA965" w:rsidR="00C31629" w:rsidRDefault="00C31629" w:rsidP="00C31629">
            <w:pPr>
              <w:jc w:val="center"/>
              <w:rPr>
                <w:color w:val="000000"/>
              </w:rPr>
            </w:pPr>
            <w:r>
              <w:t>REDACTED</w:t>
            </w:r>
          </w:p>
        </w:tc>
        <w:tc>
          <w:tcPr>
            <w:tcW w:w="842"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D7" w14:textId="19A2422F" w:rsidR="00C31629" w:rsidRDefault="00C31629" w:rsidP="00C31629">
            <w:pPr>
              <w:jc w:val="center"/>
              <w:rPr>
                <w:color w:val="000000"/>
              </w:rPr>
            </w:pPr>
            <w:r>
              <w:t>REDACTED</w:t>
            </w:r>
          </w:p>
        </w:tc>
        <w:tc>
          <w:tcPr>
            <w:tcW w:w="1536"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D8" w14:textId="5FF3F9B7" w:rsidR="00C31629" w:rsidRDefault="00C31629" w:rsidP="00C31629">
            <w:pPr>
              <w:jc w:val="center"/>
              <w:rPr>
                <w:color w:val="000000"/>
              </w:rPr>
            </w:pPr>
            <w:r>
              <w:t>REDACTED</w:t>
            </w:r>
          </w:p>
        </w:tc>
        <w:tc>
          <w:tcPr>
            <w:tcW w:w="2849" w:type="dxa"/>
            <w:shd w:val="clear" w:color="auto" w:fill="FFFFFF"/>
            <w:noWrap/>
            <w:tcMar>
              <w:top w:w="0" w:type="dxa"/>
              <w:left w:w="0" w:type="dxa"/>
              <w:bottom w:w="0" w:type="dxa"/>
              <w:right w:w="0" w:type="dxa"/>
            </w:tcMar>
            <w:vAlign w:val="bottom"/>
          </w:tcPr>
          <w:p w14:paraId="3DEBBAD9" w14:textId="77777777" w:rsidR="00C31629" w:rsidRDefault="00C31629" w:rsidP="00C31629">
            <w:pPr>
              <w:rPr>
                <w:rFonts w:ascii="Calibri" w:hAnsi="Calibri" w:cs="Calibri"/>
                <w:color w:val="000000"/>
              </w:rPr>
            </w:pPr>
            <w:r>
              <w:rPr>
                <w:rFonts w:ascii="Calibri" w:hAnsi="Calibri" w:cs="Calibri"/>
                <w:color w:val="000000"/>
              </w:rPr>
              <w:t> </w:t>
            </w:r>
          </w:p>
        </w:tc>
      </w:tr>
      <w:tr w:rsidR="00C31629" w14:paraId="3DEBBAE2" w14:textId="77777777" w:rsidTr="00C31629">
        <w:trPr>
          <w:trHeight w:val="285"/>
        </w:trPr>
        <w:tc>
          <w:tcPr>
            <w:tcW w:w="2097" w:type="dxa"/>
            <w:tcBorders>
              <w:left w:val="single" w:sz="4" w:space="0" w:color="000000"/>
              <w:bottom w:val="single" w:sz="4" w:space="0" w:color="000000"/>
              <w:right w:val="single" w:sz="4" w:space="0" w:color="000000"/>
            </w:tcBorders>
            <w:shd w:val="clear" w:color="auto" w:fill="F79646"/>
            <w:tcMar>
              <w:top w:w="0" w:type="dxa"/>
              <w:left w:w="0" w:type="dxa"/>
              <w:bottom w:w="0" w:type="dxa"/>
              <w:right w:w="0" w:type="dxa"/>
            </w:tcMar>
            <w:vAlign w:val="center"/>
          </w:tcPr>
          <w:p w14:paraId="3DEBBADB" w14:textId="586AF34B" w:rsidR="00C31629" w:rsidRDefault="00C31629" w:rsidP="00C31629">
            <w:pPr>
              <w:jc w:val="center"/>
              <w:rPr>
                <w:color w:val="000000"/>
              </w:rPr>
            </w:pPr>
            <w:r>
              <w:t>REDACTED</w:t>
            </w:r>
          </w:p>
        </w:tc>
        <w:tc>
          <w:tcPr>
            <w:tcW w:w="3483"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DC" w14:textId="19A3B160" w:rsidR="00C31629" w:rsidRDefault="00C31629" w:rsidP="00C31629">
            <w:pPr>
              <w:jc w:val="center"/>
              <w:rPr>
                <w:b/>
                <w:bCs/>
                <w:color w:val="000000"/>
              </w:rPr>
            </w:pPr>
            <w:r>
              <w:t>REDACTED</w:t>
            </w:r>
          </w:p>
        </w:tc>
        <w:tc>
          <w:tcPr>
            <w:tcW w:w="1523"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DD" w14:textId="08116473" w:rsidR="00C31629" w:rsidRDefault="00C31629" w:rsidP="00C31629">
            <w:pPr>
              <w:jc w:val="center"/>
              <w:rPr>
                <w:color w:val="000000"/>
              </w:rPr>
            </w:pPr>
            <w:r>
              <w:t>REDACTED</w:t>
            </w:r>
          </w:p>
        </w:tc>
        <w:tc>
          <w:tcPr>
            <w:tcW w:w="1544"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DE" w14:textId="32DCE35A" w:rsidR="00C31629" w:rsidRDefault="00C31629" w:rsidP="00C31629">
            <w:pPr>
              <w:jc w:val="center"/>
              <w:rPr>
                <w:color w:val="000000"/>
              </w:rPr>
            </w:pPr>
            <w:r>
              <w:t>REDACTED</w:t>
            </w:r>
          </w:p>
        </w:tc>
        <w:tc>
          <w:tcPr>
            <w:tcW w:w="842"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DF" w14:textId="096B01D8" w:rsidR="00C31629" w:rsidRDefault="00C31629" w:rsidP="00C31629">
            <w:pPr>
              <w:jc w:val="center"/>
              <w:rPr>
                <w:color w:val="000000"/>
              </w:rPr>
            </w:pPr>
            <w:r>
              <w:t>REDACTED</w:t>
            </w:r>
          </w:p>
        </w:tc>
        <w:tc>
          <w:tcPr>
            <w:tcW w:w="1536"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E0" w14:textId="33929BA5" w:rsidR="00C31629" w:rsidRDefault="00C31629" w:rsidP="00C31629">
            <w:pPr>
              <w:jc w:val="center"/>
              <w:rPr>
                <w:color w:val="000000"/>
              </w:rPr>
            </w:pPr>
            <w:r>
              <w:t>REDACTED</w:t>
            </w:r>
          </w:p>
        </w:tc>
        <w:tc>
          <w:tcPr>
            <w:tcW w:w="2849" w:type="dxa"/>
            <w:shd w:val="clear" w:color="auto" w:fill="FFFFFF"/>
            <w:noWrap/>
            <w:tcMar>
              <w:top w:w="0" w:type="dxa"/>
              <w:left w:w="0" w:type="dxa"/>
              <w:bottom w:w="0" w:type="dxa"/>
              <w:right w:w="0" w:type="dxa"/>
            </w:tcMar>
            <w:vAlign w:val="bottom"/>
          </w:tcPr>
          <w:p w14:paraId="3DEBBAE1" w14:textId="77777777" w:rsidR="00C31629" w:rsidRDefault="00C31629" w:rsidP="00C31629">
            <w:pPr>
              <w:rPr>
                <w:rFonts w:ascii="Calibri" w:hAnsi="Calibri" w:cs="Calibri"/>
                <w:color w:val="000000"/>
              </w:rPr>
            </w:pPr>
            <w:r>
              <w:rPr>
                <w:rFonts w:ascii="Calibri" w:hAnsi="Calibri" w:cs="Calibri"/>
                <w:color w:val="000000"/>
              </w:rPr>
              <w:t> </w:t>
            </w:r>
          </w:p>
        </w:tc>
      </w:tr>
      <w:tr w:rsidR="00C31629" w14:paraId="3DEBBAEA" w14:textId="77777777" w:rsidTr="00C31629">
        <w:trPr>
          <w:trHeight w:val="285"/>
        </w:trPr>
        <w:tc>
          <w:tcPr>
            <w:tcW w:w="2097" w:type="dxa"/>
            <w:tcBorders>
              <w:left w:val="single" w:sz="4" w:space="0" w:color="000000"/>
              <w:bottom w:val="single" w:sz="4" w:space="0" w:color="000000"/>
              <w:right w:val="single" w:sz="4" w:space="0" w:color="000000"/>
            </w:tcBorders>
            <w:shd w:val="clear" w:color="auto" w:fill="F79646"/>
            <w:tcMar>
              <w:top w:w="0" w:type="dxa"/>
              <w:left w:w="0" w:type="dxa"/>
              <w:bottom w:w="0" w:type="dxa"/>
              <w:right w:w="0" w:type="dxa"/>
            </w:tcMar>
            <w:vAlign w:val="center"/>
          </w:tcPr>
          <w:p w14:paraId="3DEBBAE3" w14:textId="5194BDD5" w:rsidR="00C31629" w:rsidRDefault="00C31629" w:rsidP="00C31629">
            <w:pPr>
              <w:jc w:val="center"/>
              <w:rPr>
                <w:color w:val="000000"/>
              </w:rPr>
            </w:pPr>
            <w:r>
              <w:t>REDACTED</w:t>
            </w:r>
          </w:p>
        </w:tc>
        <w:tc>
          <w:tcPr>
            <w:tcW w:w="3483"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E4" w14:textId="05A72B82" w:rsidR="00C31629" w:rsidRDefault="00C31629" w:rsidP="00C31629">
            <w:pPr>
              <w:jc w:val="center"/>
              <w:rPr>
                <w:b/>
                <w:bCs/>
                <w:color w:val="000000"/>
              </w:rPr>
            </w:pPr>
            <w:r>
              <w:t>REDACTED</w:t>
            </w:r>
          </w:p>
        </w:tc>
        <w:tc>
          <w:tcPr>
            <w:tcW w:w="1523"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E5" w14:textId="2CC11F3F" w:rsidR="00C31629" w:rsidRDefault="00C31629" w:rsidP="00C31629">
            <w:pPr>
              <w:jc w:val="center"/>
              <w:rPr>
                <w:color w:val="000000"/>
              </w:rPr>
            </w:pPr>
            <w:r>
              <w:t>REDACTED</w:t>
            </w:r>
          </w:p>
        </w:tc>
        <w:tc>
          <w:tcPr>
            <w:tcW w:w="1544"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E6" w14:textId="3CEBED66" w:rsidR="00C31629" w:rsidRDefault="00C31629" w:rsidP="00C31629">
            <w:pPr>
              <w:jc w:val="center"/>
              <w:rPr>
                <w:color w:val="000000"/>
              </w:rPr>
            </w:pPr>
            <w:r>
              <w:t>REDACTED</w:t>
            </w:r>
          </w:p>
        </w:tc>
        <w:tc>
          <w:tcPr>
            <w:tcW w:w="842"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E7" w14:textId="5188F80C" w:rsidR="00C31629" w:rsidRDefault="00C31629" w:rsidP="00C31629">
            <w:pPr>
              <w:jc w:val="center"/>
              <w:rPr>
                <w:color w:val="000000"/>
              </w:rPr>
            </w:pPr>
            <w:r>
              <w:t>REDACTED</w:t>
            </w:r>
          </w:p>
        </w:tc>
        <w:tc>
          <w:tcPr>
            <w:tcW w:w="1536"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E8" w14:textId="6BC35D9A" w:rsidR="00C31629" w:rsidRDefault="00C31629" w:rsidP="00C31629">
            <w:pPr>
              <w:jc w:val="center"/>
              <w:rPr>
                <w:color w:val="000000"/>
              </w:rPr>
            </w:pPr>
            <w:r>
              <w:t>REDACTED</w:t>
            </w:r>
          </w:p>
        </w:tc>
        <w:tc>
          <w:tcPr>
            <w:tcW w:w="2849" w:type="dxa"/>
            <w:shd w:val="clear" w:color="auto" w:fill="FFFFFF"/>
            <w:noWrap/>
            <w:tcMar>
              <w:top w:w="0" w:type="dxa"/>
              <w:left w:w="0" w:type="dxa"/>
              <w:bottom w:w="0" w:type="dxa"/>
              <w:right w:w="0" w:type="dxa"/>
            </w:tcMar>
            <w:vAlign w:val="bottom"/>
          </w:tcPr>
          <w:p w14:paraId="3DEBBAE9" w14:textId="77777777" w:rsidR="00C31629" w:rsidRDefault="00C31629" w:rsidP="00C31629">
            <w:pPr>
              <w:rPr>
                <w:rFonts w:ascii="Calibri" w:hAnsi="Calibri" w:cs="Calibri"/>
                <w:color w:val="000000"/>
              </w:rPr>
            </w:pPr>
            <w:r>
              <w:rPr>
                <w:rFonts w:ascii="Calibri" w:hAnsi="Calibri" w:cs="Calibri"/>
                <w:color w:val="000000"/>
              </w:rPr>
              <w:t> </w:t>
            </w:r>
          </w:p>
        </w:tc>
      </w:tr>
      <w:tr w:rsidR="00351BE8" w14:paraId="3DEBBAF2" w14:textId="77777777" w:rsidTr="00C31629">
        <w:trPr>
          <w:trHeight w:val="285"/>
        </w:trPr>
        <w:tc>
          <w:tcPr>
            <w:tcW w:w="2097" w:type="dxa"/>
            <w:tcBorders>
              <w:left w:val="single" w:sz="4" w:space="0" w:color="000000"/>
              <w:bottom w:val="single" w:sz="4" w:space="0" w:color="000000"/>
              <w:right w:val="single" w:sz="4" w:space="0" w:color="000000"/>
            </w:tcBorders>
            <w:shd w:val="clear" w:color="auto" w:fill="D8D8D8"/>
            <w:tcMar>
              <w:top w:w="0" w:type="dxa"/>
              <w:left w:w="0" w:type="dxa"/>
              <w:bottom w:w="0" w:type="dxa"/>
              <w:right w:w="0" w:type="dxa"/>
            </w:tcMar>
            <w:vAlign w:val="center"/>
          </w:tcPr>
          <w:p w14:paraId="3DEBBAEB" w14:textId="77777777" w:rsidR="00351BE8" w:rsidRDefault="0052315A">
            <w:pPr>
              <w:jc w:val="center"/>
              <w:rPr>
                <w:b/>
                <w:bCs/>
                <w:color w:val="000000"/>
              </w:rPr>
            </w:pPr>
            <w:r>
              <w:rPr>
                <w:b/>
                <w:bCs/>
                <w:color w:val="000000"/>
              </w:rPr>
              <w:t> </w:t>
            </w:r>
          </w:p>
        </w:tc>
        <w:tc>
          <w:tcPr>
            <w:tcW w:w="3483" w:type="dxa"/>
            <w:tcBorders>
              <w:bottom w:val="single" w:sz="4" w:space="0" w:color="000000"/>
              <w:right w:val="single" w:sz="4" w:space="0" w:color="000000"/>
            </w:tcBorders>
            <w:shd w:val="clear" w:color="auto" w:fill="D8D8D8"/>
            <w:tcMar>
              <w:top w:w="0" w:type="dxa"/>
              <w:left w:w="0" w:type="dxa"/>
              <w:bottom w:w="0" w:type="dxa"/>
              <w:right w:w="0" w:type="dxa"/>
            </w:tcMar>
            <w:vAlign w:val="center"/>
          </w:tcPr>
          <w:p w14:paraId="3DEBBAEC" w14:textId="77777777" w:rsidR="00351BE8" w:rsidRDefault="0052315A">
            <w:pPr>
              <w:jc w:val="center"/>
              <w:rPr>
                <w:b/>
                <w:bCs/>
                <w:color w:val="000000"/>
              </w:rPr>
            </w:pPr>
            <w:r>
              <w:rPr>
                <w:b/>
                <w:bCs/>
                <w:color w:val="000000"/>
              </w:rPr>
              <w:t>TOTAL</w:t>
            </w:r>
          </w:p>
        </w:tc>
        <w:tc>
          <w:tcPr>
            <w:tcW w:w="1523" w:type="dxa"/>
            <w:tcBorders>
              <w:bottom w:val="single" w:sz="4" w:space="0" w:color="000000"/>
              <w:right w:val="single" w:sz="4" w:space="0" w:color="000000"/>
            </w:tcBorders>
            <w:shd w:val="clear" w:color="auto" w:fill="D8D8D8"/>
            <w:tcMar>
              <w:top w:w="0" w:type="dxa"/>
              <w:left w:w="0" w:type="dxa"/>
              <w:bottom w:w="0" w:type="dxa"/>
              <w:right w:w="0" w:type="dxa"/>
            </w:tcMar>
            <w:vAlign w:val="center"/>
          </w:tcPr>
          <w:p w14:paraId="3DEBBAED" w14:textId="77777777" w:rsidR="00351BE8" w:rsidRDefault="0052315A">
            <w:pPr>
              <w:jc w:val="center"/>
              <w:rPr>
                <w:b/>
                <w:bCs/>
                <w:color w:val="000000"/>
              </w:rPr>
            </w:pPr>
            <w:r>
              <w:rPr>
                <w:b/>
                <w:bCs/>
                <w:color w:val="000000"/>
              </w:rPr>
              <w:t> </w:t>
            </w:r>
          </w:p>
        </w:tc>
        <w:tc>
          <w:tcPr>
            <w:tcW w:w="1544" w:type="dxa"/>
            <w:tcBorders>
              <w:bottom w:val="single" w:sz="4" w:space="0" w:color="000000"/>
              <w:right w:val="single" w:sz="4" w:space="0" w:color="000000"/>
            </w:tcBorders>
            <w:shd w:val="clear" w:color="auto" w:fill="D8D8D8"/>
            <w:tcMar>
              <w:top w:w="0" w:type="dxa"/>
              <w:left w:w="0" w:type="dxa"/>
              <w:bottom w:w="0" w:type="dxa"/>
              <w:right w:w="0" w:type="dxa"/>
            </w:tcMar>
            <w:vAlign w:val="center"/>
          </w:tcPr>
          <w:p w14:paraId="3DEBBAEE" w14:textId="77777777" w:rsidR="00351BE8" w:rsidRDefault="0052315A">
            <w:pPr>
              <w:jc w:val="center"/>
              <w:rPr>
                <w:color w:val="000000"/>
              </w:rPr>
            </w:pPr>
            <w:r>
              <w:rPr>
                <w:color w:val="000000"/>
              </w:rPr>
              <w:t> </w:t>
            </w:r>
          </w:p>
        </w:tc>
        <w:tc>
          <w:tcPr>
            <w:tcW w:w="842" w:type="dxa"/>
            <w:tcBorders>
              <w:bottom w:val="single" w:sz="4" w:space="0" w:color="000000"/>
              <w:right w:val="single" w:sz="4" w:space="0" w:color="000000"/>
            </w:tcBorders>
            <w:shd w:val="clear" w:color="auto" w:fill="D8D8D8"/>
            <w:tcMar>
              <w:top w:w="0" w:type="dxa"/>
              <w:left w:w="0" w:type="dxa"/>
              <w:bottom w:w="0" w:type="dxa"/>
              <w:right w:w="0" w:type="dxa"/>
            </w:tcMar>
            <w:vAlign w:val="center"/>
          </w:tcPr>
          <w:p w14:paraId="3DEBBAEF" w14:textId="77777777" w:rsidR="00351BE8" w:rsidRDefault="0052315A">
            <w:pPr>
              <w:jc w:val="center"/>
              <w:rPr>
                <w:color w:val="000000"/>
              </w:rPr>
            </w:pPr>
            <w:r>
              <w:rPr>
                <w:color w:val="000000"/>
              </w:rPr>
              <w:t> </w:t>
            </w:r>
          </w:p>
        </w:tc>
        <w:tc>
          <w:tcPr>
            <w:tcW w:w="1536" w:type="dxa"/>
            <w:tcBorders>
              <w:bottom w:val="single" w:sz="4" w:space="0" w:color="000000"/>
              <w:right w:val="single" w:sz="4" w:space="0" w:color="000000"/>
            </w:tcBorders>
            <w:shd w:val="clear" w:color="auto" w:fill="F79646"/>
            <w:tcMar>
              <w:top w:w="0" w:type="dxa"/>
              <w:left w:w="0" w:type="dxa"/>
              <w:bottom w:w="0" w:type="dxa"/>
              <w:right w:w="0" w:type="dxa"/>
            </w:tcMar>
            <w:vAlign w:val="center"/>
          </w:tcPr>
          <w:p w14:paraId="3DEBBAF0" w14:textId="77777777" w:rsidR="00351BE8" w:rsidRDefault="0052315A">
            <w:pPr>
              <w:jc w:val="center"/>
              <w:rPr>
                <w:color w:val="000000"/>
              </w:rPr>
            </w:pPr>
            <w:r>
              <w:rPr>
                <w:color w:val="000000"/>
              </w:rPr>
              <w:t>£16,500</w:t>
            </w:r>
          </w:p>
        </w:tc>
        <w:tc>
          <w:tcPr>
            <w:tcW w:w="2849" w:type="dxa"/>
            <w:shd w:val="clear" w:color="auto" w:fill="FFFFFF"/>
            <w:noWrap/>
            <w:tcMar>
              <w:top w:w="0" w:type="dxa"/>
              <w:left w:w="0" w:type="dxa"/>
              <w:bottom w:w="0" w:type="dxa"/>
              <w:right w:w="0" w:type="dxa"/>
            </w:tcMar>
            <w:vAlign w:val="bottom"/>
          </w:tcPr>
          <w:p w14:paraId="3DEBBAF1" w14:textId="77777777" w:rsidR="00351BE8" w:rsidRDefault="0052315A">
            <w:pPr>
              <w:rPr>
                <w:rFonts w:ascii="Calibri" w:hAnsi="Calibri" w:cs="Calibri"/>
                <w:color w:val="000000"/>
              </w:rPr>
            </w:pPr>
            <w:r>
              <w:rPr>
                <w:rFonts w:ascii="Calibri" w:hAnsi="Calibri" w:cs="Calibri"/>
                <w:color w:val="000000"/>
              </w:rPr>
              <w:t> </w:t>
            </w:r>
          </w:p>
        </w:tc>
      </w:tr>
    </w:tbl>
    <w:p w14:paraId="3DEBBAF6" w14:textId="77777777" w:rsidR="00351BE8" w:rsidRDefault="00351BE8">
      <w:pPr>
        <w:rPr>
          <w:rFonts w:eastAsia="Times New Roman"/>
          <w:b/>
          <w:bCs/>
          <w:color w:val="000000"/>
          <w:u w:val="single"/>
        </w:rPr>
      </w:pPr>
    </w:p>
    <w:p w14:paraId="3DEBBAF7" w14:textId="77777777" w:rsidR="00351BE8" w:rsidRDefault="0052315A">
      <w:pPr>
        <w:rPr>
          <w:rFonts w:eastAsia="Times New Roman"/>
          <w:b/>
          <w:bCs/>
          <w:color w:val="000000"/>
          <w:u w:val="single"/>
        </w:rPr>
      </w:pPr>
      <w:r>
        <w:rPr>
          <w:rFonts w:eastAsia="Times New Roman"/>
          <w:b/>
          <w:bCs/>
          <w:color w:val="000000"/>
          <w:u w:val="single"/>
        </w:rPr>
        <w:t>Data Strategy Costs</w:t>
      </w:r>
    </w:p>
    <w:p w14:paraId="3DEBBAF8" w14:textId="77777777" w:rsidR="00351BE8" w:rsidRDefault="00351BE8">
      <w:pPr>
        <w:rPr>
          <w:u w:val="single"/>
        </w:rPr>
      </w:pPr>
    </w:p>
    <w:tbl>
      <w:tblPr>
        <w:tblW w:w="10915" w:type="dxa"/>
        <w:tblInd w:w="-572" w:type="dxa"/>
        <w:tblCellMar>
          <w:left w:w="10" w:type="dxa"/>
          <w:right w:w="10" w:type="dxa"/>
        </w:tblCellMar>
        <w:tblLook w:val="0000" w:firstRow="0" w:lastRow="0" w:firstColumn="0" w:lastColumn="0" w:noHBand="0" w:noVBand="0"/>
      </w:tblPr>
      <w:tblGrid>
        <w:gridCol w:w="1907"/>
        <w:gridCol w:w="2913"/>
        <w:gridCol w:w="1559"/>
        <w:gridCol w:w="1559"/>
        <w:gridCol w:w="1456"/>
        <w:gridCol w:w="1521"/>
      </w:tblGrid>
      <w:tr w:rsidR="00351BE8" w14:paraId="3DEBBAFF" w14:textId="77777777" w:rsidTr="00C31629">
        <w:trPr>
          <w:trHeight w:val="930"/>
        </w:trPr>
        <w:tc>
          <w:tcPr>
            <w:tcW w:w="19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EBBAF9"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lastRenderedPageBreak/>
              <w:t>Name(s)</w:t>
            </w:r>
          </w:p>
        </w:tc>
        <w:tc>
          <w:tcPr>
            <w:tcW w:w="2913"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EBBAFA"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 xml:space="preserve">Grade </w:t>
            </w:r>
          </w:p>
        </w:tc>
        <w:tc>
          <w:tcPr>
            <w:tcW w:w="1559"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EBBAFB"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Framework Maximum Rate</w:t>
            </w:r>
          </w:p>
        </w:tc>
        <w:tc>
          <w:tcPr>
            <w:tcW w:w="1559"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EBBAFC"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Tendered Daily Rate £</w:t>
            </w:r>
            <w:r>
              <w:rPr>
                <w:rFonts w:eastAsia="Times New Roman"/>
                <w:b/>
                <w:bCs/>
                <w:color w:val="000000"/>
              </w:rPr>
              <w:br/>
              <w:t>(</w:t>
            </w:r>
            <w:proofErr w:type="spellStart"/>
            <w:r>
              <w:rPr>
                <w:rFonts w:eastAsia="Times New Roman"/>
                <w:b/>
                <w:bCs/>
                <w:color w:val="000000"/>
              </w:rPr>
              <w:t>exc</w:t>
            </w:r>
            <w:proofErr w:type="spellEnd"/>
            <w:r>
              <w:rPr>
                <w:rFonts w:eastAsia="Times New Roman"/>
                <w:b/>
                <w:bCs/>
                <w:color w:val="000000"/>
              </w:rPr>
              <w:t xml:space="preserve"> VAT)</w:t>
            </w:r>
          </w:p>
        </w:tc>
        <w:tc>
          <w:tcPr>
            <w:tcW w:w="1456"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EBBAFD"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 xml:space="preserve">Number </w:t>
            </w:r>
            <w:r>
              <w:rPr>
                <w:rFonts w:eastAsia="Times New Roman"/>
                <w:b/>
                <w:bCs/>
                <w:color w:val="000000"/>
              </w:rPr>
              <w:br/>
              <w:t xml:space="preserve">of days </w:t>
            </w:r>
          </w:p>
        </w:tc>
        <w:tc>
          <w:tcPr>
            <w:tcW w:w="1521"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EBBAFE"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Total £</w:t>
            </w:r>
            <w:r>
              <w:rPr>
                <w:rFonts w:eastAsia="Times New Roman"/>
                <w:b/>
                <w:bCs/>
                <w:color w:val="000000"/>
              </w:rPr>
              <w:br/>
              <w:t>(</w:t>
            </w:r>
            <w:proofErr w:type="spellStart"/>
            <w:r>
              <w:rPr>
                <w:rFonts w:eastAsia="Times New Roman"/>
                <w:b/>
                <w:bCs/>
                <w:color w:val="000000"/>
              </w:rPr>
              <w:t>exc</w:t>
            </w:r>
            <w:proofErr w:type="spellEnd"/>
            <w:r>
              <w:rPr>
                <w:rFonts w:eastAsia="Times New Roman"/>
                <w:b/>
                <w:bCs/>
                <w:color w:val="000000"/>
              </w:rPr>
              <w:t xml:space="preserve"> VAT)</w:t>
            </w:r>
          </w:p>
        </w:tc>
      </w:tr>
      <w:tr w:rsidR="00C31629" w14:paraId="3DEBBB06" w14:textId="77777777" w:rsidTr="00C31629">
        <w:trPr>
          <w:trHeight w:val="285"/>
        </w:trPr>
        <w:tc>
          <w:tcPr>
            <w:tcW w:w="1907" w:type="dxa"/>
            <w:tcBorders>
              <w:left w:val="single" w:sz="4" w:space="0" w:color="000000"/>
              <w:bottom w:val="single" w:sz="4" w:space="0" w:color="000000"/>
              <w:right w:val="single" w:sz="4" w:space="0" w:color="000000"/>
            </w:tcBorders>
            <w:shd w:val="clear" w:color="auto" w:fill="F79646"/>
            <w:tcMar>
              <w:top w:w="0" w:type="dxa"/>
              <w:left w:w="108" w:type="dxa"/>
              <w:bottom w:w="0" w:type="dxa"/>
              <w:right w:w="108" w:type="dxa"/>
            </w:tcMar>
            <w:vAlign w:val="center"/>
          </w:tcPr>
          <w:p w14:paraId="3DEBBB00" w14:textId="02A58C77" w:rsidR="00C31629" w:rsidRDefault="00C31629" w:rsidP="00C31629">
            <w:pPr>
              <w:suppressAutoHyphens w:val="0"/>
              <w:spacing w:line="240" w:lineRule="auto"/>
              <w:jc w:val="center"/>
              <w:textAlignment w:val="auto"/>
              <w:rPr>
                <w:rFonts w:eastAsia="Times New Roman"/>
                <w:color w:val="000000"/>
              </w:rPr>
            </w:pPr>
            <w:r>
              <w:t>REDACTED</w:t>
            </w:r>
          </w:p>
        </w:tc>
        <w:tc>
          <w:tcPr>
            <w:tcW w:w="2913"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01" w14:textId="66AE9CD2" w:rsidR="00C31629" w:rsidRDefault="00C31629" w:rsidP="00C31629">
            <w:pPr>
              <w:suppressAutoHyphens w:val="0"/>
              <w:spacing w:line="240" w:lineRule="auto"/>
              <w:jc w:val="center"/>
              <w:textAlignment w:val="auto"/>
              <w:rPr>
                <w:rFonts w:eastAsia="Times New Roman"/>
                <w:b/>
                <w:bCs/>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02" w14:textId="4815039C" w:rsidR="00C31629" w:rsidRDefault="00C31629" w:rsidP="00C31629">
            <w:pPr>
              <w:suppressAutoHyphens w:val="0"/>
              <w:spacing w:line="240" w:lineRule="auto"/>
              <w:jc w:val="center"/>
              <w:textAlignment w:val="auto"/>
              <w:rPr>
                <w:rFonts w:eastAsia="Times New Roman"/>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03" w14:textId="5A8FD652" w:rsidR="00C31629" w:rsidRDefault="00C31629" w:rsidP="00C31629">
            <w:pPr>
              <w:suppressAutoHyphens w:val="0"/>
              <w:spacing w:line="240" w:lineRule="auto"/>
              <w:jc w:val="center"/>
              <w:textAlignment w:val="auto"/>
              <w:rPr>
                <w:rFonts w:eastAsia="Times New Roman"/>
                <w:color w:val="000000"/>
              </w:rPr>
            </w:pPr>
            <w:r>
              <w:t>REDACTED</w:t>
            </w:r>
          </w:p>
        </w:tc>
        <w:tc>
          <w:tcPr>
            <w:tcW w:w="1456"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04" w14:textId="6E50EEC4" w:rsidR="00C31629" w:rsidRDefault="00C31629" w:rsidP="00C31629">
            <w:pPr>
              <w:suppressAutoHyphens w:val="0"/>
              <w:spacing w:line="240" w:lineRule="auto"/>
              <w:jc w:val="center"/>
              <w:textAlignment w:val="auto"/>
              <w:rPr>
                <w:rFonts w:eastAsia="Times New Roman"/>
                <w:color w:val="000000"/>
              </w:rPr>
            </w:pPr>
            <w:r>
              <w:t>REDACTED</w:t>
            </w:r>
          </w:p>
        </w:tc>
        <w:tc>
          <w:tcPr>
            <w:tcW w:w="1521"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05" w14:textId="785C52BD" w:rsidR="00C31629" w:rsidRDefault="00C31629" w:rsidP="00C31629">
            <w:pPr>
              <w:suppressAutoHyphens w:val="0"/>
              <w:spacing w:line="240" w:lineRule="auto"/>
              <w:jc w:val="center"/>
              <w:textAlignment w:val="auto"/>
              <w:rPr>
                <w:rFonts w:eastAsia="Times New Roman"/>
                <w:color w:val="000000"/>
              </w:rPr>
            </w:pPr>
            <w:r>
              <w:t>REDACTED</w:t>
            </w:r>
          </w:p>
        </w:tc>
      </w:tr>
      <w:tr w:rsidR="00C31629" w14:paraId="3DEBBB0D" w14:textId="77777777" w:rsidTr="00C31629">
        <w:trPr>
          <w:trHeight w:val="285"/>
        </w:trPr>
        <w:tc>
          <w:tcPr>
            <w:tcW w:w="1907" w:type="dxa"/>
            <w:tcBorders>
              <w:left w:val="single" w:sz="4" w:space="0" w:color="000000"/>
              <w:bottom w:val="single" w:sz="4" w:space="0" w:color="000000"/>
              <w:right w:val="single" w:sz="4" w:space="0" w:color="000000"/>
            </w:tcBorders>
            <w:shd w:val="clear" w:color="auto" w:fill="F79646"/>
            <w:tcMar>
              <w:top w:w="0" w:type="dxa"/>
              <w:left w:w="108" w:type="dxa"/>
              <w:bottom w:w="0" w:type="dxa"/>
              <w:right w:w="108" w:type="dxa"/>
            </w:tcMar>
            <w:vAlign w:val="center"/>
          </w:tcPr>
          <w:p w14:paraId="3DEBBB07" w14:textId="3C7E942C" w:rsidR="00C31629" w:rsidRDefault="00C31629" w:rsidP="00C31629">
            <w:pPr>
              <w:suppressAutoHyphens w:val="0"/>
              <w:spacing w:line="240" w:lineRule="auto"/>
              <w:jc w:val="center"/>
              <w:textAlignment w:val="auto"/>
              <w:rPr>
                <w:rFonts w:eastAsia="Times New Roman"/>
                <w:color w:val="000000"/>
              </w:rPr>
            </w:pPr>
            <w:r>
              <w:t>REDACTED</w:t>
            </w:r>
          </w:p>
        </w:tc>
        <w:tc>
          <w:tcPr>
            <w:tcW w:w="2913"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08" w14:textId="54191BA7" w:rsidR="00C31629" w:rsidRDefault="00C31629" w:rsidP="00C31629">
            <w:pPr>
              <w:suppressAutoHyphens w:val="0"/>
              <w:spacing w:line="240" w:lineRule="auto"/>
              <w:jc w:val="center"/>
              <w:textAlignment w:val="auto"/>
              <w:rPr>
                <w:rFonts w:eastAsia="Times New Roman"/>
                <w:b/>
                <w:bCs/>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09" w14:textId="62CC2447" w:rsidR="00C31629" w:rsidRDefault="00C31629" w:rsidP="00C31629">
            <w:pPr>
              <w:suppressAutoHyphens w:val="0"/>
              <w:spacing w:line="240" w:lineRule="auto"/>
              <w:jc w:val="center"/>
              <w:textAlignment w:val="auto"/>
              <w:rPr>
                <w:rFonts w:eastAsia="Times New Roman"/>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0A" w14:textId="4FE7BB1B" w:rsidR="00C31629" w:rsidRDefault="00C31629" w:rsidP="00C31629">
            <w:pPr>
              <w:suppressAutoHyphens w:val="0"/>
              <w:spacing w:line="240" w:lineRule="auto"/>
              <w:jc w:val="center"/>
              <w:textAlignment w:val="auto"/>
              <w:rPr>
                <w:rFonts w:eastAsia="Times New Roman"/>
                <w:color w:val="000000"/>
              </w:rPr>
            </w:pPr>
            <w:r>
              <w:t>REDACTED</w:t>
            </w:r>
          </w:p>
        </w:tc>
        <w:tc>
          <w:tcPr>
            <w:tcW w:w="1456"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0B" w14:textId="1135972F" w:rsidR="00C31629" w:rsidRDefault="00C31629" w:rsidP="00C31629">
            <w:pPr>
              <w:suppressAutoHyphens w:val="0"/>
              <w:spacing w:line="240" w:lineRule="auto"/>
              <w:jc w:val="center"/>
              <w:textAlignment w:val="auto"/>
              <w:rPr>
                <w:rFonts w:eastAsia="Times New Roman"/>
                <w:color w:val="000000"/>
              </w:rPr>
            </w:pPr>
            <w:r>
              <w:t>REDACTED</w:t>
            </w:r>
          </w:p>
        </w:tc>
        <w:tc>
          <w:tcPr>
            <w:tcW w:w="1521"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0C" w14:textId="557690BB" w:rsidR="00C31629" w:rsidRDefault="00C31629" w:rsidP="00C31629">
            <w:pPr>
              <w:suppressAutoHyphens w:val="0"/>
              <w:spacing w:line="240" w:lineRule="auto"/>
              <w:jc w:val="center"/>
              <w:textAlignment w:val="auto"/>
              <w:rPr>
                <w:rFonts w:eastAsia="Times New Roman"/>
                <w:color w:val="000000"/>
              </w:rPr>
            </w:pPr>
            <w:r>
              <w:t>REDACTED</w:t>
            </w:r>
          </w:p>
        </w:tc>
      </w:tr>
      <w:tr w:rsidR="00C31629" w14:paraId="3DEBBB14" w14:textId="77777777" w:rsidTr="00C31629">
        <w:trPr>
          <w:trHeight w:val="285"/>
        </w:trPr>
        <w:tc>
          <w:tcPr>
            <w:tcW w:w="1907" w:type="dxa"/>
            <w:tcBorders>
              <w:left w:val="single" w:sz="4" w:space="0" w:color="000000"/>
              <w:bottom w:val="single" w:sz="4" w:space="0" w:color="000000"/>
              <w:right w:val="single" w:sz="4" w:space="0" w:color="000000"/>
            </w:tcBorders>
            <w:shd w:val="clear" w:color="auto" w:fill="F79646"/>
            <w:tcMar>
              <w:top w:w="0" w:type="dxa"/>
              <w:left w:w="108" w:type="dxa"/>
              <w:bottom w:w="0" w:type="dxa"/>
              <w:right w:w="108" w:type="dxa"/>
            </w:tcMar>
            <w:vAlign w:val="center"/>
          </w:tcPr>
          <w:p w14:paraId="3DEBBB0E" w14:textId="31B45C51" w:rsidR="00C31629" w:rsidRDefault="00C31629" w:rsidP="00C31629">
            <w:pPr>
              <w:suppressAutoHyphens w:val="0"/>
              <w:spacing w:line="240" w:lineRule="auto"/>
              <w:jc w:val="center"/>
              <w:textAlignment w:val="auto"/>
              <w:rPr>
                <w:rFonts w:eastAsia="Times New Roman"/>
                <w:color w:val="000000"/>
              </w:rPr>
            </w:pPr>
            <w:r>
              <w:t>REDACTED</w:t>
            </w:r>
          </w:p>
        </w:tc>
        <w:tc>
          <w:tcPr>
            <w:tcW w:w="2913"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0F" w14:textId="4E770C80" w:rsidR="00C31629" w:rsidRDefault="00C31629" w:rsidP="00C31629">
            <w:pPr>
              <w:suppressAutoHyphens w:val="0"/>
              <w:spacing w:line="240" w:lineRule="auto"/>
              <w:jc w:val="center"/>
              <w:textAlignment w:val="auto"/>
              <w:rPr>
                <w:rFonts w:eastAsia="Times New Roman"/>
                <w:b/>
                <w:bCs/>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10" w14:textId="19420A09" w:rsidR="00C31629" w:rsidRDefault="00C31629" w:rsidP="00C31629">
            <w:pPr>
              <w:suppressAutoHyphens w:val="0"/>
              <w:spacing w:line="240" w:lineRule="auto"/>
              <w:jc w:val="center"/>
              <w:textAlignment w:val="auto"/>
              <w:rPr>
                <w:rFonts w:eastAsia="Times New Roman"/>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11" w14:textId="4B897BFB" w:rsidR="00C31629" w:rsidRDefault="00C31629" w:rsidP="00C31629">
            <w:pPr>
              <w:suppressAutoHyphens w:val="0"/>
              <w:spacing w:line="240" w:lineRule="auto"/>
              <w:jc w:val="center"/>
              <w:textAlignment w:val="auto"/>
              <w:rPr>
                <w:rFonts w:eastAsia="Times New Roman"/>
                <w:color w:val="000000"/>
              </w:rPr>
            </w:pPr>
            <w:r>
              <w:t>REDACTED</w:t>
            </w:r>
          </w:p>
        </w:tc>
        <w:tc>
          <w:tcPr>
            <w:tcW w:w="1456"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12" w14:textId="1F915F8C" w:rsidR="00C31629" w:rsidRDefault="00C31629" w:rsidP="00C31629">
            <w:pPr>
              <w:suppressAutoHyphens w:val="0"/>
              <w:spacing w:line="240" w:lineRule="auto"/>
              <w:jc w:val="center"/>
              <w:textAlignment w:val="auto"/>
              <w:rPr>
                <w:rFonts w:eastAsia="Times New Roman"/>
                <w:color w:val="000000"/>
              </w:rPr>
            </w:pPr>
            <w:r>
              <w:t>REDACTED</w:t>
            </w:r>
          </w:p>
        </w:tc>
        <w:tc>
          <w:tcPr>
            <w:tcW w:w="1521"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13" w14:textId="1D1A09E1" w:rsidR="00C31629" w:rsidRDefault="00C31629" w:rsidP="00C31629">
            <w:pPr>
              <w:suppressAutoHyphens w:val="0"/>
              <w:spacing w:line="240" w:lineRule="auto"/>
              <w:jc w:val="center"/>
              <w:textAlignment w:val="auto"/>
              <w:rPr>
                <w:rFonts w:eastAsia="Times New Roman"/>
                <w:color w:val="000000"/>
              </w:rPr>
            </w:pPr>
            <w:r>
              <w:t>REDACTED</w:t>
            </w:r>
          </w:p>
        </w:tc>
      </w:tr>
      <w:tr w:rsidR="00C31629" w14:paraId="3DEBBB1B" w14:textId="77777777" w:rsidTr="00C31629">
        <w:trPr>
          <w:trHeight w:val="285"/>
        </w:trPr>
        <w:tc>
          <w:tcPr>
            <w:tcW w:w="1907" w:type="dxa"/>
            <w:tcBorders>
              <w:left w:val="single" w:sz="4" w:space="0" w:color="000000"/>
              <w:bottom w:val="single" w:sz="4" w:space="0" w:color="000000"/>
              <w:right w:val="single" w:sz="4" w:space="0" w:color="000000"/>
            </w:tcBorders>
            <w:shd w:val="clear" w:color="auto" w:fill="F79646"/>
            <w:tcMar>
              <w:top w:w="0" w:type="dxa"/>
              <w:left w:w="108" w:type="dxa"/>
              <w:bottom w:w="0" w:type="dxa"/>
              <w:right w:w="108" w:type="dxa"/>
            </w:tcMar>
            <w:vAlign w:val="center"/>
          </w:tcPr>
          <w:p w14:paraId="3DEBBB15" w14:textId="7BF07F7C" w:rsidR="00C31629" w:rsidRDefault="00C31629" w:rsidP="00C31629">
            <w:pPr>
              <w:suppressAutoHyphens w:val="0"/>
              <w:spacing w:line="240" w:lineRule="auto"/>
              <w:jc w:val="center"/>
              <w:textAlignment w:val="auto"/>
              <w:rPr>
                <w:rFonts w:eastAsia="Times New Roman"/>
                <w:color w:val="000000"/>
              </w:rPr>
            </w:pPr>
            <w:r>
              <w:t>REDACTED</w:t>
            </w:r>
          </w:p>
        </w:tc>
        <w:tc>
          <w:tcPr>
            <w:tcW w:w="2913"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16" w14:textId="2989378E" w:rsidR="00C31629" w:rsidRDefault="00C31629" w:rsidP="00C31629">
            <w:pPr>
              <w:suppressAutoHyphens w:val="0"/>
              <w:spacing w:line="240" w:lineRule="auto"/>
              <w:jc w:val="center"/>
              <w:textAlignment w:val="auto"/>
              <w:rPr>
                <w:rFonts w:eastAsia="Times New Roman"/>
                <w:b/>
                <w:bCs/>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17" w14:textId="1494C10A" w:rsidR="00C31629" w:rsidRDefault="00C31629" w:rsidP="00C31629">
            <w:pPr>
              <w:suppressAutoHyphens w:val="0"/>
              <w:spacing w:line="240" w:lineRule="auto"/>
              <w:jc w:val="center"/>
              <w:textAlignment w:val="auto"/>
              <w:rPr>
                <w:rFonts w:eastAsia="Times New Roman"/>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18" w14:textId="10150B9A" w:rsidR="00C31629" w:rsidRDefault="00C31629" w:rsidP="00C31629">
            <w:pPr>
              <w:suppressAutoHyphens w:val="0"/>
              <w:spacing w:line="240" w:lineRule="auto"/>
              <w:jc w:val="center"/>
              <w:textAlignment w:val="auto"/>
              <w:rPr>
                <w:rFonts w:eastAsia="Times New Roman"/>
                <w:color w:val="000000"/>
              </w:rPr>
            </w:pPr>
            <w:r>
              <w:t>REDACTED</w:t>
            </w:r>
          </w:p>
        </w:tc>
        <w:tc>
          <w:tcPr>
            <w:tcW w:w="1456"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19" w14:textId="7628229D" w:rsidR="00C31629" w:rsidRDefault="00C31629" w:rsidP="00C31629">
            <w:pPr>
              <w:suppressAutoHyphens w:val="0"/>
              <w:spacing w:line="240" w:lineRule="auto"/>
              <w:jc w:val="center"/>
              <w:textAlignment w:val="auto"/>
              <w:rPr>
                <w:rFonts w:eastAsia="Times New Roman"/>
                <w:color w:val="000000"/>
              </w:rPr>
            </w:pPr>
            <w:r>
              <w:t>REDACTED</w:t>
            </w:r>
          </w:p>
        </w:tc>
        <w:tc>
          <w:tcPr>
            <w:tcW w:w="1521"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1A" w14:textId="2A3A2503" w:rsidR="00C31629" w:rsidRDefault="00C31629" w:rsidP="00C31629">
            <w:pPr>
              <w:suppressAutoHyphens w:val="0"/>
              <w:spacing w:line="240" w:lineRule="auto"/>
              <w:jc w:val="center"/>
              <w:textAlignment w:val="auto"/>
              <w:rPr>
                <w:rFonts w:eastAsia="Times New Roman"/>
                <w:color w:val="000000"/>
              </w:rPr>
            </w:pPr>
            <w:r>
              <w:t>REDACTED</w:t>
            </w:r>
          </w:p>
        </w:tc>
      </w:tr>
      <w:tr w:rsidR="00C31629" w14:paraId="3DEBBB22" w14:textId="77777777" w:rsidTr="00C31629">
        <w:trPr>
          <w:trHeight w:val="285"/>
        </w:trPr>
        <w:tc>
          <w:tcPr>
            <w:tcW w:w="1907" w:type="dxa"/>
            <w:tcBorders>
              <w:left w:val="single" w:sz="4" w:space="0" w:color="000000"/>
              <w:bottom w:val="single" w:sz="4" w:space="0" w:color="000000"/>
              <w:right w:val="single" w:sz="4" w:space="0" w:color="000000"/>
            </w:tcBorders>
            <w:shd w:val="clear" w:color="auto" w:fill="F79646"/>
            <w:tcMar>
              <w:top w:w="0" w:type="dxa"/>
              <w:left w:w="108" w:type="dxa"/>
              <w:bottom w:w="0" w:type="dxa"/>
              <w:right w:w="108" w:type="dxa"/>
            </w:tcMar>
            <w:vAlign w:val="center"/>
          </w:tcPr>
          <w:p w14:paraId="3DEBBB1C" w14:textId="4108663E" w:rsidR="00C31629" w:rsidRDefault="00C31629" w:rsidP="00C31629">
            <w:pPr>
              <w:suppressAutoHyphens w:val="0"/>
              <w:spacing w:line="240" w:lineRule="auto"/>
              <w:jc w:val="center"/>
              <w:textAlignment w:val="auto"/>
              <w:rPr>
                <w:rFonts w:eastAsia="Times New Roman"/>
                <w:color w:val="000000"/>
              </w:rPr>
            </w:pPr>
            <w:r>
              <w:t>REDACTED</w:t>
            </w:r>
          </w:p>
        </w:tc>
        <w:tc>
          <w:tcPr>
            <w:tcW w:w="2913"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1D" w14:textId="79F71C52" w:rsidR="00C31629" w:rsidRDefault="00C31629" w:rsidP="00C31629">
            <w:pPr>
              <w:suppressAutoHyphens w:val="0"/>
              <w:spacing w:line="240" w:lineRule="auto"/>
              <w:jc w:val="center"/>
              <w:textAlignment w:val="auto"/>
              <w:rPr>
                <w:rFonts w:eastAsia="Times New Roman"/>
                <w:b/>
                <w:bCs/>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1E" w14:textId="0769F8F3" w:rsidR="00C31629" w:rsidRDefault="00C31629" w:rsidP="00C31629">
            <w:pPr>
              <w:suppressAutoHyphens w:val="0"/>
              <w:spacing w:line="240" w:lineRule="auto"/>
              <w:jc w:val="center"/>
              <w:textAlignment w:val="auto"/>
              <w:rPr>
                <w:rFonts w:eastAsia="Times New Roman"/>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1F" w14:textId="265922C0" w:rsidR="00C31629" w:rsidRDefault="00C31629" w:rsidP="00C31629">
            <w:pPr>
              <w:suppressAutoHyphens w:val="0"/>
              <w:spacing w:line="240" w:lineRule="auto"/>
              <w:jc w:val="center"/>
              <w:textAlignment w:val="auto"/>
              <w:rPr>
                <w:rFonts w:eastAsia="Times New Roman"/>
                <w:color w:val="000000"/>
              </w:rPr>
            </w:pPr>
            <w:r>
              <w:t>REDACTED</w:t>
            </w:r>
          </w:p>
        </w:tc>
        <w:tc>
          <w:tcPr>
            <w:tcW w:w="1456"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20" w14:textId="27F6336D" w:rsidR="00C31629" w:rsidRDefault="00C31629" w:rsidP="00C31629">
            <w:pPr>
              <w:suppressAutoHyphens w:val="0"/>
              <w:spacing w:line="240" w:lineRule="auto"/>
              <w:jc w:val="center"/>
              <w:textAlignment w:val="auto"/>
              <w:rPr>
                <w:rFonts w:eastAsia="Times New Roman"/>
                <w:color w:val="000000"/>
              </w:rPr>
            </w:pPr>
            <w:r>
              <w:t>REDACTED</w:t>
            </w:r>
          </w:p>
        </w:tc>
        <w:tc>
          <w:tcPr>
            <w:tcW w:w="1521"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21" w14:textId="17762E72" w:rsidR="00C31629" w:rsidRDefault="00C31629" w:rsidP="00C31629">
            <w:pPr>
              <w:suppressAutoHyphens w:val="0"/>
              <w:spacing w:line="240" w:lineRule="auto"/>
              <w:jc w:val="center"/>
              <w:textAlignment w:val="auto"/>
              <w:rPr>
                <w:rFonts w:eastAsia="Times New Roman"/>
                <w:color w:val="000000"/>
              </w:rPr>
            </w:pPr>
            <w:r>
              <w:t>REDACTED</w:t>
            </w:r>
          </w:p>
        </w:tc>
      </w:tr>
      <w:tr w:rsidR="00351BE8" w14:paraId="3DEBBB29" w14:textId="77777777" w:rsidTr="00C31629">
        <w:trPr>
          <w:trHeight w:val="285"/>
        </w:trPr>
        <w:tc>
          <w:tcPr>
            <w:tcW w:w="1907" w:type="dxa"/>
            <w:tcBorders>
              <w:left w:val="single" w:sz="4" w:space="0" w:color="000000"/>
              <w:bottom w:val="single" w:sz="4" w:space="0" w:color="000000"/>
              <w:right w:val="single" w:sz="4" w:space="0" w:color="000000"/>
            </w:tcBorders>
            <w:shd w:val="clear" w:color="auto" w:fill="D8D8D8"/>
            <w:tcMar>
              <w:top w:w="0" w:type="dxa"/>
              <w:left w:w="108" w:type="dxa"/>
              <w:bottom w:w="0" w:type="dxa"/>
              <w:right w:w="108" w:type="dxa"/>
            </w:tcMar>
            <w:vAlign w:val="center"/>
          </w:tcPr>
          <w:p w14:paraId="3DEBBB23"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 </w:t>
            </w:r>
          </w:p>
        </w:tc>
        <w:tc>
          <w:tcPr>
            <w:tcW w:w="2913" w:type="dxa"/>
            <w:tcBorders>
              <w:bottom w:val="single" w:sz="4" w:space="0" w:color="000000"/>
              <w:right w:val="single" w:sz="4" w:space="0" w:color="000000"/>
            </w:tcBorders>
            <w:shd w:val="clear" w:color="auto" w:fill="D8D8D8"/>
            <w:tcMar>
              <w:top w:w="0" w:type="dxa"/>
              <w:left w:w="108" w:type="dxa"/>
              <w:bottom w:w="0" w:type="dxa"/>
              <w:right w:w="108" w:type="dxa"/>
            </w:tcMar>
            <w:vAlign w:val="center"/>
          </w:tcPr>
          <w:p w14:paraId="3DEBBB24"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TOTAL</w:t>
            </w:r>
          </w:p>
        </w:tc>
        <w:tc>
          <w:tcPr>
            <w:tcW w:w="1559" w:type="dxa"/>
            <w:tcBorders>
              <w:bottom w:val="single" w:sz="4" w:space="0" w:color="000000"/>
              <w:right w:val="single" w:sz="4" w:space="0" w:color="000000"/>
            </w:tcBorders>
            <w:shd w:val="clear" w:color="auto" w:fill="D8D8D8"/>
            <w:tcMar>
              <w:top w:w="0" w:type="dxa"/>
              <w:left w:w="108" w:type="dxa"/>
              <w:bottom w:w="0" w:type="dxa"/>
              <w:right w:w="108" w:type="dxa"/>
            </w:tcMar>
            <w:vAlign w:val="center"/>
          </w:tcPr>
          <w:p w14:paraId="3DEBBB25"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 </w:t>
            </w:r>
          </w:p>
        </w:tc>
        <w:tc>
          <w:tcPr>
            <w:tcW w:w="1559" w:type="dxa"/>
            <w:tcBorders>
              <w:bottom w:val="single" w:sz="4" w:space="0" w:color="000000"/>
              <w:right w:val="single" w:sz="4" w:space="0" w:color="000000"/>
            </w:tcBorders>
            <w:shd w:val="clear" w:color="auto" w:fill="D8D8D8"/>
            <w:tcMar>
              <w:top w:w="0" w:type="dxa"/>
              <w:left w:w="108" w:type="dxa"/>
              <w:bottom w:w="0" w:type="dxa"/>
              <w:right w:w="108" w:type="dxa"/>
            </w:tcMar>
            <w:vAlign w:val="center"/>
          </w:tcPr>
          <w:p w14:paraId="3DEBBB26" w14:textId="77777777" w:rsidR="00351BE8" w:rsidRDefault="0052315A">
            <w:pPr>
              <w:suppressAutoHyphens w:val="0"/>
              <w:spacing w:line="240" w:lineRule="auto"/>
              <w:jc w:val="center"/>
              <w:textAlignment w:val="auto"/>
              <w:rPr>
                <w:rFonts w:eastAsia="Times New Roman"/>
                <w:color w:val="000000"/>
              </w:rPr>
            </w:pPr>
            <w:r>
              <w:rPr>
                <w:rFonts w:eastAsia="Times New Roman"/>
                <w:color w:val="000000"/>
              </w:rPr>
              <w:t> </w:t>
            </w:r>
          </w:p>
        </w:tc>
        <w:tc>
          <w:tcPr>
            <w:tcW w:w="1456" w:type="dxa"/>
            <w:tcBorders>
              <w:bottom w:val="single" w:sz="4" w:space="0" w:color="000000"/>
              <w:right w:val="single" w:sz="4" w:space="0" w:color="000000"/>
            </w:tcBorders>
            <w:shd w:val="clear" w:color="auto" w:fill="D8D8D8"/>
            <w:tcMar>
              <w:top w:w="0" w:type="dxa"/>
              <w:left w:w="108" w:type="dxa"/>
              <w:bottom w:w="0" w:type="dxa"/>
              <w:right w:w="108" w:type="dxa"/>
            </w:tcMar>
            <w:vAlign w:val="center"/>
          </w:tcPr>
          <w:p w14:paraId="3DEBBB27" w14:textId="77777777" w:rsidR="00351BE8" w:rsidRDefault="0052315A">
            <w:pPr>
              <w:suppressAutoHyphens w:val="0"/>
              <w:spacing w:line="240" w:lineRule="auto"/>
              <w:jc w:val="center"/>
              <w:textAlignment w:val="auto"/>
              <w:rPr>
                <w:rFonts w:eastAsia="Times New Roman"/>
                <w:color w:val="000000"/>
              </w:rPr>
            </w:pPr>
            <w:r>
              <w:rPr>
                <w:rFonts w:eastAsia="Times New Roman"/>
                <w:color w:val="000000"/>
              </w:rPr>
              <w:t> </w:t>
            </w:r>
          </w:p>
        </w:tc>
        <w:tc>
          <w:tcPr>
            <w:tcW w:w="1521"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28" w14:textId="77777777" w:rsidR="00351BE8" w:rsidRDefault="0052315A">
            <w:pPr>
              <w:suppressAutoHyphens w:val="0"/>
              <w:spacing w:line="240" w:lineRule="auto"/>
              <w:jc w:val="center"/>
              <w:textAlignment w:val="auto"/>
              <w:rPr>
                <w:rFonts w:eastAsia="Times New Roman"/>
                <w:color w:val="000000"/>
              </w:rPr>
            </w:pPr>
            <w:r>
              <w:rPr>
                <w:rFonts w:eastAsia="Times New Roman"/>
                <w:color w:val="000000"/>
              </w:rPr>
              <w:t>£118,350</w:t>
            </w:r>
          </w:p>
        </w:tc>
      </w:tr>
    </w:tbl>
    <w:p w14:paraId="3DEBBB2A" w14:textId="77777777" w:rsidR="00351BE8" w:rsidRDefault="00351BE8"/>
    <w:p w14:paraId="3DEBBB2B" w14:textId="77777777" w:rsidR="00351BE8" w:rsidRDefault="0052315A">
      <w:r>
        <w:rPr>
          <w:rFonts w:eastAsia="Times New Roman"/>
          <w:b/>
          <w:bCs/>
          <w:color w:val="000000"/>
          <w:u w:val="single"/>
        </w:rPr>
        <w:t>Implementation Plan Costs</w:t>
      </w:r>
    </w:p>
    <w:p w14:paraId="3DEBBB2C" w14:textId="77777777" w:rsidR="00351BE8" w:rsidRDefault="00351BE8">
      <w:pPr>
        <w:rPr>
          <w:b/>
        </w:rPr>
      </w:pPr>
    </w:p>
    <w:tbl>
      <w:tblPr>
        <w:tblW w:w="11057" w:type="dxa"/>
        <w:tblInd w:w="-572" w:type="dxa"/>
        <w:tblCellMar>
          <w:left w:w="10" w:type="dxa"/>
          <w:right w:w="10" w:type="dxa"/>
        </w:tblCellMar>
        <w:tblLook w:val="0000" w:firstRow="0" w:lastRow="0" w:firstColumn="0" w:lastColumn="0" w:noHBand="0" w:noVBand="0"/>
      </w:tblPr>
      <w:tblGrid>
        <w:gridCol w:w="1935"/>
        <w:gridCol w:w="3027"/>
        <w:gridCol w:w="1559"/>
        <w:gridCol w:w="1559"/>
        <w:gridCol w:w="1444"/>
        <w:gridCol w:w="1533"/>
      </w:tblGrid>
      <w:tr w:rsidR="00351BE8" w14:paraId="3DEBBB33" w14:textId="77777777" w:rsidTr="00C31629">
        <w:trPr>
          <w:trHeight w:val="930"/>
        </w:trPr>
        <w:tc>
          <w:tcPr>
            <w:tcW w:w="19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EBBB2D"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Name(s)</w:t>
            </w:r>
          </w:p>
        </w:tc>
        <w:tc>
          <w:tcPr>
            <w:tcW w:w="3027"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EBBB2E"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 xml:space="preserve">Grade </w:t>
            </w:r>
          </w:p>
        </w:tc>
        <w:tc>
          <w:tcPr>
            <w:tcW w:w="1559"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EBBB2F"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Framework Maximum Rate</w:t>
            </w:r>
          </w:p>
        </w:tc>
        <w:tc>
          <w:tcPr>
            <w:tcW w:w="1559"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EBBB30"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Tendered Daily Rate £</w:t>
            </w:r>
            <w:r>
              <w:rPr>
                <w:rFonts w:eastAsia="Times New Roman"/>
                <w:b/>
                <w:bCs/>
                <w:color w:val="000000"/>
              </w:rPr>
              <w:br/>
              <w:t>(</w:t>
            </w:r>
            <w:proofErr w:type="spellStart"/>
            <w:r>
              <w:rPr>
                <w:rFonts w:eastAsia="Times New Roman"/>
                <w:b/>
                <w:bCs/>
                <w:color w:val="000000"/>
              </w:rPr>
              <w:t>exc</w:t>
            </w:r>
            <w:proofErr w:type="spellEnd"/>
            <w:r>
              <w:rPr>
                <w:rFonts w:eastAsia="Times New Roman"/>
                <w:b/>
                <w:bCs/>
                <w:color w:val="000000"/>
              </w:rPr>
              <w:t xml:space="preserve"> VAT)</w:t>
            </w:r>
          </w:p>
        </w:tc>
        <w:tc>
          <w:tcPr>
            <w:tcW w:w="1444"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EBBB31"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 xml:space="preserve">Number </w:t>
            </w:r>
            <w:r>
              <w:rPr>
                <w:rFonts w:eastAsia="Times New Roman"/>
                <w:b/>
                <w:bCs/>
                <w:color w:val="000000"/>
              </w:rPr>
              <w:br/>
              <w:t xml:space="preserve">of days </w:t>
            </w:r>
          </w:p>
        </w:tc>
        <w:tc>
          <w:tcPr>
            <w:tcW w:w="1533"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EBBB32"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Total £</w:t>
            </w:r>
            <w:r>
              <w:rPr>
                <w:rFonts w:eastAsia="Times New Roman"/>
                <w:b/>
                <w:bCs/>
                <w:color w:val="000000"/>
              </w:rPr>
              <w:br/>
              <w:t>(</w:t>
            </w:r>
            <w:proofErr w:type="spellStart"/>
            <w:r>
              <w:rPr>
                <w:rFonts w:eastAsia="Times New Roman"/>
                <w:b/>
                <w:bCs/>
                <w:color w:val="000000"/>
              </w:rPr>
              <w:t>exc</w:t>
            </w:r>
            <w:proofErr w:type="spellEnd"/>
            <w:r>
              <w:rPr>
                <w:rFonts w:eastAsia="Times New Roman"/>
                <w:b/>
                <w:bCs/>
                <w:color w:val="000000"/>
              </w:rPr>
              <w:t xml:space="preserve"> VAT)</w:t>
            </w:r>
          </w:p>
        </w:tc>
      </w:tr>
      <w:tr w:rsidR="00C31629" w14:paraId="3DEBBB3A" w14:textId="77777777" w:rsidTr="00C31629">
        <w:trPr>
          <w:trHeight w:val="285"/>
        </w:trPr>
        <w:tc>
          <w:tcPr>
            <w:tcW w:w="1935" w:type="dxa"/>
            <w:tcBorders>
              <w:left w:val="single" w:sz="4" w:space="0" w:color="000000"/>
              <w:bottom w:val="single" w:sz="4" w:space="0" w:color="000000"/>
              <w:right w:val="single" w:sz="4" w:space="0" w:color="000000"/>
            </w:tcBorders>
            <w:shd w:val="clear" w:color="auto" w:fill="F79646"/>
            <w:tcMar>
              <w:top w:w="0" w:type="dxa"/>
              <w:left w:w="108" w:type="dxa"/>
              <w:bottom w:w="0" w:type="dxa"/>
              <w:right w:w="108" w:type="dxa"/>
            </w:tcMar>
            <w:vAlign w:val="center"/>
          </w:tcPr>
          <w:p w14:paraId="3DEBBB34" w14:textId="19020459" w:rsidR="00C31629" w:rsidRDefault="00C31629" w:rsidP="00C31629">
            <w:pPr>
              <w:suppressAutoHyphens w:val="0"/>
              <w:spacing w:line="240" w:lineRule="auto"/>
              <w:jc w:val="center"/>
              <w:textAlignment w:val="auto"/>
              <w:rPr>
                <w:rFonts w:eastAsia="Times New Roman"/>
                <w:color w:val="000000"/>
              </w:rPr>
            </w:pPr>
            <w:r>
              <w:t>REDACTED</w:t>
            </w:r>
          </w:p>
        </w:tc>
        <w:tc>
          <w:tcPr>
            <w:tcW w:w="3027"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35" w14:textId="12201257" w:rsidR="00C31629" w:rsidRDefault="00C31629" w:rsidP="00C31629">
            <w:pPr>
              <w:suppressAutoHyphens w:val="0"/>
              <w:spacing w:line="240" w:lineRule="auto"/>
              <w:jc w:val="center"/>
              <w:textAlignment w:val="auto"/>
              <w:rPr>
                <w:rFonts w:eastAsia="Times New Roman"/>
                <w:b/>
                <w:bCs/>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36" w14:textId="10E5FF24" w:rsidR="00C31629" w:rsidRDefault="00C31629" w:rsidP="00C31629">
            <w:pPr>
              <w:suppressAutoHyphens w:val="0"/>
              <w:spacing w:line="240" w:lineRule="auto"/>
              <w:jc w:val="center"/>
              <w:textAlignment w:val="auto"/>
              <w:rPr>
                <w:rFonts w:eastAsia="Times New Roman"/>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37" w14:textId="7BCD964F" w:rsidR="00C31629" w:rsidRDefault="00C31629" w:rsidP="00C31629">
            <w:pPr>
              <w:suppressAutoHyphens w:val="0"/>
              <w:spacing w:line="240" w:lineRule="auto"/>
              <w:jc w:val="center"/>
              <w:textAlignment w:val="auto"/>
              <w:rPr>
                <w:rFonts w:eastAsia="Times New Roman"/>
                <w:color w:val="000000"/>
              </w:rPr>
            </w:pPr>
            <w:r>
              <w:t>REDACTED</w:t>
            </w:r>
          </w:p>
        </w:tc>
        <w:tc>
          <w:tcPr>
            <w:tcW w:w="1444"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38" w14:textId="6D0ED5E2" w:rsidR="00C31629" w:rsidRDefault="00C31629" w:rsidP="00C31629">
            <w:pPr>
              <w:suppressAutoHyphens w:val="0"/>
              <w:spacing w:line="240" w:lineRule="auto"/>
              <w:jc w:val="center"/>
              <w:textAlignment w:val="auto"/>
              <w:rPr>
                <w:rFonts w:eastAsia="Times New Roman"/>
                <w:color w:val="000000"/>
              </w:rPr>
            </w:pPr>
            <w:r>
              <w:t>REDACTED</w:t>
            </w:r>
          </w:p>
        </w:tc>
        <w:tc>
          <w:tcPr>
            <w:tcW w:w="1533"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39" w14:textId="079694E5" w:rsidR="00C31629" w:rsidRDefault="00C31629" w:rsidP="00C31629">
            <w:pPr>
              <w:suppressAutoHyphens w:val="0"/>
              <w:spacing w:line="240" w:lineRule="auto"/>
              <w:jc w:val="center"/>
              <w:textAlignment w:val="auto"/>
              <w:rPr>
                <w:rFonts w:eastAsia="Times New Roman"/>
                <w:color w:val="000000"/>
              </w:rPr>
            </w:pPr>
            <w:r>
              <w:t>REDACTED</w:t>
            </w:r>
          </w:p>
        </w:tc>
      </w:tr>
      <w:tr w:rsidR="00C31629" w14:paraId="3DEBBB41" w14:textId="77777777" w:rsidTr="00C31629">
        <w:trPr>
          <w:trHeight w:val="285"/>
        </w:trPr>
        <w:tc>
          <w:tcPr>
            <w:tcW w:w="1935" w:type="dxa"/>
            <w:tcBorders>
              <w:left w:val="single" w:sz="4" w:space="0" w:color="000000"/>
              <w:bottom w:val="single" w:sz="4" w:space="0" w:color="000000"/>
              <w:right w:val="single" w:sz="4" w:space="0" w:color="000000"/>
            </w:tcBorders>
            <w:shd w:val="clear" w:color="auto" w:fill="F79646"/>
            <w:tcMar>
              <w:top w:w="0" w:type="dxa"/>
              <w:left w:w="108" w:type="dxa"/>
              <w:bottom w:w="0" w:type="dxa"/>
              <w:right w:w="108" w:type="dxa"/>
            </w:tcMar>
            <w:vAlign w:val="center"/>
          </w:tcPr>
          <w:p w14:paraId="3DEBBB3B" w14:textId="6CF8FA70" w:rsidR="00C31629" w:rsidRDefault="00C31629" w:rsidP="00C31629">
            <w:pPr>
              <w:suppressAutoHyphens w:val="0"/>
              <w:spacing w:line="240" w:lineRule="auto"/>
              <w:jc w:val="center"/>
              <w:textAlignment w:val="auto"/>
              <w:rPr>
                <w:rFonts w:eastAsia="Times New Roman"/>
                <w:color w:val="000000"/>
              </w:rPr>
            </w:pPr>
            <w:r>
              <w:t>REDACTED</w:t>
            </w:r>
          </w:p>
        </w:tc>
        <w:tc>
          <w:tcPr>
            <w:tcW w:w="3027"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3C" w14:textId="22F2E7E6" w:rsidR="00C31629" w:rsidRDefault="00C31629" w:rsidP="00C31629">
            <w:pPr>
              <w:suppressAutoHyphens w:val="0"/>
              <w:spacing w:line="240" w:lineRule="auto"/>
              <w:jc w:val="center"/>
              <w:textAlignment w:val="auto"/>
              <w:rPr>
                <w:rFonts w:eastAsia="Times New Roman"/>
                <w:b/>
                <w:bCs/>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3D" w14:textId="4922E1D0" w:rsidR="00C31629" w:rsidRDefault="00C31629" w:rsidP="00C31629">
            <w:pPr>
              <w:suppressAutoHyphens w:val="0"/>
              <w:spacing w:line="240" w:lineRule="auto"/>
              <w:jc w:val="center"/>
              <w:textAlignment w:val="auto"/>
              <w:rPr>
                <w:rFonts w:eastAsia="Times New Roman"/>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3E" w14:textId="6B2448BB" w:rsidR="00C31629" w:rsidRDefault="00C31629" w:rsidP="00C31629">
            <w:pPr>
              <w:suppressAutoHyphens w:val="0"/>
              <w:spacing w:line="240" w:lineRule="auto"/>
              <w:jc w:val="center"/>
              <w:textAlignment w:val="auto"/>
              <w:rPr>
                <w:rFonts w:eastAsia="Times New Roman"/>
                <w:color w:val="000000"/>
              </w:rPr>
            </w:pPr>
            <w:r>
              <w:t>REDACTED</w:t>
            </w:r>
          </w:p>
        </w:tc>
        <w:tc>
          <w:tcPr>
            <w:tcW w:w="1444"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3F" w14:textId="7CAF80D9" w:rsidR="00C31629" w:rsidRDefault="00C31629" w:rsidP="00C31629">
            <w:pPr>
              <w:suppressAutoHyphens w:val="0"/>
              <w:spacing w:line="240" w:lineRule="auto"/>
              <w:jc w:val="center"/>
              <w:textAlignment w:val="auto"/>
              <w:rPr>
                <w:rFonts w:eastAsia="Times New Roman"/>
                <w:color w:val="000000"/>
              </w:rPr>
            </w:pPr>
            <w:r>
              <w:t>REDACTED</w:t>
            </w:r>
          </w:p>
        </w:tc>
        <w:tc>
          <w:tcPr>
            <w:tcW w:w="1533"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40" w14:textId="3719AB8D" w:rsidR="00C31629" w:rsidRDefault="00C31629" w:rsidP="00C31629">
            <w:pPr>
              <w:suppressAutoHyphens w:val="0"/>
              <w:spacing w:line="240" w:lineRule="auto"/>
              <w:jc w:val="center"/>
              <w:textAlignment w:val="auto"/>
              <w:rPr>
                <w:rFonts w:eastAsia="Times New Roman"/>
                <w:color w:val="000000"/>
              </w:rPr>
            </w:pPr>
            <w:r>
              <w:t>REDACTED</w:t>
            </w:r>
          </w:p>
        </w:tc>
      </w:tr>
      <w:tr w:rsidR="00C31629" w14:paraId="3DEBBB48" w14:textId="77777777" w:rsidTr="00C31629">
        <w:trPr>
          <w:trHeight w:val="285"/>
        </w:trPr>
        <w:tc>
          <w:tcPr>
            <w:tcW w:w="1935" w:type="dxa"/>
            <w:tcBorders>
              <w:left w:val="single" w:sz="4" w:space="0" w:color="000000"/>
              <w:bottom w:val="single" w:sz="4" w:space="0" w:color="000000"/>
              <w:right w:val="single" w:sz="4" w:space="0" w:color="000000"/>
            </w:tcBorders>
            <w:shd w:val="clear" w:color="auto" w:fill="F79646"/>
            <w:tcMar>
              <w:top w:w="0" w:type="dxa"/>
              <w:left w:w="108" w:type="dxa"/>
              <w:bottom w:w="0" w:type="dxa"/>
              <w:right w:w="108" w:type="dxa"/>
            </w:tcMar>
            <w:vAlign w:val="center"/>
          </w:tcPr>
          <w:p w14:paraId="3DEBBB42" w14:textId="43BC913C" w:rsidR="00C31629" w:rsidRDefault="00C31629" w:rsidP="00C31629">
            <w:pPr>
              <w:suppressAutoHyphens w:val="0"/>
              <w:spacing w:line="240" w:lineRule="auto"/>
              <w:jc w:val="center"/>
              <w:textAlignment w:val="auto"/>
              <w:rPr>
                <w:rFonts w:eastAsia="Times New Roman"/>
                <w:color w:val="000000"/>
              </w:rPr>
            </w:pPr>
            <w:r>
              <w:t>REDACTED</w:t>
            </w:r>
          </w:p>
        </w:tc>
        <w:tc>
          <w:tcPr>
            <w:tcW w:w="3027"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43" w14:textId="19ACC464" w:rsidR="00C31629" w:rsidRDefault="00C31629" w:rsidP="00C31629">
            <w:pPr>
              <w:suppressAutoHyphens w:val="0"/>
              <w:spacing w:line="240" w:lineRule="auto"/>
              <w:jc w:val="center"/>
              <w:textAlignment w:val="auto"/>
              <w:rPr>
                <w:rFonts w:eastAsia="Times New Roman"/>
                <w:b/>
                <w:bCs/>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44" w14:textId="0F43707D" w:rsidR="00C31629" w:rsidRDefault="00C31629" w:rsidP="00C31629">
            <w:pPr>
              <w:suppressAutoHyphens w:val="0"/>
              <w:spacing w:line="240" w:lineRule="auto"/>
              <w:jc w:val="center"/>
              <w:textAlignment w:val="auto"/>
              <w:rPr>
                <w:rFonts w:eastAsia="Times New Roman"/>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45" w14:textId="2D8528DD" w:rsidR="00C31629" w:rsidRDefault="00C31629" w:rsidP="00C31629">
            <w:pPr>
              <w:suppressAutoHyphens w:val="0"/>
              <w:spacing w:line="240" w:lineRule="auto"/>
              <w:jc w:val="center"/>
              <w:textAlignment w:val="auto"/>
              <w:rPr>
                <w:rFonts w:eastAsia="Times New Roman"/>
                <w:color w:val="000000"/>
              </w:rPr>
            </w:pPr>
            <w:r>
              <w:t>REDACTED</w:t>
            </w:r>
          </w:p>
        </w:tc>
        <w:tc>
          <w:tcPr>
            <w:tcW w:w="1444"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46" w14:textId="31569666" w:rsidR="00C31629" w:rsidRDefault="00C31629" w:rsidP="00C31629">
            <w:pPr>
              <w:suppressAutoHyphens w:val="0"/>
              <w:spacing w:line="240" w:lineRule="auto"/>
              <w:jc w:val="center"/>
              <w:textAlignment w:val="auto"/>
              <w:rPr>
                <w:rFonts w:eastAsia="Times New Roman"/>
                <w:color w:val="000000"/>
              </w:rPr>
            </w:pPr>
            <w:r>
              <w:t>REDACTED</w:t>
            </w:r>
          </w:p>
        </w:tc>
        <w:tc>
          <w:tcPr>
            <w:tcW w:w="1533"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47" w14:textId="495DF408" w:rsidR="00C31629" w:rsidRDefault="00C31629" w:rsidP="00C31629">
            <w:pPr>
              <w:suppressAutoHyphens w:val="0"/>
              <w:spacing w:line="240" w:lineRule="auto"/>
              <w:jc w:val="center"/>
              <w:textAlignment w:val="auto"/>
              <w:rPr>
                <w:rFonts w:eastAsia="Times New Roman"/>
                <w:color w:val="000000"/>
              </w:rPr>
            </w:pPr>
            <w:r>
              <w:t>REDACTED</w:t>
            </w:r>
          </w:p>
        </w:tc>
      </w:tr>
      <w:tr w:rsidR="00C31629" w14:paraId="3DEBBB4F" w14:textId="77777777" w:rsidTr="00C31629">
        <w:trPr>
          <w:trHeight w:val="285"/>
        </w:trPr>
        <w:tc>
          <w:tcPr>
            <w:tcW w:w="1935" w:type="dxa"/>
            <w:tcBorders>
              <w:left w:val="single" w:sz="4" w:space="0" w:color="000000"/>
              <w:bottom w:val="single" w:sz="4" w:space="0" w:color="000000"/>
              <w:right w:val="single" w:sz="4" w:space="0" w:color="000000"/>
            </w:tcBorders>
            <w:shd w:val="clear" w:color="auto" w:fill="F79646"/>
            <w:tcMar>
              <w:top w:w="0" w:type="dxa"/>
              <w:left w:w="108" w:type="dxa"/>
              <w:bottom w:w="0" w:type="dxa"/>
              <w:right w:w="108" w:type="dxa"/>
            </w:tcMar>
          </w:tcPr>
          <w:p w14:paraId="3DEBBB49" w14:textId="31ABBF05" w:rsidR="00C31629" w:rsidRDefault="00C31629" w:rsidP="00C31629">
            <w:pPr>
              <w:suppressAutoHyphens w:val="0"/>
              <w:spacing w:line="240" w:lineRule="auto"/>
              <w:jc w:val="center"/>
              <w:textAlignment w:val="auto"/>
              <w:rPr>
                <w:rFonts w:eastAsia="Times New Roman"/>
                <w:color w:val="000000"/>
              </w:rPr>
            </w:pPr>
            <w:r w:rsidRPr="00FA5370">
              <w:t>REDACTED</w:t>
            </w:r>
          </w:p>
        </w:tc>
        <w:tc>
          <w:tcPr>
            <w:tcW w:w="3027"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4A" w14:textId="046286EC" w:rsidR="00C31629" w:rsidRDefault="00C31629" w:rsidP="00C31629">
            <w:pPr>
              <w:suppressAutoHyphens w:val="0"/>
              <w:spacing w:line="240" w:lineRule="auto"/>
              <w:jc w:val="center"/>
              <w:textAlignment w:val="auto"/>
              <w:rPr>
                <w:rFonts w:eastAsia="Times New Roman"/>
                <w:b/>
                <w:bCs/>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4B" w14:textId="7699303C" w:rsidR="00C31629" w:rsidRDefault="00C31629" w:rsidP="00C31629">
            <w:pPr>
              <w:suppressAutoHyphens w:val="0"/>
              <w:spacing w:line="240" w:lineRule="auto"/>
              <w:jc w:val="center"/>
              <w:textAlignment w:val="auto"/>
              <w:rPr>
                <w:rFonts w:eastAsia="Times New Roman"/>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4C" w14:textId="30308E3D" w:rsidR="00C31629" w:rsidRDefault="00C31629" w:rsidP="00C31629">
            <w:pPr>
              <w:suppressAutoHyphens w:val="0"/>
              <w:spacing w:line="240" w:lineRule="auto"/>
              <w:jc w:val="center"/>
              <w:textAlignment w:val="auto"/>
              <w:rPr>
                <w:rFonts w:eastAsia="Times New Roman"/>
                <w:color w:val="000000"/>
              </w:rPr>
            </w:pPr>
            <w:r>
              <w:t>REDACTED</w:t>
            </w:r>
          </w:p>
        </w:tc>
        <w:tc>
          <w:tcPr>
            <w:tcW w:w="1444"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4D" w14:textId="35ABBD2D" w:rsidR="00C31629" w:rsidRDefault="00C31629" w:rsidP="00C31629">
            <w:pPr>
              <w:suppressAutoHyphens w:val="0"/>
              <w:spacing w:line="240" w:lineRule="auto"/>
              <w:jc w:val="center"/>
              <w:textAlignment w:val="auto"/>
              <w:rPr>
                <w:rFonts w:eastAsia="Times New Roman"/>
                <w:color w:val="000000"/>
              </w:rPr>
            </w:pPr>
            <w:r>
              <w:t>REDACTED</w:t>
            </w:r>
          </w:p>
        </w:tc>
        <w:tc>
          <w:tcPr>
            <w:tcW w:w="1533"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4E" w14:textId="0ADD0B14" w:rsidR="00C31629" w:rsidRDefault="00C31629" w:rsidP="00C31629">
            <w:pPr>
              <w:suppressAutoHyphens w:val="0"/>
              <w:spacing w:line="240" w:lineRule="auto"/>
              <w:jc w:val="center"/>
              <w:textAlignment w:val="auto"/>
              <w:rPr>
                <w:rFonts w:eastAsia="Times New Roman"/>
                <w:color w:val="000000"/>
              </w:rPr>
            </w:pPr>
            <w:r>
              <w:t>REDACTED</w:t>
            </w:r>
          </w:p>
        </w:tc>
      </w:tr>
      <w:tr w:rsidR="00C31629" w14:paraId="3DEBBB56" w14:textId="77777777" w:rsidTr="00C31629">
        <w:trPr>
          <w:trHeight w:val="285"/>
        </w:trPr>
        <w:tc>
          <w:tcPr>
            <w:tcW w:w="1935" w:type="dxa"/>
            <w:tcBorders>
              <w:left w:val="single" w:sz="4" w:space="0" w:color="000000"/>
              <w:bottom w:val="single" w:sz="4" w:space="0" w:color="000000"/>
              <w:right w:val="single" w:sz="4" w:space="0" w:color="000000"/>
            </w:tcBorders>
            <w:shd w:val="clear" w:color="auto" w:fill="F79646"/>
            <w:tcMar>
              <w:top w:w="0" w:type="dxa"/>
              <w:left w:w="108" w:type="dxa"/>
              <w:bottom w:w="0" w:type="dxa"/>
              <w:right w:w="108" w:type="dxa"/>
            </w:tcMar>
          </w:tcPr>
          <w:p w14:paraId="3DEBBB50" w14:textId="3E52A59A" w:rsidR="00C31629" w:rsidRDefault="00C31629" w:rsidP="00C31629">
            <w:pPr>
              <w:suppressAutoHyphens w:val="0"/>
              <w:spacing w:line="240" w:lineRule="auto"/>
              <w:jc w:val="center"/>
              <w:textAlignment w:val="auto"/>
              <w:rPr>
                <w:rFonts w:eastAsia="Times New Roman"/>
                <w:color w:val="000000"/>
              </w:rPr>
            </w:pPr>
            <w:r w:rsidRPr="00FA5370">
              <w:t>REDACTED</w:t>
            </w:r>
          </w:p>
        </w:tc>
        <w:tc>
          <w:tcPr>
            <w:tcW w:w="3027"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51" w14:textId="45E191B8" w:rsidR="00C31629" w:rsidRDefault="00C31629" w:rsidP="00C31629">
            <w:pPr>
              <w:suppressAutoHyphens w:val="0"/>
              <w:spacing w:line="240" w:lineRule="auto"/>
              <w:jc w:val="center"/>
              <w:textAlignment w:val="auto"/>
              <w:rPr>
                <w:rFonts w:eastAsia="Times New Roman"/>
                <w:b/>
                <w:bCs/>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52" w14:textId="3D1000C4" w:rsidR="00C31629" w:rsidRDefault="00C31629" w:rsidP="00C31629">
            <w:pPr>
              <w:suppressAutoHyphens w:val="0"/>
              <w:spacing w:line="240" w:lineRule="auto"/>
              <w:jc w:val="center"/>
              <w:textAlignment w:val="auto"/>
              <w:rPr>
                <w:rFonts w:eastAsia="Times New Roman"/>
                <w:color w:val="000000"/>
              </w:rPr>
            </w:pPr>
            <w:r>
              <w:t>REDACTED</w:t>
            </w:r>
          </w:p>
        </w:tc>
        <w:tc>
          <w:tcPr>
            <w:tcW w:w="1559"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53" w14:textId="570CB1A9" w:rsidR="00C31629" w:rsidRDefault="00C31629" w:rsidP="00C31629">
            <w:pPr>
              <w:suppressAutoHyphens w:val="0"/>
              <w:spacing w:line="240" w:lineRule="auto"/>
              <w:jc w:val="center"/>
              <w:textAlignment w:val="auto"/>
              <w:rPr>
                <w:rFonts w:eastAsia="Times New Roman"/>
                <w:color w:val="000000"/>
              </w:rPr>
            </w:pPr>
            <w:r>
              <w:t>REDACTED</w:t>
            </w:r>
          </w:p>
        </w:tc>
        <w:tc>
          <w:tcPr>
            <w:tcW w:w="1444"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54" w14:textId="46E410FF" w:rsidR="00C31629" w:rsidRDefault="00C31629" w:rsidP="00C31629">
            <w:pPr>
              <w:suppressAutoHyphens w:val="0"/>
              <w:spacing w:line="240" w:lineRule="auto"/>
              <w:jc w:val="center"/>
              <w:textAlignment w:val="auto"/>
              <w:rPr>
                <w:rFonts w:eastAsia="Times New Roman"/>
                <w:color w:val="000000"/>
              </w:rPr>
            </w:pPr>
            <w:r>
              <w:t>REDACTED</w:t>
            </w:r>
          </w:p>
        </w:tc>
        <w:tc>
          <w:tcPr>
            <w:tcW w:w="1533"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55" w14:textId="306329CD" w:rsidR="00C31629" w:rsidRDefault="00C31629" w:rsidP="00C31629">
            <w:pPr>
              <w:suppressAutoHyphens w:val="0"/>
              <w:spacing w:line="240" w:lineRule="auto"/>
              <w:jc w:val="center"/>
              <w:textAlignment w:val="auto"/>
              <w:rPr>
                <w:rFonts w:eastAsia="Times New Roman"/>
                <w:color w:val="000000"/>
              </w:rPr>
            </w:pPr>
            <w:r>
              <w:t>REDACTED</w:t>
            </w:r>
          </w:p>
        </w:tc>
      </w:tr>
      <w:tr w:rsidR="00351BE8" w14:paraId="3DEBBB5D" w14:textId="77777777" w:rsidTr="00C31629">
        <w:trPr>
          <w:trHeight w:val="285"/>
        </w:trPr>
        <w:tc>
          <w:tcPr>
            <w:tcW w:w="1935" w:type="dxa"/>
            <w:tcBorders>
              <w:left w:val="single" w:sz="4" w:space="0" w:color="000000"/>
              <w:bottom w:val="single" w:sz="4" w:space="0" w:color="000000"/>
              <w:right w:val="single" w:sz="4" w:space="0" w:color="000000"/>
            </w:tcBorders>
            <w:shd w:val="clear" w:color="auto" w:fill="D8D8D8"/>
            <w:tcMar>
              <w:top w:w="0" w:type="dxa"/>
              <w:left w:w="108" w:type="dxa"/>
              <w:bottom w:w="0" w:type="dxa"/>
              <w:right w:w="108" w:type="dxa"/>
            </w:tcMar>
            <w:vAlign w:val="center"/>
          </w:tcPr>
          <w:p w14:paraId="3DEBBB57"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 </w:t>
            </w:r>
          </w:p>
        </w:tc>
        <w:tc>
          <w:tcPr>
            <w:tcW w:w="3027" w:type="dxa"/>
            <w:tcBorders>
              <w:bottom w:val="single" w:sz="4" w:space="0" w:color="000000"/>
              <w:right w:val="single" w:sz="4" w:space="0" w:color="000000"/>
            </w:tcBorders>
            <w:shd w:val="clear" w:color="auto" w:fill="D8D8D8"/>
            <w:tcMar>
              <w:top w:w="0" w:type="dxa"/>
              <w:left w:w="108" w:type="dxa"/>
              <w:bottom w:w="0" w:type="dxa"/>
              <w:right w:w="108" w:type="dxa"/>
            </w:tcMar>
            <w:vAlign w:val="center"/>
          </w:tcPr>
          <w:p w14:paraId="3DEBBB58"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TOTAL</w:t>
            </w:r>
          </w:p>
        </w:tc>
        <w:tc>
          <w:tcPr>
            <w:tcW w:w="1559" w:type="dxa"/>
            <w:tcBorders>
              <w:bottom w:val="single" w:sz="4" w:space="0" w:color="000000"/>
              <w:right w:val="single" w:sz="4" w:space="0" w:color="000000"/>
            </w:tcBorders>
            <w:shd w:val="clear" w:color="auto" w:fill="D8D8D8"/>
            <w:tcMar>
              <w:top w:w="0" w:type="dxa"/>
              <w:left w:w="108" w:type="dxa"/>
              <w:bottom w:w="0" w:type="dxa"/>
              <w:right w:w="108" w:type="dxa"/>
            </w:tcMar>
            <w:vAlign w:val="center"/>
          </w:tcPr>
          <w:p w14:paraId="3DEBBB59" w14:textId="77777777" w:rsidR="00351BE8" w:rsidRDefault="0052315A">
            <w:pPr>
              <w:suppressAutoHyphens w:val="0"/>
              <w:spacing w:line="240" w:lineRule="auto"/>
              <w:jc w:val="center"/>
              <w:textAlignment w:val="auto"/>
              <w:rPr>
                <w:rFonts w:eastAsia="Times New Roman"/>
                <w:b/>
                <w:bCs/>
                <w:color w:val="000000"/>
              </w:rPr>
            </w:pPr>
            <w:r>
              <w:rPr>
                <w:rFonts w:eastAsia="Times New Roman"/>
                <w:b/>
                <w:bCs/>
                <w:color w:val="000000"/>
              </w:rPr>
              <w:t> </w:t>
            </w:r>
          </w:p>
        </w:tc>
        <w:tc>
          <w:tcPr>
            <w:tcW w:w="1559" w:type="dxa"/>
            <w:tcBorders>
              <w:bottom w:val="single" w:sz="4" w:space="0" w:color="000000"/>
              <w:right w:val="single" w:sz="4" w:space="0" w:color="000000"/>
            </w:tcBorders>
            <w:shd w:val="clear" w:color="auto" w:fill="D8D8D8"/>
            <w:tcMar>
              <w:top w:w="0" w:type="dxa"/>
              <w:left w:w="108" w:type="dxa"/>
              <w:bottom w:w="0" w:type="dxa"/>
              <w:right w:w="108" w:type="dxa"/>
            </w:tcMar>
            <w:vAlign w:val="center"/>
          </w:tcPr>
          <w:p w14:paraId="3DEBBB5A" w14:textId="77777777" w:rsidR="00351BE8" w:rsidRDefault="0052315A">
            <w:pPr>
              <w:suppressAutoHyphens w:val="0"/>
              <w:spacing w:line="240" w:lineRule="auto"/>
              <w:jc w:val="center"/>
              <w:textAlignment w:val="auto"/>
              <w:rPr>
                <w:rFonts w:eastAsia="Times New Roman"/>
                <w:color w:val="000000"/>
              </w:rPr>
            </w:pPr>
            <w:r>
              <w:rPr>
                <w:rFonts w:eastAsia="Times New Roman"/>
                <w:color w:val="000000"/>
              </w:rPr>
              <w:t> </w:t>
            </w:r>
          </w:p>
        </w:tc>
        <w:tc>
          <w:tcPr>
            <w:tcW w:w="1444" w:type="dxa"/>
            <w:tcBorders>
              <w:bottom w:val="single" w:sz="4" w:space="0" w:color="000000"/>
              <w:right w:val="single" w:sz="4" w:space="0" w:color="000000"/>
            </w:tcBorders>
            <w:shd w:val="clear" w:color="auto" w:fill="D8D8D8"/>
            <w:tcMar>
              <w:top w:w="0" w:type="dxa"/>
              <w:left w:w="108" w:type="dxa"/>
              <w:bottom w:w="0" w:type="dxa"/>
              <w:right w:w="108" w:type="dxa"/>
            </w:tcMar>
            <w:vAlign w:val="center"/>
          </w:tcPr>
          <w:p w14:paraId="3DEBBB5B" w14:textId="77777777" w:rsidR="00351BE8" w:rsidRDefault="0052315A">
            <w:pPr>
              <w:suppressAutoHyphens w:val="0"/>
              <w:spacing w:line="240" w:lineRule="auto"/>
              <w:jc w:val="center"/>
              <w:textAlignment w:val="auto"/>
              <w:rPr>
                <w:rFonts w:eastAsia="Times New Roman"/>
                <w:color w:val="000000"/>
              </w:rPr>
            </w:pPr>
            <w:r>
              <w:rPr>
                <w:rFonts w:eastAsia="Times New Roman"/>
                <w:color w:val="000000"/>
              </w:rPr>
              <w:t> </w:t>
            </w:r>
          </w:p>
        </w:tc>
        <w:tc>
          <w:tcPr>
            <w:tcW w:w="1533" w:type="dxa"/>
            <w:tcBorders>
              <w:bottom w:val="single" w:sz="4" w:space="0" w:color="000000"/>
              <w:right w:val="single" w:sz="4" w:space="0" w:color="000000"/>
            </w:tcBorders>
            <w:shd w:val="clear" w:color="auto" w:fill="F79646"/>
            <w:tcMar>
              <w:top w:w="0" w:type="dxa"/>
              <w:left w:w="108" w:type="dxa"/>
              <w:bottom w:w="0" w:type="dxa"/>
              <w:right w:w="108" w:type="dxa"/>
            </w:tcMar>
            <w:vAlign w:val="center"/>
          </w:tcPr>
          <w:p w14:paraId="3DEBBB5C" w14:textId="77777777" w:rsidR="00351BE8" w:rsidRDefault="0052315A">
            <w:pPr>
              <w:suppressAutoHyphens w:val="0"/>
              <w:spacing w:line="240" w:lineRule="auto"/>
              <w:jc w:val="center"/>
              <w:textAlignment w:val="auto"/>
              <w:rPr>
                <w:rFonts w:eastAsia="Times New Roman"/>
                <w:color w:val="000000"/>
              </w:rPr>
            </w:pPr>
            <w:r>
              <w:rPr>
                <w:rFonts w:eastAsia="Times New Roman"/>
                <w:color w:val="000000"/>
              </w:rPr>
              <w:t>£31,450</w:t>
            </w:r>
          </w:p>
        </w:tc>
      </w:tr>
    </w:tbl>
    <w:p w14:paraId="3DEBBB5E" w14:textId="77777777" w:rsidR="00351BE8" w:rsidRDefault="00351BE8">
      <w:pPr>
        <w:rPr>
          <w:b/>
        </w:rPr>
      </w:pPr>
    </w:p>
    <w:p w14:paraId="3DEBBB5F" w14:textId="77777777" w:rsidR="00351BE8" w:rsidRDefault="0052315A">
      <w:pPr>
        <w:spacing w:before="240"/>
      </w:pPr>
      <w:r>
        <w:t>Travel and Subsistence will be paid as per The Buyer’s T&amp;S policy.</w:t>
      </w:r>
    </w:p>
    <w:p w14:paraId="3DEBBB60" w14:textId="77777777" w:rsidR="00351BE8" w:rsidRDefault="0052315A">
      <w:r>
        <w:t>Prior to any commitment to any Travel and Subsistence expenses the Supplier must inform and obtain approval from the Buyer. If this approval is not obtained the Buyer will not be liable for such expense costs.</w:t>
      </w:r>
    </w:p>
    <w:p w14:paraId="3DEBBB61" w14:textId="77777777" w:rsidR="00351BE8" w:rsidRDefault="00351BE8">
      <w:pPr>
        <w:rPr>
          <w:sz w:val="32"/>
          <w:szCs w:val="32"/>
        </w:rPr>
      </w:pPr>
    </w:p>
    <w:p w14:paraId="3DEBBB6B" w14:textId="77777777" w:rsidR="00351BE8" w:rsidRDefault="00351BE8">
      <w:bookmarkStart w:id="7" w:name="_Toc33176235"/>
    </w:p>
    <w:p w14:paraId="3DEBBB6D" w14:textId="77777777" w:rsidR="00351BE8" w:rsidRDefault="0052315A">
      <w:pPr>
        <w:pStyle w:val="Heading2"/>
        <w:pageBreakBefore/>
      </w:pPr>
      <w:r>
        <w:lastRenderedPageBreak/>
        <w:t>Part B: Terms and conditions</w:t>
      </w:r>
      <w:bookmarkEnd w:id="7"/>
    </w:p>
    <w:p w14:paraId="3DEBBB6E" w14:textId="77777777" w:rsidR="00351BE8" w:rsidRDefault="0052315A">
      <w:pPr>
        <w:pStyle w:val="Heading3"/>
        <w:spacing w:after="100"/>
      </w:pPr>
      <w:r>
        <w:t>1.</w:t>
      </w:r>
      <w:r>
        <w:tab/>
        <w:t>Call-Off Contract Start date and length</w:t>
      </w:r>
    </w:p>
    <w:p w14:paraId="3DEBBB6F" w14:textId="77777777" w:rsidR="00351BE8" w:rsidRDefault="0052315A">
      <w:r>
        <w:t>1.1</w:t>
      </w:r>
      <w:r>
        <w:tab/>
        <w:t>The Supplier must start providing the Services on the date specified in the Order Form.</w:t>
      </w:r>
    </w:p>
    <w:p w14:paraId="3DEBBB70" w14:textId="77777777" w:rsidR="00351BE8" w:rsidRDefault="00351BE8">
      <w:pPr>
        <w:ind w:firstLine="720"/>
      </w:pPr>
    </w:p>
    <w:p w14:paraId="3DEBBB71" w14:textId="77777777" w:rsidR="00351BE8" w:rsidRDefault="0052315A">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3DEBBB72" w14:textId="77777777" w:rsidR="00351BE8" w:rsidRDefault="00351BE8">
      <w:pPr>
        <w:ind w:left="720"/>
      </w:pPr>
    </w:p>
    <w:p w14:paraId="3DEBBB73" w14:textId="77777777" w:rsidR="00351BE8" w:rsidRDefault="0052315A">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DEBBB74" w14:textId="77777777" w:rsidR="00351BE8" w:rsidRDefault="00351BE8">
      <w:pPr>
        <w:ind w:left="720"/>
      </w:pPr>
    </w:p>
    <w:p w14:paraId="3DEBBB75" w14:textId="77777777" w:rsidR="00351BE8" w:rsidRDefault="0052315A">
      <w:pPr>
        <w:ind w:left="720" w:hanging="720"/>
      </w:pPr>
      <w:r>
        <w:t>1.4</w:t>
      </w:r>
      <w:r>
        <w:tab/>
        <w:t>The Parties must comply with the requirements under clauses 21.3 to 21.8 if the Buyer reserves the right in the Order Form to extend the contract beyond 24 months.</w:t>
      </w:r>
    </w:p>
    <w:p w14:paraId="3DEBBB76" w14:textId="77777777" w:rsidR="00351BE8" w:rsidRDefault="00351BE8">
      <w:pPr>
        <w:spacing w:before="240" w:after="240"/>
      </w:pPr>
    </w:p>
    <w:p w14:paraId="3DEBBB77" w14:textId="77777777" w:rsidR="00351BE8" w:rsidRDefault="0052315A">
      <w:pPr>
        <w:pStyle w:val="Heading3"/>
        <w:spacing w:after="100"/>
      </w:pPr>
      <w:r>
        <w:t>2.</w:t>
      </w:r>
      <w:r>
        <w:tab/>
        <w:t>Incorporation of terms</w:t>
      </w:r>
    </w:p>
    <w:p w14:paraId="3DEBBB78" w14:textId="77777777" w:rsidR="00351BE8" w:rsidRDefault="0052315A">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3DEBBB79" w14:textId="77777777" w:rsidR="00351BE8" w:rsidRDefault="0052315A">
      <w:pPr>
        <w:pStyle w:val="ListParagraph"/>
        <w:numPr>
          <w:ilvl w:val="0"/>
          <w:numId w:val="16"/>
        </w:numPr>
      </w:pPr>
      <w:r>
        <w:rPr>
          <w:sz w:val="14"/>
          <w:szCs w:val="14"/>
        </w:rPr>
        <w:t xml:space="preserve"> </w:t>
      </w:r>
      <w:r>
        <w:t>4.1 (Warranties and representations)</w:t>
      </w:r>
    </w:p>
    <w:p w14:paraId="3DEBBB7A" w14:textId="77777777" w:rsidR="00351BE8" w:rsidRDefault="0052315A">
      <w:pPr>
        <w:pStyle w:val="ListParagraph"/>
        <w:numPr>
          <w:ilvl w:val="0"/>
          <w:numId w:val="16"/>
        </w:numPr>
      </w:pPr>
      <w:r>
        <w:t>4.2 to 4.7 (Liability)</w:t>
      </w:r>
    </w:p>
    <w:p w14:paraId="3DEBBB7B" w14:textId="77777777" w:rsidR="00351BE8" w:rsidRDefault="0052315A">
      <w:pPr>
        <w:pStyle w:val="ListParagraph"/>
        <w:numPr>
          <w:ilvl w:val="0"/>
          <w:numId w:val="16"/>
        </w:numPr>
      </w:pPr>
      <w:r>
        <w:t>4.11 to 4.12 (IR35)</w:t>
      </w:r>
    </w:p>
    <w:p w14:paraId="3DEBBB7C" w14:textId="77777777" w:rsidR="00351BE8" w:rsidRDefault="0052315A">
      <w:pPr>
        <w:pStyle w:val="ListParagraph"/>
        <w:numPr>
          <w:ilvl w:val="0"/>
          <w:numId w:val="16"/>
        </w:numPr>
      </w:pPr>
      <w:r>
        <w:t>5.4 to 5.5 (Force majeure)</w:t>
      </w:r>
    </w:p>
    <w:p w14:paraId="3DEBBB7D" w14:textId="77777777" w:rsidR="00351BE8" w:rsidRDefault="0052315A">
      <w:pPr>
        <w:pStyle w:val="ListParagraph"/>
        <w:numPr>
          <w:ilvl w:val="0"/>
          <w:numId w:val="16"/>
        </w:numPr>
      </w:pPr>
      <w:r>
        <w:t>5.8 (Continuing rights)</w:t>
      </w:r>
    </w:p>
    <w:p w14:paraId="3DEBBB7E" w14:textId="77777777" w:rsidR="00351BE8" w:rsidRDefault="0052315A">
      <w:pPr>
        <w:pStyle w:val="ListParagraph"/>
        <w:numPr>
          <w:ilvl w:val="0"/>
          <w:numId w:val="16"/>
        </w:numPr>
      </w:pPr>
      <w:r>
        <w:t>5.9 to 5.11 (Change of control)</w:t>
      </w:r>
    </w:p>
    <w:p w14:paraId="3DEBBB7F" w14:textId="77777777" w:rsidR="00351BE8" w:rsidRDefault="0052315A">
      <w:pPr>
        <w:pStyle w:val="ListParagraph"/>
        <w:numPr>
          <w:ilvl w:val="0"/>
          <w:numId w:val="16"/>
        </w:numPr>
      </w:pPr>
      <w:r>
        <w:t>5.12 (Fraud)</w:t>
      </w:r>
    </w:p>
    <w:p w14:paraId="3DEBBB80" w14:textId="77777777" w:rsidR="00351BE8" w:rsidRDefault="0052315A">
      <w:pPr>
        <w:pStyle w:val="ListParagraph"/>
        <w:numPr>
          <w:ilvl w:val="0"/>
          <w:numId w:val="16"/>
        </w:numPr>
      </w:pPr>
      <w:r>
        <w:t>5.13 (Notice of fraud)</w:t>
      </w:r>
    </w:p>
    <w:p w14:paraId="3DEBBB81" w14:textId="77777777" w:rsidR="00351BE8" w:rsidRDefault="0052315A">
      <w:pPr>
        <w:pStyle w:val="ListParagraph"/>
        <w:numPr>
          <w:ilvl w:val="0"/>
          <w:numId w:val="16"/>
        </w:numPr>
      </w:pPr>
      <w:r>
        <w:t>7.1 to 7.2 (Transparency)</w:t>
      </w:r>
    </w:p>
    <w:p w14:paraId="3DEBBB82" w14:textId="77777777" w:rsidR="00351BE8" w:rsidRDefault="0052315A">
      <w:pPr>
        <w:pStyle w:val="ListParagraph"/>
        <w:numPr>
          <w:ilvl w:val="0"/>
          <w:numId w:val="16"/>
        </w:numPr>
      </w:pPr>
      <w:r>
        <w:t>8.3 (Order of precedence)</w:t>
      </w:r>
    </w:p>
    <w:p w14:paraId="3DEBBB83" w14:textId="77777777" w:rsidR="00351BE8" w:rsidRDefault="0052315A">
      <w:pPr>
        <w:pStyle w:val="ListParagraph"/>
        <w:numPr>
          <w:ilvl w:val="0"/>
          <w:numId w:val="16"/>
        </w:numPr>
      </w:pPr>
      <w:r>
        <w:t>8.6 (Relationship)</w:t>
      </w:r>
    </w:p>
    <w:p w14:paraId="3DEBBB84" w14:textId="77777777" w:rsidR="00351BE8" w:rsidRDefault="0052315A">
      <w:pPr>
        <w:pStyle w:val="ListParagraph"/>
        <w:numPr>
          <w:ilvl w:val="0"/>
          <w:numId w:val="16"/>
        </w:numPr>
      </w:pPr>
      <w:r>
        <w:t>8.9 to 8.11 (Entire agreement)</w:t>
      </w:r>
    </w:p>
    <w:p w14:paraId="3DEBBB85" w14:textId="77777777" w:rsidR="00351BE8" w:rsidRDefault="0052315A">
      <w:pPr>
        <w:pStyle w:val="ListParagraph"/>
        <w:numPr>
          <w:ilvl w:val="0"/>
          <w:numId w:val="16"/>
        </w:numPr>
      </w:pPr>
      <w:r>
        <w:t>8.12 (Law and jurisdiction)</w:t>
      </w:r>
    </w:p>
    <w:p w14:paraId="3DEBBB86" w14:textId="77777777" w:rsidR="00351BE8" w:rsidRDefault="0052315A">
      <w:pPr>
        <w:pStyle w:val="ListParagraph"/>
        <w:numPr>
          <w:ilvl w:val="0"/>
          <w:numId w:val="16"/>
        </w:numPr>
      </w:pPr>
      <w:r>
        <w:t>8.13 to 8.14 (Legislative change)</w:t>
      </w:r>
    </w:p>
    <w:p w14:paraId="3DEBBB87" w14:textId="77777777" w:rsidR="00351BE8" w:rsidRDefault="0052315A">
      <w:pPr>
        <w:pStyle w:val="ListParagraph"/>
        <w:numPr>
          <w:ilvl w:val="0"/>
          <w:numId w:val="16"/>
        </w:numPr>
      </w:pPr>
      <w:r>
        <w:t>8.15 to 8.19 (Bribery and corruption)</w:t>
      </w:r>
    </w:p>
    <w:p w14:paraId="3DEBBB88" w14:textId="77777777" w:rsidR="00351BE8" w:rsidRDefault="0052315A">
      <w:pPr>
        <w:pStyle w:val="ListParagraph"/>
        <w:numPr>
          <w:ilvl w:val="0"/>
          <w:numId w:val="16"/>
        </w:numPr>
      </w:pPr>
      <w:r>
        <w:t>8.20 to 8.29 (Freedom of Information Act)</w:t>
      </w:r>
    </w:p>
    <w:p w14:paraId="3DEBBB89" w14:textId="77777777" w:rsidR="00351BE8" w:rsidRDefault="0052315A">
      <w:pPr>
        <w:pStyle w:val="ListParagraph"/>
        <w:numPr>
          <w:ilvl w:val="0"/>
          <w:numId w:val="16"/>
        </w:numPr>
      </w:pPr>
      <w:r>
        <w:t>8.30 to 8.31 (Promoting tax compliance)</w:t>
      </w:r>
    </w:p>
    <w:p w14:paraId="3DEBBB8A" w14:textId="77777777" w:rsidR="00351BE8" w:rsidRDefault="0052315A">
      <w:pPr>
        <w:pStyle w:val="ListParagraph"/>
        <w:numPr>
          <w:ilvl w:val="0"/>
          <w:numId w:val="16"/>
        </w:numPr>
      </w:pPr>
      <w:r>
        <w:t>8.32 to 8.33 (Official Secrets Act)</w:t>
      </w:r>
    </w:p>
    <w:p w14:paraId="3DEBBB8B" w14:textId="77777777" w:rsidR="00351BE8" w:rsidRDefault="0052315A">
      <w:pPr>
        <w:pStyle w:val="ListParagraph"/>
        <w:numPr>
          <w:ilvl w:val="0"/>
          <w:numId w:val="16"/>
        </w:numPr>
      </w:pPr>
      <w:r>
        <w:t>8.34 to 8.37 (Transfer and subcontracting)</w:t>
      </w:r>
    </w:p>
    <w:p w14:paraId="3DEBBB8C" w14:textId="77777777" w:rsidR="00351BE8" w:rsidRDefault="0052315A">
      <w:pPr>
        <w:pStyle w:val="ListParagraph"/>
        <w:numPr>
          <w:ilvl w:val="0"/>
          <w:numId w:val="16"/>
        </w:numPr>
      </w:pPr>
      <w:r>
        <w:t>8.40 to 8.43 (Complaints handling and resolution)</w:t>
      </w:r>
    </w:p>
    <w:p w14:paraId="3DEBBB8D" w14:textId="77777777" w:rsidR="00351BE8" w:rsidRDefault="0052315A">
      <w:pPr>
        <w:pStyle w:val="ListParagraph"/>
        <w:numPr>
          <w:ilvl w:val="0"/>
          <w:numId w:val="16"/>
        </w:numPr>
      </w:pPr>
      <w:r>
        <w:t>8.44 to 8.50 (Conflicts of interest and ethical walls)</w:t>
      </w:r>
    </w:p>
    <w:p w14:paraId="3DEBBB8E" w14:textId="77777777" w:rsidR="00351BE8" w:rsidRDefault="0052315A">
      <w:pPr>
        <w:pStyle w:val="ListParagraph"/>
        <w:numPr>
          <w:ilvl w:val="0"/>
          <w:numId w:val="16"/>
        </w:numPr>
      </w:pPr>
      <w:r>
        <w:t>8.51 to 8.53 (Publicity and branding)</w:t>
      </w:r>
    </w:p>
    <w:p w14:paraId="3DEBBB8F" w14:textId="77777777" w:rsidR="00351BE8" w:rsidRDefault="0052315A">
      <w:pPr>
        <w:pStyle w:val="ListParagraph"/>
        <w:numPr>
          <w:ilvl w:val="0"/>
          <w:numId w:val="16"/>
        </w:numPr>
      </w:pPr>
      <w:r>
        <w:t>8.54 to 8.56 (Equality and diversity)</w:t>
      </w:r>
    </w:p>
    <w:p w14:paraId="3DEBBB90" w14:textId="77777777" w:rsidR="00351BE8" w:rsidRDefault="0052315A">
      <w:pPr>
        <w:pStyle w:val="ListParagraph"/>
        <w:numPr>
          <w:ilvl w:val="0"/>
          <w:numId w:val="16"/>
        </w:numPr>
      </w:pPr>
      <w:r>
        <w:t>8.59 to 8.60 (Data protection</w:t>
      </w:r>
    </w:p>
    <w:p w14:paraId="3DEBBB91" w14:textId="77777777" w:rsidR="00351BE8" w:rsidRDefault="0052315A">
      <w:pPr>
        <w:pStyle w:val="ListParagraph"/>
        <w:numPr>
          <w:ilvl w:val="0"/>
          <w:numId w:val="16"/>
        </w:numPr>
      </w:pPr>
      <w:r>
        <w:lastRenderedPageBreak/>
        <w:t>8.64 to 8.65 (Severability)</w:t>
      </w:r>
    </w:p>
    <w:p w14:paraId="3DEBBB92" w14:textId="77777777" w:rsidR="00351BE8" w:rsidRDefault="0052315A">
      <w:pPr>
        <w:pStyle w:val="ListParagraph"/>
        <w:numPr>
          <w:ilvl w:val="0"/>
          <w:numId w:val="16"/>
        </w:numPr>
      </w:pPr>
      <w:r>
        <w:t>8.66 to 8.69 (Managing disputes and Mediation)</w:t>
      </w:r>
    </w:p>
    <w:p w14:paraId="3DEBBB93" w14:textId="77777777" w:rsidR="00351BE8" w:rsidRDefault="0052315A">
      <w:pPr>
        <w:pStyle w:val="ListParagraph"/>
        <w:numPr>
          <w:ilvl w:val="0"/>
          <w:numId w:val="16"/>
        </w:numPr>
      </w:pPr>
      <w:r>
        <w:t>8.80 to 8.88 (Confidentiality)</w:t>
      </w:r>
    </w:p>
    <w:p w14:paraId="3DEBBB94" w14:textId="77777777" w:rsidR="00351BE8" w:rsidRDefault="0052315A">
      <w:pPr>
        <w:pStyle w:val="ListParagraph"/>
        <w:numPr>
          <w:ilvl w:val="0"/>
          <w:numId w:val="16"/>
        </w:numPr>
      </w:pPr>
      <w:r>
        <w:t>8.89 to 8.90 (Waiver and cumulative remedies)</w:t>
      </w:r>
    </w:p>
    <w:p w14:paraId="3DEBBB95" w14:textId="77777777" w:rsidR="00351BE8" w:rsidRDefault="0052315A">
      <w:pPr>
        <w:pStyle w:val="ListParagraph"/>
        <w:numPr>
          <w:ilvl w:val="0"/>
          <w:numId w:val="16"/>
        </w:numPr>
      </w:pPr>
      <w:r>
        <w:t>8.91 to 8.101 (Corporate Social Responsibility)</w:t>
      </w:r>
    </w:p>
    <w:p w14:paraId="3DEBBB96" w14:textId="77777777" w:rsidR="00351BE8" w:rsidRDefault="0052315A">
      <w:pPr>
        <w:pStyle w:val="ListParagraph"/>
        <w:numPr>
          <w:ilvl w:val="0"/>
          <w:numId w:val="16"/>
        </w:numPr>
      </w:pPr>
      <w:r>
        <w:t>paragraphs 1 to 10 of the Framework Agreement glossary and interpretation</w:t>
      </w:r>
    </w:p>
    <w:p w14:paraId="3DEBBB97" w14:textId="77777777" w:rsidR="00351BE8" w:rsidRDefault="0052315A">
      <w:pPr>
        <w:pStyle w:val="ListParagraph"/>
        <w:numPr>
          <w:ilvl w:val="0"/>
          <w:numId w:val="17"/>
        </w:numPr>
      </w:pPr>
      <w:r>
        <w:t>any audit provisions from the Framework Agreement set out by the Buyer in the Order Form</w:t>
      </w:r>
    </w:p>
    <w:p w14:paraId="3DEBBB98" w14:textId="77777777" w:rsidR="00351BE8" w:rsidRDefault="0052315A">
      <w:pPr>
        <w:ind w:left="720"/>
      </w:pPr>
      <w:r>
        <w:t xml:space="preserve"> </w:t>
      </w:r>
    </w:p>
    <w:p w14:paraId="3DEBBB99" w14:textId="77777777" w:rsidR="00351BE8" w:rsidRDefault="0052315A">
      <w:pPr>
        <w:spacing w:after="240"/>
      </w:pPr>
      <w:r>
        <w:t>2.2</w:t>
      </w:r>
      <w:r>
        <w:tab/>
        <w:t xml:space="preserve">The Framework Agreement provisions in clause 2.1 will be modified as follows: </w:t>
      </w:r>
    </w:p>
    <w:p w14:paraId="3DEBBB9A" w14:textId="77777777" w:rsidR="00351BE8" w:rsidRDefault="0052315A">
      <w:pPr>
        <w:ind w:left="1440" w:hanging="720"/>
      </w:pPr>
      <w:r>
        <w:t>2.2.1</w:t>
      </w:r>
      <w:r>
        <w:tab/>
        <w:t>a reference to the ‘Framework Agreement’ will be a reference to the ‘Call-Off Contract’</w:t>
      </w:r>
    </w:p>
    <w:p w14:paraId="3DEBBB9B" w14:textId="77777777" w:rsidR="00351BE8" w:rsidRDefault="0052315A">
      <w:pPr>
        <w:ind w:firstLine="720"/>
      </w:pPr>
      <w:r>
        <w:t>2.2.2</w:t>
      </w:r>
      <w:r>
        <w:tab/>
        <w:t>a reference to ‘CCS’ will be a reference to ‘the Buyer’</w:t>
      </w:r>
    </w:p>
    <w:p w14:paraId="3DEBBB9C" w14:textId="77777777" w:rsidR="00351BE8" w:rsidRDefault="0052315A">
      <w:pPr>
        <w:ind w:left="1440" w:hanging="720"/>
      </w:pPr>
      <w:r>
        <w:t>2.2.3</w:t>
      </w:r>
      <w:r>
        <w:tab/>
        <w:t>a reference to the ‘Parties’ and a ‘Party’ will be a reference to the Buyer and Supplier as Parties under this Call-Off Contract</w:t>
      </w:r>
    </w:p>
    <w:p w14:paraId="3DEBBB9D" w14:textId="77777777" w:rsidR="00351BE8" w:rsidRDefault="00351BE8"/>
    <w:p w14:paraId="3DEBBB9E" w14:textId="77777777" w:rsidR="00351BE8" w:rsidRDefault="0052315A">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DEBBB9F" w14:textId="77777777" w:rsidR="00351BE8" w:rsidRDefault="00351BE8">
      <w:pPr>
        <w:ind w:left="720"/>
      </w:pPr>
    </w:p>
    <w:p w14:paraId="3DEBBBA0" w14:textId="77777777" w:rsidR="00351BE8" w:rsidRDefault="0052315A">
      <w:pPr>
        <w:ind w:left="720" w:hanging="720"/>
      </w:pPr>
      <w:r>
        <w:t>2.4</w:t>
      </w:r>
      <w:r>
        <w:tab/>
        <w:t>The Framework Agreement incorporated clauses will be referred to as incorporated Framework clause ‘XX’, where ‘XX’ is the Framework Agreement clause number.</w:t>
      </w:r>
    </w:p>
    <w:p w14:paraId="3DEBBBA1" w14:textId="77777777" w:rsidR="00351BE8" w:rsidRDefault="00351BE8">
      <w:pPr>
        <w:ind w:firstLine="720"/>
      </w:pPr>
    </w:p>
    <w:p w14:paraId="3DEBBBA2" w14:textId="77777777" w:rsidR="00351BE8" w:rsidRDefault="0052315A">
      <w:pPr>
        <w:ind w:left="720" w:hanging="720"/>
      </w:pPr>
      <w:r>
        <w:t>2.5</w:t>
      </w:r>
      <w:r>
        <w:tab/>
        <w:t>When an Order Form is signed, the terms and conditions agreed in it will be incorporated into this Call-Off Contract.</w:t>
      </w:r>
    </w:p>
    <w:p w14:paraId="3DEBBBA3" w14:textId="77777777" w:rsidR="00351BE8" w:rsidRDefault="00351BE8"/>
    <w:p w14:paraId="3DEBBBA4" w14:textId="77777777" w:rsidR="00351BE8" w:rsidRDefault="0052315A">
      <w:pPr>
        <w:pStyle w:val="Heading3"/>
        <w:spacing w:after="100"/>
      </w:pPr>
      <w:r>
        <w:t>3.</w:t>
      </w:r>
      <w:r>
        <w:tab/>
        <w:t>Supply of services</w:t>
      </w:r>
    </w:p>
    <w:p w14:paraId="3DEBBBA5" w14:textId="77777777" w:rsidR="00351BE8" w:rsidRDefault="0052315A">
      <w:pPr>
        <w:spacing w:before="240" w:after="240"/>
        <w:ind w:left="720" w:hanging="720"/>
      </w:pPr>
      <w:r>
        <w:t>3.1</w:t>
      </w:r>
      <w:r>
        <w:tab/>
        <w:t>The Supplier agrees to supply the G-Cloud Services and any Additional Services under the terms of the Call-Off Contract and the Supplier’s Application.</w:t>
      </w:r>
    </w:p>
    <w:p w14:paraId="3DEBBBA6" w14:textId="77777777" w:rsidR="00351BE8" w:rsidRDefault="0052315A">
      <w:pPr>
        <w:ind w:left="720" w:hanging="720"/>
      </w:pPr>
      <w:r>
        <w:t>3.2</w:t>
      </w:r>
      <w:r>
        <w:tab/>
        <w:t>The Supplier undertakes that each G-Cloud Service will meet the Buyer’s acceptance criteria, as defined in the Order Form.</w:t>
      </w:r>
    </w:p>
    <w:p w14:paraId="3DEBBBA7" w14:textId="77777777" w:rsidR="00351BE8" w:rsidRDefault="00351BE8"/>
    <w:p w14:paraId="3DEBBBA8" w14:textId="77777777" w:rsidR="00351BE8" w:rsidRDefault="0052315A">
      <w:pPr>
        <w:pStyle w:val="Heading3"/>
        <w:spacing w:after="100"/>
      </w:pPr>
      <w:r>
        <w:t>4.</w:t>
      </w:r>
      <w:r>
        <w:tab/>
        <w:t>Supplier staff</w:t>
      </w:r>
    </w:p>
    <w:p w14:paraId="3DEBBBA9" w14:textId="77777777" w:rsidR="00351BE8" w:rsidRDefault="0052315A">
      <w:pPr>
        <w:spacing w:before="240" w:after="240"/>
      </w:pPr>
      <w:r>
        <w:t>4.1</w:t>
      </w:r>
      <w:r>
        <w:tab/>
        <w:t xml:space="preserve">The Supplier Staff must: </w:t>
      </w:r>
    </w:p>
    <w:p w14:paraId="3DEBBBAA" w14:textId="77777777" w:rsidR="00351BE8" w:rsidRDefault="0052315A">
      <w:pPr>
        <w:ind w:firstLine="720"/>
      </w:pPr>
      <w:r>
        <w:t>4.1.1</w:t>
      </w:r>
      <w:r>
        <w:tab/>
        <w:t>be appropriately experienced, qualified and trained to supply the Services</w:t>
      </w:r>
    </w:p>
    <w:p w14:paraId="3DEBBBAB" w14:textId="77777777" w:rsidR="00351BE8" w:rsidRDefault="00351BE8"/>
    <w:p w14:paraId="3DEBBBAC" w14:textId="77777777" w:rsidR="00351BE8" w:rsidRDefault="0052315A">
      <w:pPr>
        <w:ind w:firstLine="720"/>
      </w:pPr>
      <w:r>
        <w:t>4.1.2</w:t>
      </w:r>
      <w:r>
        <w:tab/>
        <w:t>apply all due skill, care and diligence in faithfully performing those duties</w:t>
      </w:r>
    </w:p>
    <w:p w14:paraId="3DEBBBAD" w14:textId="77777777" w:rsidR="00351BE8" w:rsidRDefault="00351BE8"/>
    <w:p w14:paraId="3DEBBBAE" w14:textId="77777777" w:rsidR="00351BE8" w:rsidRDefault="0052315A">
      <w:pPr>
        <w:ind w:left="720"/>
      </w:pPr>
      <w:r>
        <w:t>4.1.3</w:t>
      </w:r>
      <w:r>
        <w:tab/>
        <w:t>obey all lawful instructions and reasonable directions of the Buyer and provide the Services to the reasonable satisfaction of the Buyer</w:t>
      </w:r>
    </w:p>
    <w:p w14:paraId="3DEBBBAF" w14:textId="77777777" w:rsidR="00351BE8" w:rsidRDefault="00351BE8"/>
    <w:p w14:paraId="3DEBBBB0" w14:textId="77777777" w:rsidR="00351BE8" w:rsidRDefault="0052315A">
      <w:pPr>
        <w:ind w:firstLine="720"/>
      </w:pPr>
      <w:r>
        <w:lastRenderedPageBreak/>
        <w:t>4.1.4</w:t>
      </w:r>
      <w:r>
        <w:tab/>
        <w:t>respond to any enquiries about the Services as soon as reasonably possible</w:t>
      </w:r>
    </w:p>
    <w:p w14:paraId="3DEBBBB1" w14:textId="77777777" w:rsidR="00351BE8" w:rsidRDefault="00351BE8"/>
    <w:p w14:paraId="3DEBBBB2" w14:textId="77777777" w:rsidR="00351BE8" w:rsidRDefault="0052315A">
      <w:pPr>
        <w:ind w:firstLine="720"/>
      </w:pPr>
      <w:r>
        <w:t>4.1.5</w:t>
      </w:r>
      <w:r>
        <w:tab/>
        <w:t>complete any necessary Supplier Staff vetting as specified by the Buyer</w:t>
      </w:r>
    </w:p>
    <w:p w14:paraId="3DEBBBB3" w14:textId="77777777" w:rsidR="00351BE8" w:rsidRDefault="00351BE8"/>
    <w:p w14:paraId="3DEBBBB4" w14:textId="77777777" w:rsidR="00351BE8" w:rsidRDefault="0052315A">
      <w:pPr>
        <w:ind w:left="720" w:hanging="720"/>
      </w:pPr>
      <w:r>
        <w:t>4.2</w:t>
      </w:r>
      <w:r>
        <w:tab/>
        <w:t>The Supplier must retain overall control of the Supplier Staff so that they are not considered to be employees, workers, agents or contractors of the Buyer.</w:t>
      </w:r>
    </w:p>
    <w:p w14:paraId="3DEBBBB5" w14:textId="77777777" w:rsidR="00351BE8" w:rsidRDefault="00351BE8">
      <w:pPr>
        <w:ind w:firstLine="720"/>
      </w:pPr>
    </w:p>
    <w:p w14:paraId="3DEBBBB6" w14:textId="77777777" w:rsidR="00351BE8" w:rsidRDefault="0052315A">
      <w:pPr>
        <w:ind w:left="720" w:hanging="720"/>
      </w:pPr>
      <w:r>
        <w:t>4.3</w:t>
      </w:r>
      <w:r>
        <w:tab/>
        <w:t>The Supplier may substitute any Supplier Staff as long as they have the equivalent experience and qualifications to the substituted staff member.</w:t>
      </w:r>
    </w:p>
    <w:p w14:paraId="3DEBBBB7" w14:textId="77777777" w:rsidR="00351BE8" w:rsidRDefault="00351BE8">
      <w:pPr>
        <w:ind w:firstLine="720"/>
      </w:pPr>
    </w:p>
    <w:p w14:paraId="3DEBBBB8" w14:textId="77777777" w:rsidR="00351BE8" w:rsidRDefault="0052315A">
      <w:pPr>
        <w:ind w:left="720" w:hanging="720"/>
      </w:pPr>
      <w:r>
        <w:t>4.4</w:t>
      </w:r>
      <w:r>
        <w:tab/>
        <w:t>The Buyer may conduct IR35 Assessments using the ESI tool to assess whether the Supplier’s engagement under the Call-Off Contract is Inside or Outside IR35.</w:t>
      </w:r>
    </w:p>
    <w:p w14:paraId="3DEBBBB9" w14:textId="77777777" w:rsidR="00351BE8" w:rsidRDefault="00351BE8">
      <w:pPr>
        <w:ind w:firstLine="720"/>
      </w:pPr>
    </w:p>
    <w:p w14:paraId="3DEBBBBA" w14:textId="77777777" w:rsidR="00351BE8" w:rsidRDefault="0052315A">
      <w:pPr>
        <w:ind w:left="720" w:hanging="720"/>
      </w:pPr>
      <w:r>
        <w:t>4.5</w:t>
      </w:r>
      <w:r>
        <w:tab/>
        <w:t>The Buyer may End this Call-Off Contract for Material Breach as per clause 18.5 hereunder if the Supplier is delivering the Services Inside IR35.</w:t>
      </w:r>
    </w:p>
    <w:p w14:paraId="3DEBBBBB" w14:textId="77777777" w:rsidR="00351BE8" w:rsidRDefault="00351BE8">
      <w:pPr>
        <w:ind w:firstLine="720"/>
      </w:pPr>
    </w:p>
    <w:p w14:paraId="3DEBBBBC" w14:textId="77777777" w:rsidR="00351BE8" w:rsidRDefault="0052315A">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DEBBBBD" w14:textId="77777777" w:rsidR="00351BE8" w:rsidRDefault="00351BE8">
      <w:pPr>
        <w:ind w:left="720"/>
      </w:pPr>
    </w:p>
    <w:p w14:paraId="3DEBBBBE" w14:textId="77777777" w:rsidR="00351BE8" w:rsidRDefault="0052315A">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3DEBBBBF" w14:textId="77777777" w:rsidR="00351BE8" w:rsidRDefault="00351BE8">
      <w:pPr>
        <w:ind w:left="720"/>
      </w:pPr>
    </w:p>
    <w:p w14:paraId="3DEBBBC0" w14:textId="77777777" w:rsidR="00351BE8" w:rsidRDefault="0052315A">
      <w:pPr>
        <w:ind w:left="720" w:hanging="720"/>
      </w:pPr>
      <w:r>
        <w:t>4.8</w:t>
      </w:r>
      <w:r>
        <w:tab/>
        <w:t>If it is determined by the Buyer that the Supplier is Outside IR35, the Buyer will provide the ESI reference number and a copy of the PDF to the Supplier.</w:t>
      </w:r>
    </w:p>
    <w:p w14:paraId="3DEBBBC1" w14:textId="77777777" w:rsidR="00351BE8" w:rsidRDefault="00351BE8">
      <w:pPr>
        <w:spacing w:before="240" w:after="240"/>
        <w:ind w:left="720"/>
      </w:pPr>
    </w:p>
    <w:p w14:paraId="3DEBBBC2" w14:textId="77777777" w:rsidR="00351BE8" w:rsidRDefault="0052315A">
      <w:pPr>
        <w:pStyle w:val="Heading3"/>
        <w:spacing w:after="100"/>
      </w:pPr>
      <w:r>
        <w:t>5.</w:t>
      </w:r>
      <w:r>
        <w:tab/>
        <w:t>Due diligence</w:t>
      </w:r>
    </w:p>
    <w:p w14:paraId="3DEBBBC3" w14:textId="77777777" w:rsidR="00351BE8" w:rsidRDefault="0052315A">
      <w:pPr>
        <w:spacing w:before="240" w:after="120"/>
      </w:pPr>
      <w:r>
        <w:t xml:space="preserve"> 5.1</w:t>
      </w:r>
      <w:r>
        <w:tab/>
        <w:t>Both Parties agree that when entering into a Call-Off Contract they:</w:t>
      </w:r>
    </w:p>
    <w:p w14:paraId="3DEBBBC4" w14:textId="77777777" w:rsidR="00351BE8" w:rsidRDefault="0052315A">
      <w:pPr>
        <w:spacing w:after="120"/>
        <w:ind w:left="1440" w:hanging="720"/>
      </w:pPr>
      <w:r>
        <w:t>5.1.1</w:t>
      </w:r>
      <w:r>
        <w:tab/>
        <w:t>have made their own enquiries and are satisfied by the accuracy of any information supplied by the other Party</w:t>
      </w:r>
    </w:p>
    <w:p w14:paraId="3DEBBBC5" w14:textId="77777777" w:rsidR="00351BE8" w:rsidRDefault="0052315A">
      <w:pPr>
        <w:spacing w:after="120"/>
        <w:ind w:left="1440" w:hanging="720"/>
      </w:pPr>
      <w:r>
        <w:t>5.1.2</w:t>
      </w:r>
      <w:r>
        <w:tab/>
        <w:t>are confident that they can fulfil their obligations according to the Call-Off Contract terms</w:t>
      </w:r>
    </w:p>
    <w:p w14:paraId="3DEBBBC6" w14:textId="77777777" w:rsidR="00351BE8" w:rsidRDefault="0052315A">
      <w:pPr>
        <w:spacing w:after="120"/>
        <w:ind w:firstLine="720"/>
      </w:pPr>
      <w:r>
        <w:t>5.1.3</w:t>
      </w:r>
      <w:r>
        <w:tab/>
        <w:t>have raised all due diligence questions before signing the Call-Off Contract</w:t>
      </w:r>
    </w:p>
    <w:p w14:paraId="3DEBBBC7" w14:textId="77777777" w:rsidR="00351BE8" w:rsidRDefault="0052315A">
      <w:pPr>
        <w:ind w:firstLine="720"/>
      </w:pPr>
      <w:r>
        <w:t>5.1.4</w:t>
      </w:r>
      <w:r>
        <w:tab/>
        <w:t>have entered into the Call-Off Contract relying on its own due diligence</w:t>
      </w:r>
    </w:p>
    <w:p w14:paraId="3DEBBBC8" w14:textId="77777777" w:rsidR="00351BE8" w:rsidRDefault="00351BE8">
      <w:pPr>
        <w:spacing w:before="240"/>
      </w:pPr>
    </w:p>
    <w:p w14:paraId="3DEBBBC9" w14:textId="77777777" w:rsidR="00351BE8" w:rsidRDefault="0052315A">
      <w:pPr>
        <w:pStyle w:val="Heading3"/>
        <w:spacing w:after="100"/>
      </w:pPr>
      <w:r>
        <w:t xml:space="preserve">6. </w:t>
      </w:r>
      <w:r>
        <w:tab/>
        <w:t>Business continuity and disaster recovery</w:t>
      </w:r>
    </w:p>
    <w:p w14:paraId="3DEBBBCA" w14:textId="77777777" w:rsidR="00351BE8" w:rsidRDefault="0052315A">
      <w:pPr>
        <w:ind w:left="720" w:hanging="720"/>
      </w:pPr>
      <w:r>
        <w:t>6.1</w:t>
      </w:r>
      <w:r>
        <w:tab/>
        <w:t>The Supplier will have a clear business continuity and disaster recovery plan in their service descriptions.</w:t>
      </w:r>
    </w:p>
    <w:p w14:paraId="3DEBBBCB" w14:textId="77777777" w:rsidR="00351BE8" w:rsidRDefault="00351BE8"/>
    <w:p w14:paraId="3DEBBBCC" w14:textId="77777777" w:rsidR="00351BE8" w:rsidRDefault="0052315A">
      <w:pPr>
        <w:ind w:left="720" w:hanging="720"/>
      </w:pPr>
      <w:r>
        <w:t>6.2</w:t>
      </w:r>
      <w:r>
        <w:tab/>
        <w:t>The Supplier’s business continuity and disaster recovery services are part of the Services and will be performed by the Supplier when required.</w:t>
      </w:r>
    </w:p>
    <w:p w14:paraId="3DEBBBCD" w14:textId="77777777" w:rsidR="00351BE8" w:rsidRDefault="0052315A">
      <w:pPr>
        <w:ind w:left="720" w:hanging="720"/>
      </w:pPr>
      <w:r>
        <w:t>6.3</w:t>
      </w:r>
      <w:r>
        <w:tab/>
        <w:t>If requested by the Buyer prior to entering into this Call-Off Contract, the Supplier must ensure that its business continuity and disaster recovery plan is consistent with the Buyer’s own plans.</w:t>
      </w:r>
    </w:p>
    <w:p w14:paraId="3DEBBBCE" w14:textId="77777777" w:rsidR="00351BE8" w:rsidRDefault="00351BE8"/>
    <w:p w14:paraId="3DEBBBCF" w14:textId="77777777" w:rsidR="00351BE8" w:rsidRDefault="0052315A">
      <w:pPr>
        <w:pStyle w:val="Heading3"/>
        <w:spacing w:after="100"/>
      </w:pPr>
      <w:r>
        <w:t>7.</w:t>
      </w:r>
      <w:r>
        <w:tab/>
        <w:t>Payment, VAT and Call-Off Contract charges</w:t>
      </w:r>
    </w:p>
    <w:p w14:paraId="3DEBBBD0" w14:textId="77777777" w:rsidR="00351BE8" w:rsidRDefault="0052315A">
      <w:pPr>
        <w:spacing w:after="120"/>
        <w:ind w:left="720" w:hanging="720"/>
      </w:pPr>
      <w:r>
        <w:t>7.1</w:t>
      </w:r>
      <w:r>
        <w:tab/>
        <w:t>The Buyer must pay the Charges following clauses 7.2 to 7.11 for the Supplier’s delivery of the Services.</w:t>
      </w:r>
    </w:p>
    <w:p w14:paraId="3DEBBBD1" w14:textId="77777777" w:rsidR="00351BE8" w:rsidRDefault="0052315A">
      <w:pPr>
        <w:ind w:left="720" w:hanging="720"/>
      </w:pPr>
      <w:r>
        <w:t>7.2</w:t>
      </w:r>
      <w:r>
        <w:tab/>
        <w:t>The Buyer will pay the Supplier within the number of days specified in the Order Form on receipt of a valid invoice.</w:t>
      </w:r>
    </w:p>
    <w:p w14:paraId="3DEBBBD2" w14:textId="77777777" w:rsidR="00351BE8" w:rsidRDefault="0052315A">
      <w:pPr>
        <w:spacing w:after="120"/>
        <w:ind w:left="720" w:hanging="720"/>
      </w:pPr>
      <w:r>
        <w:t>7.3</w:t>
      </w:r>
      <w:r>
        <w:tab/>
        <w:t>The Call-Off Contract Charges include all Charges for payment Processing. All invoices submitted to the Buyer for the Services will be exclusive of any Management Charge.</w:t>
      </w:r>
    </w:p>
    <w:p w14:paraId="3DEBBBD3" w14:textId="77777777" w:rsidR="00351BE8" w:rsidRDefault="0052315A">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3DEBBBD4" w14:textId="77777777" w:rsidR="00351BE8" w:rsidRDefault="0052315A">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3DEBBBD5" w14:textId="77777777" w:rsidR="00351BE8" w:rsidRDefault="0052315A">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3DEBBBD6" w14:textId="77777777" w:rsidR="00351BE8" w:rsidRDefault="0052315A">
      <w:pPr>
        <w:spacing w:after="120"/>
      </w:pPr>
      <w:r>
        <w:t>7.7</w:t>
      </w:r>
      <w:r>
        <w:tab/>
        <w:t>All Charges payable by the Buyer to the Supplier will include VAT at the appropriate Rate.</w:t>
      </w:r>
    </w:p>
    <w:p w14:paraId="3DEBBBD7" w14:textId="77777777" w:rsidR="00351BE8" w:rsidRDefault="0052315A">
      <w:pPr>
        <w:spacing w:after="120"/>
        <w:ind w:left="720" w:hanging="720"/>
      </w:pPr>
      <w:r>
        <w:t>7.8</w:t>
      </w:r>
      <w:r>
        <w:tab/>
        <w:t>The Supplier must add VAT to the Charges at the appropriate rate with visibility of the amount as a separate line item.</w:t>
      </w:r>
    </w:p>
    <w:p w14:paraId="3DEBBBD8" w14:textId="77777777" w:rsidR="00351BE8" w:rsidRDefault="0052315A">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DEBBBD9" w14:textId="77777777" w:rsidR="00351BE8" w:rsidRDefault="0052315A">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DEBBBDA" w14:textId="77777777" w:rsidR="00351BE8" w:rsidRDefault="0052315A">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3DEBBBDB" w14:textId="77777777" w:rsidR="00351BE8" w:rsidRDefault="0052315A">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DEBBBDC" w14:textId="77777777" w:rsidR="00351BE8" w:rsidRDefault="00351BE8">
      <w:pPr>
        <w:ind w:left="720"/>
      </w:pPr>
    </w:p>
    <w:p w14:paraId="3DEBBBDD" w14:textId="77777777" w:rsidR="00351BE8" w:rsidRDefault="0052315A">
      <w:pPr>
        <w:pStyle w:val="Heading3"/>
      </w:pPr>
      <w:r>
        <w:t>8.</w:t>
      </w:r>
      <w:r>
        <w:tab/>
        <w:t>Recovery of sums due and right of set-off</w:t>
      </w:r>
    </w:p>
    <w:p w14:paraId="3DEBBBDE" w14:textId="77777777" w:rsidR="00351BE8" w:rsidRDefault="0052315A">
      <w:pPr>
        <w:spacing w:before="240" w:after="240"/>
        <w:ind w:left="720" w:hanging="720"/>
      </w:pPr>
      <w:r>
        <w:t>8.1</w:t>
      </w:r>
      <w:r>
        <w:tab/>
        <w:t>If a Supplier owes money to the Buyer, the Buyer may deduct that sum from the Call-Off Contract Charges.</w:t>
      </w:r>
    </w:p>
    <w:p w14:paraId="3DEBBBDF" w14:textId="77777777" w:rsidR="00351BE8" w:rsidRDefault="00351BE8">
      <w:pPr>
        <w:spacing w:before="240" w:after="240"/>
        <w:ind w:left="720" w:hanging="720"/>
      </w:pPr>
    </w:p>
    <w:p w14:paraId="3DEBBBE0" w14:textId="77777777" w:rsidR="00351BE8" w:rsidRDefault="0052315A">
      <w:pPr>
        <w:pStyle w:val="Heading3"/>
      </w:pPr>
      <w:r>
        <w:t>9.</w:t>
      </w:r>
      <w:r>
        <w:tab/>
        <w:t>Insurance</w:t>
      </w:r>
    </w:p>
    <w:p w14:paraId="3DEBBBE1" w14:textId="77777777" w:rsidR="00351BE8" w:rsidRDefault="0052315A">
      <w:pPr>
        <w:spacing w:before="240" w:after="240"/>
        <w:ind w:left="660" w:hanging="660"/>
      </w:pPr>
      <w:r>
        <w:t>9.1</w:t>
      </w:r>
      <w:r>
        <w:tab/>
        <w:t>The Supplier will maintain the insurances required by the Buyer including those in this clause.</w:t>
      </w:r>
    </w:p>
    <w:p w14:paraId="3DEBBBE2" w14:textId="77777777" w:rsidR="00351BE8" w:rsidRDefault="0052315A">
      <w:r>
        <w:t>9.2</w:t>
      </w:r>
      <w:r>
        <w:tab/>
        <w:t>The Supplier will ensure that:</w:t>
      </w:r>
    </w:p>
    <w:p w14:paraId="3DEBBBE3" w14:textId="77777777" w:rsidR="00351BE8" w:rsidRDefault="00351BE8"/>
    <w:p w14:paraId="3DEBBBE4" w14:textId="77777777" w:rsidR="00351BE8" w:rsidRDefault="0052315A">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DEBBBE5" w14:textId="77777777" w:rsidR="00351BE8" w:rsidRDefault="00351BE8">
      <w:pPr>
        <w:ind w:firstLine="720"/>
      </w:pPr>
    </w:p>
    <w:p w14:paraId="3DEBBBE6" w14:textId="77777777" w:rsidR="00351BE8" w:rsidRDefault="0052315A">
      <w:pPr>
        <w:ind w:left="1440" w:hanging="720"/>
      </w:pPr>
      <w:r>
        <w:t>9.2.2</w:t>
      </w:r>
      <w:r>
        <w:tab/>
        <w:t>the third-party public and products liability insurance contains an ‘indemnity to principals’ clause for the Buyer’s benefit</w:t>
      </w:r>
    </w:p>
    <w:p w14:paraId="3DEBBBE7" w14:textId="77777777" w:rsidR="00351BE8" w:rsidRDefault="00351BE8">
      <w:pPr>
        <w:ind w:firstLine="720"/>
      </w:pPr>
    </w:p>
    <w:p w14:paraId="3DEBBBE8" w14:textId="77777777" w:rsidR="00351BE8" w:rsidRDefault="0052315A">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3DEBBBE9" w14:textId="77777777" w:rsidR="00351BE8" w:rsidRDefault="00351BE8">
      <w:pPr>
        <w:ind w:firstLine="720"/>
      </w:pPr>
    </w:p>
    <w:p w14:paraId="3DEBBBEA" w14:textId="77777777" w:rsidR="00351BE8" w:rsidRDefault="0052315A">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DEBBBEB" w14:textId="77777777" w:rsidR="00351BE8" w:rsidRDefault="00351BE8">
      <w:pPr>
        <w:ind w:left="720"/>
      </w:pPr>
    </w:p>
    <w:p w14:paraId="3DEBBBEC" w14:textId="77777777" w:rsidR="00351BE8" w:rsidRDefault="0052315A">
      <w:pPr>
        <w:ind w:left="720" w:hanging="720"/>
      </w:pPr>
      <w:r>
        <w:t>9.3</w:t>
      </w:r>
      <w:r>
        <w:tab/>
        <w:t>If requested by the Buyer, the Supplier will obtain additional insurance policies, or extend existing policies bought under the Framework Agreement.</w:t>
      </w:r>
    </w:p>
    <w:p w14:paraId="3DEBBBED" w14:textId="77777777" w:rsidR="00351BE8" w:rsidRDefault="00351BE8">
      <w:pPr>
        <w:ind w:left="720" w:firstLine="720"/>
      </w:pPr>
    </w:p>
    <w:p w14:paraId="3DEBBBEE" w14:textId="77777777" w:rsidR="00351BE8" w:rsidRDefault="0052315A">
      <w:pPr>
        <w:ind w:left="720" w:hanging="720"/>
      </w:pPr>
      <w:r>
        <w:t>9.4</w:t>
      </w:r>
      <w:r>
        <w:tab/>
        <w:t>If requested by the Buyer, the Supplier will provide the following to show compliance with this clause:</w:t>
      </w:r>
    </w:p>
    <w:p w14:paraId="3DEBBBEF" w14:textId="77777777" w:rsidR="00351BE8" w:rsidRDefault="00351BE8">
      <w:pPr>
        <w:ind w:firstLine="720"/>
      </w:pPr>
    </w:p>
    <w:p w14:paraId="3DEBBBF0" w14:textId="77777777" w:rsidR="00351BE8" w:rsidRDefault="0052315A">
      <w:pPr>
        <w:ind w:firstLine="720"/>
      </w:pPr>
      <w:r>
        <w:t>9.4.1</w:t>
      </w:r>
      <w:r>
        <w:tab/>
        <w:t>a broker's verification of insurance</w:t>
      </w:r>
    </w:p>
    <w:p w14:paraId="3DEBBBF1" w14:textId="77777777" w:rsidR="00351BE8" w:rsidRDefault="00351BE8">
      <w:pPr>
        <w:ind w:firstLine="720"/>
      </w:pPr>
    </w:p>
    <w:p w14:paraId="3DEBBBF2" w14:textId="77777777" w:rsidR="00351BE8" w:rsidRDefault="0052315A">
      <w:pPr>
        <w:ind w:firstLine="720"/>
      </w:pPr>
      <w:r>
        <w:t>9.4.2</w:t>
      </w:r>
      <w:r>
        <w:tab/>
        <w:t>receipts for the insurance premium</w:t>
      </w:r>
    </w:p>
    <w:p w14:paraId="3DEBBBF3" w14:textId="77777777" w:rsidR="00351BE8" w:rsidRDefault="00351BE8">
      <w:pPr>
        <w:ind w:firstLine="720"/>
      </w:pPr>
    </w:p>
    <w:p w14:paraId="3DEBBBF4" w14:textId="77777777" w:rsidR="00351BE8" w:rsidRDefault="0052315A">
      <w:pPr>
        <w:ind w:firstLine="720"/>
      </w:pPr>
      <w:r>
        <w:t>9.4.3</w:t>
      </w:r>
      <w:r>
        <w:tab/>
        <w:t>evidence of payment of the latest premiums due</w:t>
      </w:r>
    </w:p>
    <w:p w14:paraId="3DEBBBF5" w14:textId="77777777" w:rsidR="00351BE8" w:rsidRDefault="00351BE8">
      <w:pPr>
        <w:ind w:firstLine="720"/>
      </w:pPr>
    </w:p>
    <w:p w14:paraId="3DEBBBF6" w14:textId="77777777" w:rsidR="00351BE8" w:rsidRDefault="0052315A">
      <w:pPr>
        <w:ind w:left="720" w:hanging="720"/>
      </w:pPr>
      <w:r>
        <w:t>9.5</w:t>
      </w:r>
      <w:r>
        <w:tab/>
        <w:t>Insurance will not relieve the Supplier of any liabilities under the Framework Agreement or this Call-Off Contract and the Supplier will:</w:t>
      </w:r>
    </w:p>
    <w:p w14:paraId="3DEBBBF7" w14:textId="77777777" w:rsidR="00351BE8" w:rsidRDefault="00351BE8">
      <w:pPr>
        <w:ind w:firstLine="720"/>
      </w:pPr>
    </w:p>
    <w:p w14:paraId="3DEBBBF8" w14:textId="77777777" w:rsidR="00351BE8" w:rsidRDefault="0052315A">
      <w:pPr>
        <w:ind w:left="1440" w:hanging="720"/>
      </w:pPr>
      <w:r>
        <w:t>9.5.1</w:t>
      </w:r>
      <w:r>
        <w:tab/>
        <w:t>take all risk control measures using Good Industry Practice, including the investigation and reports of claims to insurers</w:t>
      </w:r>
    </w:p>
    <w:p w14:paraId="3DEBBBF9" w14:textId="77777777" w:rsidR="00351BE8" w:rsidRDefault="00351BE8">
      <w:pPr>
        <w:ind w:left="720" w:firstLine="720"/>
      </w:pPr>
    </w:p>
    <w:p w14:paraId="3DEBBBFA" w14:textId="77777777" w:rsidR="00351BE8" w:rsidRDefault="0052315A">
      <w:pPr>
        <w:ind w:left="1440" w:hanging="720"/>
      </w:pPr>
      <w:r>
        <w:t>9.5.2</w:t>
      </w:r>
      <w:r>
        <w:tab/>
        <w:t>promptly notify the insurers in writing of any relevant material fact under any Insurances</w:t>
      </w:r>
    </w:p>
    <w:p w14:paraId="3DEBBBFB" w14:textId="77777777" w:rsidR="00351BE8" w:rsidRDefault="00351BE8">
      <w:pPr>
        <w:ind w:firstLine="720"/>
      </w:pPr>
    </w:p>
    <w:p w14:paraId="3DEBBBFC" w14:textId="77777777" w:rsidR="00351BE8" w:rsidRDefault="0052315A">
      <w:pPr>
        <w:ind w:left="1440" w:hanging="720"/>
      </w:pPr>
      <w:r>
        <w:t>9.5.3</w:t>
      </w:r>
      <w:r>
        <w:tab/>
        <w:t>hold all insurance policies and require any broker arranging the insurance to hold any insurance slips and other evidence of insurance</w:t>
      </w:r>
    </w:p>
    <w:p w14:paraId="3DEBBBFD" w14:textId="77777777" w:rsidR="00351BE8" w:rsidRDefault="0052315A">
      <w:r>
        <w:t xml:space="preserve"> </w:t>
      </w:r>
    </w:p>
    <w:p w14:paraId="3DEBBBFE" w14:textId="77777777" w:rsidR="00351BE8" w:rsidRDefault="0052315A">
      <w:pPr>
        <w:ind w:left="720" w:hanging="720"/>
      </w:pPr>
      <w:r>
        <w:t>9.6</w:t>
      </w:r>
      <w:r>
        <w:tab/>
        <w:t>The Supplier will not do or omit to do anything, which would destroy or impair the legal validity of the insurance.</w:t>
      </w:r>
    </w:p>
    <w:p w14:paraId="3DEBBBFF" w14:textId="77777777" w:rsidR="00351BE8" w:rsidRDefault="00351BE8">
      <w:pPr>
        <w:ind w:firstLine="720"/>
      </w:pPr>
    </w:p>
    <w:p w14:paraId="3DEBBC00" w14:textId="77777777" w:rsidR="00351BE8" w:rsidRDefault="0052315A">
      <w:pPr>
        <w:ind w:left="720" w:hanging="720"/>
      </w:pPr>
      <w:r>
        <w:t>9.7</w:t>
      </w:r>
      <w:r>
        <w:tab/>
        <w:t>The Supplier will notify CCS and the Buyer as soon as possible if any insurance policies have been, or are due to be, cancelled, suspended, Ended or not renewed.</w:t>
      </w:r>
    </w:p>
    <w:p w14:paraId="3DEBBC01" w14:textId="77777777" w:rsidR="00351BE8" w:rsidRDefault="00351BE8">
      <w:pPr>
        <w:ind w:firstLine="720"/>
      </w:pPr>
    </w:p>
    <w:p w14:paraId="3DEBBC02" w14:textId="77777777" w:rsidR="00351BE8" w:rsidRDefault="0052315A">
      <w:r>
        <w:t>9.8</w:t>
      </w:r>
      <w:r>
        <w:tab/>
        <w:t>The Supplier will be liable for the payment of any:</w:t>
      </w:r>
    </w:p>
    <w:p w14:paraId="3DEBBC03" w14:textId="77777777" w:rsidR="00351BE8" w:rsidRDefault="00351BE8"/>
    <w:p w14:paraId="3DEBBC04" w14:textId="77777777" w:rsidR="00351BE8" w:rsidRDefault="0052315A">
      <w:pPr>
        <w:ind w:firstLine="720"/>
      </w:pPr>
      <w:r>
        <w:t>9.8.1</w:t>
      </w:r>
      <w:r>
        <w:tab/>
        <w:t>premiums, which it will pay promptly</w:t>
      </w:r>
    </w:p>
    <w:p w14:paraId="3DEBBC05" w14:textId="77777777" w:rsidR="00351BE8" w:rsidRDefault="0052315A">
      <w:pPr>
        <w:ind w:firstLine="720"/>
      </w:pPr>
      <w:r>
        <w:t>9.8.2</w:t>
      </w:r>
      <w:r>
        <w:tab/>
        <w:t>excess or deductibles and will not be entitled to recover this from the Buyer</w:t>
      </w:r>
    </w:p>
    <w:p w14:paraId="3DEBBC06" w14:textId="77777777" w:rsidR="00351BE8" w:rsidRDefault="00351BE8">
      <w:pPr>
        <w:ind w:firstLine="720"/>
      </w:pPr>
    </w:p>
    <w:p w14:paraId="3DEBBC07" w14:textId="77777777" w:rsidR="00351BE8" w:rsidRDefault="0052315A">
      <w:pPr>
        <w:pStyle w:val="Heading3"/>
        <w:spacing w:after="100"/>
      </w:pPr>
      <w:r>
        <w:t>10.</w:t>
      </w:r>
      <w:r>
        <w:tab/>
        <w:t>Confidentiality</w:t>
      </w:r>
    </w:p>
    <w:p w14:paraId="3DEBBC08" w14:textId="77777777" w:rsidR="00351BE8" w:rsidRDefault="0052315A">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DEBBC09" w14:textId="77777777" w:rsidR="00351BE8" w:rsidRDefault="00351BE8">
      <w:pPr>
        <w:ind w:left="720" w:hanging="720"/>
      </w:pPr>
    </w:p>
    <w:p w14:paraId="3DEBBC0A" w14:textId="77777777" w:rsidR="00351BE8" w:rsidRDefault="0052315A">
      <w:pPr>
        <w:pStyle w:val="Heading3"/>
        <w:spacing w:after="100"/>
      </w:pPr>
      <w:r>
        <w:t>11.</w:t>
      </w:r>
      <w:r>
        <w:tab/>
        <w:t>Intellectual Property Rights</w:t>
      </w:r>
    </w:p>
    <w:p w14:paraId="3DEBBC0B" w14:textId="77777777" w:rsidR="00351BE8" w:rsidRDefault="0052315A">
      <w:pPr>
        <w:ind w:left="720" w:hanging="720"/>
      </w:pPr>
      <w:r>
        <w:t>11.1</w:t>
      </w:r>
      <w:r>
        <w:tab/>
        <w:t>Unless otherwise specified in this Call-Off Contract, a Party will not acquire any right, title or interest in or to the Intellectual Property Rights (IPRs) of the other Party or its Licensors.</w:t>
      </w:r>
    </w:p>
    <w:p w14:paraId="3DEBBC0C" w14:textId="77777777" w:rsidR="00351BE8" w:rsidRDefault="00351BE8">
      <w:pPr>
        <w:ind w:left="720"/>
      </w:pPr>
    </w:p>
    <w:p w14:paraId="3DEBBC0D" w14:textId="77777777" w:rsidR="00351BE8" w:rsidRDefault="0052315A">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3DEBBC0E" w14:textId="77777777" w:rsidR="00351BE8" w:rsidRDefault="00351BE8">
      <w:pPr>
        <w:ind w:left="720"/>
      </w:pPr>
    </w:p>
    <w:p w14:paraId="3DEBBC0F" w14:textId="77777777" w:rsidR="00351BE8" w:rsidRDefault="0052315A">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3DEBBC10" w14:textId="77777777" w:rsidR="00351BE8" w:rsidRDefault="00351BE8">
      <w:pPr>
        <w:ind w:left="720"/>
      </w:pPr>
    </w:p>
    <w:p w14:paraId="3DEBBC11" w14:textId="77777777" w:rsidR="00351BE8" w:rsidRDefault="0052315A">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3DEBBC12" w14:textId="77777777" w:rsidR="00351BE8" w:rsidRDefault="00351BE8">
      <w:pPr>
        <w:ind w:left="720"/>
      </w:pPr>
    </w:p>
    <w:p w14:paraId="3DEBBC13" w14:textId="77777777" w:rsidR="00351BE8" w:rsidRDefault="0052315A">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3DEBBC14" w14:textId="77777777" w:rsidR="00351BE8" w:rsidRDefault="00351BE8">
      <w:pPr>
        <w:ind w:firstLine="720"/>
      </w:pPr>
    </w:p>
    <w:p w14:paraId="3DEBBC15" w14:textId="77777777" w:rsidR="00351BE8" w:rsidRDefault="0052315A">
      <w:pPr>
        <w:ind w:firstLine="720"/>
      </w:pPr>
      <w:r>
        <w:lastRenderedPageBreak/>
        <w:t>11.5.1</w:t>
      </w:r>
      <w:r>
        <w:tab/>
        <w:t>rights granted to the Buyer under this Call-Off Contract</w:t>
      </w:r>
    </w:p>
    <w:p w14:paraId="3DEBBC16" w14:textId="77777777" w:rsidR="00351BE8" w:rsidRDefault="00351BE8"/>
    <w:p w14:paraId="3DEBBC17" w14:textId="77777777" w:rsidR="00351BE8" w:rsidRDefault="0052315A">
      <w:pPr>
        <w:ind w:firstLine="720"/>
      </w:pPr>
      <w:r>
        <w:t>11.5.2</w:t>
      </w:r>
      <w:r>
        <w:tab/>
        <w:t>Supplier’s performance of the Services</w:t>
      </w:r>
    </w:p>
    <w:p w14:paraId="3DEBBC18" w14:textId="77777777" w:rsidR="00351BE8" w:rsidRDefault="00351BE8">
      <w:pPr>
        <w:ind w:firstLine="720"/>
      </w:pPr>
    </w:p>
    <w:p w14:paraId="3DEBBC19" w14:textId="77777777" w:rsidR="00351BE8" w:rsidRDefault="0052315A">
      <w:pPr>
        <w:ind w:firstLine="720"/>
      </w:pPr>
      <w:r>
        <w:t>11.5.3</w:t>
      </w:r>
      <w:r>
        <w:tab/>
        <w:t>use by the Buyer of the Services</w:t>
      </w:r>
    </w:p>
    <w:p w14:paraId="3DEBBC1A" w14:textId="77777777" w:rsidR="00351BE8" w:rsidRDefault="00351BE8">
      <w:pPr>
        <w:ind w:firstLine="720"/>
      </w:pPr>
    </w:p>
    <w:p w14:paraId="3DEBBC1B" w14:textId="77777777" w:rsidR="00351BE8" w:rsidRDefault="0052315A">
      <w:pPr>
        <w:ind w:left="720" w:hanging="720"/>
      </w:pPr>
      <w:r>
        <w:t>11.6</w:t>
      </w:r>
      <w:r>
        <w:tab/>
        <w:t>If an IPR Claim is made, or is likely to be made, the Supplier will immediately notify the Buyer in writing and must at its own expense after written approval from the Buyer, either:</w:t>
      </w:r>
    </w:p>
    <w:p w14:paraId="3DEBBC1C" w14:textId="77777777" w:rsidR="00351BE8" w:rsidRDefault="00351BE8">
      <w:pPr>
        <w:ind w:firstLine="720"/>
      </w:pPr>
    </w:p>
    <w:p w14:paraId="3DEBBC1D" w14:textId="77777777" w:rsidR="00351BE8" w:rsidRDefault="0052315A">
      <w:pPr>
        <w:ind w:left="1440" w:hanging="720"/>
      </w:pPr>
      <w:r>
        <w:t>11.6.1</w:t>
      </w:r>
      <w:r>
        <w:tab/>
        <w:t>modify the relevant part of the Services without reducing its functionality or performance</w:t>
      </w:r>
    </w:p>
    <w:p w14:paraId="3DEBBC1E" w14:textId="77777777" w:rsidR="00351BE8" w:rsidRDefault="00351BE8">
      <w:pPr>
        <w:ind w:left="720" w:firstLine="720"/>
      </w:pPr>
    </w:p>
    <w:p w14:paraId="3DEBBC1F" w14:textId="77777777" w:rsidR="00351BE8" w:rsidRDefault="0052315A">
      <w:pPr>
        <w:ind w:left="1440" w:hanging="720"/>
      </w:pPr>
      <w:r>
        <w:t>11.6.2</w:t>
      </w:r>
      <w:r>
        <w:tab/>
        <w:t>substitute Services of equivalent functionality and performance, to avoid the infringement or the alleged infringement, as long as there is no additional cost or burden to the Buyer</w:t>
      </w:r>
    </w:p>
    <w:p w14:paraId="3DEBBC20" w14:textId="77777777" w:rsidR="00351BE8" w:rsidRDefault="00351BE8">
      <w:pPr>
        <w:ind w:left="1440"/>
      </w:pPr>
    </w:p>
    <w:p w14:paraId="3DEBBC21" w14:textId="77777777" w:rsidR="00351BE8" w:rsidRDefault="0052315A">
      <w:pPr>
        <w:ind w:left="1440" w:hanging="720"/>
      </w:pPr>
      <w:r>
        <w:t>11.6.3</w:t>
      </w:r>
      <w:r>
        <w:tab/>
        <w:t>buy a licence to use and supply the Services which are the subject of the alleged infringement, on terms acceptable to the Buyer</w:t>
      </w:r>
    </w:p>
    <w:p w14:paraId="3DEBBC22" w14:textId="77777777" w:rsidR="00351BE8" w:rsidRDefault="00351BE8">
      <w:pPr>
        <w:ind w:left="720" w:firstLine="720"/>
      </w:pPr>
    </w:p>
    <w:p w14:paraId="3DEBBC23" w14:textId="77777777" w:rsidR="00351BE8" w:rsidRDefault="0052315A">
      <w:r>
        <w:t>11.7</w:t>
      </w:r>
      <w:r>
        <w:tab/>
        <w:t>Clause 11.5 will not apply if the IPR Claim is from:</w:t>
      </w:r>
    </w:p>
    <w:p w14:paraId="3DEBBC24" w14:textId="77777777" w:rsidR="00351BE8" w:rsidRDefault="00351BE8"/>
    <w:p w14:paraId="3DEBBC25" w14:textId="77777777" w:rsidR="00351BE8" w:rsidRDefault="0052315A">
      <w:pPr>
        <w:ind w:left="1440" w:hanging="720"/>
      </w:pPr>
      <w:r>
        <w:t>11.7.2</w:t>
      </w:r>
      <w:r>
        <w:tab/>
        <w:t>the use of data supplied by the Buyer which the Supplier isn’t required to verify under this Call-Off Contract</w:t>
      </w:r>
    </w:p>
    <w:p w14:paraId="3DEBBC26" w14:textId="77777777" w:rsidR="00351BE8" w:rsidRDefault="00351BE8">
      <w:pPr>
        <w:ind w:left="720" w:firstLine="720"/>
      </w:pPr>
    </w:p>
    <w:p w14:paraId="3DEBBC27" w14:textId="77777777" w:rsidR="00351BE8" w:rsidRDefault="0052315A">
      <w:pPr>
        <w:ind w:firstLine="720"/>
      </w:pPr>
      <w:r>
        <w:t>11.7.3</w:t>
      </w:r>
      <w:r>
        <w:tab/>
        <w:t>other material provided by the Buyer necessary for the Services</w:t>
      </w:r>
    </w:p>
    <w:p w14:paraId="3DEBBC28" w14:textId="77777777" w:rsidR="00351BE8" w:rsidRDefault="00351BE8">
      <w:pPr>
        <w:ind w:firstLine="720"/>
      </w:pPr>
    </w:p>
    <w:p w14:paraId="3DEBBC29" w14:textId="77777777" w:rsidR="00351BE8" w:rsidRDefault="0052315A">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3DEBBC2A" w14:textId="77777777" w:rsidR="00351BE8" w:rsidRDefault="00351BE8">
      <w:pPr>
        <w:ind w:left="720" w:hanging="720"/>
      </w:pPr>
    </w:p>
    <w:p w14:paraId="3DEBBC2B" w14:textId="77777777" w:rsidR="00351BE8" w:rsidRDefault="0052315A">
      <w:pPr>
        <w:pStyle w:val="Heading3"/>
      </w:pPr>
      <w:r>
        <w:t>12.</w:t>
      </w:r>
      <w:r>
        <w:tab/>
        <w:t>Protection of information</w:t>
      </w:r>
    </w:p>
    <w:p w14:paraId="3DEBBC2C" w14:textId="77777777" w:rsidR="00351BE8" w:rsidRDefault="0052315A">
      <w:pPr>
        <w:spacing w:before="240" w:after="240"/>
      </w:pPr>
      <w:r>
        <w:t>12.1</w:t>
      </w:r>
      <w:r>
        <w:tab/>
        <w:t>The Supplier must:</w:t>
      </w:r>
    </w:p>
    <w:p w14:paraId="3DEBBC2D" w14:textId="77777777" w:rsidR="00351BE8" w:rsidRDefault="0052315A">
      <w:pPr>
        <w:ind w:left="1440" w:hanging="720"/>
      </w:pPr>
      <w:r>
        <w:t>12.1.1</w:t>
      </w:r>
      <w:r>
        <w:tab/>
        <w:t>comply with the Buyer’s written instructions and this Call-Off Contract when Processing Buyer Personal Data</w:t>
      </w:r>
    </w:p>
    <w:p w14:paraId="3DEBBC2E" w14:textId="77777777" w:rsidR="00351BE8" w:rsidRDefault="00351BE8">
      <w:pPr>
        <w:ind w:left="720" w:firstLine="720"/>
      </w:pPr>
    </w:p>
    <w:p w14:paraId="3DEBBC2F" w14:textId="77777777" w:rsidR="00351BE8" w:rsidRDefault="0052315A">
      <w:pPr>
        <w:ind w:left="1440" w:hanging="720"/>
      </w:pPr>
      <w:r>
        <w:t>12.1.2</w:t>
      </w:r>
      <w:r>
        <w:tab/>
        <w:t>only Process the Buyer Personal Data as necessary for the provision of the G-Cloud Services or as required by Law or any Regulatory Body</w:t>
      </w:r>
    </w:p>
    <w:p w14:paraId="3DEBBC30" w14:textId="77777777" w:rsidR="00351BE8" w:rsidRDefault="00351BE8">
      <w:pPr>
        <w:ind w:left="720" w:firstLine="720"/>
      </w:pPr>
    </w:p>
    <w:p w14:paraId="3DEBBC31" w14:textId="77777777" w:rsidR="00351BE8" w:rsidRDefault="0052315A">
      <w:pPr>
        <w:ind w:left="1440" w:hanging="720"/>
      </w:pPr>
      <w:r>
        <w:t>12.1.3</w:t>
      </w:r>
      <w:r>
        <w:tab/>
        <w:t>take reasonable steps to ensure that any Supplier Staff who have access to Buyer Personal Data act in compliance with Supplier's security processes</w:t>
      </w:r>
    </w:p>
    <w:p w14:paraId="3DEBBC32" w14:textId="77777777" w:rsidR="00351BE8" w:rsidRDefault="00351BE8">
      <w:pPr>
        <w:ind w:left="720" w:firstLine="720"/>
      </w:pPr>
    </w:p>
    <w:p w14:paraId="3DEBBC33" w14:textId="77777777" w:rsidR="00351BE8" w:rsidRDefault="0052315A">
      <w:pPr>
        <w:ind w:left="720" w:hanging="720"/>
      </w:pPr>
      <w:r>
        <w:t>12.2</w:t>
      </w:r>
      <w:r>
        <w:tab/>
        <w:t>The Supplier must fully assist with any complaint or request for Buyer Personal Data including by:</w:t>
      </w:r>
    </w:p>
    <w:p w14:paraId="3DEBBC34" w14:textId="77777777" w:rsidR="00351BE8" w:rsidRDefault="00351BE8">
      <w:pPr>
        <w:ind w:firstLine="720"/>
      </w:pPr>
    </w:p>
    <w:p w14:paraId="3DEBBC35" w14:textId="77777777" w:rsidR="00351BE8" w:rsidRDefault="0052315A">
      <w:pPr>
        <w:ind w:firstLine="720"/>
      </w:pPr>
      <w:r>
        <w:t>12.2.1</w:t>
      </w:r>
      <w:r>
        <w:tab/>
        <w:t>providing the Buyer with full details of the complaint or request</w:t>
      </w:r>
    </w:p>
    <w:p w14:paraId="3DEBBC36" w14:textId="77777777" w:rsidR="00351BE8" w:rsidRDefault="00351BE8">
      <w:pPr>
        <w:ind w:firstLine="720"/>
      </w:pPr>
    </w:p>
    <w:p w14:paraId="3DEBBC37" w14:textId="77777777" w:rsidR="00351BE8" w:rsidRDefault="0052315A">
      <w:pPr>
        <w:ind w:left="1440" w:hanging="720"/>
      </w:pPr>
      <w:r>
        <w:lastRenderedPageBreak/>
        <w:t>12.2.2</w:t>
      </w:r>
      <w:r>
        <w:tab/>
        <w:t>complying with a data access request within the timescales in the Data Protection Legislation and following the Buyer’s instructions</w:t>
      </w:r>
    </w:p>
    <w:p w14:paraId="3DEBBC38" w14:textId="77777777" w:rsidR="00351BE8" w:rsidRDefault="00351BE8"/>
    <w:p w14:paraId="3DEBBC39" w14:textId="77777777" w:rsidR="00351BE8" w:rsidRDefault="0052315A">
      <w:pPr>
        <w:ind w:left="1440" w:hanging="720"/>
      </w:pPr>
      <w:r>
        <w:t>12.2.3</w:t>
      </w:r>
      <w:r>
        <w:tab/>
        <w:t>providing the Buyer with any Buyer Personal Data it holds about a Data Subject (within the timescales required by the Buyer)</w:t>
      </w:r>
    </w:p>
    <w:p w14:paraId="3DEBBC3A" w14:textId="77777777" w:rsidR="00351BE8" w:rsidRDefault="00351BE8">
      <w:pPr>
        <w:ind w:left="720" w:firstLine="720"/>
      </w:pPr>
    </w:p>
    <w:p w14:paraId="3DEBBC3B" w14:textId="77777777" w:rsidR="00351BE8" w:rsidRDefault="0052315A">
      <w:pPr>
        <w:ind w:firstLine="720"/>
      </w:pPr>
      <w:r>
        <w:t>12.2.4</w:t>
      </w:r>
      <w:r>
        <w:tab/>
        <w:t>providing the Buyer with any information requested by the Data Subject</w:t>
      </w:r>
    </w:p>
    <w:p w14:paraId="3DEBBC3C" w14:textId="77777777" w:rsidR="00351BE8" w:rsidRDefault="00351BE8">
      <w:pPr>
        <w:ind w:firstLine="720"/>
      </w:pPr>
    </w:p>
    <w:p w14:paraId="3DEBBC3D" w14:textId="77777777" w:rsidR="00351BE8" w:rsidRDefault="0052315A">
      <w:pPr>
        <w:ind w:left="720" w:hanging="720"/>
      </w:pPr>
      <w:r>
        <w:t>12.3</w:t>
      </w:r>
      <w:r>
        <w:tab/>
        <w:t>The Supplier must get prior written consent from the Buyer to transfer Buyer Personal Data to any other person (including any Subcontractors) for the provision of the G-Cloud Services.</w:t>
      </w:r>
    </w:p>
    <w:p w14:paraId="3DEBBC3E" w14:textId="77777777" w:rsidR="00351BE8" w:rsidRDefault="00351BE8">
      <w:pPr>
        <w:ind w:left="720" w:hanging="720"/>
      </w:pPr>
    </w:p>
    <w:p w14:paraId="3DEBBC3F" w14:textId="77777777" w:rsidR="00351BE8" w:rsidRDefault="0052315A">
      <w:pPr>
        <w:pStyle w:val="Heading3"/>
      </w:pPr>
      <w:r>
        <w:t>13.</w:t>
      </w:r>
      <w:r>
        <w:tab/>
        <w:t>Buyer data</w:t>
      </w:r>
    </w:p>
    <w:p w14:paraId="3DEBBC40" w14:textId="77777777" w:rsidR="00351BE8" w:rsidRDefault="0052315A">
      <w:pPr>
        <w:spacing w:before="240" w:after="240"/>
      </w:pPr>
      <w:r>
        <w:t>13.1</w:t>
      </w:r>
      <w:r>
        <w:tab/>
        <w:t>The Supplier must not remove any proprietary notices in the Buyer Data.</w:t>
      </w:r>
    </w:p>
    <w:p w14:paraId="3DEBBC41" w14:textId="77777777" w:rsidR="00351BE8" w:rsidRDefault="0052315A">
      <w:r>
        <w:t>13.2</w:t>
      </w:r>
      <w:r>
        <w:tab/>
        <w:t xml:space="preserve">The Supplier will not store or use Buyer Data except if necessary to fulfil its </w:t>
      </w:r>
    </w:p>
    <w:p w14:paraId="3DEBBC42" w14:textId="77777777" w:rsidR="00351BE8" w:rsidRDefault="0052315A">
      <w:pPr>
        <w:ind w:firstLine="720"/>
      </w:pPr>
      <w:r>
        <w:t>obligations.</w:t>
      </w:r>
    </w:p>
    <w:p w14:paraId="3DEBBC43" w14:textId="77777777" w:rsidR="00351BE8" w:rsidRDefault="00351BE8"/>
    <w:p w14:paraId="3DEBBC44" w14:textId="77777777" w:rsidR="00351BE8" w:rsidRDefault="0052315A">
      <w:pPr>
        <w:ind w:left="720" w:hanging="720"/>
      </w:pPr>
      <w:r>
        <w:t>13.3</w:t>
      </w:r>
      <w:r>
        <w:tab/>
        <w:t>If Buyer Data is processed by the Supplier, the Supplier will supply the data to the Buyer as requested.</w:t>
      </w:r>
    </w:p>
    <w:p w14:paraId="3DEBBC45" w14:textId="77777777" w:rsidR="00351BE8" w:rsidRDefault="00351BE8"/>
    <w:p w14:paraId="3DEBBC46" w14:textId="77777777" w:rsidR="00351BE8" w:rsidRDefault="0052315A">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3DEBBC47" w14:textId="77777777" w:rsidR="00351BE8" w:rsidRDefault="00351BE8">
      <w:pPr>
        <w:ind w:left="720"/>
      </w:pPr>
    </w:p>
    <w:p w14:paraId="3DEBBC48" w14:textId="77777777" w:rsidR="00351BE8" w:rsidRDefault="0052315A">
      <w:pPr>
        <w:ind w:left="720" w:hanging="720"/>
      </w:pPr>
      <w:r>
        <w:t>13.5</w:t>
      </w:r>
      <w:r>
        <w:tab/>
        <w:t>The Supplier will preserve the integrity of Buyer Data processed by the Supplier and prevent its corruption and loss.</w:t>
      </w:r>
    </w:p>
    <w:p w14:paraId="3DEBBC49" w14:textId="77777777" w:rsidR="00351BE8" w:rsidRDefault="00351BE8">
      <w:pPr>
        <w:ind w:firstLine="720"/>
      </w:pPr>
    </w:p>
    <w:p w14:paraId="3DEBBC4A" w14:textId="77777777" w:rsidR="00351BE8" w:rsidRDefault="0052315A">
      <w:pPr>
        <w:ind w:left="720" w:hanging="720"/>
      </w:pPr>
      <w:r>
        <w:t>13.6</w:t>
      </w:r>
      <w:r>
        <w:tab/>
        <w:t>The Supplier will ensure that any Supplier system which holds any protectively marked Buyer Data or other government data will comply with:</w:t>
      </w:r>
    </w:p>
    <w:p w14:paraId="3DEBBC4B" w14:textId="77777777" w:rsidR="00351BE8" w:rsidRDefault="00351BE8">
      <w:pPr>
        <w:ind w:firstLine="720"/>
      </w:pPr>
    </w:p>
    <w:p w14:paraId="3DEBBC4C" w14:textId="77777777" w:rsidR="00351BE8" w:rsidRDefault="0052315A">
      <w:pPr>
        <w:ind w:firstLine="720"/>
      </w:pPr>
      <w:r>
        <w:t>13.6.1</w:t>
      </w:r>
      <w:r>
        <w:tab/>
        <w:t>the principles in the Security Policy Framework:</w:t>
      </w:r>
      <w:hyperlink r:id="rId18" w:history="1">
        <w:r>
          <w:rPr>
            <w:color w:val="1155CC"/>
            <w:u w:val="single"/>
          </w:rPr>
          <w:t xml:space="preserve"> </w:t>
        </w:r>
      </w:hyperlink>
    </w:p>
    <w:p w14:paraId="3DEBBC4D" w14:textId="77777777" w:rsidR="00351BE8" w:rsidRDefault="00B778B6">
      <w:pPr>
        <w:ind w:left="1440"/>
      </w:pPr>
      <w:hyperlink r:id="rId19" w:history="1">
        <w:r w:rsidR="0052315A">
          <w:rPr>
            <w:rStyle w:val="Hyperlink"/>
          </w:rPr>
          <w:t>https://www.gov.uk/government/publications/security-policy-framework</w:t>
        </w:r>
      </w:hyperlink>
      <w:r w:rsidR="0052315A">
        <w:rPr>
          <w:rStyle w:val="Hyperlink"/>
        </w:rPr>
        <w:t xml:space="preserve"> and</w:t>
      </w:r>
    </w:p>
    <w:p w14:paraId="3DEBBC4E" w14:textId="77777777" w:rsidR="00351BE8" w:rsidRDefault="0052315A">
      <w:pPr>
        <w:ind w:left="1440"/>
      </w:pPr>
      <w:r>
        <w:t>the Government Security Classification policy</w:t>
      </w:r>
      <w:r>
        <w:rPr>
          <w:color w:val="1155CC"/>
          <w:u w:val="single"/>
        </w:rPr>
        <w:t>: https:/www.gov.uk/government/publications/government-security-classifications</w:t>
      </w:r>
    </w:p>
    <w:p w14:paraId="3DEBBC4F" w14:textId="77777777" w:rsidR="00351BE8" w:rsidRDefault="00351BE8">
      <w:pPr>
        <w:ind w:left="1440"/>
      </w:pPr>
    </w:p>
    <w:p w14:paraId="3DEBBC50" w14:textId="77777777" w:rsidR="00351BE8" w:rsidRDefault="0052315A">
      <w:pPr>
        <w:ind w:firstLine="720"/>
      </w:pPr>
      <w:r>
        <w:t>13.6.2</w:t>
      </w:r>
      <w:r>
        <w:tab/>
        <w:t xml:space="preserve">guidance issued by the Centre for Protection of National Infrastructure on </w:t>
      </w:r>
    </w:p>
    <w:p w14:paraId="3DEBBC51" w14:textId="77777777" w:rsidR="00351BE8" w:rsidRDefault="0052315A">
      <w:pPr>
        <w:ind w:left="720" w:firstLine="720"/>
      </w:pPr>
      <w:r>
        <w:t>Risk Management</w:t>
      </w:r>
      <w:hyperlink r:id="rId20" w:history="1">
        <w:r>
          <w:rPr>
            <w:color w:val="1155CC"/>
            <w:u w:val="single"/>
          </w:rPr>
          <w:t>:</w:t>
        </w:r>
      </w:hyperlink>
    </w:p>
    <w:p w14:paraId="3DEBBC52" w14:textId="77777777" w:rsidR="00351BE8" w:rsidRDefault="00B778B6">
      <w:pPr>
        <w:ind w:left="720" w:firstLine="720"/>
      </w:pPr>
      <w:hyperlink r:id="rId21" w:history="1">
        <w:r w:rsidR="0052315A">
          <w:rPr>
            <w:color w:val="1155CC"/>
            <w:u w:val="single"/>
          </w:rPr>
          <w:t>https://www.cpni.gov.uk/content/adopt-risk-management-approach</w:t>
        </w:r>
      </w:hyperlink>
      <w:r w:rsidR="0052315A">
        <w:t xml:space="preserve"> and</w:t>
      </w:r>
    </w:p>
    <w:p w14:paraId="3DEBBC53" w14:textId="77777777" w:rsidR="00351BE8" w:rsidRDefault="0052315A">
      <w:pPr>
        <w:ind w:left="720" w:firstLine="720"/>
      </w:pPr>
      <w:r>
        <w:t>Protection of Sensitive Information and Assets:</w:t>
      </w:r>
      <w:hyperlink r:id="rId22" w:history="1">
        <w:r>
          <w:rPr>
            <w:color w:val="1155CC"/>
            <w:u w:val="single"/>
          </w:rPr>
          <w:t xml:space="preserve"> </w:t>
        </w:r>
      </w:hyperlink>
    </w:p>
    <w:p w14:paraId="3DEBBC54" w14:textId="77777777" w:rsidR="00351BE8" w:rsidRDefault="00B778B6">
      <w:pPr>
        <w:ind w:left="720" w:firstLine="720"/>
      </w:pPr>
      <w:hyperlink r:id="rId23" w:history="1">
        <w:r w:rsidR="0052315A">
          <w:rPr>
            <w:color w:val="1155CC"/>
            <w:u w:val="single"/>
          </w:rPr>
          <w:t>https://www.cpni.gov.uk/protection-sensitive-information-and-assets</w:t>
        </w:r>
      </w:hyperlink>
    </w:p>
    <w:p w14:paraId="3DEBBC55" w14:textId="77777777" w:rsidR="00351BE8" w:rsidRDefault="00351BE8">
      <w:pPr>
        <w:ind w:left="720" w:firstLine="720"/>
      </w:pPr>
    </w:p>
    <w:p w14:paraId="3DEBBC56" w14:textId="77777777" w:rsidR="00351BE8" w:rsidRDefault="0052315A">
      <w:pPr>
        <w:ind w:left="1440" w:hanging="720"/>
      </w:pPr>
      <w:r>
        <w:t>13.6.3</w:t>
      </w:r>
      <w:r>
        <w:tab/>
        <w:t>the National Cyber Security Centre’s (NCSC) information risk management guidance:</w:t>
      </w:r>
    </w:p>
    <w:p w14:paraId="3DEBBC57" w14:textId="77777777" w:rsidR="00351BE8" w:rsidRDefault="00B778B6">
      <w:pPr>
        <w:ind w:left="720" w:firstLine="720"/>
      </w:pPr>
      <w:hyperlink r:id="rId24" w:history="1">
        <w:r w:rsidR="0052315A">
          <w:rPr>
            <w:color w:val="1155CC"/>
            <w:u w:val="single"/>
          </w:rPr>
          <w:t>https://www.ncsc.gov.uk/collection/risk-management-collection</w:t>
        </w:r>
      </w:hyperlink>
    </w:p>
    <w:p w14:paraId="3DEBBC58" w14:textId="77777777" w:rsidR="00351BE8" w:rsidRDefault="00351BE8"/>
    <w:p w14:paraId="3DEBBC59" w14:textId="77777777" w:rsidR="00351BE8" w:rsidRDefault="0052315A">
      <w:pPr>
        <w:ind w:left="1440" w:hanging="720"/>
      </w:pPr>
      <w:r>
        <w:lastRenderedPageBreak/>
        <w:t>13.6.4</w:t>
      </w:r>
      <w:r>
        <w:tab/>
        <w:t>government best practice in the design and implementation of system components, including network principles, security design principles for digital services and the secure email blueprint:</w:t>
      </w:r>
    </w:p>
    <w:p w14:paraId="3DEBBC5A" w14:textId="77777777" w:rsidR="00351BE8" w:rsidRDefault="00B778B6">
      <w:pPr>
        <w:ind w:left="1440"/>
      </w:pPr>
      <w:hyperlink r:id="rId25" w:history="1">
        <w:r w:rsidR="0052315A">
          <w:rPr>
            <w:rStyle w:val="Hyperlink"/>
          </w:rPr>
          <w:t>https://www.gov.uk/government/publications/technology-code-of-practice/technology-code-of-practice</w:t>
        </w:r>
      </w:hyperlink>
    </w:p>
    <w:p w14:paraId="3DEBBC5B" w14:textId="77777777" w:rsidR="00351BE8" w:rsidRDefault="00351BE8">
      <w:pPr>
        <w:ind w:left="1440"/>
      </w:pPr>
    </w:p>
    <w:p w14:paraId="3DEBBC5C" w14:textId="77777777" w:rsidR="00351BE8" w:rsidRDefault="0052315A">
      <w:pPr>
        <w:ind w:left="1440" w:hanging="720"/>
      </w:pPr>
      <w:r>
        <w:t>13.6.5</w:t>
      </w:r>
      <w:r>
        <w:tab/>
        <w:t>the security requirements of cloud services using the NCSC Cloud Security Principles and accompanying guidance:</w:t>
      </w:r>
      <w:hyperlink r:id="rId26" w:history="1">
        <w:r>
          <w:rPr>
            <w:color w:val="1155CC"/>
            <w:u w:val="single"/>
          </w:rPr>
          <w:t xml:space="preserve"> </w:t>
        </w:r>
      </w:hyperlink>
    </w:p>
    <w:p w14:paraId="3DEBBC5D" w14:textId="77777777" w:rsidR="00351BE8" w:rsidRDefault="00B778B6">
      <w:pPr>
        <w:ind w:left="720" w:firstLine="720"/>
      </w:pPr>
      <w:hyperlink r:id="rId27" w:history="1">
        <w:r w:rsidR="0052315A">
          <w:rPr>
            <w:rStyle w:val="Hyperlink"/>
          </w:rPr>
          <w:t>https://www.ncsc.gov.uk/guidance/implementing-cloud-security-principles</w:t>
        </w:r>
      </w:hyperlink>
    </w:p>
    <w:p w14:paraId="3DEBBC5E" w14:textId="77777777" w:rsidR="00351BE8" w:rsidRDefault="00351BE8"/>
    <w:p w14:paraId="3DEBBC5F" w14:textId="77777777" w:rsidR="00351BE8" w:rsidRDefault="0052315A">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3DEBBC60" w14:textId="77777777" w:rsidR="00351BE8" w:rsidRDefault="00351BE8"/>
    <w:p w14:paraId="3DEBBC61" w14:textId="77777777" w:rsidR="00351BE8" w:rsidRDefault="0052315A">
      <w:r>
        <w:t>13.7</w:t>
      </w:r>
      <w:r>
        <w:tab/>
        <w:t>The Buyer will specify any security requirements for this project in the Order Form.</w:t>
      </w:r>
    </w:p>
    <w:p w14:paraId="3DEBBC62" w14:textId="77777777" w:rsidR="00351BE8" w:rsidRDefault="00351BE8"/>
    <w:p w14:paraId="3DEBBC63" w14:textId="77777777" w:rsidR="00351BE8" w:rsidRDefault="0052315A">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DEBBC64" w14:textId="77777777" w:rsidR="00351BE8" w:rsidRDefault="00351BE8">
      <w:pPr>
        <w:ind w:left="720"/>
      </w:pPr>
    </w:p>
    <w:p w14:paraId="3DEBBC65" w14:textId="77777777" w:rsidR="00351BE8" w:rsidRDefault="0052315A">
      <w:pPr>
        <w:ind w:left="720" w:hanging="720"/>
      </w:pPr>
      <w:r>
        <w:t>13.9</w:t>
      </w:r>
      <w:r>
        <w:tab/>
        <w:t>The Supplier agrees to use the appropriate organisational, operational and technological processes to keep the Buyer Data safe from unauthorised use or access, loss, destruction, theft or disclosure.</w:t>
      </w:r>
    </w:p>
    <w:p w14:paraId="3DEBBC66" w14:textId="77777777" w:rsidR="00351BE8" w:rsidRDefault="00351BE8">
      <w:pPr>
        <w:ind w:left="720"/>
      </w:pPr>
    </w:p>
    <w:p w14:paraId="3DEBBC67" w14:textId="77777777" w:rsidR="00351BE8" w:rsidRDefault="0052315A">
      <w:pPr>
        <w:ind w:left="720" w:hanging="720"/>
      </w:pPr>
      <w:r>
        <w:t>13.10</w:t>
      </w:r>
      <w:r>
        <w:tab/>
        <w:t>The provisions of this clause 13 will apply during the term of this Call-Off Contract and for as long as the Supplier holds the Buyer’s Data.</w:t>
      </w:r>
    </w:p>
    <w:p w14:paraId="3DEBBC68" w14:textId="77777777" w:rsidR="00351BE8" w:rsidRDefault="00351BE8">
      <w:pPr>
        <w:spacing w:before="240" w:after="240"/>
      </w:pPr>
    </w:p>
    <w:p w14:paraId="3DEBBC69" w14:textId="77777777" w:rsidR="00351BE8" w:rsidRDefault="0052315A">
      <w:pPr>
        <w:pStyle w:val="Heading3"/>
      </w:pPr>
      <w:r>
        <w:t>14.</w:t>
      </w:r>
      <w:r>
        <w:tab/>
        <w:t>Standards and quality</w:t>
      </w:r>
    </w:p>
    <w:p w14:paraId="3DEBBC6A" w14:textId="77777777" w:rsidR="00351BE8" w:rsidRDefault="0052315A">
      <w:pPr>
        <w:ind w:left="720" w:hanging="720"/>
      </w:pPr>
      <w:r>
        <w:t>14.1</w:t>
      </w:r>
      <w:r>
        <w:tab/>
        <w:t>The Supplier will comply with any standards in this Call-Off Contract, the Order Form and the Framework Agreement.</w:t>
      </w:r>
    </w:p>
    <w:p w14:paraId="3DEBBC6B" w14:textId="77777777" w:rsidR="00351BE8" w:rsidRDefault="00351BE8">
      <w:pPr>
        <w:ind w:firstLine="720"/>
      </w:pPr>
    </w:p>
    <w:p w14:paraId="3DEBBC6C" w14:textId="77777777" w:rsidR="00351BE8" w:rsidRDefault="0052315A">
      <w:pPr>
        <w:ind w:left="720" w:hanging="720"/>
      </w:pPr>
      <w:r>
        <w:t>14.2</w:t>
      </w:r>
      <w:r>
        <w:tab/>
        <w:t>The Supplier will deliver the Services in a way that enables the Buyer to comply with its obligations under the Technology Code of Practice, which is at:</w:t>
      </w:r>
      <w:hyperlink r:id="rId28" w:history="1">
        <w:r>
          <w:rPr>
            <w:color w:val="1155CC"/>
            <w:u w:val="single"/>
          </w:rPr>
          <w:t xml:space="preserve"> </w:t>
        </w:r>
      </w:hyperlink>
    </w:p>
    <w:p w14:paraId="3DEBBC6D" w14:textId="77777777" w:rsidR="00351BE8" w:rsidRDefault="00B778B6">
      <w:pPr>
        <w:ind w:left="720"/>
      </w:pPr>
      <w:hyperlink r:id="rId29" w:history="1">
        <w:r w:rsidR="0052315A">
          <w:rPr>
            <w:color w:val="1155CC"/>
            <w:u w:val="single"/>
          </w:rPr>
          <w:t>https://www.gov.uk/government/publications/technology-code-of-practice/technology-code-of-practice</w:t>
        </w:r>
      </w:hyperlink>
    </w:p>
    <w:p w14:paraId="3DEBBC6E" w14:textId="77777777" w:rsidR="00351BE8" w:rsidRDefault="00351BE8">
      <w:pPr>
        <w:ind w:left="720" w:hanging="720"/>
      </w:pPr>
    </w:p>
    <w:p w14:paraId="3DEBBC6F" w14:textId="77777777" w:rsidR="00351BE8" w:rsidRDefault="0052315A">
      <w:pPr>
        <w:ind w:left="720" w:hanging="720"/>
      </w:pPr>
      <w:r>
        <w:t>14.3</w:t>
      </w:r>
      <w:r>
        <w:tab/>
        <w:t>If requested by the Buyer, the Supplier must, at its own cost, ensure that the G-Cloud Services comply with the requirements in the PSN Code of Practice.</w:t>
      </w:r>
    </w:p>
    <w:p w14:paraId="3DEBBC70" w14:textId="77777777" w:rsidR="00351BE8" w:rsidRDefault="00351BE8">
      <w:pPr>
        <w:ind w:firstLine="720"/>
      </w:pPr>
    </w:p>
    <w:p w14:paraId="3DEBBC71" w14:textId="77777777" w:rsidR="00351BE8" w:rsidRDefault="0052315A">
      <w:pPr>
        <w:ind w:left="720" w:hanging="720"/>
      </w:pPr>
      <w:r>
        <w:t>14.4</w:t>
      </w:r>
      <w:r>
        <w:tab/>
        <w:t>If any PSN Services are Subcontracted by the Supplier, the Supplier must ensure that the services have the relevant PSN compliance certification.</w:t>
      </w:r>
    </w:p>
    <w:p w14:paraId="3DEBBC72" w14:textId="77777777" w:rsidR="00351BE8" w:rsidRDefault="00351BE8">
      <w:pPr>
        <w:ind w:firstLine="720"/>
      </w:pPr>
    </w:p>
    <w:p w14:paraId="3DEBBC73" w14:textId="77777777" w:rsidR="00351BE8" w:rsidRDefault="0052315A">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0" w:history="1">
        <w:r>
          <w:rPr>
            <w:color w:val="1155CC"/>
            <w:u w:val="single"/>
          </w:rPr>
          <w:t>.</w:t>
        </w:r>
      </w:hyperlink>
    </w:p>
    <w:p w14:paraId="3DEBBC74" w14:textId="77777777" w:rsidR="00351BE8" w:rsidRDefault="0052315A">
      <w:r>
        <w:t xml:space="preserve"> </w:t>
      </w:r>
    </w:p>
    <w:p w14:paraId="3DEBBC75" w14:textId="77777777" w:rsidR="00351BE8" w:rsidRDefault="0052315A">
      <w:pPr>
        <w:pStyle w:val="Heading3"/>
      </w:pPr>
      <w:r>
        <w:lastRenderedPageBreak/>
        <w:t>15.</w:t>
      </w:r>
      <w:r>
        <w:tab/>
        <w:t>Open source</w:t>
      </w:r>
    </w:p>
    <w:p w14:paraId="3DEBBC76" w14:textId="77777777" w:rsidR="00351BE8" w:rsidRDefault="0052315A">
      <w:pPr>
        <w:ind w:left="720" w:hanging="720"/>
      </w:pPr>
      <w:r>
        <w:t>15.1</w:t>
      </w:r>
      <w:r>
        <w:tab/>
        <w:t>All software created for the Buyer must be suitable for publication as open source, unless otherwise agreed by the Buyer.</w:t>
      </w:r>
    </w:p>
    <w:p w14:paraId="3DEBBC77" w14:textId="77777777" w:rsidR="00351BE8" w:rsidRDefault="00351BE8">
      <w:pPr>
        <w:ind w:firstLine="720"/>
      </w:pPr>
    </w:p>
    <w:p w14:paraId="3DEBBC78" w14:textId="77777777" w:rsidR="00351BE8" w:rsidRDefault="0052315A">
      <w:pPr>
        <w:ind w:left="720" w:hanging="720"/>
      </w:pPr>
      <w:r>
        <w:t>15.2</w:t>
      </w:r>
      <w:r>
        <w:tab/>
        <w:t>If software needs to be converted before publication as open source, the Supplier must also provide the converted format unless otherwise agreed by the Buyer.</w:t>
      </w:r>
    </w:p>
    <w:p w14:paraId="3DEBBC79" w14:textId="77777777" w:rsidR="00351BE8" w:rsidRDefault="0052315A">
      <w:pPr>
        <w:spacing w:before="240" w:after="240"/>
        <w:ind w:left="720"/>
      </w:pPr>
      <w:r>
        <w:t xml:space="preserve"> </w:t>
      </w:r>
    </w:p>
    <w:p w14:paraId="3DEBBC7A" w14:textId="77777777" w:rsidR="00351BE8" w:rsidRDefault="0052315A">
      <w:pPr>
        <w:pStyle w:val="Heading3"/>
      </w:pPr>
      <w:r>
        <w:t>16.</w:t>
      </w:r>
      <w:r>
        <w:tab/>
        <w:t>Security</w:t>
      </w:r>
    </w:p>
    <w:p w14:paraId="3DEBBC7B" w14:textId="77777777" w:rsidR="00351BE8" w:rsidRDefault="0052315A">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DEBBC7C" w14:textId="77777777" w:rsidR="00351BE8" w:rsidRDefault="00351BE8">
      <w:pPr>
        <w:ind w:left="720"/>
      </w:pPr>
    </w:p>
    <w:p w14:paraId="3DEBBC7D" w14:textId="77777777" w:rsidR="00351BE8" w:rsidRDefault="0052315A">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3DEBBC7E" w14:textId="77777777" w:rsidR="00351BE8" w:rsidRDefault="00351BE8">
      <w:pPr>
        <w:ind w:left="720"/>
      </w:pPr>
    </w:p>
    <w:p w14:paraId="3DEBBC7F" w14:textId="77777777" w:rsidR="00351BE8" w:rsidRDefault="0052315A">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3DEBBC80" w14:textId="77777777" w:rsidR="00351BE8" w:rsidRDefault="00351BE8">
      <w:pPr>
        <w:ind w:firstLine="720"/>
      </w:pPr>
    </w:p>
    <w:p w14:paraId="3DEBBC81" w14:textId="77777777" w:rsidR="00351BE8" w:rsidRDefault="0052315A">
      <w:r>
        <w:t>16.4</w:t>
      </w:r>
      <w:r>
        <w:tab/>
        <w:t>Responsibility for costs will be at the:</w:t>
      </w:r>
    </w:p>
    <w:p w14:paraId="3DEBBC82" w14:textId="77777777" w:rsidR="00351BE8" w:rsidRDefault="0052315A">
      <w:r>
        <w:tab/>
      </w:r>
    </w:p>
    <w:p w14:paraId="3DEBBC83" w14:textId="77777777" w:rsidR="00351BE8" w:rsidRDefault="0052315A">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DEBBC84" w14:textId="77777777" w:rsidR="00351BE8" w:rsidRDefault="00351BE8">
      <w:pPr>
        <w:ind w:left="1440"/>
      </w:pPr>
    </w:p>
    <w:p w14:paraId="3DEBBC85" w14:textId="77777777" w:rsidR="00351BE8" w:rsidRDefault="0052315A">
      <w:pPr>
        <w:ind w:left="1440" w:hanging="720"/>
      </w:pPr>
      <w:r>
        <w:t>16.4.2</w:t>
      </w:r>
      <w:r>
        <w:tab/>
        <w:t>Buyer’s expense if the Malicious Software originates from the Buyer software or the Service Data, while the Service Data was under the Buyer’s control</w:t>
      </w:r>
    </w:p>
    <w:p w14:paraId="3DEBBC86" w14:textId="77777777" w:rsidR="00351BE8" w:rsidRDefault="00351BE8">
      <w:pPr>
        <w:ind w:left="720" w:firstLine="720"/>
      </w:pPr>
    </w:p>
    <w:p w14:paraId="3DEBBC87" w14:textId="77777777" w:rsidR="00351BE8" w:rsidRDefault="0052315A">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3DEBBC88" w14:textId="77777777" w:rsidR="00351BE8" w:rsidRDefault="00351BE8">
      <w:pPr>
        <w:ind w:left="720"/>
      </w:pPr>
    </w:p>
    <w:p w14:paraId="3DEBBC89" w14:textId="77777777" w:rsidR="00351BE8" w:rsidRDefault="0052315A">
      <w:pPr>
        <w:ind w:left="720" w:hanging="720"/>
      </w:pPr>
      <w:r>
        <w:t>16.6</w:t>
      </w:r>
      <w:r>
        <w:tab/>
        <w:t>Any system development by the Supplier should also comply with the government’s ‘10 Steps to Cyber Security’ guidance:</w:t>
      </w:r>
      <w:hyperlink r:id="rId31" w:history="1">
        <w:r>
          <w:rPr>
            <w:color w:val="1155CC"/>
            <w:u w:val="single"/>
          </w:rPr>
          <w:t xml:space="preserve"> </w:t>
        </w:r>
      </w:hyperlink>
    </w:p>
    <w:p w14:paraId="3DEBBC8A" w14:textId="77777777" w:rsidR="00351BE8" w:rsidRDefault="00B778B6">
      <w:pPr>
        <w:ind w:left="720"/>
      </w:pPr>
      <w:hyperlink r:id="rId32" w:history="1">
        <w:r w:rsidR="0052315A">
          <w:rPr>
            <w:color w:val="1155CC"/>
            <w:u w:val="single"/>
          </w:rPr>
          <w:t>https://www.ncsc.gov.uk/guidance/10-steps-cyber-security</w:t>
        </w:r>
      </w:hyperlink>
    </w:p>
    <w:p w14:paraId="3DEBBC8B" w14:textId="77777777" w:rsidR="00351BE8" w:rsidRDefault="00351BE8">
      <w:pPr>
        <w:ind w:left="720"/>
      </w:pPr>
    </w:p>
    <w:p w14:paraId="3DEBBC8C" w14:textId="77777777" w:rsidR="00351BE8" w:rsidRDefault="0052315A">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DEBBC8D" w14:textId="77777777" w:rsidR="00351BE8" w:rsidRDefault="0052315A">
      <w:r>
        <w:t xml:space="preserve"> </w:t>
      </w:r>
    </w:p>
    <w:p w14:paraId="3DEBBC8E" w14:textId="77777777" w:rsidR="00351BE8" w:rsidRDefault="0052315A">
      <w:pPr>
        <w:pStyle w:val="Heading3"/>
      </w:pPr>
      <w:r>
        <w:lastRenderedPageBreak/>
        <w:t>17.</w:t>
      </w:r>
      <w:r>
        <w:tab/>
        <w:t>Guarantee</w:t>
      </w:r>
    </w:p>
    <w:p w14:paraId="3DEBBC8F" w14:textId="77777777" w:rsidR="00351BE8" w:rsidRDefault="0052315A">
      <w:pPr>
        <w:ind w:left="720" w:hanging="720"/>
      </w:pPr>
      <w:r>
        <w:t>17.1</w:t>
      </w:r>
      <w:r>
        <w:tab/>
        <w:t>If this Call-Off Contract is conditional on receipt of a Guarantee that is acceptable to the Buyer, the Supplier must give the Buyer on or before the Start date:</w:t>
      </w:r>
    </w:p>
    <w:p w14:paraId="3DEBBC90" w14:textId="77777777" w:rsidR="00351BE8" w:rsidRDefault="00351BE8">
      <w:pPr>
        <w:ind w:firstLine="720"/>
      </w:pPr>
    </w:p>
    <w:p w14:paraId="3DEBBC91" w14:textId="77777777" w:rsidR="00351BE8" w:rsidRDefault="0052315A">
      <w:pPr>
        <w:ind w:firstLine="720"/>
      </w:pPr>
      <w:r>
        <w:t>17.1.1</w:t>
      </w:r>
      <w:r>
        <w:tab/>
        <w:t>an executed Guarantee in the form at Schedule 5</w:t>
      </w:r>
    </w:p>
    <w:p w14:paraId="3DEBBC92" w14:textId="77777777" w:rsidR="00351BE8" w:rsidRDefault="00351BE8"/>
    <w:p w14:paraId="3DEBBC93" w14:textId="77777777" w:rsidR="00351BE8" w:rsidRDefault="0052315A">
      <w:pPr>
        <w:ind w:left="1440" w:hanging="720"/>
      </w:pPr>
      <w:r>
        <w:t>17.1.2</w:t>
      </w:r>
      <w:r>
        <w:tab/>
        <w:t>a certified copy of the passed resolution or board minutes of the guarantor approving the execution of the Guarantee</w:t>
      </w:r>
    </w:p>
    <w:p w14:paraId="3DEBBC94" w14:textId="77777777" w:rsidR="00351BE8" w:rsidRDefault="00351BE8">
      <w:pPr>
        <w:ind w:left="720" w:firstLine="720"/>
      </w:pPr>
    </w:p>
    <w:p w14:paraId="3DEBBC95" w14:textId="77777777" w:rsidR="00351BE8" w:rsidRDefault="0052315A">
      <w:pPr>
        <w:pStyle w:val="Heading3"/>
      </w:pPr>
      <w:r>
        <w:t>18.</w:t>
      </w:r>
      <w:r>
        <w:tab/>
        <w:t>Ending the Call-Off Contract</w:t>
      </w:r>
    </w:p>
    <w:p w14:paraId="3DEBBC96" w14:textId="77777777" w:rsidR="00351BE8" w:rsidRDefault="0052315A">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3DEBBC97" w14:textId="77777777" w:rsidR="00351BE8" w:rsidRDefault="00351BE8">
      <w:pPr>
        <w:ind w:left="720"/>
      </w:pPr>
    </w:p>
    <w:p w14:paraId="3DEBBC98" w14:textId="77777777" w:rsidR="00351BE8" w:rsidRDefault="0052315A">
      <w:r>
        <w:t>18.2</w:t>
      </w:r>
      <w:r>
        <w:tab/>
        <w:t>The Parties agree that the:</w:t>
      </w:r>
    </w:p>
    <w:p w14:paraId="3DEBBC99" w14:textId="77777777" w:rsidR="00351BE8" w:rsidRDefault="00351BE8"/>
    <w:p w14:paraId="3DEBBC9A" w14:textId="77777777" w:rsidR="00351BE8" w:rsidRDefault="0052315A">
      <w:pPr>
        <w:ind w:left="1440" w:hanging="720"/>
      </w:pPr>
      <w:r>
        <w:t>18.2.1</w:t>
      </w:r>
      <w:r>
        <w:tab/>
        <w:t>Buyer’s right to End the Call-Off Contract under clause 18.1 is reasonable considering the type of cloud Service being provided</w:t>
      </w:r>
    </w:p>
    <w:p w14:paraId="3DEBBC9B" w14:textId="77777777" w:rsidR="00351BE8" w:rsidRDefault="00351BE8">
      <w:pPr>
        <w:ind w:left="720"/>
      </w:pPr>
    </w:p>
    <w:p w14:paraId="3DEBBC9C" w14:textId="77777777" w:rsidR="00351BE8" w:rsidRDefault="0052315A">
      <w:pPr>
        <w:ind w:left="1440" w:hanging="720"/>
      </w:pPr>
      <w:r>
        <w:t>18.2.2</w:t>
      </w:r>
      <w:r>
        <w:tab/>
        <w:t>Call-Off Contract Charges paid during the notice period is reasonable compensation and covers all the Supplier’s avoidable costs or Losses</w:t>
      </w:r>
    </w:p>
    <w:p w14:paraId="3DEBBC9D" w14:textId="77777777" w:rsidR="00351BE8" w:rsidRDefault="00351BE8">
      <w:pPr>
        <w:ind w:left="720" w:firstLine="720"/>
      </w:pPr>
    </w:p>
    <w:p w14:paraId="3DEBBC9E" w14:textId="77777777" w:rsidR="00351BE8" w:rsidRDefault="0052315A">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DEBBC9F" w14:textId="77777777" w:rsidR="00351BE8" w:rsidRDefault="00351BE8">
      <w:pPr>
        <w:ind w:left="720"/>
      </w:pPr>
    </w:p>
    <w:p w14:paraId="3DEBBCA0" w14:textId="77777777" w:rsidR="00351BE8" w:rsidRDefault="0052315A">
      <w:pPr>
        <w:ind w:left="720" w:hanging="720"/>
      </w:pPr>
      <w:r>
        <w:t>18.4</w:t>
      </w:r>
      <w:r>
        <w:tab/>
        <w:t>The Buyer will have the right to End this Call-Off Contract at any time with immediate effect by written notice to the Supplier if either the Supplier commits:</w:t>
      </w:r>
    </w:p>
    <w:p w14:paraId="3DEBBCA1" w14:textId="77777777" w:rsidR="00351BE8" w:rsidRDefault="00351BE8">
      <w:pPr>
        <w:ind w:firstLine="720"/>
      </w:pPr>
    </w:p>
    <w:p w14:paraId="3DEBBCA2" w14:textId="77777777" w:rsidR="00351BE8" w:rsidRDefault="0052315A">
      <w:pPr>
        <w:ind w:left="1440" w:hanging="720"/>
      </w:pPr>
      <w:r>
        <w:t>18.4.1</w:t>
      </w:r>
      <w:r>
        <w:tab/>
        <w:t>a Supplier Default and if the Supplier Default cannot, in the reasonable opinion of the Buyer, be remedied</w:t>
      </w:r>
    </w:p>
    <w:p w14:paraId="3DEBBCA3" w14:textId="77777777" w:rsidR="00351BE8" w:rsidRDefault="00351BE8">
      <w:pPr>
        <w:ind w:left="720" w:firstLine="720"/>
      </w:pPr>
    </w:p>
    <w:p w14:paraId="3DEBBCA4" w14:textId="77777777" w:rsidR="00351BE8" w:rsidRDefault="0052315A">
      <w:pPr>
        <w:ind w:firstLine="720"/>
      </w:pPr>
      <w:r>
        <w:t>18.4.2</w:t>
      </w:r>
      <w:r>
        <w:tab/>
        <w:t>any fraud</w:t>
      </w:r>
    </w:p>
    <w:p w14:paraId="3DEBBCA5" w14:textId="77777777" w:rsidR="00351BE8" w:rsidRDefault="00351BE8">
      <w:pPr>
        <w:ind w:firstLine="720"/>
      </w:pPr>
    </w:p>
    <w:p w14:paraId="3DEBBCA6" w14:textId="77777777" w:rsidR="00351BE8" w:rsidRDefault="0052315A">
      <w:r>
        <w:t>18.5</w:t>
      </w:r>
      <w:r>
        <w:tab/>
        <w:t>A Party can End this Call-Off Contract at any time with immediate effect by written notice if:</w:t>
      </w:r>
    </w:p>
    <w:p w14:paraId="3DEBBCA7" w14:textId="77777777" w:rsidR="00351BE8" w:rsidRDefault="00351BE8">
      <w:pPr>
        <w:ind w:firstLine="720"/>
      </w:pPr>
    </w:p>
    <w:p w14:paraId="3DEBBCA8" w14:textId="77777777" w:rsidR="00351BE8" w:rsidRDefault="0052315A">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3DEBBCA9" w14:textId="77777777" w:rsidR="00351BE8" w:rsidRDefault="00351BE8">
      <w:pPr>
        <w:ind w:left="1440"/>
      </w:pPr>
    </w:p>
    <w:p w14:paraId="3DEBBCAA" w14:textId="77777777" w:rsidR="00351BE8" w:rsidRDefault="0052315A">
      <w:pPr>
        <w:ind w:firstLine="720"/>
      </w:pPr>
      <w:r>
        <w:t>18.5.2</w:t>
      </w:r>
      <w:r>
        <w:tab/>
        <w:t>an Insolvency Event of the other Party happens</w:t>
      </w:r>
    </w:p>
    <w:p w14:paraId="3DEBBCAB" w14:textId="77777777" w:rsidR="00351BE8" w:rsidRDefault="00351BE8">
      <w:pPr>
        <w:ind w:firstLine="720"/>
      </w:pPr>
    </w:p>
    <w:p w14:paraId="3DEBBCAC" w14:textId="77777777" w:rsidR="00351BE8" w:rsidRDefault="0052315A">
      <w:pPr>
        <w:ind w:left="1440" w:hanging="720"/>
      </w:pPr>
      <w:r>
        <w:t>18.5.3</w:t>
      </w:r>
      <w:r>
        <w:tab/>
        <w:t>the other Party ceases or threatens to cease to carry on the whole or any material part of its business</w:t>
      </w:r>
    </w:p>
    <w:p w14:paraId="3DEBBCAD" w14:textId="77777777" w:rsidR="00351BE8" w:rsidRDefault="00351BE8">
      <w:pPr>
        <w:ind w:left="720" w:firstLine="720"/>
      </w:pPr>
    </w:p>
    <w:p w14:paraId="3DEBBCAE" w14:textId="77777777" w:rsidR="00351BE8" w:rsidRDefault="0052315A">
      <w:pPr>
        <w:ind w:left="720" w:hanging="720"/>
      </w:pPr>
      <w:r>
        <w:lastRenderedPageBreak/>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DEBBCAF" w14:textId="77777777" w:rsidR="00351BE8" w:rsidRDefault="00351BE8">
      <w:pPr>
        <w:ind w:left="720"/>
      </w:pPr>
    </w:p>
    <w:p w14:paraId="3DEBBCB0" w14:textId="77777777" w:rsidR="00351BE8" w:rsidRDefault="0052315A">
      <w:pPr>
        <w:ind w:left="720" w:hanging="720"/>
      </w:pPr>
      <w:r>
        <w:t>18.7</w:t>
      </w:r>
      <w:r>
        <w:tab/>
        <w:t>A Party who isn’t relying on a Force Majeure event will have the right to End this Call-Off Contract if clause 23.1 applies.</w:t>
      </w:r>
    </w:p>
    <w:p w14:paraId="3DEBBCB1" w14:textId="77777777" w:rsidR="00351BE8" w:rsidRDefault="0052315A">
      <w:pPr>
        <w:ind w:left="720" w:hanging="720"/>
      </w:pPr>
      <w:r>
        <w:t xml:space="preserve"> </w:t>
      </w:r>
    </w:p>
    <w:p w14:paraId="3DEBBCB2" w14:textId="77777777" w:rsidR="00351BE8" w:rsidRDefault="0052315A">
      <w:pPr>
        <w:pStyle w:val="Heading3"/>
      </w:pPr>
      <w:r>
        <w:t>19.</w:t>
      </w:r>
      <w:r>
        <w:tab/>
        <w:t>Consequences of suspension, ending and expiry</w:t>
      </w:r>
    </w:p>
    <w:p w14:paraId="3DEBBCB3" w14:textId="77777777" w:rsidR="00351BE8" w:rsidRDefault="0052315A">
      <w:pPr>
        <w:ind w:left="720" w:hanging="720"/>
      </w:pPr>
      <w:r>
        <w:t>19.1</w:t>
      </w:r>
      <w:r>
        <w:tab/>
        <w:t>If a Buyer has the right to End a Call-Off Contract, it may elect to suspend this Call-Off Contract or any part of it.</w:t>
      </w:r>
    </w:p>
    <w:p w14:paraId="3DEBBCB4" w14:textId="77777777" w:rsidR="00351BE8" w:rsidRDefault="00351BE8"/>
    <w:p w14:paraId="3DEBBCB5" w14:textId="77777777" w:rsidR="00351BE8" w:rsidRDefault="0052315A">
      <w:pPr>
        <w:ind w:left="720" w:hanging="720"/>
      </w:pPr>
      <w:r>
        <w:t>19.2</w:t>
      </w:r>
      <w:r>
        <w:tab/>
        <w:t>Even if a notice has been served to End this Call-Off Contract or any part of it, the Supplier must continue to provide the Ordered G-Cloud Services until the dates set out in the notice.</w:t>
      </w:r>
    </w:p>
    <w:p w14:paraId="3DEBBCB6" w14:textId="77777777" w:rsidR="00351BE8" w:rsidRDefault="00351BE8">
      <w:pPr>
        <w:ind w:left="720" w:hanging="720"/>
      </w:pPr>
    </w:p>
    <w:p w14:paraId="3DEBBCB7" w14:textId="77777777" w:rsidR="00351BE8" w:rsidRDefault="0052315A">
      <w:pPr>
        <w:ind w:left="720" w:hanging="720"/>
      </w:pPr>
      <w:r>
        <w:t>19.3</w:t>
      </w:r>
      <w:r>
        <w:tab/>
        <w:t>The rights and obligations of the Parties will cease on the Expiry Date or End Date whichever applies) of this Call-Off Contract, except those continuing provisions described in clause 19.4.</w:t>
      </w:r>
    </w:p>
    <w:p w14:paraId="3DEBBCB8" w14:textId="77777777" w:rsidR="00351BE8" w:rsidRDefault="00351BE8"/>
    <w:p w14:paraId="3DEBBCB9" w14:textId="77777777" w:rsidR="00351BE8" w:rsidRDefault="0052315A">
      <w:r>
        <w:t>19.4</w:t>
      </w:r>
      <w:r>
        <w:tab/>
        <w:t>Ending or expiry of this Call-Off Contract will not affect:</w:t>
      </w:r>
    </w:p>
    <w:p w14:paraId="3DEBBCBA" w14:textId="77777777" w:rsidR="00351BE8" w:rsidRDefault="00351BE8"/>
    <w:p w14:paraId="3DEBBCBB" w14:textId="77777777" w:rsidR="00351BE8" w:rsidRDefault="0052315A">
      <w:pPr>
        <w:ind w:firstLine="720"/>
      </w:pPr>
      <w:r>
        <w:t>19.4.1</w:t>
      </w:r>
      <w:r>
        <w:tab/>
        <w:t>any rights, remedies or obligations accrued before its Ending or expiration</w:t>
      </w:r>
    </w:p>
    <w:p w14:paraId="3DEBBCBC" w14:textId="77777777" w:rsidR="00351BE8" w:rsidRDefault="00351BE8"/>
    <w:p w14:paraId="3DEBBCBD" w14:textId="77777777" w:rsidR="00351BE8" w:rsidRDefault="0052315A">
      <w:pPr>
        <w:ind w:left="1440" w:hanging="720"/>
      </w:pPr>
      <w:r>
        <w:t>19.4.2</w:t>
      </w:r>
      <w:r>
        <w:tab/>
        <w:t>the right of either Party to recover any amount outstanding at the time of Ending or expiry</w:t>
      </w:r>
    </w:p>
    <w:p w14:paraId="3DEBBCBE" w14:textId="77777777" w:rsidR="00351BE8" w:rsidRDefault="00351BE8"/>
    <w:p w14:paraId="3DEBBCBF" w14:textId="77777777" w:rsidR="00351BE8" w:rsidRDefault="0052315A">
      <w:pPr>
        <w:ind w:left="1440" w:hanging="720"/>
      </w:pPr>
      <w:r>
        <w:t>19.4.3</w:t>
      </w:r>
      <w:r>
        <w:tab/>
        <w:t>the continuing rights, remedies or obligations of the Buyer or the Supplier under clauses</w:t>
      </w:r>
    </w:p>
    <w:p w14:paraId="3DEBBCC0" w14:textId="77777777" w:rsidR="00351BE8" w:rsidRDefault="0052315A">
      <w:pPr>
        <w:pStyle w:val="ListParagraph"/>
        <w:numPr>
          <w:ilvl w:val="1"/>
          <w:numId w:val="17"/>
        </w:numPr>
      </w:pPr>
      <w:r>
        <w:t>7 (Payment, VAT and Call-Off Contract charges)</w:t>
      </w:r>
    </w:p>
    <w:p w14:paraId="3DEBBCC1" w14:textId="77777777" w:rsidR="00351BE8" w:rsidRDefault="0052315A">
      <w:pPr>
        <w:pStyle w:val="ListParagraph"/>
        <w:numPr>
          <w:ilvl w:val="1"/>
          <w:numId w:val="17"/>
        </w:numPr>
      </w:pPr>
      <w:r>
        <w:t>8 (Recovery of sums due and right of set-off)</w:t>
      </w:r>
    </w:p>
    <w:p w14:paraId="3DEBBCC2" w14:textId="77777777" w:rsidR="00351BE8" w:rsidRDefault="0052315A">
      <w:pPr>
        <w:pStyle w:val="ListParagraph"/>
        <w:numPr>
          <w:ilvl w:val="1"/>
          <w:numId w:val="17"/>
        </w:numPr>
      </w:pPr>
      <w:r>
        <w:t>9 (Insurance)</w:t>
      </w:r>
    </w:p>
    <w:p w14:paraId="3DEBBCC3" w14:textId="77777777" w:rsidR="00351BE8" w:rsidRDefault="0052315A">
      <w:pPr>
        <w:pStyle w:val="ListParagraph"/>
        <w:numPr>
          <w:ilvl w:val="1"/>
          <w:numId w:val="17"/>
        </w:numPr>
      </w:pPr>
      <w:r>
        <w:t>10 (Confidentiality)</w:t>
      </w:r>
    </w:p>
    <w:p w14:paraId="3DEBBCC4" w14:textId="77777777" w:rsidR="00351BE8" w:rsidRDefault="0052315A">
      <w:pPr>
        <w:pStyle w:val="ListParagraph"/>
        <w:numPr>
          <w:ilvl w:val="1"/>
          <w:numId w:val="17"/>
        </w:numPr>
      </w:pPr>
      <w:r>
        <w:t>11 (Intellectual property rights)</w:t>
      </w:r>
    </w:p>
    <w:p w14:paraId="3DEBBCC5" w14:textId="77777777" w:rsidR="00351BE8" w:rsidRDefault="0052315A">
      <w:pPr>
        <w:pStyle w:val="ListParagraph"/>
        <w:numPr>
          <w:ilvl w:val="1"/>
          <w:numId w:val="17"/>
        </w:numPr>
      </w:pPr>
      <w:r>
        <w:t>12 (Protection of information)</w:t>
      </w:r>
    </w:p>
    <w:p w14:paraId="3DEBBCC6" w14:textId="77777777" w:rsidR="00351BE8" w:rsidRDefault="0052315A">
      <w:pPr>
        <w:pStyle w:val="ListParagraph"/>
        <w:numPr>
          <w:ilvl w:val="1"/>
          <w:numId w:val="17"/>
        </w:numPr>
      </w:pPr>
      <w:r>
        <w:t>13 (Buyer data)</w:t>
      </w:r>
    </w:p>
    <w:p w14:paraId="3DEBBCC7" w14:textId="77777777" w:rsidR="00351BE8" w:rsidRDefault="0052315A">
      <w:pPr>
        <w:pStyle w:val="ListParagraph"/>
        <w:numPr>
          <w:ilvl w:val="1"/>
          <w:numId w:val="17"/>
        </w:numPr>
      </w:pPr>
      <w:r>
        <w:t>19 (Consequences of suspension, ending and expiry)</w:t>
      </w:r>
    </w:p>
    <w:p w14:paraId="3DEBBCC8" w14:textId="77777777" w:rsidR="00351BE8" w:rsidRDefault="0052315A">
      <w:pPr>
        <w:pStyle w:val="ListParagraph"/>
        <w:numPr>
          <w:ilvl w:val="1"/>
          <w:numId w:val="17"/>
        </w:numPr>
      </w:pPr>
      <w:r>
        <w:t>24 (Liability); incorporated Framework Agreement clauses: 4.2 to 4.7 (Liability)</w:t>
      </w:r>
    </w:p>
    <w:p w14:paraId="3DEBBCC9" w14:textId="77777777" w:rsidR="00351BE8" w:rsidRDefault="0052315A">
      <w:pPr>
        <w:pStyle w:val="ListParagraph"/>
        <w:numPr>
          <w:ilvl w:val="1"/>
          <w:numId w:val="17"/>
        </w:numPr>
      </w:pPr>
      <w:r>
        <w:t>8.44 to 8.50 (Conflicts of interest and ethical walls)</w:t>
      </w:r>
    </w:p>
    <w:p w14:paraId="3DEBBCCA" w14:textId="77777777" w:rsidR="00351BE8" w:rsidRDefault="0052315A">
      <w:pPr>
        <w:pStyle w:val="ListParagraph"/>
        <w:numPr>
          <w:ilvl w:val="1"/>
          <w:numId w:val="17"/>
        </w:numPr>
      </w:pPr>
      <w:r>
        <w:t>8.89 to 8.90 (Waiver and cumulative remedies)</w:t>
      </w:r>
    </w:p>
    <w:p w14:paraId="3DEBBCCB" w14:textId="77777777" w:rsidR="00351BE8" w:rsidRDefault="00351BE8">
      <w:pPr>
        <w:ind w:firstLine="720"/>
      </w:pPr>
    </w:p>
    <w:p w14:paraId="3DEBBCCC" w14:textId="77777777" w:rsidR="00351BE8" w:rsidRDefault="0052315A">
      <w:pPr>
        <w:ind w:left="1440" w:hanging="720"/>
      </w:pPr>
      <w:r>
        <w:t>19.4.4</w:t>
      </w:r>
      <w:r>
        <w:tab/>
        <w:t>any other provision of the Framework Agreement or this Call-Off Contract which expressly or by implication is in force even if it Ends or expires</w:t>
      </w:r>
    </w:p>
    <w:p w14:paraId="3DEBBCCD" w14:textId="77777777" w:rsidR="00351BE8" w:rsidRDefault="0052315A">
      <w:r>
        <w:t xml:space="preserve"> </w:t>
      </w:r>
    </w:p>
    <w:p w14:paraId="3DEBBCCE" w14:textId="77777777" w:rsidR="00351BE8" w:rsidRDefault="0052315A">
      <w:r>
        <w:t>19.5</w:t>
      </w:r>
      <w:r>
        <w:tab/>
        <w:t>At the end of the Call-Off Contract Term, the Supplier must promptly:</w:t>
      </w:r>
    </w:p>
    <w:p w14:paraId="3DEBBCCF" w14:textId="77777777" w:rsidR="00351BE8" w:rsidRDefault="00351BE8"/>
    <w:p w14:paraId="3DEBBCD0" w14:textId="77777777" w:rsidR="00351BE8" w:rsidRDefault="0052315A">
      <w:pPr>
        <w:ind w:left="1440" w:hanging="720"/>
      </w:pPr>
      <w:r>
        <w:t>19.5.1</w:t>
      </w:r>
      <w:r>
        <w:tab/>
        <w:t>return all Buyer Data including all copies of Buyer software, code and any other software licensed by the Buyer to the Supplier under it</w:t>
      </w:r>
    </w:p>
    <w:p w14:paraId="3DEBBCD1" w14:textId="77777777" w:rsidR="00351BE8" w:rsidRDefault="00351BE8">
      <w:pPr>
        <w:ind w:firstLine="720"/>
      </w:pPr>
    </w:p>
    <w:p w14:paraId="3DEBBCD2" w14:textId="77777777" w:rsidR="00351BE8" w:rsidRDefault="0052315A">
      <w:pPr>
        <w:ind w:left="1440" w:hanging="720"/>
      </w:pPr>
      <w:r>
        <w:t>19.5.2</w:t>
      </w:r>
      <w:r>
        <w:tab/>
        <w:t>return any materials created by the Supplier under this Call-Off Contract if the IPRs are owned by the Buyer</w:t>
      </w:r>
    </w:p>
    <w:p w14:paraId="3DEBBCD3" w14:textId="77777777" w:rsidR="00351BE8" w:rsidRDefault="00351BE8">
      <w:pPr>
        <w:ind w:firstLine="720"/>
      </w:pPr>
    </w:p>
    <w:p w14:paraId="3DEBBCD4" w14:textId="77777777" w:rsidR="00351BE8" w:rsidRDefault="0052315A">
      <w:pPr>
        <w:ind w:left="1440" w:hanging="720"/>
      </w:pPr>
      <w:r>
        <w:t>19.5.3</w:t>
      </w:r>
      <w:r>
        <w:tab/>
        <w:t>stop using the Buyer Data and, at the direction of the Buyer, provide the Buyer with a complete and uncorrupted version in electronic form in the formats and on media agreed with the Buyer</w:t>
      </w:r>
    </w:p>
    <w:p w14:paraId="3DEBBCD5" w14:textId="77777777" w:rsidR="00351BE8" w:rsidRDefault="00351BE8">
      <w:pPr>
        <w:ind w:firstLine="720"/>
      </w:pPr>
    </w:p>
    <w:p w14:paraId="3DEBBCD6" w14:textId="77777777" w:rsidR="00351BE8" w:rsidRDefault="0052315A">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DEBBCD7" w14:textId="77777777" w:rsidR="00351BE8" w:rsidRDefault="00351BE8">
      <w:pPr>
        <w:ind w:left="720"/>
      </w:pPr>
    </w:p>
    <w:p w14:paraId="3DEBBCD8" w14:textId="77777777" w:rsidR="00351BE8" w:rsidRDefault="0052315A">
      <w:pPr>
        <w:ind w:firstLine="720"/>
      </w:pPr>
      <w:r>
        <w:t>19.5.5</w:t>
      </w:r>
      <w:r>
        <w:tab/>
        <w:t>work with the Buyer on any ongoing work</w:t>
      </w:r>
    </w:p>
    <w:p w14:paraId="3DEBBCD9" w14:textId="77777777" w:rsidR="00351BE8" w:rsidRDefault="00351BE8"/>
    <w:p w14:paraId="3DEBBCDA" w14:textId="77777777" w:rsidR="00351BE8" w:rsidRDefault="0052315A">
      <w:pPr>
        <w:ind w:left="1440" w:hanging="720"/>
      </w:pPr>
      <w:r>
        <w:t>19.5.6</w:t>
      </w:r>
      <w:r>
        <w:tab/>
        <w:t>return any sums prepaid for Services which have not been delivered to the Buyer, within 10 Working Days of the End or Expiry Date</w:t>
      </w:r>
    </w:p>
    <w:p w14:paraId="3DEBBCDB" w14:textId="77777777" w:rsidR="00351BE8" w:rsidRDefault="00351BE8">
      <w:pPr>
        <w:ind w:firstLine="720"/>
      </w:pPr>
    </w:p>
    <w:p w14:paraId="3DEBBCDC" w14:textId="77777777" w:rsidR="00351BE8" w:rsidRDefault="00351BE8"/>
    <w:p w14:paraId="3DEBBCDD" w14:textId="77777777" w:rsidR="00351BE8" w:rsidRDefault="0052315A">
      <w:pPr>
        <w:ind w:left="720" w:hanging="720"/>
      </w:pPr>
      <w:r>
        <w:t>19.6</w:t>
      </w:r>
      <w:r>
        <w:tab/>
        <w:t>Each Party will return all of the other Party’s Confidential Information and confirm this has been done, unless there is a legal requirement to keep it or this Call-Off Contract states otherwise.</w:t>
      </w:r>
    </w:p>
    <w:p w14:paraId="3DEBBCDE" w14:textId="77777777" w:rsidR="00351BE8" w:rsidRDefault="00351BE8">
      <w:pPr>
        <w:ind w:left="720"/>
      </w:pPr>
    </w:p>
    <w:p w14:paraId="3DEBBCDF" w14:textId="77777777" w:rsidR="00351BE8" w:rsidRDefault="0052315A">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3DEBBCE0" w14:textId="77777777" w:rsidR="00351BE8" w:rsidRDefault="00351BE8"/>
    <w:p w14:paraId="3DEBBCE1" w14:textId="77777777" w:rsidR="00351BE8" w:rsidRDefault="0052315A">
      <w:pPr>
        <w:pStyle w:val="Heading3"/>
      </w:pPr>
      <w:r>
        <w:t>20.</w:t>
      </w:r>
      <w:r>
        <w:tab/>
        <w:t>Notices</w:t>
      </w:r>
    </w:p>
    <w:p w14:paraId="3DEBBCE2" w14:textId="77777777" w:rsidR="00351BE8" w:rsidRDefault="0052315A">
      <w:pPr>
        <w:ind w:left="720" w:hanging="720"/>
      </w:pPr>
      <w:r>
        <w:t>20.1</w:t>
      </w:r>
      <w:r>
        <w:tab/>
        <w:t>Any notices sent must be in writing. For the purpose of this clause, an email is accepted as being 'in writing'.</w:t>
      </w:r>
    </w:p>
    <w:p w14:paraId="3DEBBCE3" w14:textId="77777777" w:rsidR="00351BE8" w:rsidRDefault="00351BE8">
      <w:pPr>
        <w:ind w:left="720" w:hanging="720"/>
      </w:pPr>
    </w:p>
    <w:p w14:paraId="3DEBBCE4" w14:textId="77777777" w:rsidR="00351BE8" w:rsidRDefault="0052315A">
      <w:pPr>
        <w:pStyle w:val="ListParagraph"/>
        <w:numPr>
          <w:ilvl w:val="0"/>
          <w:numId w:val="18"/>
        </w:numPr>
        <w:spacing w:after="120" w:line="360" w:lineRule="auto"/>
      </w:pPr>
      <w:r>
        <w:t>Manner of delivery: email</w:t>
      </w:r>
    </w:p>
    <w:p w14:paraId="3DEBBCE5" w14:textId="77777777" w:rsidR="00351BE8" w:rsidRDefault="0052315A">
      <w:pPr>
        <w:pStyle w:val="ListParagraph"/>
        <w:numPr>
          <w:ilvl w:val="0"/>
          <w:numId w:val="18"/>
        </w:numPr>
        <w:spacing w:line="360" w:lineRule="auto"/>
      </w:pPr>
      <w:r>
        <w:t>Deemed time of delivery: 9am on the first Working Day after sending</w:t>
      </w:r>
    </w:p>
    <w:p w14:paraId="3DEBBCE6" w14:textId="77777777" w:rsidR="00351BE8" w:rsidRDefault="0052315A">
      <w:pPr>
        <w:pStyle w:val="ListParagraph"/>
        <w:numPr>
          <w:ilvl w:val="0"/>
          <w:numId w:val="18"/>
        </w:numPr>
      </w:pPr>
      <w:r>
        <w:t>Proof of service: Sent in an emailed letter in PDF format to the correct email address without any error message</w:t>
      </w:r>
    </w:p>
    <w:p w14:paraId="3DEBBCE7" w14:textId="77777777" w:rsidR="00351BE8" w:rsidRDefault="00351BE8"/>
    <w:p w14:paraId="3DEBBCE8" w14:textId="77777777" w:rsidR="00351BE8" w:rsidRDefault="0052315A">
      <w:pPr>
        <w:ind w:left="720" w:hanging="720"/>
      </w:pPr>
      <w:r>
        <w:t>20.2</w:t>
      </w:r>
      <w:r>
        <w:tab/>
        <w:t>This clause does not apply to any legal action or other method of dispute resolution which should be sent to the addresses in the Order Form (other than a dispute notice under this Call-Off Contract).</w:t>
      </w:r>
    </w:p>
    <w:p w14:paraId="3DEBBCE9" w14:textId="77777777" w:rsidR="00351BE8" w:rsidRDefault="00351BE8">
      <w:pPr>
        <w:spacing w:before="240" w:after="240"/>
        <w:ind w:left="720"/>
      </w:pPr>
    </w:p>
    <w:p w14:paraId="3DEBBCEA" w14:textId="77777777" w:rsidR="00351BE8" w:rsidRDefault="0052315A">
      <w:pPr>
        <w:pStyle w:val="Heading3"/>
      </w:pPr>
      <w:r>
        <w:t>21.</w:t>
      </w:r>
      <w:r>
        <w:tab/>
        <w:t>Exit plan</w:t>
      </w:r>
    </w:p>
    <w:p w14:paraId="3DEBBCEB" w14:textId="77777777" w:rsidR="00351BE8" w:rsidRDefault="0052315A">
      <w:pPr>
        <w:ind w:left="720" w:hanging="720"/>
      </w:pPr>
      <w:r>
        <w:t>21.1</w:t>
      </w:r>
      <w:r>
        <w:tab/>
        <w:t>The Supplier must provide an exit plan in its Application which ensures continuity of service and the Supplier will follow it.</w:t>
      </w:r>
    </w:p>
    <w:p w14:paraId="3DEBBCEC" w14:textId="77777777" w:rsidR="00351BE8" w:rsidRDefault="00351BE8">
      <w:pPr>
        <w:ind w:firstLine="720"/>
      </w:pPr>
    </w:p>
    <w:p w14:paraId="3DEBBCED" w14:textId="77777777" w:rsidR="00351BE8" w:rsidRDefault="0052315A">
      <w:pPr>
        <w:ind w:left="720" w:hanging="720"/>
      </w:pPr>
      <w:r>
        <w:lastRenderedPageBreak/>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DEBBCEE" w14:textId="77777777" w:rsidR="00351BE8" w:rsidRDefault="00351BE8">
      <w:pPr>
        <w:ind w:left="720"/>
      </w:pPr>
    </w:p>
    <w:p w14:paraId="3DEBBCEF" w14:textId="77777777" w:rsidR="00351BE8" w:rsidRDefault="0052315A">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3DEBBCF0" w14:textId="77777777" w:rsidR="00351BE8" w:rsidRDefault="00351BE8">
      <w:pPr>
        <w:ind w:left="720"/>
      </w:pPr>
    </w:p>
    <w:p w14:paraId="3DEBBCF1" w14:textId="77777777" w:rsidR="00351BE8" w:rsidRDefault="0052315A">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DEBBCF2" w14:textId="77777777" w:rsidR="00351BE8" w:rsidRDefault="00351BE8">
      <w:pPr>
        <w:ind w:left="720"/>
      </w:pPr>
    </w:p>
    <w:p w14:paraId="3DEBBCF3" w14:textId="77777777" w:rsidR="00351BE8" w:rsidRDefault="0052315A">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3DEBBCF4" w14:textId="77777777" w:rsidR="00351BE8" w:rsidRDefault="00351BE8">
      <w:pPr>
        <w:ind w:left="720"/>
      </w:pPr>
    </w:p>
    <w:p w14:paraId="3DEBBCF5" w14:textId="77777777" w:rsidR="00351BE8" w:rsidRDefault="0052315A">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DEBBCF6" w14:textId="77777777" w:rsidR="00351BE8" w:rsidRDefault="00351BE8">
      <w:pPr>
        <w:ind w:left="720"/>
      </w:pPr>
    </w:p>
    <w:p w14:paraId="3DEBBCF7" w14:textId="77777777" w:rsidR="00351BE8" w:rsidRDefault="0052315A">
      <w:pPr>
        <w:ind w:left="1440" w:hanging="720"/>
      </w:pPr>
      <w:r>
        <w:t>21.6.1</w:t>
      </w:r>
      <w:r>
        <w:tab/>
        <w:t>the Buyer will be able to transfer the Services to a replacement supplier before the expiry or Ending of the extension period on terms that are commercially reasonable and acceptable to the Buyer</w:t>
      </w:r>
    </w:p>
    <w:p w14:paraId="3DEBBCF8" w14:textId="77777777" w:rsidR="00351BE8" w:rsidRDefault="00351BE8"/>
    <w:p w14:paraId="3DEBBCF9" w14:textId="77777777" w:rsidR="00351BE8" w:rsidRDefault="0052315A">
      <w:pPr>
        <w:ind w:firstLine="720"/>
      </w:pPr>
      <w:r>
        <w:t>21.6.2</w:t>
      </w:r>
      <w:r>
        <w:tab/>
        <w:t>there will be no adverse impact on service continuity</w:t>
      </w:r>
    </w:p>
    <w:p w14:paraId="3DEBBCFA" w14:textId="77777777" w:rsidR="00351BE8" w:rsidRDefault="00351BE8">
      <w:pPr>
        <w:ind w:firstLine="720"/>
      </w:pPr>
    </w:p>
    <w:p w14:paraId="3DEBBCFB" w14:textId="77777777" w:rsidR="00351BE8" w:rsidRDefault="0052315A">
      <w:pPr>
        <w:ind w:firstLine="720"/>
      </w:pPr>
      <w:r>
        <w:t>21.6.3</w:t>
      </w:r>
      <w:r>
        <w:tab/>
        <w:t>there is no vendor lock-in to the Supplier’s Service at exit</w:t>
      </w:r>
    </w:p>
    <w:p w14:paraId="3DEBBCFC" w14:textId="77777777" w:rsidR="00351BE8" w:rsidRDefault="00351BE8"/>
    <w:p w14:paraId="3DEBBCFD" w14:textId="77777777" w:rsidR="00351BE8" w:rsidRDefault="0052315A">
      <w:pPr>
        <w:ind w:firstLine="720"/>
      </w:pPr>
      <w:r>
        <w:t>21.6.4</w:t>
      </w:r>
      <w:r>
        <w:tab/>
        <w:t>it enables the Buyer to meet its obligations under the Technology Code Of Practice</w:t>
      </w:r>
    </w:p>
    <w:p w14:paraId="3DEBBCFE" w14:textId="77777777" w:rsidR="00351BE8" w:rsidRDefault="00351BE8">
      <w:pPr>
        <w:ind w:left="720" w:firstLine="720"/>
      </w:pPr>
    </w:p>
    <w:p w14:paraId="3DEBBCFF" w14:textId="77777777" w:rsidR="00351BE8" w:rsidRDefault="0052315A">
      <w:pPr>
        <w:ind w:left="720" w:hanging="720"/>
      </w:pPr>
      <w:r>
        <w:t>21.7</w:t>
      </w:r>
      <w:r>
        <w:tab/>
        <w:t>If approval is obtained by the Buyer to extend the Term, then the Supplier will comply with its obligations in the additional exit plan.</w:t>
      </w:r>
    </w:p>
    <w:p w14:paraId="3DEBBD00" w14:textId="77777777" w:rsidR="00351BE8" w:rsidRDefault="00351BE8">
      <w:pPr>
        <w:ind w:firstLine="720"/>
      </w:pPr>
    </w:p>
    <w:p w14:paraId="3DEBBD01" w14:textId="77777777" w:rsidR="00351BE8" w:rsidRDefault="0052315A">
      <w:pPr>
        <w:ind w:left="720" w:hanging="720"/>
      </w:pPr>
      <w:r>
        <w:t>21.8</w:t>
      </w:r>
      <w:r>
        <w:tab/>
        <w:t>The additional exit plan must set out full details of timescales, activities and roles and responsibilities of the Parties for:</w:t>
      </w:r>
    </w:p>
    <w:p w14:paraId="3DEBBD02" w14:textId="77777777" w:rsidR="00351BE8" w:rsidRDefault="00351BE8">
      <w:pPr>
        <w:ind w:firstLine="720"/>
      </w:pPr>
    </w:p>
    <w:p w14:paraId="3DEBBD03" w14:textId="77777777" w:rsidR="00351BE8" w:rsidRDefault="0052315A">
      <w:pPr>
        <w:ind w:left="1440" w:hanging="720"/>
      </w:pPr>
      <w:r>
        <w:t>21.8.1</w:t>
      </w:r>
      <w:r>
        <w:tab/>
        <w:t>the transfer to the Buyer of any technical information, instructions, manuals and code reasonably required by the Buyer to enable a smooth migration from the Supplier</w:t>
      </w:r>
    </w:p>
    <w:p w14:paraId="3DEBBD04" w14:textId="77777777" w:rsidR="00351BE8" w:rsidRDefault="00351BE8">
      <w:pPr>
        <w:ind w:left="1440"/>
      </w:pPr>
    </w:p>
    <w:p w14:paraId="3DEBBD05" w14:textId="77777777" w:rsidR="00351BE8" w:rsidRDefault="0052315A">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3DEBBD06" w14:textId="77777777" w:rsidR="00351BE8" w:rsidRDefault="00351BE8">
      <w:pPr>
        <w:ind w:left="1440"/>
      </w:pPr>
    </w:p>
    <w:p w14:paraId="3DEBBD07" w14:textId="77777777" w:rsidR="00351BE8" w:rsidRDefault="0052315A">
      <w:pPr>
        <w:ind w:left="1440" w:hanging="720"/>
      </w:pPr>
      <w:r>
        <w:t>21.8.3</w:t>
      </w:r>
      <w:r>
        <w:tab/>
        <w:t>the transfer of Project Specific IPR items and other Buyer customisations, configurations and databases to the Buyer or a replacement supplier</w:t>
      </w:r>
    </w:p>
    <w:p w14:paraId="3DEBBD08" w14:textId="77777777" w:rsidR="00351BE8" w:rsidRDefault="00351BE8">
      <w:pPr>
        <w:ind w:left="720" w:firstLine="720"/>
      </w:pPr>
    </w:p>
    <w:p w14:paraId="3DEBBD09" w14:textId="77777777" w:rsidR="00351BE8" w:rsidRDefault="0052315A">
      <w:pPr>
        <w:ind w:firstLine="720"/>
      </w:pPr>
      <w:r>
        <w:lastRenderedPageBreak/>
        <w:t>21.8.4</w:t>
      </w:r>
      <w:r>
        <w:tab/>
        <w:t>the testing and assurance strategy for exported Buyer Data</w:t>
      </w:r>
    </w:p>
    <w:p w14:paraId="3DEBBD0A" w14:textId="77777777" w:rsidR="00351BE8" w:rsidRDefault="00351BE8">
      <w:pPr>
        <w:ind w:firstLine="720"/>
      </w:pPr>
    </w:p>
    <w:p w14:paraId="3DEBBD0B" w14:textId="77777777" w:rsidR="00351BE8" w:rsidRDefault="0052315A">
      <w:pPr>
        <w:ind w:firstLine="720"/>
      </w:pPr>
      <w:r>
        <w:t>21.8.5</w:t>
      </w:r>
      <w:r>
        <w:tab/>
        <w:t>if relevant, TUPE-related activity to comply with the TUPE regulations</w:t>
      </w:r>
    </w:p>
    <w:p w14:paraId="3DEBBD0C" w14:textId="77777777" w:rsidR="00351BE8" w:rsidRDefault="00351BE8">
      <w:pPr>
        <w:ind w:firstLine="720"/>
      </w:pPr>
    </w:p>
    <w:p w14:paraId="3DEBBD0D" w14:textId="77777777" w:rsidR="00351BE8" w:rsidRDefault="0052315A">
      <w:pPr>
        <w:ind w:left="1440" w:hanging="720"/>
      </w:pPr>
      <w:r>
        <w:t>21.8.6</w:t>
      </w:r>
      <w:r>
        <w:tab/>
        <w:t>any other activities and information which is reasonably required to ensure continuity of Service during the exit period and an orderly transition</w:t>
      </w:r>
    </w:p>
    <w:p w14:paraId="3DEBBD0E" w14:textId="77777777" w:rsidR="00351BE8" w:rsidRDefault="00351BE8"/>
    <w:p w14:paraId="3DEBBD0F" w14:textId="77777777" w:rsidR="00351BE8" w:rsidRDefault="0052315A">
      <w:pPr>
        <w:pStyle w:val="Heading3"/>
      </w:pPr>
      <w:r>
        <w:t>22.</w:t>
      </w:r>
      <w:r>
        <w:tab/>
        <w:t>Handover to replacement supplier</w:t>
      </w:r>
    </w:p>
    <w:p w14:paraId="3DEBBD10" w14:textId="77777777" w:rsidR="00351BE8" w:rsidRDefault="0052315A">
      <w:pPr>
        <w:ind w:left="720" w:hanging="720"/>
      </w:pPr>
      <w:r>
        <w:t>22.1</w:t>
      </w:r>
      <w:r>
        <w:tab/>
        <w:t>At least 10 Working Days before the Expiry Date or End Date, the Supplier must provide any:</w:t>
      </w:r>
    </w:p>
    <w:p w14:paraId="3DEBBD11" w14:textId="77777777" w:rsidR="00351BE8" w:rsidRDefault="00351BE8">
      <w:pPr>
        <w:ind w:firstLine="720"/>
      </w:pPr>
    </w:p>
    <w:p w14:paraId="3DEBBD12" w14:textId="77777777" w:rsidR="00351BE8" w:rsidRDefault="0052315A">
      <w:pPr>
        <w:ind w:left="1440" w:hanging="720"/>
      </w:pPr>
      <w:r>
        <w:t>22.1.1</w:t>
      </w:r>
      <w:r>
        <w:tab/>
        <w:t>data (including Buyer Data), Buyer Personal Data and Buyer Confidential Information in the Supplier’s possession, power or control</w:t>
      </w:r>
    </w:p>
    <w:p w14:paraId="3DEBBD13" w14:textId="77777777" w:rsidR="00351BE8" w:rsidRDefault="00351BE8">
      <w:pPr>
        <w:ind w:left="720" w:firstLine="720"/>
      </w:pPr>
    </w:p>
    <w:p w14:paraId="3DEBBD14" w14:textId="77777777" w:rsidR="00351BE8" w:rsidRDefault="0052315A">
      <w:pPr>
        <w:ind w:firstLine="720"/>
      </w:pPr>
      <w:r>
        <w:t>22.1.2</w:t>
      </w:r>
      <w:r>
        <w:tab/>
        <w:t>other information reasonably requested by the Buyer</w:t>
      </w:r>
    </w:p>
    <w:p w14:paraId="3DEBBD15" w14:textId="77777777" w:rsidR="00351BE8" w:rsidRDefault="00351BE8">
      <w:pPr>
        <w:ind w:firstLine="720"/>
      </w:pPr>
    </w:p>
    <w:p w14:paraId="3DEBBD16" w14:textId="77777777" w:rsidR="00351BE8" w:rsidRDefault="0052315A">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DEBBD17" w14:textId="77777777" w:rsidR="00351BE8" w:rsidRDefault="00351BE8">
      <w:pPr>
        <w:ind w:left="720"/>
      </w:pPr>
    </w:p>
    <w:p w14:paraId="3DEBBD18" w14:textId="77777777" w:rsidR="00351BE8" w:rsidRDefault="0052315A">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DEBBD19" w14:textId="77777777" w:rsidR="00351BE8" w:rsidRDefault="00351BE8">
      <w:pPr>
        <w:ind w:left="720"/>
      </w:pPr>
    </w:p>
    <w:p w14:paraId="3DEBBD1A" w14:textId="77777777" w:rsidR="00351BE8" w:rsidRDefault="0052315A">
      <w:pPr>
        <w:pStyle w:val="Heading3"/>
      </w:pPr>
      <w:r>
        <w:t>23.</w:t>
      </w:r>
      <w:r>
        <w:tab/>
        <w:t>Force majeure</w:t>
      </w:r>
    </w:p>
    <w:p w14:paraId="3DEBBD1B" w14:textId="77777777" w:rsidR="00351BE8" w:rsidRDefault="0052315A">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DEBBD1C" w14:textId="77777777" w:rsidR="00351BE8" w:rsidRDefault="00351BE8">
      <w:pPr>
        <w:ind w:left="720" w:hanging="720"/>
      </w:pPr>
    </w:p>
    <w:p w14:paraId="3DEBBD1D" w14:textId="77777777" w:rsidR="00351BE8" w:rsidRDefault="0052315A">
      <w:pPr>
        <w:pStyle w:val="Heading3"/>
      </w:pPr>
      <w:r>
        <w:t>24.</w:t>
      </w:r>
      <w:r>
        <w:tab/>
        <w:t>Liability</w:t>
      </w:r>
    </w:p>
    <w:p w14:paraId="3DEBBD1E" w14:textId="77777777" w:rsidR="00351BE8" w:rsidRDefault="0052315A">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3DEBBD1F" w14:textId="77777777" w:rsidR="00351BE8" w:rsidRDefault="00351BE8">
      <w:pPr>
        <w:ind w:left="720"/>
      </w:pPr>
    </w:p>
    <w:p w14:paraId="3DEBBD20" w14:textId="77777777" w:rsidR="00351BE8" w:rsidRDefault="0052315A">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3DEBBD21" w14:textId="77777777" w:rsidR="00351BE8" w:rsidRDefault="00351BE8">
      <w:pPr>
        <w:ind w:left="1440"/>
      </w:pPr>
    </w:p>
    <w:p w14:paraId="3DEBBD22" w14:textId="77777777" w:rsidR="00351BE8" w:rsidRDefault="0052315A">
      <w:pPr>
        <w:ind w:left="1440" w:hanging="720"/>
      </w:pPr>
      <w:r>
        <w:t>24.1.2</w:t>
      </w:r>
      <w:r>
        <w:tab/>
        <w:t>Buyer Data: for all Defaults by the Supplier resulting in direct loss, destruction, corruption, degradation or damage to any Buyer Data, will not exceed the amount in the Order Form</w:t>
      </w:r>
    </w:p>
    <w:p w14:paraId="3DEBBD23" w14:textId="77777777" w:rsidR="00351BE8" w:rsidRDefault="00351BE8">
      <w:pPr>
        <w:ind w:left="1440"/>
      </w:pPr>
    </w:p>
    <w:p w14:paraId="3DEBBD24" w14:textId="77777777" w:rsidR="00351BE8" w:rsidRDefault="0052315A">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3DEBBD25" w14:textId="77777777" w:rsidR="00351BE8" w:rsidRDefault="00351BE8">
      <w:pPr>
        <w:spacing w:before="240" w:after="240"/>
      </w:pPr>
    </w:p>
    <w:p w14:paraId="3DEBBD26" w14:textId="77777777" w:rsidR="00351BE8" w:rsidRDefault="0052315A">
      <w:pPr>
        <w:pStyle w:val="Heading3"/>
      </w:pPr>
      <w:r>
        <w:t>25.</w:t>
      </w:r>
      <w:r>
        <w:tab/>
        <w:t>Premises</w:t>
      </w:r>
    </w:p>
    <w:p w14:paraId="3DEBBD27" w14:textId="77777777" w:rsidR="00351BE8" w:rsidRDefault="0052315A">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DEBBD28" w14:textId="77777777" w:rsidR="00351BE8" w:rsidRDefault="00351BE8">
      <w:pPr>
        <w:ind w:left="720"/>
      </w:pPr>
    </w:p>
    <w:p w14:paraId="3DEBBD29" w14:textId="77777777" w:rsidR="00351BE8" w:rsidRDefault="0052315A">
      <w:pPr>
        <w:ind w:left="720" w:hanging="720"/>
      </w:pPr>
      <w:r>
        <w:t>25.2</w:t>
      </w:r>
      <w:r>
        <w:tab/>
        <w:t>The Supplier will use the Buyer’s premises solely for the performance of its obligations under this Call-Off Contract.</w:t>
      </w:r>
    </w:p>
    <w:p w14:paraId="3DEBBD2A" w14:textId="77777777" w:rsidR="00351BE8" w:rsidRDefault="00351BE8">
      <w:pPr>
        <w:ind w:firstLine="720"/>
      </w:pPr>
    </w:p>
    <w:p w14:paraId="3DEBBD2B" w14:textId="77777777" w:rsidR="00351BE8" w:rsidRDefault="0052315A">
      <w:r>
        <w:t>25.3</w:t>
      </w:r>
      <w:r>
        <w:tab/>
        <w:t>The Supplier will vacate the Buyer’s premises when the Call-Off Contract Ends or expires.</w:t>
      </w:r>
    </w:p>
    <w:p w14:paraId="3DEBBD2C" w14:textId="77777777" w:rsidR="00351BE8" w:rsidRDefault="00351BE8">
      <w:pPr>
        <w:ind w:firstLine="720"/>
      </w:pPr>
    </w:p>
    <w:p w14:paraId="3DEBBD2D" w14:textId="77777777" w:rsidR="00351BE8" w:rsidRDefault="0052315A">
      <w:r>
        <w:t>25.4</w:t>
      </w:r>
      <w:r>
        <w:tab/>
        <w:t>This clause does not create a tenancy or exclusive right of occupation.</w:t>
      </w:r>
    </w:p>
    <w:p w14:paraId="3DEBBD2E" w14:textId="77777777" w:rsidR="00351BE8" w:rsidRDefault="00351BE8"/>
    <w:p w14:paraId="3DEBBD2F" w14:textId="77777777" w:rsidR="00351BE8" w:rsidRDefault="0052315A">
      <w:r>
        <w:t>25.5</w:t>
      </w:r>
      <w:r>
        <w:tab/>
        <w:t>While on the Buyer’s premises, the Supplier will:</w:t>
      </w:r>
    </w:p>
    <w:p w14:paraId="3DEBBD30" w14:textId="77777777" w:rsidR="00351BE8" w:rsidRDefault="00351BE8"/>
    <w:p w14:paraId="3DEBBD31" w14:textId="77777777" w:rsidR="00351BE8" w:rsidRDefault="0052315A">
      <w:pPr>
        <w:ind w:left="1440" w:hanging="720"/>
      </w:pPr>
      <w:r>
        <w:t>25.5.1</w:t>
      </w:r>
      <w:r>
        <w:tab/>
        <w:t>comply with any security requirements at the premises and not do anything to weaken the security of the premises</w:t>
      </w:r>
    </w:p>
    <w:p w14:paraId="3DEBBD32" w14:textId="77777777" w:rsidR="00351BE8" w:rsidRDefault="00351BE8">
      <w:pPr>
        <w:ind w:left="720"/>
      </w:pPr>
    </w:p>
    <w:p w14:paraId="3DEBBD33" w14:textId="77777777" w:rsidR="00351BE8" w:rsidRDefault="0052315A">
      <w:pPr>
        <w:ind w:firstLine="720"/>
      </w:pPr>
      <w:r>
        <w:t>25.5.2</w:t>
      </w:r>
      <w:r>
        <w:tab/>
        <w:t>comply with Buyer requirements for the conduct of personnel</w:t>
      </w:r>
    </w:p>
    <w:p w14:paraId="3DEBBD34" w14:textId="77777777" w:rsidR="00351BE8" w:rsidRDefault="00351BE8">
      <w:pPr>
        <w:ind w:firstLine="720"/>
      </w:pPr>
    </w:p>
    <w:p w14:paraId="3DEBBD35" w14:textId="77777777" w:rsidR="00351BE8" w:rsidRDefault="0052315A">
      <w:pPr>
        <w:ind w:firstLine="720"/>
      </w:pPr>
      <w:r>
        <w:t>25.5.3</w:t>
      </w:r>
      <w:r>
        <w:tab/>
        <w:t>comply with any health and safety measures implemented by the Buyer</w:t>
      </w:r>
    </w:p>
    <w:p w14:paraId="3DEBBD36" w14:textId="77777777" w:rsidR="00351BE8" w:rsidRDefault="00351BE8">
      <w:pPr>
        <w:ind w:firstLine="720"/>
      </w:pPr>
    </w:p>
    <w:p w14:paraId="3DEBBD37" w14:textId="77777777" w:rsidR="00351BE8" w:rsidRDefault="0052315A">
      <w:pPr>
        <w:ind w:left="1440" w:hanging="720"/>
      </w:pPr>
      <w:r>
        <w:t>25.5.4</w:t>
      </w:r>
      <w:r>
        <w:tab/>
        <w:t>immediately notify the Buyer of any incident on the premises that causes any damage to Property which could cause personal injury</w:t>
      </w:r>
    </w:p>
    <w:p w14:paraId="3DEBBD38" w14:textId="77777777" w:rsidR="00351BE8" w:rsidRDefault="00351BE8">
      <w:pPr>
        <w:ind w:left="720" w:firstLine="720"/>
      </w:pPr>
    </w:p>
    <w:p w14:paraId="3DEBBD39" w14:textId="77777777" w:rsidR="00351BE8" w:rsidRDefault="0052315A">
      <w:pPr>
        <w:ind w:left="720" w:hanging="720"/>
      </w:pPr>
      <w:r>
        <w:t>25.6</w:t>
      </w:r>
      <w:r>
        <w:tab/>
        <w:t>The Supplier will ensure that its health and safety policy statement (as required by the Health and Safety at Work etc Act 1974) is made available to the Buyer on request.</w:t>
      </w:r>
    </w:p>
    <w:p w14:paraId="3DEBBD3A" w14:textId="77777777" w:rsidR="00351BE8" w:rsidRDefault="00351BE8">
      <w:pPr>
        <w:ind w:left="720" w:hanging="720"/>
      </w:pPr>
    </w:p>
    <w:p w14:paraId="3DEBBD3B" w14:textId="77777777" w:rsidR="00351BE8" w:rsidRDefault="0052315A">
      <w:pPr>
        <w:pStyle w:val="Heading3"/>
      </w:pPr>
      <w:r>
        <w:t>26.</w:t>
      </w:r>
      <w:r>
        <w:tab/>
        <w:t>Equipment</w:t>
      </w:r>
    </w:p>
    <w:p w14:paraId="3DEBBD3C" w14:textId="77777777" w:rsidR="00351BE8" w:rsidRDefault="0052315A">
      <w:pPr>
        <w:spacing w:before="240" w:after="240"/>
      </w:pPr>
      <w:r>
        <w:t>26.1</w:t>
      </w:r>
      <w:r>
        <w:tab/>
        <w:t>The Supplier is responsible for providing any Equipment which the Supplier requires to provide the Services.</w:t>
      </w:r>
    </w:p>
    <w:p w14:paraId="3DEBBD3D" w14:textId="77777777" w:rsidR="00351BE8" w:rsidRDefault="00351BE8">
      <w:pPr>
        <w:ind w:firstLine="720"/>
      </w:pPr>
    </w:p>
    <w:p w14:paraId="3DEBBD3E" w14:textId="77777777" w:rsidR="00351BE8" w:rsidRDefault="0052315A">
      <w:pPr>
        <w:ind w:left="720" w:hanging="720"/>
      </w:pPr>
      <w:r>
        <w:t>26.2</w:t>
      </w:r>
      <w:r>
        <w:tab/>
        <w:t>Any Equipment brought onto the premises will be at the Supplier's own risk and the Buyer will have no liability for any loss of, or damage to, any Equipment.</w:t>
      </w:r>
    </w:p>
    <w:p w14:paraId="3DEBBD3F" w14:textId="77777777" w:rsidR="00351BE8" w:rsidRDefault="00351BE8">
      <w:pPr>
        <w:ind w:firstLine="720"/>
      </w:pPr>
    </w:p>
    <w:p w14:paraId="3DEBBD40" w14:textId="77777777" w:rsidR="00351BE8" w:rsidRDefault="0052315A">
      <w:pPr>
        <w:ind w:left="720" w:hanging="720"/>
      </w:pPr>
      <w:r>
        <w:t>26.3</w:t>
      </w:r>
      <w:r>
        <w:tab/>
        <w:t>When the Call-Off Contract Ends or expires, the Supplier will remove the Equipment and any other materials leaving the premises in a safe and clean condition.</w:t>
      </w:r>
    </w:p>
    <w:p w14:paraId="3DEBBD41" w14:textId="77777777" w:rsidR="00351BE8" w:rsidRDefault="00351BE8">
      <w:pPr>
        <w:ind w:left="720" w:hanging="720"/>
      </w:pPr>
    </w:p>
    <w:p w14:paraId="3DEBBD42" w14:textId="77777777" w:rsidR="00351BE8" w:rsidRDefault="0052315A">
      <w:pPr>
        <w:pStyle w:val="Heading3"/>
      </w:pPr>
      <w:r>
        <w:lastRenderedPageBreak/>
        <w:t>27.</w:t>
      </w:r>
      <w:r>
        <w:tab/>
        <w:t>The Contracts (Rights of Third Parties) Act 1999</w:t>
      </w:r>
    </w:p>
    <w:p w14:paraId="3DEBBD43" w14:textId="77777777" w:rsidR="00351BE8" w:rsidRDefault="00351BE8"/>
    <w:p w14:paraId="3DEBBD44" w14:textId="77777777" w:rsidR="00351BE8" w:rsidRDefault="0052315A">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DEBBD45" w14:textId="77777777" w:rsidR="00351BE8" w:rsidRDefault="00351BE8">
      <w:pPr>
        <w:ind w:left="720" w:hanging="720"/>
      </w:pPr>
    </w:p>
    <w:p w14:paraId="3DEBBD46" w14:textId="77777777" w:rsidR="00351BE8" w:rsidRDefault="0052315A">
      <w:pPr>
        <w:pStyle w:val="Heading3"/>
      </w:pPr>
      <w:r>
        <w:t>28.</w:t>
      </w:r>
      <w:r>
        <w:tab/>
        <w:t>Environmental requirements</w:t>
      </w:r>
    </w:p>
    <w:p w14:paraId="3DEBBD47" w14:textId="77777777" w:rsidR="00351BE8" w:rsidRDefault="0052315A">
      <w:pPr>
        <w:ind w:left="720" w:hanging="720"/>
      </w:pPr>
      <w:r>
        <w:t>28.1</w:t>
      </w:r>
      <w:r>
        <w:tab/>
        <w:t>The Buyer will provide a copy of its environmental policy to the Supplier on request, which the Supplier will comply with.</w:t>
      </w:r>
    </w:p>
    <w:p w14:paraId="3DEBBD48" w14:textId="77777777" w:rsidR="00351BE8" w:rsidRDefault="00351BE8">
      <w:pPr>
        <w:ind w:firstLine="720"/>
      </w:pPr>
    </w:p>
    <w:p w14:paraId="3DEBBD49" w14:textId="77777777" w:rsidR="00351BE8" w:rsidRDefault="0052315A">
      <w:pPr>
        <w:ind w:left="720" w:hanging="720"/>
      </w:pPr>
      <w:r>
        <w:t>28.2</w:t>
      </w:r>
      <w:r>
        <w:tab/>
        <w:t>The Supplier must provide reasonable support to enable Buyers to work in an environmentally friendly way, for example by helping them recycle or lower their carbon footprint.</w:t>
      </w:r>
    </w:p>
    <w:p w14:paraId="3DEBBD4A" w14:textId="77777777" w:rsidR="00351BE8" w:rsidRDefault="00351BE8">
      <w:pPr>
        <w:ind w:left="720" w:hanging="720"/>
      </w:pPr>
    </w:p>
    <w:p w14:paraId="3DEBBD4B" w14:textId="77777777" w:rsidR="00351BE8" w:rsidRDefault="0052315A">
      <w:pPr>
        <w:pStyle w:val="Heading3"/>
      </w:pPr>
      <w:r>
        <w:t>29.</w:t>
      </w:r>
      <w:r>
        <w:tab/>
        <w:t>The Employment Regulations (TUPE)</w:t>
      </w:r>
    </w:p>
    <w:p w14:paraId="3DEBBD4C" w14:textId="77777777" w:rsidR="00351BE8" w:rsidRDefault="0052315A">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DEBBD4D" w14:textId="77777777" w:rsidR="00351BE8" w:rsidRDefault="00351BE8">
      <w:pPr>
        <w:ind w:left="720"/>
      </w:pPr>
    </w:p>
    <w:p w14:paraId="3DEBBD4E" w14:textId="77777777" w:rsidR="00351BE8" w:rsidRDefault="0052315A">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DEBBD4F" w14:textId="77777777" w:rsidR="00351BE8" w:rsidRDefault="00351BE8">
      <w:pPr>
        <w:ind w:left="720"/>
      </w:pPr>
    </w:p>
    <w:p w14:paraId="3DEBBD50" w14:textId="77777777" w:rsidR="00351BE8" w:rsidRDefault="0052315A">
      <w:pPr>
        <w:ind w:firstLine="720"/>
      </w:pPr>
      <w:r>
        <w:t>29.2.1</w:t>
      </w:r>
      <w:r>
        <w:tab/>
      </w:r>
      <w:r>
        <w:tab/>
        <w:t>the activities they perform</w:t>
      </w:r>
    </w:p>
    <w:p w14:paraId="3DEBBD51" w14:textId="77777777" w:rsidR="00351BE8" w:rsidRDefault="0052315A">
      <w:pPr>
        <w:ind w:firstLine="720"/>
      </w:pPr>
      <w:r>
        <w:t>29.2.2</w:t>
      </w:r>
      <w:r>
        <w:tab/>
      </w:r>
      <w:r>
        <w:tab/>
        <w:t>age</w:t>
      </w:r>
    </w:p>
    <w:p w14:paraId="3DEBBD52" w14:textId="77777777" w:rsidR="00351BE8" w:rsidRDefault="0052315A">
      <w:pPr>
        <w:ind w:firstLine="720"/>
      </w:pPr>
      <w:r>
        <w:t>29.2.3</w:t>
      </w:r>
      <w:r>
        <w:tab/>
      </w:r>
      <w:r>
        <w:tab/>
        <w:t>start date</w:t>
      </w:r>
    </w:p>
    <w:p w14:paraId="3DEBBD53" w14:textId="77777777" w:rsidR="00351BE8" w:rsidRDefault="0052315A">
      <w:pPr>
        <w:ind w:firstLine="720"/>
      </w:pPr>
      <w:r>
        <w:t>29.2.4</w:t>
      </w:r>
      <w:r>
        <w:tab/>
      </w:r>
      <w:r>
        <w:tab/>
        <w:t>place of work</w:t>
      </w:r>
    </w:p>
    <w:p w14:paraId="3DEBBD54" w14:textId="77777777" w:rsidR="00351BE8" w:rsidRDefault="0052315A">
      <w:pPr>
        <w:ind w:firstLine="720"/>
      </w:pPr>
      <w:r>
        <w:t>29.2.5</w:t>
      </w:r>
      <w:r>
        <w:tab/>
      </w:r>
      <w:r>
        <w:tab/>
        <w:t>notice period</w:t>
      </w:r>
    </w:p>
    <w:p w14:paraId="3DEBBD55" w14:textId="77777777" w:rsidR="00351BE8" w:rsidRDefault="0052315A">
      <w:pPr>
        <w:ind w:firstLine="720"/>
      </w:pPr>
      <w:r>
        <w:t>29.2.6</w:t>
      </w:r>
      <w:r>
        <w:tab/>
      </w:r>
      <w:r>
        <w:tab/>
        <w:t>redundancy payment entitlement</w:t>
      </w:r>
    </w:p>
    <w:p w14:paraId="3DEBBD56" w14:textId="77777777" w:rsidR="00351BE8" w:rsidRDefault="0052315A">
      <w:pPr>
        <w:ind w:firstLine="720"/>
      </w:pPr>
      <w:r>
        <w:t>29.2.7</w:t>
      </w:r>
      <w:r>
        <w:tab/>
      </w:r>
      <w:r>
        <w:tab/>
        <w:t>salary, benefits and pension entitlements</w:t>
      </w:r>
    </w:p>
    <w:p w14:paraId="3DEBBD57" w14:textId="77777777" w:rsidR="00351BE8" w:rsidRDefault="0052315A">
      <w:pPr>
        <w:ind w:firstLine="720"/>
      </w:pPr>
      <w:r>
        <w:t>29.2.8</w:t>
      </w:r>
      <w:r>
        <w:tab/>
      </w:r>
      <w:r>
        <w:tab/>
        <w:t>employment status</w:t>
      </w:r>
    </w:p>
    <w:p w14:paraId="3DEBBD58" w14:textId="77777777" w:rsidR="00351BE8" w:rsidRDefault="0052315A">
      <w:pPr>
        <w:ind w:firstLine="720"/>
      </w:pPr>
      <w:r>
        <w:t>29.2.9</w:t>
      </w:r>
      <w:r>
        <w:tab/>
      </w:r>
      <w:r>
        <w:tab/>
        <w:t>identity of employer</w:t>
      </w:r>
    </w:p>
    <w:p w14:paraId="3DEBBD59" w14:textId="77777777" w:rsidR="00351BE8" w:rsidRDefault="0052315A">
      <w:pPr>
        <w:ind w:firstLine="720"/>
      </w:pPr>
      <w:r>
        <w:t>29.2.10</w:t>
      </w:r>
      <w:r>
        <w:tab/>
        <w:t>working arrangements</w:t>
      </w:r>
    </w:p>
    <w:p w14:paraId="3DEBBD5A" w14:textId="77777777" w:rsidR="00351BE8" w:rsidRDefault="0052315A">
      <w:pPr>
        <w:ind w:firstLine="720"/>
      </w:pPr>
      <w:r>
        <w:t>29.2.11</w:t>
      </w:r>
      <w:r>
        <w:tab/>
        <w:t>outstanding liabilities</w:t>
      </w:r>
    </w:p>
    <w:p w14:paraId="3DEBBD5B" w14:textId="77777777" w:rsidR="00351BE8" w:rsidRDefault="0052315A">
      <w:pPr>
        <w:ind w:firstLine="720"/>
      </w:pPr>
      <w:r>
        <w:t>29.2.12</w:t>
      </w:r>
      <w:r>
        <w:tab/>
        <w:t>sickness absence</w:t>
      </w:r>
    </w:p>
    <w:p w14:paraId="3DEBBD5C" w14:textId="77777777" w:rsidR="00351BE8" w:rsidRDefault="0052315A">
      <w:pPr>
        <w:ind w:firstLine="720"/>
      </w:pPr>
      <w:r>
        <w:t>29.2.13</w:t>
      </w:r>
      <w:r>
        <w:tab/>
        <w:t>copies of all relevant employment contracts and related documents</w:t>
      </w:r>
    </w:p>
    <w:p w14:paraId="3DEBBD5D" w14:textId="77777777" w:rsidR="00351BE8" w:rsidRDefault="0052315A">
      <w:pPr>
        <w:ind w:firstLine="720"/>
      </w:pPr>
      <w:r>
        <w:t>29.2.14</w:t>
      </w:r>
      <w:r>
        <w:tab/>
        <w:t xml:space="preserve">all information required under regulation 11 of TUPE or as reasonably </w:t>
      </w:r>
    </w:p>
    <w:p w14:paraId="3DEBBD5E" w14:textId="77777777" w:rsidR="00351BE8" w:rsidRDefault="0052315A">
      <w:pPr>
        <w:ind w:left="1440" w:firstLine="720"/>
      </w:pPr>
      <w:r>
        <w:t>requested by the Buyer</w:t>
      </w:r>
    </w:p>
    <w:p w14:paraId="3DEBBD5F" w14:textId="77777777" w:rsidR="00351BE8" w:rsidRDefault="00351BE8">
      <w:pPr>
        <w:ind w:left="720" w:firstLine="720"/>
      </w:pPr>
    </w:p>
    <w:p w14:paraId="3DEBBD60" w14:textId="77777777" w:rsidR="00351BE8" w:rsidRDefault="0052315A">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DEBBD61" w14:textId="77777777" w:rsidR="00351BE8" w:rsidRDefault="00351BE8">
      <w:pPr>
        <w:ind w:left="720"/>
      </w:pPr>
    </w:p>
    <w:p w14:paraId="3DEBBD62" w14:textId="77777777" w:rsidR="00351BE8" w:rsidRDefault="0052315A">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DEBBD63" w14:textId="77777777" w:rsidR="00351BE8" w:rsidRDefault="00351BE8">
      <w:pPr>
        <w:ind w:left="720"/>
      </w:pPr>
    </w:p>
    <w:p w14:paraId="3DEBBD64" w14:textId="77777777" w:rsidR="00351BE8" w:rsidRDefault="0052315A">
      <w:pPr>
        <w:ind w:left="720" w:hanging="720"/>
      </w:pPr>
      <w:r>
        <w:t>29.5</w:t>
      </w:r>
      <w:r>
        <w:tab/>
        <w:t>The Supplier will co-operate with the re-tendering of this Call-Off Contract by allowing the Replacement Supplier to communicate with and meet the affected employees or their representatives.</w:t>
      </w:r>
    </w:p>
    <w:p w14:paraId="3DEBBD65" w14:textId="77777777" w:rsidR="00351BE8" w:rsidRDefault="00351BE8">
      <w:pPr>
        <w:ind w:left="720"/>
      </w:pPr>
    </w:p>
    <w:p w14:paraId="3DEBBD66" w14:textId="77777777" w:rsidR="00351BE8" w:rsidRDefault="0052315A">
      <w:pPr>
        <w:ind w:left="720" w:hanging="720"/>
      </w:pPr>
      <w:r>
        <w:t>29.6</w:t>
      </w:r>
      <w:r>
        <w:tab/>
        <w:t>The Supplier will indemnify the Buyer or any Replacement Supplier for all Loss arising from both:</w:t>
      </w:r>
    </w:p>
    <w:p w14:paraId="3DEBBD67" w14:textId="77777777" w:rsidR="00351BE8" w:rsidRDefault="00351BE8">
      <w:pPr>
        <w:ind w:firstLine="720"/>
      </w:pPr>
    </w:p>
    <w:p w14:paraId="3DEBBD68" w14:textId="77777777" w:rsidR="00351BE8" w:rsidRDefault="0052315A">
      <w:pPr>
        <w:ind w:firstLine="720"/>
      </w:pPr>
      <w:r>
        <w:t>29.6.1</w:t>
      </w:r>
      <w:r>
        <w:tab/>
        <w:t>its failure to comply with the provisions of this clause</w:t>
      </w:r>
    </w:p>
    <w:p w14:paraId="3DEBBD69" w14:textId="77777777" w:rsidR="00351BE8" w:rsidRDefault="00351BE8">
      <w:pPr>
        <w:ind w:firstLine="720"/>
      </w:pPr>
    </w:p>
    <w:p w14:paraId="3DEBBD6A" w14:textId="77777777" w:rsidR="00351BE8" w:rsidRDefault="0052315A">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3DEBBD6B" w14:textId="77777777" w:rsidR="00351BE8" w:rsidRDefault="00351BE8">
      <w:pPr>
        <w:ind w:left="1440"/>
      </w:pPr>
    </w:p>
    <w:p w14:paraId="3DEBBD6C" w14:textId="77777777" w:rsidR="00351BE8" w:rsidRDefault="0052315A">
      <w:pPr>
        <w:ind w:left="720" w:hanging="720"/>
      </w:pPr>
      <w:r>
        <w:t>29.7</w:t>
      </w:r>
      <w:r>
        <w:tab/>
        <w:t>The provisions of this clause apply during the Term of this Call-Off Contract and indefinitely after it Ends or expires.</w:t>
      </w:r>
    </w:p>
    <w:p w14:paraId="3DEBBD6D" w14:textId="77777777" w:rsidR="00351BE8" w:rsidRDefault="00351BE8">
      <w:pPr>
        <w:ind w:firstLine="720"/>
      </w:pPr>
    </w:p>
    <w:p w14:paraId="3DEBBD6E" w14:textId="77777777" w:rsidR="00351BE8" w:rsidRDefault="0052315A">
      <w:pPr>
        <w:ind w:left="720" w:hanging="720"/>
      </w:pPr>
      <w:r>
        <w:t>29.8</w:t>
      </w:r>
      <w:r>
        <w:tab/>
        <w:t>For these TUPE clauses, the relevant third party will be able to enforce its rights under this clause but their consent will not be required to vary these clauses as the Buyer and Supplier may agree.</w:t>
      </w:r>
    </w:p>
    <w:p w14:paraId="3DEBBD6F" w14:textId="77777777" w:rsidR="00351BE8" w:rsidRDefault="00351BE8">
      <w:pPr>
        <w:ind w:left="720" w:hanging="720"/>
      </w:pPr>
    </w:p>
    <w:p w14:paraId="3DEBBD70" w14:textId="77777777" w:rsidR="00351BE8" w:rsidRDefault="0052315A">
      <w:pPr>
        <w:pStyle w:val="Heading3"/>
      </w:pPr>
      <w:r>
        <w:t>30.</w:t>
      </w:r>
      <w:r>
        <w:tab/>
        <w:t>Additional G-Cloud services</w:t>
      </w:r>
    </w:p>
    <w:p w14:paraId="3DEBBD71" w14:textId="77777777" w:rsidR="00351BE8" w:rsidRDefault="0052315A">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3DEBBD72" w14:textId="77777777" w:rsidR="00351BE8" w:rsidRDefault="00351BE8">
      <w:pPr>
        <w:ind w:left="720"/>
      </w:pPr>
    </w:p>
    <w:p w14:paraId="3DEBBD73" w14:textId="77777777" w:rsidR="00351BE8" w:rsidRDefault="0052315A">
      <w:pPr>
        <w:ind w:left="720" w:hanging="720"/>
      </w:pPr>
      <w:r>
        <w:t>30.2</w:t>
      </w:r>
      <w:r>
        <w:tab/>
        <w:t>If reasonably requested to do so by the Buyer in the Order Form, the Supplier must provide and monitor performance of the Additional Services using an Implementation Plan.</w:t>
      </w:r>
    </w:p>
    <w:p w14:paraId="3DEBBD74" w14:textId="77777777" w:rsidR="00351BE8" w:rsidRDefault="00351BE8">
      <w:pPr>
        <w:ind w:left="720" w:hanging="720"/>
      </w:pPr>
    </w:p>
    <w:p w14:paraId="3DEBBD75" w14:textId="77777777" w:rsidR="00351BE8" w:rsidRDefault="0052315A">
      <w:pPr>
        <w:pStyle w:val="Heading3"/>
      </w:pPr>
      <w:r>
        <w:t>31.</w:t>
      </w:r>
      <w:r>
        <w:tab/>
        <w:t>Collaboration</w:t>
      </w:r>
    </w:p>
    <w:p w14:paraId="3DEBBD76" w14:textId="77777777" w:rsidR="00351BE8" w:rsidRDefault="0052315A">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3DEBBD77" w14:textId="77777777" w:rsidR="00351BE8" w:rsidRDefault="00351BE8">
      <w:pPr>
        <w:ind w:left="720"/>
      </w:pPr>
    </w:p>
    <w:p w14:paraId="3DEBBD78" w14:textId="77777777" w:rsidR="00351BE8" w:rsidRDefault="0052315A">
      <w:r>
        <w:t>31.2</w:t>
      </w:r>
      <w:r>
        <w:tab/>
        <w:t>In addition to any obligations under the Collaboration Agreement, the Supplier must:</w:t>
      </w:r>
    </w:p>
    <w:p w14:paraId="3DEBBD79" w14:textId="77777777" w:rsidR="00351BE8" w:rsidRDefault="00351BE8"/>
    <w:p w14:paraId="3DEBBD7A" w14:textId="77777777" w:rsidR="00351BE8" w:rsidRDefault="0052315A">
      <w:pPr>
        <w:ind w:firstLine="720"/>
      </w:pPr>
      <w:r>
        <w:t>31.2.1</w:t>
      </w:r>
      <w:r>
        <w:tab/>
        <w:t>work proactively and in good faith with each of the Buyer’s contractors</w:t>
      </w:r>
    </w:p>
    <w:p w14:paraId="3DEBBD7B" w14:textId="77777777" w:rsidR="00351BE8" w:rsidRDefault="00351BE8">
      <w:pPr>
        <w:ind w:firstLine="720"/>
      </w:pPr>
    </w:p>
    <w:p w14:paraId="3DEBBD7C" w14:textId="77777777" w:rsidR="00351BE8" w:rsidRDefault="0052315A">
      <w:pPr>
        <w:ind w:left="1440" w:hanging="720"/>
      </w:pPr>
      <w:r>
        <w:t>31.2.2</w:t>
      </w:r>
      <w:r>
        <w:tab/>
        <w:t>co-operate and share information with the Buyer’s contractors to enable the efficient operation of the Buyer’s ICT services and G-Cloud Services</w:t>
      </w:r>
    </w:p>
    <w:p w14:paraId="3DEBBD7D" w14:textId="77777777" w:rsidR="00351BE8" w:rsidRDefault="00351BE8">
      <w:pPr>
        <w:ind w:left="1440" w:hanging="720"/>
      </w:pPr>
    </w:p>
    <w:p w14:paraId="3DEBBD7E" w14:textId="77777777" w:rsidR="00351BE8" w:rsidRDefault="0052315A">
      <w:pPr>
        <w:pStyle w:val="Heading3"/>
      </w:pPr>
      <w:r>
        <w:lastRenderedPageBreak/>
        <w:t>32.</w:t>
      </w:r>
      <w:r>
        <w:tab/>
        <w:t>Variation process</w:t>
      </w:r>
    </w:p>
    <w:p w14:paraId="3DEBBD7F" w14:textId="77777777" w:rsidR="00351BE8" w:rsidRDefault="0052315A">
      <w:pPr>
        <w:ind w:left="720" w:hanging="720"/>
      </w:pPr>
      <w:r>
        <w:t>32.1</w:t>
      </w:r>
      <w:r>
        <w:tab/>
        <w:t>The Buyer can request in writing a change to this Call-Off Contract if it isn’t a material change to the Framework Agreement/or this Call-Off Contract. Once implemented, it is called a Variation.</w:t>
      </w:r>
    </w:p>
    <w:p w14:paraId="3DEBBD80" w14:textId="77777777" w:rsidR="00351BE8" w:rsidRDefault="00351BE8">
      <w:pPr>
        <w:ind w:left="720"/>
      </w:pPr>
    </w:p>
    <w:p w14:paraId="3DEBBD81" w14:textId="77777777" w:rsidR="00351BE8" w:rsidRDefault="0052315A">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3DEBBD82" w14:textId="77777777" w:rsidR="00351BE8" w:rsidRDefault="00351BE8"/>
    <w:p w14:paraId="3DEBBD83" w14:textId="77777777" w:rsidR="00351BE8" w:rsidRDefault="0052315A">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3DEBBD84" w14:textId="77777777" w:rsidR="00351BE8" w:rsidRDefault="00351BE8">
      <w:pPr>
        <w:ind w:left="720" w:hanging="720"/>
      </w:pPr>
    </w:p>
    <w:p w14:paraId="3DEBBD85" w14:textId="77777777" w:rsidR="00351BE8" w:rsidRDefault="0052315A">
      <w:pPr>
        <w:pStyle w:val="Heading3"/>
      </w:pPr>
      <w:r>
        <w:t>33.</w:t>
      </w:r>
      <w:r>
        <w:tab/>
        <w:t>Data Protection Legislation (GDPR)</w:t>
      </w:r>
    </w:p>
    <w:p w14:paraId="3DEBBD86" w14:textId="77777777" w:rsidR="00351BE8" w:rsidRDefault="0052315A">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3DEBBD87" w14:textId="77777777" w:rsidR="00351BE8" w:rsidRDefault="00351BE8"/>
    <w:p w14:paraId="3DEBBD88" w14:textId="77777777" w:rsidR="00351BE8" w:rsidRDefault="00351BE8">
      <w:pPr>
        <w:pageBreakBefore/>
        <w:rPr>
          <w:b/>
        </w:rPr>
      </w:pPr>
    </w:p>
    <w:p w14:paraId="3DEBBEC1" w14:textId="317021E2" w:rsidR="00351BE8" w:rsidRDefault="0052315A" w:rsidP="00CC50A4">
      <w:pPr>
        <w:pStyle w:val="Heading2"/>
      </w:pPr>
      <w:bookmarkStart w:id="8" w:name="_Toc33176236"/>
      <w:r>
        <w:t>Schedule 3: Collaboration agreement</w:t>
      </w:r>
      <w:bookmarkEnd w:id="8"/>
      <w:r w:rsidR="00CC50A4">
        <w:t xml:space="preserve"> – Not Used</w:t>
      </w:r>
    </w:p>
    <w:p w14:paraId="35249114" w14:textId="77777777" w:rsidR="003E4B89" w:rsidRDefault="0052315A" w:rsidP="003E4B89">
      <w:pPr>
        <w:pStyle w:val="Heading2"/>
      </w:pPr>
      <w:bookmarkStart w:id="9" w:name="_Toc33176237"/>
      <w:r>
        <w:t>Schedule 4: Alternative clauses</w:t>
      </w:r>
      <w:bookmarkEnd w:id="9"/>
      <w:r w:rsidR="003E4B89">
        <w:t xml:space="preserve"> – Not Used</w:t>
      </w:r>
      <w:bookmarkStart w:id="10" w:name="_Toc33176238"/>
    </w:p>
    <w:p w14:paraId="3DEBBF30" w14:textId="4596616E" w:rsidR="00351BE8" w:rsidRDefault="0052315A" w:rsidP="003E4B89">
      <w:pPr>
        <w:pStyle w:val="Heading2"/>
      </w:pPr>
      <w:r>
        <w:t>Schedule 5: Guarantee</w:t>
      </w:r>
      <w:bookmarkEnd w:id="10"/>
      <w:r w:rsidR="00CC50A4">
        <w:t xml:space="preserve"> – NOT USED</w:t>
      </w:r>
    </w:p>
    <w:p w14:paraId="3DEBC000" w14:textId="77777777" w:rsidR="00351BE8" w:rsidRDefault="0052315A">
      <w:pPr>
        <w:pStyle w:val="Heading2"/>
      </w:pPr>
      <w:bookmarkStart w:id="11" w:name="_Toc33176239"/>
      <w:r>
        <w:t>Schedule 6: Glossary and interpretations</w:t>
      </w:r>
      <w:bookmarkEnd w:id="11"/>
    </w:p>
    <w:p w14:paraId="3DEBC001" w14:textId="77777777" w:rsidR="00351BE8" w:rsidRDefault="0052315A">
      <w:r>
        <w:t>In this Call-Off Contract the following expressions mean:</w:t>
      </w:r>
    </w:p>
    <w:p w14:paraId="3DEBC002" w14:textId="77777777" w:rsidR="00351BE8" w:rsidRDefault="00351BE8"/>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351BE8" w14:paraId="3DEBC005"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03" w14:textId="77777777" w:rsidR="00351BE8" w:rsidRDefault="0052315A">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04" w14:textId="77777777" w:rsidR="00351BE8" w:rsidRDefault="0052315A">
            <w:pPr>
              <w:spacing w:before="240"/>
              <w:rPr>
                <w:sz w:val="20"/>
                <w:szCs w:val="20"/>
              </w:rPr>
            </w:pPr>
            <w:r>
              <w:rPr>
                <w:sz w:val="20"/>
                <w:szCs w:val="20"/>
              </w:rPr>
              <w:t>Meaning</w:t>
            </w:r>
          </w:p>
        </w:tc>
      </w:tr>
      <w:tr w:rsidR="00351BE8" w14:paraId="3DEBC00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06" w14:textId="77777777" w:rsidR="00351BE8" w:rsidRDefault="0052315A">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07" w14:textId="77777777" w:rsidR="00351BE8" w:rsidRDefault="0052315A">
            <w:pPr>
              <w:spacing w:before="240"/>
              <w:rPr>
                <w:sz w:val="20"/>
                <w:szCs w:val="20"/>
              </w:rPr>
            </w:pPr>
            <w:r>
              <w:rPr>
                <w:sz w:val="20"/>
                <w:szCs w:val="20"/>
              </w:rPr>
              <w:t>Any services ancillary to the G-Cloud Services that are in the scope of Framework Agreement Section 2 (Services Offered) which a Buyer may request.</w:t>
            </w:r>
          </w:p>
        </w:tc>
      </w:tr>
      <w:tr w:rsidR="00351BE8" w14:paraId="3DEBC00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09" w14:textId="77777777" w:rsidR="00351BE8" w:rsidRDefault="0052315A">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0A" w14:textId="77777777" w:rsidR="00351BE8" w:rsidRDefault="0052315A">
            <w:pPr>
              <w:spacing w:before="240"/>
              <w:rPr>
                <w:sz w:val="20"/>
                <w:szCs w:val="20"/>
              </w:rPr>
            </w:pPr>
            <w:r>
              <w:rPr>
                <w:sz w:val="20"/>
                <w:szCs w:val="20"/>
              </w:rPr>
              <w:t>The agreement to be entered into to enable the Supplier to participate in the relevant Civil Service pension scheme(s).</w:t>
            </w:r>
          </w:p>
        </w:tc>
      </w:tr>
      <w:tr w:rsidR="00351BE8" w14:paraId="3DEBC00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0C" w14:textId="77777777" w:rsidR="00351BE8" w:rsidRDefault="0052315A">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0D" w14:textId="77777777" w:rsidR="00351BE8" w:rsidRDefault="0052315A">
            <w:pPr>
              <w:spacing w:before="240"/>
              <w:rPr>
                <w:sz w:val="20"/>
                <w:szCs w:val="20"/>
              </w:rPr>
            </w:pPr>
            <w:r>
              <w:rPr>
                <w:sz w:val="20"/>
                <w:szCs w:val="20"/>
              </w:rPr>
              <w:t>The response submitted by the Supplier to the Invitation to Tender (known as the Invitation to Apply on the Digital Marketplace).</w:t>
            </w:r>
          </w:p>
        </w:tc>
      </w:tr>
      <w:tr w:rsidR="00351BE8" w14:paraId="3DEBC01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0F" w14:textId="77777777" w:rsidR="00351BE8" w:rsidRDefault="0052315A">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10" w14:textId="77777777" w:rsidR="00351BE8" w:rsidRDefault="0052315A">
            <w:pPr>
              <w:spacing w:before="240"/>
              <w:rPr>
                <w:sz w:val="20"/>
                <w:szCs w:val="20"/>
              </w:rPr>
            </w:pPr>
            <w:r>
              <w:rPr>
                <w:sz w:val="20"/>
                <w:szCs w:val="20"/>
              </w:rPr>
              <w:t>An audit carried out under the incorporated Framework Agreement clauses specified by the Buyer in the Order (if any).</w:t>
            </w:r>
          </w:p>
        </w:tc>
      </w:tr>
      <w:tr w:rsidR="00351BE8" w14:paraId="3DEBC017"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12" w14:textId="77777777" w:rsidR="00351BE8" w:rsidRDefault="0052315A">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13" w14:textId="77777777" w:rsidR="00351BE8" w:rsidRDefault="0052315A">
            <w:pPr>
              <w:spacing w:before="240"/>
              <w:rPr>
                <w:sz w:val="20"/>
                <w:szCs w:val="20"/>
              </w:rPr>
            </w:pPr>
            <w:r>
              <w:rPr>
                <w:sz w:val="20"/>
                <w:szCs w:val="20"/>
              </w:rPr>
              <w:t>For each Party, IPRs:</w:t>
            </w:r>
          </w:p>
          <w:p w14:paraId="3DEBC014" w14:textId="77777777" w:rsidR="00351BE8" w:rsidRDefault="0052315A" w:rsidP="009D7AFD">
            <w:pPr>
              <w:pStyle w:val="ListParagraph"/>
              <w:numPr>
                <w:ilvl w:val="0"/>
                <w:numId w:val="19"/>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3DEBC015" w14:textId="77777777" w:rsidR="00351BE8" w:rsidRDefault="0052315A" w:rsidP="009D7AFD">
            <w:pPr>
              <w:pStyle w:val="ListParagraph"/>
              <w:numPr>
                <w:ilvl w:val="0"/>
                <w:numId w:val="19"/>
              </w:numPr>
              <w:rPr>
                <w:sz w:val="20"/>
                <w:szCs w:val="20"/>
              </w:rPr>
            </w:pPr>
            <w:r>
              <w:rPr>
                <w:sz w:val="20"/>
                <w:szCs w:val="20"/>
              </w:rPr>
              <w:t>created by the Party independently of this Call-Off Contract, or</w:t>
            </w:r>
          </w:p>
          <w:p w14:paraId="3DEBC016" w14:textId="77777777" w:rsidR="00351BE8" w:rsidRDefault="0052315A">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351BE8" w14:paraId="3DEBC0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18" w14:textId="77777777" w:rsidR="00351BE8" w:rsidRDefault="0052315A">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19" w14:textId="77777777" w:rsidR="00351BE8" w:rsidRDefault="0052315A">
            <w:pPr>
              <w:spacing w:before="240"/>
              <w:rPr>
                <w:sz w:val="20"/>
                <w:szCs w:val="20"/>
              </w:rPr>
            </w:pPr>
            <w:r>
              <w:rPr>
                <w:sz w:val="20"/>
                <w:szCs w:val="20"/>
              </w:rPr>
              <w:t>The contracting authority ordering services as set out in the Order Form.</w:t>
            </w:r>
          </w:p>
        </w:tc>
      </w:tr>
      <w:tr w:rsidR="00351BE8" w14:paraId="3DEBC01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1B" w14:textId="77777777" w:rsidR="00351BE8" w:rsidRDefault="0052315A">
            <w:pPr>
              <w:spacing w:before="240"/>
              <w:rPr>
                <w:b/>
                <w:sz w:val="20"/>
                <w:szCs w:val="20"/>
              </w:rPr>
            </w:pPr>
            <w:r>
              <w:rPr>
                <w:b/>
                <w:sz w:val="20"/>
                <w:szCs w:val="20"/>
              </w:rPr>
              <w:lastRenderedPageBreak/>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1C" w14:textId="77777777" w:rsidR="00351BE8" w:rsidRDefault="0052315A">
            <w:pPr>
              <w:spacing w:before="240"/>
              <w:rPr>
                <w:sz w:val="20"/>
                <w:szCs w:val="20"/>
              </w:rPr>
            </w:pPr>
            <w:r>
              <w:rPr>
                <w:sz w:val="20"/>
                <w:szCs w:val="20"/>
              </w:rPr>
              <w:t>All data supplied by the Buyer to the Supplier including Personal Data and Service Data that is owned and managed by the Buyer.</w:t>
            </w:r>
          </w:p>
        </w:tc>
      </w:tr>
      <w:tr w:rsidR="00351BE8" w14:paraId="3DEBC02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1E" w14:textId="77777777" w:rsidR="00351BE8" w:rsidRDefault="0052315A">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1F" w14:textId="77777777" w:rsidR="00351BE8" w:rsidRDefault="0052315A">
            <w:pPr>
              <w:spacing w:before="240"/>
              <w:rPr>
                <w:sz w:val="20"/>
                <w:szCs w:val="20"/>
              </w:rPr>
            </w:pPr>
            <w:r>
              <w:rPr>
                <w:sz w:val="20"/>
                <w:szCs w:val="20"/>
              </w:rPr>
              <w:t>The Personal Data supplied by the Buyer to the Supplier for purposes of, or in connection with, this Call-Off Contract.</w:t>
            </w:r>
          </w:p>
        </w:tc>
      </w:tr>
      <w:tr w:rsidR="00351BE8" w14:paraId="3DEBC02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21" w14:textId="77777777" w:rsidR="00351BE8" w:rsidRDefault="0052315A">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22" w14:textId="77777777" w:rsidR="00351BE8" w:rsidRDefault="0052315A">
            <w:pPr>
              <w:spacing w:before="240"/>
              <w:rPr>
                <w:sz w:val="20"/>
                <w:szCs w:val="20"/>
              </w:rPr>
            </w:pPr>
            <w:r>
              <w:rPr>
                <w:sz w:val="20"/>
                <w:szCs w:val="20"/>
              </w:rPr>
              <w:t>The representative appointed by the Buyer under this Call-Off Contract.</w:t>
            </w:r>
          </w:p>
        </w:tc>
      </w:tr>
      <w:tr w:rsidR="00351BE8" w14:paraId="3DEBC02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24" w14:textId="77777777" w:rsidR="00351BE8" w:rsidRDefault="0052315A">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25" w14:textId="77777777" w:rsidR="00351BE8" w:rsidRDefault="0052315A">
            <w:pPr>
              <w:spacing w:before="240"/>
              <w:rPr>
                <w:sz w:val="20"/>
                <w:szCs w:val="20"/>
              </w:rPr>
            </w:pPr>
            <w:r>
              <w:rPr>
                <w:sz w:val="20"/>
                <w:szCs w:val="20"/>
              </w:rPr>
              <w:t>Software owned by or licensed to the Buyer (other than under this Agreement), which is or will be used by the Supplier to provide the Services.</w:t>
            </w:r>
          </w:p>
        </w:tc>
      </w:tr>
      <w:tr w:rsidR="00351BE8" w14:paraId="3DEBC02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27" w14:textId="77777777" w:rsidR="00351BE8" w:rsidRDefault="0052315A">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28" w14:textId="77777777" w:rsidR="00351BE8" w:rsidRDefault="0052315A">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351BE8" w14:paraId="3DEBC02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2A" w14:textId="77777777" w:rsidR="00351BE8" w:rsidRDefault="0052315A">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2B" w14:textId="77777777" w:rsidR="00351BE8" w:rsidRDefault="0052315A">
            <w:pPr>
              <w:spacing w:before="240"/>
              <w:rPr>
                <w:sz w:val="20"/>
                <w:szCs w:val="20"/>
              </w:rPr>
            </w:pPr>
            <w:r>
              <w:rPr>
                <w:sz w:val="20"/>
                <w:szCs w:val="20"/>
              </w:rPr>
              <w:t>The prices (excluding any applicable VAT), payable to the Supplier by the Buyer under this Call-Off Contract.</w:t>
            </w:r>
          </w:p>
        </w:tc>
      </w:tr>
      <w:tr w:rsidR="00351BE8" w14:paraId="3DEBC02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2D" w14:textId="77777777" w:rsidR="00351BE8" w:rsidRDefault="0052315A">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2E" w14:textId="77777777" w:rsidR="00351BE8" w:rsidRDefault="0052315A">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351BE8" w14:paraId="3DEBC03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30" w14:textId="77777777" w:rsidR="00351BE8" w:rsidRDefault="0052315A">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31" w14:textId="77777777" w:rsidR="00351BE8" w:rsidRDefault="0052315A">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351BE8" w14:paraId="3DEBC037"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33" w14:textId="77777777" w:rsidR="00351BE8" w:rsidRDefault="0052315A">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34" w14:textId="77777777" w:rsidR="00351BE8" w:rsidRDefault="0052315A">
            <w:pPr>
              <w:spacing w:before="240"/>
              <w:rPr>
                <w:sz w:val="20"/>
                <w:szCs w:val="20"/>
              </w:rPr>
            </w:pPr>
            <w:r>
              <w:rPr>
                <w:sz w:val="20"/>
                <w:szCs w:val="20"/>
              </w:rPr>
              <w:t>Data, Personal Data and any information, which may include (but isn’t limited to) any:</w:t>
            </w:r>
          </w:p>
          <w:p w14:paraId="3DEBC035" w14:textId="77777777" w:rsidR="00351BE8" w:rsidRDefault="0052315A" w:rsidP="009D7AFD">
            <w:pPr>
              <w:pStyle w:val="ListParagraph"/>
              <w:numPr>
                <w:ilvl w:val="0"/>
                <w:numId w:val="20"/>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3DEBC036" w14:textId="77777777" w:rsidR="00351BE8" w:rsidRDefault="0052315A" w:rsidP="009D7AFD">
            <w:pPr>
              <w:pStyle w:val="ListParagraph"/>
              <w:numPr>
                <w:ilvl w:val="0"/>
                <w:numId w:val="20"/>
              </w:numPr>
              <w:rPr>
                <w:sz w:val="20"/>
                <w:szCs w:val="20"/>
              </w:rPr>
            </w:pPr>
            <w:r>
              <w:rPr>
                <w:sz w:val="20"/>
                <w:szCs w:val="20"/>
              </w:rPr>
              <w:t>other information clearly designated as being confidential or which ought reasonably be considered to be confidential (whether or not it is marked 'confidential').</w:t>
            </w:r>
          </w:p>
        </w:tc>
      </w:tr>
      <w:tr w:rsidR="00351BE8" w14:paraId="3DEBC03B"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38" w14:textId="77777777" w:rsidR="00351BE8" w:rsidRDefault="0052315A">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39" w14:textId="77777777" w:rsidR="00351BE8" w:rsidRDefault="0052315A">
            <w:pPr>
              <w:spacing w:before="240"/>
              <w:rPr>
                <w:sz w:val="20"/>
                <w:szCs w:val="20"/>
              </w:rPr>
            </w:pPr>
            <w:r>
              <w:rPr>
                <w:sz w:val="20"/>
                <w:szCs w:val="20"/>
              </w:rPr>
              <w:t>‘Control’ as defined in section 1124 and 450 of the Corporation Tax</w:t>
            </w:r>
          </w:p>
          <w:p w14:paraId="3DEBC03A" w14:textId="77777777" w:rsidR="00351BE8" w:rsidRDefault="0052315A">
            <w:pPr>
              <w:spacing w:before="240"/>
              <w:rPr>
                <w:sz w:val="20"/>
                <w:szCs w:val="20"/>
              </w:rPr>
            </w:pPr>
            <w:r>
              <w:rPr>
                <w:sz w:val="20"/>
                <w:szCs w:val="20"/>
              </w:rPr>
              <w:t>Act 2010. 'Controls' and 'Controlled' will be interpreted accordingly.</w:t>
            </w:r>
          </w:p>
        </w:tc>
      </w:tr>
      <w:tr w:rsidR="00351BE8" w14:paraId="3DEBC03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3C" w14:textId="77777777" w:rsidR="00351BE8" w:rsidRDefault="0052315A">
            <w:pPr>
              <w:spacing w:before="240"/>
              <w:rPr>
                <w:b/>
                <w:sz w:val="20"/>
                <w:szCs w:val="20"/>
              </w:rPr>
            </w:pPr>
            <w:r>
              <w:rPr>
                <w:b/>
                <w:sz w:val="20"/>
                <w:szCs w:val="20"/>
              </w:rPr>
              <w:lastRenderedPageBreak/>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3D" w14:textId="77777777" w:rsidR="00351BE8" w:rsidRDefault="0052315A">
            <w:pPr>
              <w:spacing w:before="240"/>
              <w:rPr>
                <w:sz w:val="20"/>
                <w:szCs w:val="20"/>
              </w:rPr>
            </w:pPr>
            <w:r>
              <w:rPr>
                <w:sz w:val="20"/>
                <w:szCs w:val="20"/>
              </w:rPr>
              <w:t>Takes the meaning given in the GDPR.</w:t>
            </w:r>
          </w:p>
        </w:tc>
      </w:tr>
      <w:tr w:rsidR="00351BE8" w14:paraId="3DEBC04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3F" w14:textId="77777777" w:rsidR="00351BE8" w:rsidRDefault="0052315A">
            <w:pPr>
              <w:spacing w:before="240"/>
              <w:rPr>
                <w:b/>
                <w:sz w:val="20"/>
                <w:szCs w:val="20"/>
              </w:rPr>
            </w:pPr>
            <w:r>
              <w:rPr>
                <w:b/>
                <w:sz w:val="20"/>
                <w:szCs w:val="20"/>
              </w:rPr>
              <w:t>Crown</w:t>
            </w:r>
          </w:p>
          <w:p w14:paraId="3DEBC040" w14:textId="77777777" w:rsidR="00351BE8" w:rsidRDefault="0052315A">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41" w14:textId="77777777" w:rsidR="00351BE8" w:rsidRDefault="0052315A">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351BE8" w14:paraId="3DEBC04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43" w14:textId="77777777" w:rsidR="00351BE8" w:rsidRDefault="0052315A">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44" w14:textId="77777777" w:rsidR="00351BE8" w:rsidRDefault="0052315A">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351BE8" w14:paraId="3DEBC04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46" w14:textId="77777777" w:rsidR="00351BE8" w:rsidRDefault="0052315A">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47" w14:textId="77777777" w:rsidR="00351BE8" w:rsidRDefault="0052315A">
            <w:pPr>
              <w:spacing w:before="240"/>
              <w:rPr>
                <w:sz w:val="20"/>
                <w:szCs w:val="20"/>
              </w:rPr>
            </w:pPr>
            <w:r>
              <w:rPr>
                <w:sz w:val="20"/>
                <w:szCs w:val="20"/>
              </w:rPr>
              <w:t>An assessment by the Controller of the impact of the envisaged Processing on the protection of Personal Data.</w:t>
            </w:r>
          </w:p>
        </w:tc>
      </w:tr>
      <w:tr w:rsidR="00351BE8" w14:paraId="3DEBC04E"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49" w14:textId="77777777" w:rsidR="00351BE8" w:rsidRDefault="0052315A">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4A" w14:textId="77777777" w:rsidR="00351BE8" w:rsidRDefault="0052315A">
            <w:pPr>
              <w:spacing w:before="240"/>
              <w:rPr>
                <w:sz w:val="20"/>
                <w:szCs w:val="20"/>
              </w:rPr>
            </w:pPr>
            <w:r>
              <w:rPr>
                <w:sz w:val="20"/>
                <w:szCs w:val="20"/>
              </w:rPr>
              <w:t>Data Protection Legislation means:</w:t>
            </w:r>
          </w:p>
          <w:p w14:paraId="3DEBC04B" w14:textId="77777777" w:rsidR="00351BE8" w:rsidRDefault="0052315A">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3DEBC04C" w14:textId="77777777" w:rsidR="00351BE8" w:rsidRDefault="0052315A">
            <w:pPr>
              <w:ind w:left="720" w:hanging="720"/>
              <w:rPr>
                <w:sz w:val="20"/>
                <w:szCs w:val="20"/>
              </w:rPr>
            </w:pPr>
            <w:r>
              <w:rPr>
                <w:sz w:val="20"/>
                <w:szCs w:val="20"/>
              </w:rPr>
              <w:t>(ii) the DPA 2018 to the extent that it relates to Processing of Personal Data and privacy</w:t>
            </w:r>
          </w:p>
          <w:p w14:paraId="3DEBC04D" w14:textId="77777777" w:rsidR="00351BE8" w:rsidRDefault="0052315A">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351BE8" w14:paraId="3DEBC05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4F" w14:textId="77777777" w:rsidR="00351BE8" w:rsidRDefault="0052315A">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50" w14:textId="77777777" w:rsidR="00351BE8" w:rsidRDefault="0052315A">
            <w:pPr>
              <w:spacing w:before="240"/>
              <w:rPr>
                <w:sz w:val="20"/>
                <w:szCs w:val="20"/>
              </w:rPr>
            </w:pPr>
            <w:r>
              <w:rPr>
                <w:sz w:val="20"/>
                <w:szCs w:val="20"/>
              </w:rPr>
              <w:t>Takes the meaning given in the GDPR</w:t>
            </w:r>
          </w:p>
        </w:tc>
      </w:tr>
      <w:tr w:rsidR="00351BE8" w14:paraId="3DEBC057"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52" w14:textId="77777777" w:rsidR="00351BE8" w:rsidRDefault="0052315A">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53" w14:textId="77777777" w:rsidR="00351BE8" w:rsidRDefault="0052315A">
            <w:pPr>
              <w:spacing w:before="240"/>
              <w:rPr>
                <w:sz w:val="20"/>
                <w:szCs w:val="20"/>
              </w:rPr>
            </w:pPr>
            <w:r>
              <w:rPr>
                <w:sz w:val="20"/>
                <w:szCs w:val="20"/>
              </w:rPr>
              <w:t>Default is any:</w:t>
            </w:r>
          </w:p>
          <w:p w14:paraId="3DEBC054" w14:textId="77777777" w:rsidR="00351BE8" w:rsidRDefault="0052315A" w:rsidP="009D7AFD">
            <w:pPr>
              <w:pStyle w:val="ListParagraph"/>
              <w:numPr>
                <w:ilvl w:val="0"/>
                <w:numId w:val="21"/>
              </w:numPr>
              <w:rPr>
                <w:sz w:val="20"/>
                <w:szCs w:val="20"/>
              </w:rPr>
            </w:pPr>
            <w:r>
              <w:rPr>
                <w:sz w:val="20"/>
                <w:szCs w:val="20"/>
              </w:rPr>
              <w:t>breach of the obligations of the Supplier (including any fundamental breach or breach of a fundamental term)</w:t>
            </w:r>
          </w:p>
          <w:p w14:paraId="3DEBC055" w14:textId="77777777" w:rsidR="00351BE8" w:rsidRDefault="0052315A" w:rsidP="009D7AFD">
            <w:pPr>
              <w:pStyle w:val="ListParagraph"/>
              <w:numPr>
                <w:ilvl w:val="0"/>
                <w:numId w:val="21"/>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3DEBC056" w14:textId="77777777" w:rsidR="00351BE8" w:rsidRDefault="0052315A">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351BE8" w14:paraId="3DEBC05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58" w14:textId="77777777" w:rsidR="00351BE8" w:rsidRDefault="0052315A">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59" w14:textId="77777777" w:rsidR="00351BE8" w:rsidRDefault="0052315A">
            <w:pPr>
              <w:spacing w:before="240"/>
              <w:rPr>
                <w:sz w:val="20"/>
                <w:szCs w:val="20"/>
              </w:rPr>
            </w:pPr>
            <w:r>
              <w:rPr>
                <w:sz w:val="20"/>
                <w:szCs w:val="20"/>
              </w:rPr>
              <w:t>The G-Cloud Services the Buyer contracts the Supplier to provide under this Call-Off Contract.</w:t>
            </w:r>
          </w:p>
        </w:tc>
      </w:tr>
      <w:tr w:rsidR="00351BE8" w14:paraId="3DEBC05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5B" w14:textId="77777777" w:rsidR="00351BE8" w:rsidRDefault="0052315A">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5C" w14:textId="77777777" w:rsidR="00351BE8" w:rsidRDefault="0052315A">
            <w:pPr>
              <w:spacing w:before="240"/>
            </w:pPr>
            <w:r>
              <w:rPr>
                <w:sz w:val="20"/>
                <w:szCs w:val="20"/>
              </w:rPr>
              <w:t>The government marketplace where Services are available for Buyers to buy. (</w:t>
            </w:r>
            <w:hyperlink r:id="rId33" w:history="1">
              <w:r>
                <w:rPr>
                  <w:sz w:val="20"/>
                  <w:szCs w:val="20"/>
                  <w:u w:val="single"/>
                </w:rPr>
                <w:t>https://www.digitalmarketplace.service.gov.uk</w:t>
              </w:r>
            </w:hyperlink>
            <w:r>
              <w:rPr>
                <w:sz w:val="20"/>
                <w:szCs w:val="20"/>
              </w:rPr>
              <w:t>/)</w:t>
            </w:r>
          </w:p>
        </w:tc>
      </w:tr>
      <w:tr w:rsidR="00351BE8" w14:paraId="3DEBC06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5E" w14:textId="77777777" w:rsidR="00351BE8" w:rsidRDefault="0052315A">
            <w:pPr>
              <w:spacing w:before="240"/>
              <w:rPr>
                <w:b/>
                <w:sz w:val="20"/>
                <w:szCs w:val="20"/>
              </w:rPr>
            </w:pPr>
            <w:r>
              <w:rPr>
                <w:b/>
                <w:sz w:val="20"/>
                <w:szCs w:val="20"/>
              </w:rPr>
              <w:lastRenderedPageBreak/>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5F" w14:textId="77777777" w:rsidR="00351BE8" w:rsidRDefault="0052315A">
            <w:pPr>
              <w:spacing w:before="240"/>
              <w:rPr>
                <w:sz w:val="20"/>
                <w:szCs w:val="20"/>
              </w:rPr>
            </w:pPr>
            <w:r>
              <w:rPr>
                <w:sz w:val="20"/>
                <w:szCs w:val="20"/>
              </w:rPr>
              <w:t>Data Protection Act 2018.</w:t>
            </w:r>
          </w:p>
        </w:tc>
      </w:tr>
      <w:tr w:rsidR="00351BE8" w14:paraId="3DEBC06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61" w14:textId="77777777" w:rsidR="00351BE8" w:rsidRDefault="0052315A">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62" w14:textId="77777777" w:rsidR="00351BE8" w:rsidRDefault="0052315A">
            <w:pPr>
              <w:spacing w:before="240"/>
              <w:rPr>
                <w:sz w:val="20"/>
                <w:szCs w:val="20"/>
              </w:rPr>
            </w:pPr>
            <w:r>
              <w:rPr>
                <w:sz w:val="20"/>
                <w:szCs w:val="20"/>
              </w:rPr>
              <w:t>The Transfer of Undertakings (Protection of Employment) Regulations 2006 (SI 2006/246) (‘TUPE’) which implements the Acquired Rights Directive.</w:t>
            </w:r>
          </w:p>
        </w:tc>
      </w:tr>
      <w:tr w:rsidR="00351BE8" w14:paraId="3DEBC06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64" w14:textId="77777777" w:rsidR="00351BE8" w:rsidRDefault="0052315A">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65" w14:textId="77777777" w:rsidR="00351BE8" w:rsidRDefault="0052315A">
            <w:pPr>
              <w:spacing w:before="240"/>
              <w:rPr>
                <w:sz w:val="20"/>
                <w:szCs w:val="20"/>
              </w:rPr>
            </w:pPr>
            <w:r>
              <w:rPr>
                <w:sz w:val="20"/>
                <w:szCs w:val="20"/>
              </w:rPr>
              <w:t>Means to terminate; and Ended and Ending are construed accordingly.</w:t>
            </w:r>
          </w:p>
        </w:tc>
      </w:tr>
      <w:tr w:rsidR="00351BE8" w14:paraId="3DEBC06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67" w14:textId="77777777" w:rsidR="00351BE8" w:rsidRDefault="0052315A">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68" w14:textId="77777777" w:rsidR="00351BE8" w:rsidRDefault="0052315A">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351BE8" w14:paraId="3DEBC06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6A" w14:textId="77777777" w:rsidR="00351BE8" w:rsidRDefault="0052315A">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6B" w14:textId="77777777" w:rsidR="00351BE8" w:rsidRDefault="0052315A">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351BE8" w14:paraId="3DEBC06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6D" w14:textId="77777777" w:rsidR="00351BE8" w:rsidRDefault="0052315A">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6E" w14:textId="77777777" w:rsidR="00351BE8" w:rsidRDefault="0052315A">
            <w:pPr>
              <w:spacing w:before="240"/>
              <w:rPr>
                <w:sz w:val="20"/>
                <w:szCs w:val="20"/>
              </w:rPr>
            </w:pPr>
            <w:r>
              <w:rPr>
                <w:sz w:val="20"/>
                <w:szCs w:val="20"/>
              </w:rPr>
              <w:t>The 14 digit ESI reference number from the summary of the outcome screen of the ESI tool.</w:t>
            </w:r>
          </w:p>
        </w:tc>
      </w:tr>
      <w:tr w:rsidR="00351BE8" w14:paraId="3DEBC073"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70" w14:textId="77777777" w:rsidR="00351BE8" w:rsidRDefault="0052315A">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71" w14:textId="77777777" w:rsidR="00351BE8" w:rsidRDefault="0052315A">
            <w:pPr>
              <w:spacing w:before="240"/>
              <w:rPr>
                <w:sz w:val="20"/>
                <w:szCs w:val="20"/>
              </w:rPr>
            </w:pPr>
            <w:r>
              <w:rPr>
                <w:sz w:val="20"/>
                <w:szCs w:val="20"/>
              </w:rPr>
              <w:t>The HMRC Employment Status Indicator test tool. The most up-to-date version must be used. At the time of drafting the tool may be found here:</w:t>
            </w:r>
          </w:p>
          <w:p w14:paraId="3DEBC072" w14:textId="77777777" w:rsidR="00351BE8" w:rsidRDefault="00B778B6">
            <w:hyperlink r:id="rId34" w:history="1">
              <w:r w:rsidR="0052315A">
                <w:rPr>
                  <w:rStyle w:val="Hyperlink"/>
                </w:rPr>
                <w:t>https://www.gov.uk/guidance/check-employment-status-for-tax</w:t>
              </w:r>
            </w:hyperlink>
          </w:p>
        </w:tc>
      </w:tr>
      <w:tr w:rsidR="00351BE8" w14:paraId="3DEBC07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74" w14:textId="77777777" w:rsidR="00351BE8" w:rsidRDefault="0052315A">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75" w14:textId="77777777" w:rsidR="00351BE8" w:rsidRDefault="0052315A">
            <w:pPr>
              <w:spacing w:before="240"/>
              <w:rPr>
                <w:sz w:val="20"/>
                <w:szCs w:val="20"/>
              </w:rPr>
            </w:pPr>
            <w:r>
              <w:rPr>
                <w:sz w:val="20"/>
                <w:szCs w:val="20"/>
              </w:rPr>
              <w:t>The expiry date of this Call-Off Contract in the Order Form.</w:t>
            </w:r>
          </w:p>
        </w:tc>
      </w:tr>
      <w:tr w:rsidR="00351BE8" w14:paraId="3DEBC083"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77" w14:textId="77777777" w:rsidR="00351BE8" w:rsidRDefault="0052315A">
            <w:pPr>
              <w:spacing w:before="240"/>
              <w:rPr>
                <w:b/>
                <w:sz w:val="20"/>
                <w:szCs w:val="20"/>
              </w:rPr>
            </w:pPr>
            <w:r>
              <w:rPr>
                <w:b/>
                <w:sz w:val="20"/>
                <w:szCs w:val="20"/>
              </w:rPr>
              <w:lastRenderedPageBreak/>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78" w14:textId="77777777" w:rsidR="00351BE8" w:rsidRDefault="0052315A">
            <w:pPr>
              <w:spacing w:before="240"/>
              <w:rPr>
                <w:sz w:val="20"/>
                <w:szCs w:val="20"/>
              </w:rPr>
            </w:pPr>
            <w:r>
              <w:rPr>
                <w:sz w:val="20"/>
                <w:szCs w:val="20"/>
              </w:rPr>
              <w:t>A force Majeure event means anything affecting either Party's performance of their obligations arising from any:</w:t>
            </w:r>
          </w:p>
          <w:p w14:paraId="3DEBC079" w14:textId="77777777" w:rsidR="00351BE8" w:rsidRDefault="0052315A" w:rsidP="009D7AFD">
            <w:pPr>
              <w:pStyle w:val="ListParagraph"/>
              <w:numPr>
                <w:ilvl w:val="0"/>
                <w:numId w:val="22"/>
              </w:numPr>
              <w:rPr>
                <w:sz w:val="20"/>
                <w:szCs w:val="20"/>
              </w:rPr>
            </w:pPr>
            <w:r>
              <w:rPr>
                <w:sz w:val="20"/>
                <w:szCs w:val="20"/>
              </w:rPr>
              <w:t>acts, events or omissions beyond the reasonable control of the affected Party</w:t>
            </w:r>
          </w:p>
          <w:p w14:paraId="3DEBC07A" w14:textId="77777777" w:rsidR="00351BE8" w:rsidRDefault="0052315A" w:rsidP="009D7AFD">
            <w:pPr>
              <w:pStyle w:val="ListParagraph"/>
              <w:numPr>
                <w:ilvl w:val="0"/>
                <w:numId w:val="23"/>
              </w:numPr>
              <w:rPr>
                <w:sz w:val="20"/>
                <w:szCs w:val="20"/>
              </w:rPr>
            </w:pPr>
            <w:r>
              <w:rPr>
                <w:sz w:val="20"/>
                <w:szCs w:val="20"/>
              </w:rPr>
              <w:t>riots, war or armed conflict, acts of terrorism, nuclear, biological or chemical warfare</w:t>
            </w:r>
          </w:p>
          <w:p w14:paraId="3DEBC07B" w14:textId="77777777" w:rsidR="00351BE8" w:rsidRDefault="0052315A" w:rsidP="009D7AFD">
            <w:pPr>
              <w:pStyle w:val="ListParagraph"/>
              <w:numPr>
                <w:ilvl w:val="0"/>
                <w:numId w:val="24"/>
              </w:numPr>
            </w:pPr>
            <w:r>
              <w:t xml:space="preserve">acts of government, local government or Regulatory </w:t>
            </w:r>
            <w:r>
              <w:rPr>
                <w:sz w:val="20"/>
                <w:szCs w:val="20"/>
              </w:rPr>
              <w:t>Bodies</w:t>
            </w:r>
          </w:p>
          <w:p w14:paraId="3DEBC07C" w14:textId="77777777" w:rsidR="00351BE8" w:rsidRDefault="0052315A" w:rsidP="009D7AFD">
            <w:pPr>
              <w:pStyle w:val="ListParagraph"/>
              <w:numPr>
                <w:ilvl w:val="0"/>
                <w:numId w:val="25"/>
              </w:numPr>
            </w:pPr>
            <w:r>
              <w:rPr>
                <w:sz w:val="14"/>
                <w:szCs w:val="14"/>
              </w:rPr>
              <w:t xml:space="preserve"> </w:t>
            </w:r>
            <w:r>
              <w:rPr>
                <w:sz w:val="20"/>
                <w:szCs w:val="20"/>
              </w:rPr>
              <w:t>fire, flood or disaster and any failure or shortage of power or fuel</w:t>
            </w:r>
          </w:p>
          <w:p w14:paraId="3DEBC07D" w14:textId="77777777" w:rsidR="00351BE8" w:rsidRDefault="0052315A" w:rsidP="009D7AFD">
            <w:pPr>
              <w:pStyle w:val="ListParagraph"/>
              <w:numPr>
                <w:ilvl w:val="0"/>
                <w:numId w:val="26"/>
              </w:numPr>
              <w:rPr>
                <w:sz w:val="20"/>
                <w:szCs w:val="20"/>
              </w:rPr>
            </w:pPr>
            <w:r>
              <w:rPr>
                <w:sz w:val="20"/>
                <w:szCs w:val="20"/>
              </w:rPr>
              <w:t>industrial dispute affecting a third party for which a substitute third party isn’t reasonably available</w:t>
            </w:r>
          </w:p>
          <w:p w14:paraId="3DEBC07E" w14:textId="77777777" w:rsidR="00351BE8" w:rsidRDefault="0052315A">
            <w:pPr>
              <w:spacing w:before="240"/>
              <w:rPr>
                <w:sz w:val="20"/>
                <w:szCs w:val="20"/>
              </w:rPr>
            </w:pPr>
            <w:r>
              <w:rPr>
                <w:sz w:val="20"/>
                <w:szCs w:val="20"/>
              </w:rPr>
              <w:t>The following do not constitute a Force Majeure event:</w:t>
            </w:r>
          </w:p>
          <w:p w14:paraId="3DEBC07F" w14:textId="77777777" w:rsidR="00351BE8" w:rsidRDefault="0052315A" w:rsidP="009D7AFD">
            <w:pPr>
              <w:pStyle w:val="ListParagraph"/>
              <w:numPr>
                <w:ilvl w:val="0"/>
                <w:numId w:val="27"/>
              </w:numPr>
              <w:rPr>
                <w:sz w:val="20"/>
                <w:szCs w:val="20"/>
              </w:rPr>
            </w:pPr>
            <w:r>
              <w:rPr>
                <w:sz w:val="20"/>
                <w:szCs w:val="20"/>
              </w:rPr>
              <w:t>any industrial dispute about the Supplier, its staff, or failure in the Supplier’s (or a Subcontractor's) supply chain</w:t>
            </w:r>
          </w:p>
          <w:p w14:paraId="3DEBC080" w14:textId="77777777" w:rsidR="00351BE8" w:rsidRDefault="0052315A" w:rsidP="009D7AFD">
            <w:pPr>
              <w:pStyle w:val="ListParagraph"/>
              <w:numPr>
                <w:ilvl w:val="0"/>
                <w:numId w:val="27"/>
              </w:numPr>
              <w:rPr>
                <w:sz w:val="20"/>
                <w:szCs w:val="20"/>
              </w:rPr>
            </w:pPr>
            <w:r>
              <w:rPr>
                <w:sz w:val="20"/>
                <w:szCs w:val="20"/>
              </w:rPr>
              <w:t>any event which is attributable to the wilful act, neglect or failure to take reasonable precautions by the Party seeking to rely on Force Majeure</w:t>
            </w:r>
          </w:p>
          <w:p w14:paraId="3DEBC081" w14:textId="77777777" w:rsidR="00351BE8" w:rsidRDefault="0052315A" w:rsidP="009D7AFD">
            <w:pPr>
              <w:pStyle w:val="ListParagraph"/>
              <w:numPr>
                <w:ilvl w:val="0"/>
                <w:numId w:val="27"/>
              </w:numPr>
              <w:rPr>
                <w:sz w:val="20"/>
                <w:szCs w:val="20"/>
              </w:rPr>
            </w:pPr>
            <w:r>
              <w:rPr>
                <w:sz w:val="20"/>
                <w:szCs w:val="20"/>
              </w:rPr>
              <w:t>the event was foreseeable by the Party seeking to rely on Force Majeure at the time this Call-Off Contract was entered into</w:t>
            </w:r>
          </w:p>
          <w:p w14:paraId="3DEBC082" w14:textId="77777777" w:rsidR="00351BE8" w:rsidRDefault="0052315A" w:rsidP="009D7AFD">
            <w:pPr>
              <w:pStyle w:val="ListParagraph"/>
              <w:numPr>
                <w:ilvl w:val="0"/>
                <w:numId w:val="27"/>
              </w:numPr>
              <w:rPr>
                <w:sz w:val="20"/>
                <w:szCs w:val="20"/>
              </w:rPr>
            </w:pPr>
            <w:r>
              <w:rPr>
                <w:sz w:val="20"/>
                <w:szCs w:val="20"/>
              </w:rPr>
              <w:t>any event which is attributable to the Party seeking to rely on Force Majeure and its failure to comply with its own business continuity and disaster recovery plans</w:t>
            </w:r>
          </w:p>
        </w:tc>
      </w:tr>
      <w:tr w:rsidR="00351BE8" w14:paraId="3DEBC086"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84" w14:textId="77777777" w:rsidR="00351BE8" w:rsidRDefault="0052315A">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85" w14:textId="77777777" w:rsidR="00351BE8" w:rsidRDefault="0052315A">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351BE8" w14:paraId="3DEBC08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87" w14:textId="77777777" w:rsidR="00351BE8" w:rsidRDefault="0052315A">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88" w14:textId="77777777" w:rsidR="00351BE8" w:rsidRDefault="0052315A">
            <w:pPr>
              <w:spacing w:before="240"/>
              <w:rPr>
                <w:sz w:val="20"/>
                <w:szCs w:val="20"/>
              </w:rPr>
            </w:pPr>
            <w:r>
              <w:rPr>
                <w:sz w:val="20"/>
                <w:szCs w:val="20"/>
              </w:rPr>
              <w:t>The clauses of framework agreement RM1557.12 together with the Framework Schedules.</w:t>
            </w:r>
          </w:p>
        </w:tc>
      </w:tr>
      <w:tr w:rsidR="00351BE8" w14:paraId="3DEBC08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8A" w14:textId="77777777" w:rsidR="00351BE8" w:rsidRDefault="0052315A">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8B" w14:textId="77777777" w:rsidR="00351BE8" w:rsidRDefault="0052315A">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351BE8" w14:paraId="3DEBC08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8D" w14:textId="77777777" w:rsidR="00351BE8" w:rsidRDefault="0052315A">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8E" w14:textId="77777777" w:rsidR="00351BE8" w:rsidRDefault="0052315A">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351BE8" w14:paraId="3DEBC092"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90" w14:textId="77777777" w:rsidR="00351BE8" w:rsidRDefault="0052315A">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91" w14:textId="77777777" w:rsidR="00351BE8" w:rsidRDefault="0052315A">
            <w:pPr>
              <w:spacing w:before="240"/>
              <w:rPr>
                <w:sz w:val="20"/>
                <w:szCs w:val="20"/>
              </w:rPr>
            </w:pPr>
            <w:r>
              <w:rPr>
                <w:sz w:val="20"/>
                <w:szCs w:val="20"/>
              </w:rPr>
              <w:t xml:space="preserve">The cloud services described in Framework Agreement Section 2 (Services Offered) as defined by the Service Definition, the Supplier Terms and any related Application documentation, which the Supplier must make available to CCS and Buyers and those </w:t>
            </w:r>
            <w:r>
              <w:rPr>
                <w:sz w:val="20"/>
                <w:szCs w:val="20"/>
              </w:rPr>
              <w:lastRenderedPageBreak/>
              <w:t>services which are deliverable by the Supplier under the Collaboration Agreement.</w:t>
            </w:r>
          </w:p>
        </w:tc>
      </w:tr>
      <w:tr w:rsidR="00351BE8" w14:paraId="3DEBC0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93" w14:textId="77777777" w:rsidR="00351BE8" w:rsidRDefault="0052315A">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94" w14:textId="77777777" w:rsidR="00351BE8" w:rsidRDefault="0052315A">
            <w:pPr>
              <w:spacing w:before="240"/>
              <w:rPr>
                <w:sz w:val="20"/>
                <w:szCs w:val="20"/>
              </w:rPr>
            </w:pPr>
            <w:r>
              <w:rPr>
                <w:sz w:val="20"/>
                <w:szCs w:val="20"/>
              </w:rPr>
              <w:t>General Data Protection Regulation (Regulation (EU) 2016/679)</w:t>
            </w:r>
          </w:p>
        </w:tc>
      </w:tr>
      <w:tr w:rsidR="00351BE8" w14:paraId="3DEBC09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96" w14:textId="77777777" w:rsidR="00351BE8" w:rsidRDefault="0052315A">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97" w14:textId="77777777" w:rsidR="00351BE8" w:rsidRDefault="0052315A">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351BE8" w14:paraId="3DEBC09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99" w14:textId="77777777" w:rsidR="00351BE8" w:rsidRDefault="0052315A">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9A" w14:textId="77777777" w:rsidR="00351BE8" w:rsidRDefault="0052315A">
            <w:pPr>
              <w:spacing w:before="240"/>
              <w:rPr>
                <w:sz w:val="20"/>
                <w:szCs w:val="20"/>
              </w:rPr>
            </w:pPr>
            <w:r>
              <w:rPr>
                <w:sz w:val="20"/>
                <w:szCs w:val="20"/>
              </w:rPr>
              <w:t xml:space="preserve">The government’s preferred method of purchasing and payment for low value goods or services. </w:t>
            </w:r>
          </w:p>
        </w:tc>
      </w:tr>
      <w:tr w:rsidR="00351BE8" w14:paraId="3DEBC09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9C" w14:textId="77777777" w:rsidR="00351BE8" w:rsidRDefault="0052315A">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9D" w14:textId="77777777" w:rsidR="00351BE8" w:rsidRDefault="0052315A">
            <w:pPr>
              <w:spacing w:before="240"/>
              <w:rPr>
                <w:sz w:val="20"/>
                <w:szCs w:val="20"/>
              </w:rPr>
            </w:pPr>
            <w:r>
              <w:rPr>
                <w:sz w:val="20"/>
                <w:szCs w:val="20"/>
              </w:rPr>
              <w:t>The guarantee described in Schedule 5.</w:t>
            </w:r>
          </w:p>
        </w:tc>
      </w:tr>
      <w:tr w:rsidR="00351BE8" w14:paraId="3DEBC0A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9F" w14:textId="77777777" w:rsidR="00351BE8" w:rsidRDefault="0052315A">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A0" w14:textId="77777777" w:rsidR="00351BE8" w:rsidRDefault="0052315A">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351BE8" w14:paraId="3DEBC0A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A2" w14:textId="77777777" w:rsidR="00351BE8" w:rsidRDefault="0052315A">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A3" w14:textId="77777777" w:rsidR="00351BE8" w:rsidRDefault="0052315A">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351BE8" w14:paraId="3DEBC0A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A5" w14:textId="77777777" w:rsidR="00351BE8" w:rsidRDefault="0052315A">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A6" w14:textId="77777777" w:rsidR="00351BE8" w:rsidRDefault="0052315A">
            <w:pPr>
              <w:spacing w:before="240"/>
              <w:rPr>
                <w:sz w:val="20"/>
                <w:szCs w:val="20"/>
              </w:rPr>
            </w:pPr>
            <w:r>
              <w:rPr>
                <w:sz w:val="20"/>
                <w:szCs w:val="20"/>
              </w:rPr>
              <w:t>ESI tool completed by contractors on their own behalf at the request of CCS or the Buyer (as applicable) under clause 4.6.</w:t>
            </w:r>
          </w:p>
        </w:tc>
      </w:tr>
      <w:tr w:rsidR="00351BE8" w14:paraId="3DEBC0A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A8" w14:textId="77777777" w:rsidR="00351BE8" w:rsidRDefault="0052315A">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A9" w14:textId="77777777" w:rsidR="00351BE8" w:rsidRDefault="0052315A">
            <w:pPr>
              <w:spacing w:before="240"/>
              <w:rPr>
                <w:sz w:val="20"/>
                <w:szCs w:val="20"/>
              </w:rPr>
            </w:pPr>
            <w:r>
              <w:rPr>
                <w:sz w:val="20"/>
                <w:szCs w:val="20"/>
              </w:rPr>
              <w:t>Has the meaning given under section 84 of the Freedom of Information Act 2000.</w:t>
            </w:r>
          </w:p>
        </w:tc>
      </w:tr>
      <w:tr w:rsidR="00351BE8" w14:paraId="3DEBC0A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AB" w14:textId="77777777" w:rsidR="00351BE8" w:rsidRDefault="0052315A">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AC" w14:textId="77777777" w:rsidR="00351BE8" w:rsidRDefault="0052315A">
            <w:pPr>
              <w:spacing w:before="240"/>
              <w:rPr>
                <w:sz w:val="20"/>
                <w:szCs w:val="20"/>
              </w:rPr>
            </w:pPr>
            <w:r>
              <w:rPr>
                <w:sz w:val="20"/>
                <w:szCs w:val="20"/>
              </w:rPr>
              <w:t>The information security management system and process developed by the Supplier in accordance with clause 16.1.</w:t>
            </w:r>
          </w:p>
        </w:tc>
      </w:tr>
      <w:tr w:rsidR="00351BE8" w14:paraId="3DEBC0B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AE" w14:textId="77777777" w:rsidR="00351BE8" w:rsidRDefault="0052315A">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AF" w14:textId="77777777" w:rsidR="00351BE8" w:rsidRDefault="0052315A">
            <w:pPr>
              <w:spacing w:before="240"/>
              <w:rPr>
                <w:sz w:val="20"/>
                <w:szCs w:val="20"/>
              </w:rPr>
            </w:pPr>
            <w:r>
              <w:rPr>
                <w:sz w:val="20"/>
                <w:szCs w:val="20"/>
              </w:rPr>
              <w:t>Contractual engagements which would be determined to be within the scope of the IR35 Intermediaries legislation if assessed using the ESI tool.</w:t>
            </w:r>
          </w:p>
        </w:tc>
      </w:tr>
      <w:tr w:rsidR="00351BE8" w14:paraId="3DEBC0B8"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B1" w14:textId="77777777" w:rsidR="00351BE8" w:rsidRDefault="0052315A">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B2" w14:textId="77777777" w:rsidR="00351BE8" w:rsidRDefault="0052315A">
            <w:pPr>
              <w:spacing w:before="240"/>
              <w:rPr>
                <w:sz w:val="20"/>
                <w:szCs w:val="20"/>
              </w:rPr>
            </w:pPr>
            <w:r>
              <w:rPr>
                <w:sz w:val="20"/>
                <w:szCs w:val="20"/>
              </w:rPr>
              <w:t>Can be:</w:t>
            </w:r>
          </w:p>
          <w:p w14:paraId="3DEBC0B3" w14:textId="77777777" w:rsidR="00351BE8" w:rsidRDefault="0052315A" w:rsidP="009D7AFD">
            <w:pPr>
              <w:pStyle w:val="ListParagraph"/>
              <w:numPr>
                <w:ilvl w:val="0"/>
                <w:numId w:val="28"/>
              </w:numPr>
            </w:pPr>
            <w:r>
              <w:rPr>
                <w:sz w:val="14"/>
                <w:szCs w:val="14"/>
              </w:rPr>
              <w:t xml:space="preserve"> </w:t>
            </w:r>
            <w:r>
              <w:rPr>
                <w:sz w:val="20"/>
                <w:szCs w:val="20"/>
              </w:rPr>
              <w:t>a voluntary arrangement</w:t>
            </w:r>
          </w:p>
          <w:p w14:paraId="3DEBC0B4" w14:textId="77777777" w:rsidR="00351BE8" w:rsidRDefault="0052315A" w:rsidP="009D7AFD">
            <w:pPr>
              <w:pStyle w:val="ListParagraph"/>
              <w:numPr>
                <w:ilvl w:val="0"/>
                <w:numId w:val="28"/>
              </w:numPr>
              <w:rPr>
                <w:sz w:val="20"/>
                <w:szCs w:val="20"/>
              </w:rPr>
            </w:pPr>
            <w:r>
              <w:rPr>
                <w:sz w:val="20"/>
                <w:szCs w:val="20"/>
              </w:rPr>
              <w:t>a winding-up petition</w:t>
            </w:r>
          </w:p>
          <w:p w14:paraId="3DEBC0B5" w14:textId="77777777" w:rsidR="00351BE8" w:rsidRDefault="0052315A" w:rsidP="009D7AFD">
            <w:pPr>
              <w:pStyle w:val="ListParagraph"/>
              <w:numPr>
                <w:ilvl w:val="0"/>
                <w:numId w:val="28"/>
              </w:numPr>
              <w:rPr>
                <w:sz w:val="20"/>
                <w:szCs w:val="20"/>
              </w:rPr>
            </w:pPr>
            <w:r>
              <w:rPr>
                <w:sz w:val="20"/>
                <w:szCs w:val="20"/>
              </w:rPr>
              <w:t>the appointment of a receiver or administrator</w:t>
            </w:r>
          </w:p>
          <w:p w14:paraId="3DEBC0B6" w14:textId="77777777" w:rsidR="00351BE8" w:rsidRDefault="0052315A" w:rsidP="009D7AFD">
            <w:pPr>
              <w:pStyle w:val="ListParagraph"/>
              <w:numPr>
                <w:ilvl w:val="0"/>
                <w:numId w:val="28"/>
              </w:numPr>
              <w:rPr>
                <w:sz w:val="20"/>
                <w:szCs w:val="20"/>
              </w:rPr>
            </w:pPr>
            <w:r>
              <w:rPr>
                <w:sz w:val="20"/>
                <w:szCs w:val="20"/>
              </w:rPr>
              <w:t>an unresolved statutory demand</w:t>
            </w:r>
          </w:p>
          <w:p w14:paraId="3DEBC0B7" w14:textId="77777777" w:rsidR="00351BE8" w:rsidRDefault="0052315A" w:rsidP="009D7AFD">
            <w:pPr>
              <w:pStyle w:val="ListParagraph"/>
              <w:numPr>
                <w:ilvl w:val="0"/>
                <w:numId w:val="28"/>
              </w:numPr>
            </w:pPr>
            <w:r>
              <w:lastRenderedPageBreak/>
              <w:t>a S</w:t>
            </w:r>
            <w:r>
              <w:rPr>
                <w:sz w:val="20"/>
                <w:szCs w:val="20"/>
              </w:rPr>
              <w:t>chedule A1 moratorium</w:t>
            </w:r>
          </w:p>
        </w:tc>
      </w:tr>
      <w:tr w:rsidR="00351BE8" w14:paraId="3DEBC0BE"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B9" w14:textId="77777777" w:rsidR="00351BE8" w:rsidRDefault="0052315A">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BA" w14:textId="77777777" w:rsidR="00351BE8" w:rsidRDefault="0052315A">
            <w:pPr>
              <w:spacing w:before="240"/>
              <w:rPr>
                <w:sz w:val="20"/>
                <w:szCs w:val="20"/>
              </w:rPr>
            </w:pPr>
            <w:r>
              <w:rPr>
                <w:sz w:val="20"/>
                <w:szCs w:val="20"/>
              </w:rPr>
              <w:t>Intellectual Property Rights are:</w:t>
            </w:r>
          </w:p>
          <w:p w14:paraId="3DEBC0BB" w14:textId="77777777" w:rsidR="00351BE8" w:rsidRDefault="0052315A" w:rsidP="009D7AFD">
            <w:pPr>
              <w:pStyle w:val="ListParagraph"/>
              <w:numPr>
                <w:ilvl w:val="0"/>
                <w:numId w:val="29"/>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DEBC0BC" w14:textId="77777777" w:rsidR="00351BE8" w:rsidRDefault="0052315A" w:rsidP="009D7AFD">
            <w:pPr>
              <w:pStyle w:val="ListParagraph"/>
              <w:numPr>
                <w:ilvl w:val="0"/>
                <w:numId w:val="29"/>
              </w:numPr>
              <w:rPr>
                <w:sz w:val="20"/>
                <w:szCs w:val="20"/>
              </w:rPr>
            </w:pPr>
            <w:r>
              <w:rPr>
                <w:sz w:val="20"/>
                <w:szCs w:val="20"/>
              </w:rPr>
              <w:t>applications for registration, and the right to apply for registration, for any of the rights listed at (a) that are capable of being registered in any country or jurisdiction</w:t>
            </w:r>
          </w:p>
          <w:p w14:paraId="3DEBC0BD" w14:textId="77777777" w:rsidR="00351BE8" w:rsidRDefault="0052315A" w:rsidP="009D7AFD">
            <w:pPr>
              <w:pStyle w:val="ListParagraph"/>
              <w:numPr>
                <w:ilvl w:val="0"/>
                <w:numId w:val="29"/>
              </w:numPr>
              <w:rPr>
                <w:sz w:val="20"/>
                <w:szCs w:val="20"/>
              </w:rPr>
            </w:pPr>
            <w:r>
              <w:rPr>
                <w:sz w:val="20"/>
                <w:szCs w:val="20"/>
              </w:rPr>
              <w:t>all other rights having equivalent or similar effect in any country or jurisdiction</w:t>
            </w:r>
          </w:p>
        </w:tc>
      </w:tr>
      <w:tr w:rsidR="00351BE8" w14:paraId="3DEBC0C5"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BF" w14:textId="77777777" w:rsidR="00351BE8" w:rsidRDefault="0052315A">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C0" w14:textId="77777777" w:rsidR="00351BE8" w:rsidRDefault="0052315A">
            <w:pPr>
              <w:spacing w:before="240"/>
              <w:rPr>
                <w:sz w:val="20"/>
                <w:szCs w:val="20"/>
              </w:rPr>
            </w:pPr>
            <w:r>
              <w:rPr>
                <w:sz w:val="20"/>
                <w:szCs w:val="20"/>
              </w:rPr>
              <w:t>For the purposes of the IR35 rules an intermediary can be:</w:t>
            </w:r>
          </w:p>
          <w:p w14:paraId="3DEBC0C1" w14:textId="77777777" w:rsidR="00351BE8" w:rsidRDefault="0052315A" w:rsidP="009D7AFD">
            <w:pPr>
              <w:pStyle w:val="ListParagraph"/>
              <w:numPr>
                <w:ilvl w:val="0"/>
                <w:numId w:val="30"/>
              </w:numPr>
              <w:rPr>
                <w:sz w:val="20"/>
                <w:szCs w:val="20"/>
              </w:rPr>
            </w:pPr>
            <w:r>
              <w:rPr>
                <w:sz w:val="20"/>
                <w:szCs w:val="20"/>
              </w:rPr>
              <w:t>the supplier's own limited company</w:t>
            </w:r>
          </w:p>
          <w:p w14:paraId="3DEBC0C2" w14:textId="77777777" w:rsidR="00351BE8" w:rsidRDefault="0052315A" w:rsidP="009D7AFD">
            <w:pPr>
              <w:pStyle w:val="ListParagraph"/>
              <w:numPr>
                <w:ilvl w:val="0"/>
                <w:numId w:val="30"/>
              </w:numPr>
              <w:rPr>
                <w:sz w:val="20"/>
                <w:szCs w:val="20"/>
              </w:rPr>
            </w:pPr>
            <w:r>
              <w:rPr>
                <w:sz w:val="20"/>
                <w:szCs w:val="20"/>
              </w:rPr>
              <w:t>a service or a personal service company</w:t>
            </w:r>
          </w:p>
          <w:p w14:paraId="3DEBC0C3" w14:textId="77777777" w:rsidR="00351BE8" w:rsidRDefault="0052315A" w:rsidP="009D7AFD">
            <w:pPr>
              <w:pStyle w:val="ListParagraph"/>
              <w:numPr>
                <w:ilvl w:val="0"/>
                <w:numId w:val="30"/>
              </w:numPr>
              <w:rPr>
                <w:sz w:val="20"/>
                <w:szCs w:val="20"/>
              </w:rPr>
            </w:pPr>
            <w:r>
              <w:rPr>
                <w:sz w:val="20"/>
                <w:szCs w:val="20"/>
              </w:rPr>
              <w:t>a partnership</w:t>
            </w:r>
          </w:p>
          <w:p w14:paraId="3DEBC0C4" w14:textId="77777777" w:rsidR="00351BE8" w:rsidRDefault="0052315A">
            <w:pPr>
              <w:spacing w:before="240"/>
              <w:rPr>
                <w:sz w:val="20"/>
                <w:szCs w:val="20"/>
              </w:rPr>
            </w:pPr>
            <w:r>
              <w:rPr>
                <w:sz w:val="20"/>
                <w:szCs w:val="20"/>
              </w:rPr>
              <w:t>It does not apply if you work for a client through a Managed Service Company (MSC) or agency (for example, an employment agency).</w:t>
            </w:r>
          </w:p>
        </w:tc>
      </w:tr>
      <w:tr w:rsidR="00351BE8" w14:paraId="3DEBC0C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C6" w14:textId="77777777" w:rsidR="00351BE8" w:rsidRDefault="0052315A">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C7" w14:textId="77777777" w:rsidR="00351BE8" w:rsidRDefault="0052315A">
            <w:pPr>
              <w:spacing w:before="240"/>
              <w:rPr>
                <w:sz w:val="20"/>
                <w:szCs w:val="20"/>
              </w:rPr>
            </w:pPr>
            <w:r>
              <w:rPr>
                <w:sz w:val="20"/>
                <w:szCs w:val="20"/>
              </w:rPr>
              <w:t>As set out in clause 11.5.</w:t>
            </w:r>
          </w:p>
        </w:tc>
      </w:tr>
      <w:tr w:rsidR="00351BE8" w14:paraId="3DEBC0C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C9" w14:textId="77777777" w:rsidR="00351BE8" w:rsidRDefault="0052315A">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CA" w14:textId="77777777" w:rsidR="00351BE8" w:rsidRDefault="0052315A">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351BE8" w14:paraId="3DEBC0C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CC" w14:textId="77777777" w:rsidR="00351BE8" w:rsidRDefault="0052315A">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CD" w14:textId="77777777" w:rsidR="00351BE8" w:rsidRDefault="0052315A">
            <w:pPr>
              <w:spacing w:before="240"/>
              <w:rPr>
                <w:sz w:val="20"/>
                <w:szCs w:val="20"/>
              </w:rPr>
            </w:pPr>
            <w:r>
              <w:rPr>
                <w:sz w:val="20"/>
                <w:szCs w:val="20"/>
              </w:rPr>
              <w:t>Assessment of employment status using the ESI tool to determine if engagement is Inside or Outside IR35.</w:t>
            </w:r>
          </w:p>
        </w:tc>
      </w:tr>
      <w:tr w:rsidR="00351BE8" w14:paraId="3DEBC0D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CF" w14:textId="77777777" w:rsidR="00351BE8" w:rsidRDefault="0052315A">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D0" w14:textId="77777777" w:rsidR="00351BE8" w:rsidRDefault="0052315A">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351BE8" w14:paraId="3DEBC0D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D2" w14:textId="77777777" w:rsidR="00351BE8" w:rsidRDefault="0052315A">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D3" w14:textId="77777777" w:rsidR="00351BE8" w:rsidRDefault="0052315A">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351BE8" w14:paraId="3DEBC0D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D5" w14:textId="77777777" w:rsidR="00351BE8" w:rsidRDefault="0052315A">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D6" w14:textId="77777777" w:rsidR="00351BE8" w:rsidRDefault="0052315A">
            <w:pPr>
              <w:spacing w:before="240"/>
              <w:rPr>
                <w:sz w:val="20"/>
                <w:szCs w:val="20"/>
              </w:rPr>
            </w:pPr>
            <w:r>
              <w:rPr>
                <w:sz w:val="20"/>
                <w:szCs w:val="20"/>
              </w:rPr>
              <w:t>Law Enforcement Directive (EU) 2016/680.</w:t>
            </w:r>
          </w:p>
        </w:tc>
      </w:tr>
      <w:tr w:rsidR="00351BE8" w14:paraId="3DEBC0DA"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D8" w14:textId="77777777" w:rsidR="00351BE8" w:rsidRDefault="0052315A">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D9" w14:textId="77777777" w:rsidR="00351BE8" w:rsidRDefault="0052315A">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351BE8" w14:paraId="3DEBC0D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DB" w14:textId="77777777" w:rsidR="00351BE8" w:rsidRDefault="0052315A">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DC" w14:textId="77777777" w:rsidR="00351BE8" w:rsidRDefault="0052315A">
            <w:pPr>
              <w:spacing w:before="240"/>
              <w:rPr>
                <w:sz w:val="20"/>
                <w:szCs w:val="20"/>
              </w:rPr>
            </w:pPr>
            <w:r>
              <w:rPr>
                <w:sz w:val="20"/>
                <w:szCs w:val="20"/>
              </w:rPr>
              <w:t>Any of the 3 Lots specified in the ITT and Lots will be construed accordingly.</w:t>
            </w:r>
          </w:p>
        </w:tc>
      </w:tr>
      <w:tr w:rsidR="00351BE8" w14:paraId="3DEBC0E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DE" w14:textId="77777777" w:rsidR="00351BE8" w:rsidRDefault="0052315A">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DF" w14:textId="77777777" w:rsidR="00351BE8" w:rsidRDefault="0052315A">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51BE8" w14:paraId="3DEBC0E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E1" w14:textId="77777777" w:rsidR="00351BE8" w:rsidRDefault="0052315A">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E2" w14:textId="77777777" w:rsidR="00351BE8" w:rsidRDefault="0052315A">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351BE8" w14:paraId="3DEBC0E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E4" w14:textId="77777777" w:rsidR="00351BE8" w:rsidRDefault="0052315A">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E5" w14:textId="77777777" w:rsidR="00351BE8" w:rsidRDefault="0052315A">
            <w:pPr>
              <w:spacing w:before="240"/>
              <w:rPr>
                <w:sz w:val="20"/>
                <w:szCs w:val="20"/>
              </w:rPr>
            </w:pPr>
            <w:r>
              <w:rPr>
                <w:sz w:val="20"/>
                <w:szCs w:val="20"/>
              </w:rPr>
              <w:t>The management information specified in Framework Agreement section 6 (What you report to CCS).</w:t>
            </w:r>
          </w:p>
        </w:tc>
      </w:tr>
      <w:tr w:rsidR="00351BE8" w14:paraId="3DEBC0E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E7" w14:textId="77777777" w:rsidR="00351BE8" w:rsidRDefault="0052315A">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E8" w14:textId="77777777" w:rsidR="00351BE8" w:rsidRDefault="0052315A">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351BE8" w14:paraId="3DEBC0E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EA" w14:textId="77777777" w:rsidR="00351BE8" w:rsidRDefault="0052315A">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EB" w14:textId="77777777" w:rsidR="00351BE8" w:rsidRDefault="0052315A">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351BE8" w14:paraId="3DEBC0E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ED" w14:textId="77777777" w:rsidR="00351BE8" w:rsidRDefault="0052315A">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EE" w14:textId="77777777" w:rsidR="00351BE8" w:rsidRDefault="0052315A">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351BE8" w14:paraId="3DEBC0F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F0" w14:textId="77777777" w:rsidR="00351BE8" w:rsidRDefault="0052315A">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F1" w14:textId="77777777" w:rsidR="00351BE8" w:rsidRDefault="0052315A">
            <w:pPr>
              <w:spacing w:before="240"/>
              <w:rPr>
                <w:sz w:val="20"/>
                <w:szCs w:val="20"/>
              </w:rPr>
            </w:pPr>
            <w:r>
              <w:rPr>
                <w:sz w:val="20"/>
                <w:szCs w:val="20"/>
              </w:rPr>
              <w:t>An order for G-Cloud Services placed by a contracting body with the Supplier in accordance with the ordering processes.</w:t>
            </w:r>
          </w:p>
        </w:tc>
      </w:tr>
      <w:tr w:rsidR="00351BE8" w14:paraId="3DEBC0F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F3" w14:textId="77777777" w:rsidR="00351BE8" w:rsidRDefault="0052315A">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F4" w14:textId="77777777" w:rsidR="00351BE8" w:rsidRDefault="0052315A">
            <w:pPr>
              <w:spacing w:before="240"/>
              <w:rPr>
                <w:sz w:val="20"/>
                <w:szCs w:val="20"/>
              </w:rPr>
            </w:pPr>
            <w:r>
              <w:rPr>
                <w:sz w:val="20"/>
                <w:szCs w:val="20"/>
              </w:rPr>
              <w:t>The order form set out in Part A of the Call-Off Contract to be used by a Buyer to order G-Cloud Services.</w:t>
            </w:r>
          </w:p>
        </w:tc>
      </w:tr>
      <w:tr w:rsidR="00351BE8" w14:paraId="3DEBC0F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F6" w14:textId="77777777" w:rsidR="00351BE8" w:rsidRDefault="0052315A">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F7" w14:textId="77777777" w:rsidR="00351BE8" w:rsidRDefault="0052315A">
            <w:pPr>
              <w:spacing w:before="240"/>
              <w:rPr>
                <w:sz w:val="20"/>
                <w:szCs w:val="20"/>
              </w:rPr>
            </w:pPr>
            <w:r>
              <w:rPr>
                <w:sz w:val="20"/>
                <w:szCs w:val="20"/>
              </w:rPr>
              <w:t>G-Cloud Services which are the subject of an order by the Buyer.</w:t>
            </w:r>
          </w:p>
        </w:tc>
      </w:tr>
      <w:tr w:rsidR="00351BE8" w14:paraId="3DEBC0F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F9" w14:textId="77777777" w:rsidR="00351BE8" w:rsidRDefault="0052315A">
            <w:pPr>
              <w:spacing w:before="240"/>
              <w:rPr>
                <w:b/>
                <w:sz w:val="20"/>
                <w:szCs w:val="20"/>
              </w:rPr>
            </w:pPr>
            <w:r>
              <w:rPr>
                <w:b/>
                <w:sz w:val="20"/>
                <w:szCs w:val="20"/>
              </w:rPr>
              <w:lastRenderedPageBreak/>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FA" w14:textId="77777777" w:rsidR="00351BE8" w:rsidRDefault="0052315A">
            <w:pPr>
              <w:spacing w:before="240"/>
              <w:rPr>
                <w:sz w:val="20"/>
                <w:szCs w:val="20"/>
              </w:rPr>
            </w:pPr>
            <w:r>
              <w:rPr>
                <w:sz w:val="20"/>
                <w:szCs w:val="20"/>
              </w:rPr>
              <w:t>Contractual engagements which would be determined to not be within the scope of the IR35 intermediaries legislation if assessed using the ESI tool.</w:t>
            </w:r>
          </w:p>
        </w:tc>
      </w:tr>
      <w:tr w:rsidR="00351BE8" w14:paraId="3DEBC0F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FC" w14:textId="77777777" w:rsidR="00351BE8" w:rsidRDefault="0052315A">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FD" w14:textId="77777777" w:rsidR="00351BE8" w:rsidRDefault="0052315A">
            <w:pPr>
              <w:spacing w:before="240"/>
              <w:rPr>
                <w:sz w:val="20"/>
                <w:szCs w:val="20"/>
              </w:rPr>
            </w:pPr>
            <w:r>
              <w:rPr>
                <w:sz w:val="20"/>
                <w:szCs w:val="20"/>
              </w:rPr>
              <w:t>The Buyer or the Supplier and ‘Parties’ will be interpreted accordingly.</w:t>
            </w:r>
          </w:p>
        </w:tc>
      </w:tr>
      <w:tr w:rsidR="00351BE8" w14:paraId="3DEBC10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0FF" w14:textId="77777777" w:rsidR="00351BE8" w:rsidRDefault="0052315A">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00" w14:textId="77777777" w:rsidR="00351BE8" w:rsidRDefault="0052315A">
            <w:pPr>
              <w:spacing w:before="240"/>
              <w:rPr>
                <w:sz w:val="20"/>
                <w:szCs w:val="20"/>
              </w:rPr>
            </w:pPr>
            <w:r>
              <w:rPr>
                <w:sz w:val="20"/>
                <w:szCs w:val="20"/>
              </w:rPr>
              <w:t>Takes the meaning given in the GDPR.</w:t>
            </w:r>
          </w:p>
        </w:tc>
      </w:tr>
      <w:tr w:rsidR="00351BE8" w14:paraId="3DEBC10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02" w14:textId="77777777" w:rsidR="00351BE8" w:rsidRDefault="0052315A">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03" w14:textId="77777777" w:rsidR="00351BE8" w:rsidRDefault="0052315A">
            <w:pPr>
              <w:spacing w:before="240"/>
              <w:rPr>
                <w:sz w:val="20"/>
                <w:szCs w:val="20"/>
              </w:rPr>
            </w:pPr>
            <w:r>
              <w:rPr>
                <w:sz w:val="20"/>
                <w:szCs w:val="20"/>
              </w:rPr>
              <w:t>Takes the meaning given in the GDPR.</w:t>
            </w:r>
          </w:p>
        </w:tc>
      </w:tr>
      <w:tr w:rsidR="00351BE8" w14:paraId="3DEBC10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05" w14:textId="77777777" w:rsidR="00351BE8" w:rsidRDefault="0052315A">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06" w14:textId="77777777" w:rsidR="00351BE8" w:rsidRDefault="0052315A">
            <w:pPr>
              <w:spacing w:before="240"/>
              <w:rPr>
                <w:sz w:val="20"/>
                <w:szCs w:val="20"/>
              </w:rPr>
            </w:pPr>
            <w:r>
              <w:rPr>
                <w:sz w:val="20"/>
                <w:szCs w:val="20"/>
              </w:rPr>
              <w:t>Takes the meaning given in the GDPR.</w:t>
            </w:r>
          </w:p>
        </w:tc>
      </w:tr>
      <w:tr w:rsidR="00351BE8" w14:paraId="3DEBC10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08" w14:textId="77777777" w:rsidR="00351BE8" w:rsidRDefault="0052315A">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09" w14:textId="77777777" w:rsidR="00351BE8" w:rsidRDefault="0052315A">
            <w:pPr>
              <w:spacing w:before="240"/>
              <w:rPr>
                <w:sz w:val="20"/>
                <w:szCs w:val="20"/>
              </w:rPr>
            </w:pPr>
            <w:r>
              <w:rPr>
                <w:sz w:val="20"/>
                <w:szCs w:val="20"/>
              </w:rPr>
              <w:t>Takes the meaning given in the GDPR.</w:t>
            </w:r>
          </w:p>
        </w:tc>
      </w:tr>
      <w:tr w:rsidR="00351BE8" w14:paraId="3DEBC114"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0B" w14:textId="77777777" w:rsidR="00351BE8" w:rsidRDefault="0052315A">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0C" w14:textId="77777777" w:rsidR="00351BE8" w:rsidRDefault="0052315A">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3DEBC10D" w14:textId="77777777" w:rsidR="00351BE8" w:rsidRDefault="0052315A" w:rsidP="009D7AFD">
            <w:pPr>
              <w:pStyle w:val="ListParagraph"/>
              <w:numPr>
                <w:ilvl w:val="0"/>
                <w:numId w:val="31"/>
              </w:numPr>
              <w:rPr>
                <w:sz w:val="20"/>
                <w:szCs w:val="20"/>
              </w:rPr>
            </w:pPr>
            <w:r>
              <w:rPr>
                <w:sz w:val="20"/>
                <w:szCs w:val="20"/>
              </w:rPr>
              <w:t>induce that person to perform improperly a relevant function or activity</w:t>
            </w:r>
          </w:p>
          <w:p w14:paraId="3DEBC10E" w14:textId="77777777" w:rsidR="00351BE8" w:rsidRDefault="0052315A" w:rsidP="009D7AFD">
            <w:pPr>
              <w:pStyle w:val="ListParagraph"/>
              <w:numPr>
                <w:ilvl w:val="0"/>
                <w:numId w:val="31"/>
              </w:numPr>
              <w:rPr>
                <w:sz w:val="20"/>
                <w:szCs w:val="20"/>
              </w:rPr>
            </w:pPr>
            <w:r>
              <w:rPr>
                <w:sz w:val="20"/>
                <w:szCs w:val="20"/>
              </w:rPr>
              <w:t>reward that person for improper performance of a relevant function or activity</w:t>
            </w:r>
          </w:p>
          <w:p w14:paraId="3DEBC10F" w14:textId="77777777" w:rsidR="00351BE8" w:rsidRDefault="0052315A" w:rsidP="009D7AFD">
            <w:pPr>
              <w:pStyle w:val="ListParagraph"/>
              <w:numPr>
                <w:ilvl w:val="0"/>
                <w:numId w:val="31"/>
              </w:numPr>
              <w:rPr>
                <w:sz w:val="20"/>
                <w:szCs w:val="20"/>
              </w:rPr>
            </w:pPr>
            <w:r>
              <w:rPr>
                <w:sz w:val="20"/>
                <w:szCs w:val="20"/>
              </w:rPr>
              <w:t>commit any offence:</w:t>
            </w:r>
          </w:p>
          <w:p w14:paraId="3DEBC110" w14:textId="77777777" w:rsidR="00351BE8" w:rsidRDefault="0052315A" w:rsidP="009D7AFD">
            <w:pPr>
              <w:pStyle w:val="ListParagraph"/>
              <w:numPr>
                <w:ilvl w:val="1"/>
                <w:numId w:val="31"/>
              </w:numPr>
              <w:rPr>
                <w:sz w:val="20"/>
                <w:szCs w:val="20"/>
              </w:rPr>
            </w:pPr>
            <w:r>
              <w:rPr>
                <w:sz w:val="20"/>
                <w:szCs w:val="20"/>
              </w:rPr>
              <w:t>under the Bribery Act 2010</w:t>
            </w:r>
          </w:p>
          <w:p w14:paraId="3DEBC111" w14:textId="77777777" w:rsidR="00351BE8" w:rsidRDefault="0052315A" w:rsidP="009D7AFD">
            <w:pPr>
              <w:pStyle w:val="ListParagraph"/>
              <w:numPr>
                <w:ilvl w:val="1"/>
                <w:numId w:val="31"/>
              </w:numPr>
              <w:rPr>
                <w:sz w:val="20"/>
                <w:szCs w:val="20"/>
              </w:rPr>
            </w:pPr>
            <w:r>
              <w:rPr>
                <w:sz w:val="20"/>
                <w:szCs w:val="20"/>
              </w:rPr>
              <w:t>under legislation creating offences concerning Fraud</w:t>
            </w:r>
          </w:p>
          <w:p w14:paraId="3DEBC112" w14:textId="77777777" w:rsidR="00351BE8" w:rsidRDefault="0052315A" w:rsidP="009D7AFD">
            <w:pPr>
              <w:pStyle w:val="ListParagraph"/>
              <w:numPr>
                <w:ilvl w:val="1"/>
                <w:numId w:val="31"/>
              </w:numPr>
            </w:pPr>
            <w:r>
              <w:t>at common Law concerning Fraud</w:t>
            </w:r>
          </w:p>
          <w:p w14:paraId="3DEBC113" w14:textId="77777777" w:rsidR="00351BE8" w:rsidRDefault="0052315A" w:rsidP="009D7AFD">
            <w:pPr>
              <w:pStyle w:val="ListParagraph"/>
              <w:numPr>
                <w:ilvl w:val="1"/>
                <w:numId w:val="31"/>
              </w:numPr>
              <w:rPr>
                <w:sz w:val="20"/>
                <w:szCs w:val="20"/>
              </w:rPr>
            </w:pPr>
            <w:r>
              <w:rPr>
                <w:sz w:val="20"/>
                <w:szCs w:val="20"/>
              </w:rPr>
              <w:t>committing or attempting or conspiring to commit Fraud</w:t>
            </w:r>
          </w:p>
        </w:tc>
      </w:tr>
      <w:tr w:rsidR="00351BE8" w14:paraId="3DEBC117"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15" w14:textId="77777777" w:rsidR="00351BE8" w:rsidRDefault="0052315A">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16" w14:textId="77777777" w:rsidR="00351BE8" w:rsidRDefault="0052315A">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351BE8" w14:paraId="3DEBC1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18" w14:textId="77777777" w:rsidR="00351BE8" w:rsidRDefault="0052315A">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19" w14:textId="77777777" w:rsidR="00351BE8" w:rsidRDefault="0052315A">
            <w:pPr>
              <w:spacing w:before="240"/>
              <w:rPr>
                <w:sz w:val="20"/>
                <w:szCs w:val="20"/>
              </w:rPr>
            </w:pPr>
            <w:r>
              <w:rPr>
                <w:sz w:val="20"/>
                <w:szCs w:val="20"/>
              </w:rPr>
              <w:t>Assets and property including technical infrastructure, IPRs and equipment.</w:t>
            </w:r>
          </w:p>
        </w:tc>
      </w:tr>
      <w:tr w:rsidR="00351BE8" w14:paraId="3DEBC11D"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1B" w14:textId="77777777" w:rsidR="00351BE8" w:rsidRDefault="0052315A">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1C" w14:textId="77777777" w:rsidR="00351BE8" w:rsidRDefault="0052315A">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351BE8" w14:paraId="3DEBC12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1E" w14:textId="77777777" w:rsidR="00351BE8" w:rsidRDefault="0052315A">
            <w:pPr>
              <w:spacing w:before="240"/>
              <w:rPr>
                <w:b/>
                <w:sz w:val="20"/>
                <w:szCs w:val="20"/>
              </w:rPr>
            </w:pPr>
            <w:r>
              <w:rPr>
                <w:b/>
                <w:sz w:val="20"/>
                <w:szCs w:val="20"/>
              </w:rPr>
              <w:lastRenderedPageBreak/>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1F" w14:textId="77777777" w:rsidR="00351BE8" w:rsidRDefault="0052315A">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351BE8" w14:paraId="3DEBC12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21" w14:textId="77777777" w:rsidR="00351BE8" w:rsidRDefault="0052315A">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22" w14:textId="77777777" w:rsidR="00351BE8" w:rsidRDefault="0052315A">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351BE8" w14:paraId="3DEBC12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24" w14:textId="77777777" w:rsidR="00351BE8" w:rsidRDefault="0052315A">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25" w14:textId="77777777" w:rsidR="00351BE8" w:rsidRDefault="0052315A">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351BE8" w14:paraId="3DEBC12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27" w14:textId="77777777" w:rsidR="00351BE8" w:rsidRDefault="0052315A">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28" w14:textId="77777777" w:rsidR="00351BE8" w:rsidRDefault="0052315A">
            <w:pPr>
              <w:spacing w:before="240"/>
              <w:rPr>
                <w:sz w:val="20"/>
                <w:szCs w:val="20"/>
              </w:rPr>
            </w:pPr>
            <w:r>
              <w:rPr>
                <w:sz w:val="20"/>
                <w:szCs w:val="20"/>
              </w:rPr>
              <w:t>A transfer of employment to which the employment regulations applies.</w:t>
            </w:r>
          </w:p>
        </w:tc>
      </w:tr>
      <w:tr w:rsidR="00351BE8" w14:paraId="3DEBC12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2A" w14:textId="77777777" w:rsidR="00351BE8" w:rsidRDefault="0052315A">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2B" w14:textId="77777777" w:rsidR="00351BE8" w:rsidRDefault="0052315A">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351BE8" w14:paraId="3DEBC12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2D" w14:textId="77777777" w:rsidR="00351BE8" w:rsidRDefault="0052315A">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2E" w14:textId="77777777" w:rsidR="00351BE8" w:rsidRDefault="0052315A">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351BE8" w14:paraId="3DEBC13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30" w14:textId="77777777" w:rsidR="00351BE8" w:rsidRDefault="0052315A">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31" w14:textId="77777777" w:rsidR="00351BE8" w:rsidRDefault="0052315A">
            <w:pPr>
              <w:spacing w:before="240"/>
              <w:rPr>
                <w:sz w:val="20"/>
                <w:szCs w:val="20"/>
              </w:rPr>
            </w:pPr>
            <w:r>
              <w:rPr>
                <w:sz w:val="20"/>
                <w:szCs w:val="20"/>
              </w:rPr>
              <w:t>The Supplier's security management plan developed by the Supplier in accordance with clause 16.1.</w:t>
            </w:r>
          </w:p>
        </w:tc>
      </w:tr>
      <w:tr w:rsidR="00351BE8" w14:paraId="3DEBC13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33" w14:textId="77777777" w:rsidR="00351BE8" w:rsidRDefault="0052315A">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34" w14:textId="77777777" w:rsidR="00351BE8" w:rsidRDefault="0052315A">
            <w:pPr>
              <w:spacing w:before="240"/>
              <w:rPr>
                <w:sz w:val="20"/>
                <w:szCs w:val="20"/>
              </w:rPr>
            </w:pPr>
            <w:r>
              <w:rPr>
                <w:sz w:val="20"/>
                <w:szCs w:val="20"/>
              </w:rPr>
              <w:t>The services ordered by the Buyer as set out in the Order Form.</w:t>
            </w:r>
          </w:p>
        </w:tc>
      </w:tr>
      <w:tr w:rsidR="00351BE8" w14:paraId="3DEBC13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36" w14:textId="77777777" w:rsidR="00351BE8" w:rsidRDefault="0052315A">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37" w14:textId="77777777" w:rsidR="00351BE8" w:rsidRDefault="0052315A">
            <w:pPr>
              <w:spacing w:before="240"/>
              <w:rPr>
                <w:sz w:val="20"/>
                <w:szCs w:val="20"/>
              </w:rPr>
            </w:pPr>
            <w:r>
              <w:rPr>
                <w:sz w:val="20"/>
                <w:szCs w:val="20"/>
              </w:rPr>
              <w:t>Data that is owned or managed by the Buyer and used for the G-Cloud Services, including backup data.</w:t>
            </w:r>
          </w:p>
        </w:tc>
      </w:tr>
      <w:tr w:rsidR="00351BE8" w14:paraId="3DEBC13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39" w14:textId="77777777" w:rsidR="00351BE8" w:rsidRDefault="0052315A">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3A" w14:textId="77777777" w:rsidR="00351BE8" w:rsidRDefault="0052315A">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351BE8" w14:paraId="3DEBC13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3C" w14:textId="77777777" w:rsidR="00351BE8" w:rsidRDefault="0052315A">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3D" w14:textId="77777777" w:rsidR="00351BE8" w:rsidRDefault="0052315A">
            <w:pPr>
              <w:spacing w:before="240"/>
              <w:rPr>
                <w:sz w:val="20"/>
                <w:szCs w:val="20"/>
              </w:rPr>
            </w:pPr>
            <w:r>
              <w:rPr>
                <w:sz w:val="20"/>
                <w:szCs w:val="20"/>
              </w:rPr>
              <w:t>The description of the Supplier service offering as published on the Digital Marketplace.</w:t>
            </w:r>
          </w:p>
        </w:tc>
      </w:tr>
      <w:tr w:rsidR="00351BE8" w14:paraId="3DEBC14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3F" w14:textId="77777777" w:rsidR="00351BE8" w:rsidRDefault="0052315A">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40" w14:textId="77777777" w:rsidR="00351BE8" w:rsidRDefault="0052315A">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351BE8" w14:paraId="3DEBC14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42" w14:textId="77777777" w:rsidR="00351BE8" w:rsidRDefault="0052315A">
            <w:pPr>
              <w:spacing w:before="240"/>
              <w:rPr>
                <w:b/>
                <w:sz w:val="20"/>
                <w:szCs w:val="20"/>
              </w:rPr>
            </w:pPr>
            <w:r>
              <w:rPr>
                <w:b/>
                <w:sz w:val="20"/>
                <w:szCs w:val="20"/>
              </w:rPr>
              <w:lastRenderedPageBreak/>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43" w14:textId="77777777" w:rsidR="00351BE8" w:rsidRDefault="0052315A">
            <w:pPr>
              <w:spacing w:before="240"/>
            </w:pPr>
            <w:r>
              <w:rPr>
                <w:sz w:val="20"/>
                <w:szCs w:val="20"/>
              </w:rPr>
              <w:t>The approval process used by a central government Buyer if it needs to spend money on certain digital or technology services, see</w:t>
            </w:r>
            <w:hyperlink r:id="rId35" w:history="1">
              <w:r>
                <w:rPr>
                  <w:sz w:val="20"/>
                  <w:szCs w:val="20"/>
                </w:rPr>
                <w:t xml:space="preserve"> </w:t>
              </w:r>
            </w:hyperlink>
            <w:hyperlink r:id="rId36" w:history="1">
              <w:r>
                <w:rPr>
                  <w:sz w:val="20"/>
                  <w:szCs w:val="20"/>
                  <w:u w:val="single"/>
                </w:rPr>
                <w:t>https://www.gov.uk/service-manual/agile-delivery/spend-controls-check-if-you-need-approval-to-spend-money-on-a-service</w:t>
              </w:r>
            </w:hyperlink>
          </w:p>
        </w:tc>
      </w:tr>
      <w:tr w:rsidR="00351BE8" w14:paraId="3DEBC14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45" w14:textId="77777777" w:rsidR="00351BE8" w:rsidRDefault="0052315A">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46" w14:textId="77777777" w:rsidR="00351BE8" w:rsidRDefault="0052315A">
            <w:pPr>
              <w:spacing w:before="240"/>
              <w:rPr>
                <w:sz w:val="20"/>
                <w:szCs w:val="20"/>
              </w:rPr>
            </w:pPr>
            <w:r>
              <w:rPr>
                <w:sz w:val="20"/>
                <w:szCs w:val="20"/>
              </w:rPr>
              <w:t>The Start date of this Call-Off Contract as set out in the Order Form.</w:t>
            </w:r>
          </w:p>
        </w:tc>
      </w:tr>
      <w:tr w:rsidR="00351BE8" w14:paraId="3DEBC14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48" w14:textId="77777777" w:rsidR="00351BE8" w:rsidRDefault="0052315A">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49" w14:textId="77777777" w:rsidR="00351BE8" w:rsidRDefault="0052315A">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351BE8" w14:paraId="3DEBC14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4B" w14:textId="77777777" w:rsidR="00351BE8" w:rsidRDefault="0052315A">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4C" w14:textId="77777777" w:rsidR="00351BE8" w:rsidRDefault="0052315A">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351BE8" w14:paraId="3DEBC15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4E" w14:textId="77777777" w:rsidR="00351BE8" w:rsidRDefault="0052315A">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4F" w14:textId="77777777" w:rsidR="00351BE8" w:rsidRDefault="0052315A">
            <w:pPr>
              <w:spacing w:before="240"/>
              <w:rPr>
                <w:sz w:val="20"/>
                <w:szCs w:val="20"/>
              </w:rPr>
            </w:pPr>
            <w:r>
              <w:rPr>
                <w:sz w:val="20"/>
                <w:szCs w:val="20"/>
              </w:rPr>
              <w:t>Any third party appointed to process Personal Data on behalf of the Supplier under this Call-Off Contract.</w:t>
            </w:r>
          </w:p>
        </w:tc>
      </w:tr>
      <w:tr w:rsidR="00351BE8" w14:paraId="3DEBC15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51" w14:textId="77777777" w:rsidR="00351BE8" w:rsidRDefault="0052315A">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52" w14:textId="77777777" w:rsidR="00351BE8" w:rsidRDefault="0052315A">
            <w:pPr>
              <w:spacing w:before="240"/>
              <w:rPr>
                <w:sz w:val="20"/>
                <w:szCs w:val="20"/>
              </w:rPr>
            </w:pPr>
            <w:r>
              <w:rPr>
                <w:sz w:val="20"/>
                <w:szCs w:val="20"/>
              </w:rPr>
              <w:t>The person, firm or company identified in the Order Form.</w:t>
            </w:r>
          </w:p>
        </w:tc>
      </w:tr>
      <w:tr w:rsidR="00351BE8" w14:paraId="3DEBC15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54" w14:textId="77777777" w:rsidR="00351BE8" w:rsidRDefault="0052315A">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55" w14:textId="77777777" w:rsidR="00351BE8" w:rsidRDefault="0052315A">
            <w:pPr>
              <w:spacing w:before="240"/>
              <w:rPr>
                <w:sz w:val="20"/>
                <w:szCs w:val="20"/>
              </w:rPr>
            </w:pPr>
            <w:r>
              <w:rPr>
                <w:sz w:val="20"/>
                <w:szCs w:val="20"/>
              </w:rPr>
              <w:t>The representative appointed by the Supplier from time to time in relation to the Call-Off Contract.</w:t>
            </w:r>
          </w:p>
        </w:tc>
      </w:tr>
      <w:tr w:rsidR="00351BE8" w14:paraId="3DEBC15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57" w14:textId="77777777" w:rsidR="00351BE8" w:rsidRDefault="0052315A">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58" w14:textId="77777777" w:rsidR="00351BE8" w:rsidRDefault="0052315A">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351BE8" w14:paraId="3DEBC15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5A" w14:textId="77777777" w:rsidR="00351BE8" w:rsidRDefault="0052315A">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5B" w14:textId="77777777" w:rsidR="00351BE8" w:rsidRDefault="0052315A">
            <w:pPr>
              <w:spacing w:before="240"/>
              <w:rPr>
                <w:sz w:val="20"/>
                <w:szCs w:val="20"/>
              </w:rPr>
            </w:pPr>
            <w:r>
              <w:rPr>
                <w:sz w:val="20"/>
                <w:szCs w:val="20"/>
              </w:rPr>
              <w:t>The relevant G-Cloud Service terms and conditions as set out in the Terms and Conditions document supplied as part of the Supplier’s Application.</w:t>
            </w:r>
          </w:p>
        </w:tc>
      </w:tr>
      <w:tr w:rsidR="00351BE8" w14:paraId="3DEBC15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5D" w14:textId="77777777" w:rsidR="00351BE8" w:rsidRDefault="0052315A">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5E" w14:textId="77777777" w:rsidR="00351BE8" w:rsidRDefault="0052315A">
            <w:pPr>
              <w:spacing w:before="240"/>
              <w:rPr>
                <w:sz w:val="20"/>
                <w:szCs w:val="20"/>
              </w:rPr>
            </w:pPr>
            <w:r>
              <w:rPr>
                <w:sz w:val="20"/>
                <w:szCs w:val="20"/>
              </w:rPr>
              <w:t>The term of this Call-Off Contract as set out in the Order Form.</w:t>
            </w:r>
          </w:p>
        </w:tc>
      </w:tr>
      <w:tr w:rsidR="00351BE8" w14:paraId="3DEBC16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60" w14:textId="77777777" w:rsidR="00351BE8" w:rsidRDefault="0052315A">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61" w14:textId="77777777" w:rsidR="00351BE8" w:rsidRDefault="0052315A">
            <w:pPr>
              <w:spacing w:before="240"/>
              <w:rPr>
                <w:sz w:val="20"/>
                <w:szCs w:val="20"/>
              </w:rPr>
            </w:pPr>
            <w:r>
              <w:rPr>
                <w:sz w:val="20"/>
                <w:szCs w:val="20"/>
              </w:rPr>
              <w:t>This has the meaning given to it in clause 32 (Variation process).</w:t>
            </w:r>
          </w:p>
        </w:tc>
      </w:tr>
      <w:tr w:rsidR="00351BE8" w14:paraId="3DEBC16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63" w14:textId="77777777" w:rsidR="00351BE8" w:rsidRDefault="0052315A">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64" w14:textId="77777777" w:rsidR="00351BE8" w:rsidRDefault="0052315A">
            <w:pPr>
              <w:spacing w:before="240"/>
              <w:rPr>
                <w:sz w:val="20"/>
                <w:szCs w:val="20"/>
              </w:rPr>
            </w:pPr>
            <w:r>
              <w:rPr>
                <w:sz w:val="20"/>
                <w:szCs w:val="20"/>
              </w:rPr>
              <w:t>Any day other than a Saturday, Sunday or public holiday in England and Wales.</w:t>
            </w:r>
          </w:p>
        </w:tc>
      </w:tr>
      <w:tr w:rsidR="00351BE8" w14:paraId="3DEBC16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66" w14:textId="77777777" w:rsidR="00351BE8" w:rsidRDefault="0052315A">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67" w14:textId="77777777" w:rsidR="00351BE8" w:rsidRDefault="0052315A">
            <w:pPr>
              <w:spacing w:before="240"/>
              <w:rPr>
                <w:sz w:val="20"/>
                <w:szCs w:val="20"/>
              </w:rPr>
            </w:pPr>
            <w:r>
              <w:rPr>
                <w:sz w:val="20"/>
                <w:szCs w:val="20"/>
              </w:rPr>
              <w:t>A contract year.</w:t>
            </w:r>
          </w:p>
        </w:tc>
      </w:tr>
    </w:tbl>
    <w:p w14:paraId="3DEBC169" w14:textId="77777777" w:rsidR="00351BE8" w:rsidRDefault="0052315A">
      <w:pPr>
        <w:spacing w:before="240" w:after="240"/>
      </w:pPr>
      <w:r>
        <w:t xml:space="preserve"> </w:t>
      </w:r>
    </w:p>
    <w:p w14:paraId="3DEBC16A" w14:textId="77777777" w:rsidR="00351BE8" w:rsidRDefault="00351BE8">
      <w:pPr>
        <w:pageBreakBefore/>
      </w:pPr>
    </w:p>
    <w:p w14:paraId="3DEBC16B" w14:textId="77777777" w:rsidR="00351BE8" w:rsidRDefault="0052315A">
      <w:pPr>
        <w:pStyle w:val="Heading2"/>
      </w:pPr>
      <w:bookmarkStart w:id="12" w:name="_Toc33176240"/>
      <w:r>
        <w:t>Schedule 7: GDPR Information</w:t>
      </w:r>
      <w:bookmarkEnd w:id="12"/>
      <w:r>
        <w:t xml:space="preserve"> </w:t>
      </w:r>
    </w:p>
    <w:p w14:paraId="3DEBC16C" w14:textId="77777777" w:rsidR="00351BE8" w:rsidRDefault="0052315A">
      <w:r>
        <w:t xml:space="preserve">This schedule reproduces the annexes to the GDPR schedule contained within the Framework Agreement and incorporated into this Call-off Contract. </w:t>
      </w:r>
    </w:p>
    <w:p w14:paraId="3DEBC16D" w14:textId="77777777" w:rsidR="00351BE8" w:rsidRDefault="0052315A">
      <w:pPr>
        <w:pStyle w:val="Heading3"/>
      </w:pPr>
      <w:r>
        <w:t>Annex 1: Processing Personal Data</w:t>
      </w:r>
    </w:p>
    <w:p w14:paraId="3DEBC16E" w14:textId="77777777" w:rsidR="00351BE8" w:rsidRDefault="0052315A">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3DEBC16F" w14:textId="77777777" w:rsidR="00351BE8" w:rsidRDefault="0052315A">
      <w:r>
        <w:t>1.1</w:t>
      </w:r>
      <w:r>
        <w:tab/>
        <w:t>The contact details of the Buyer’s Data Protection Officer are: [</w:t>
      </w:r>
      <w:r>
        <w:rPr>
          <w:b/>
        </w:rPr>
        <w:t>Insert Contact details</w:t>
      </w:r>
      <w:r>
        <w:t>]</w:t>
      </w:r>
    </w:p>
    <w:p w14:paraId="3DEBC170" w14:textId="77777777" w:rsidR="00351BE8" w:rsidRDefault="0052315A">
      <w:r>
        <w:t>1.2</w:t>
      </w:r>
      <w:r>
        <w:tab/>
        <w:t>The contact details of the Supplier’s Data Protection Officer are: [</w:t>
      </w:r>
      <w:r>
        <w:rPr>
          <w:b/>
        </w:rPr>
        <w:t>Insert Contact details</w:t>
      </w:r>
      <w:r>
        <w:t>]</w:t>
      </w:r>
    </w:p>
    <w:p w14:paraId="3DEBC171" w14:textId="77777777" w:rsidR="00351BE8" w:rsidRDefault="0052315A">
      <w:pPr>
        <w:ind w:left="720" w:hanging="720"/>
      </w:pPr>
      <w:r>
        <w:t>1.3</w:t>
      </w:r>
      <w:r>
        <w:tab/>
        <w:t>The Processor shall comply with any further written instructions with respect to Processing by the Controller.</w:t>
      </w:r>
    </w:p>
    <w:p w14:paraId="3DEBC172" w14:textId="77777777" w:rsidR="00351BE8" w:rsidRDefault="0052315A">
      <w:r>
        <w:t>1.4</w:t>
      </w:r>
      <w:r>
        <w:tab/>
        <w:t>Any such further instructions shall be incorporated into this Annex.</w:t>
      </w:r>
    </w:p>
    <w:p w14:paraId="3DEBC173" w14:textId="77777777" w:rsidR="00351BE8" w:rsidRDefault="00351BE8"/>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351BE8" w14:paraId="3DEBC17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74" w14:textId="77777777" w:rsidR="00351BE8" w:rsidRDefault="0052315A">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75" w14:textId="77777777" w:rsidR="00351BE8" w:rsidRDefault="0052315A">
            <w:pPr>
              <w:spacing w:before="240" w:after="240"/>
              <w:jc w:val="center"/>
            </w:pPr>
            <w:r>
              <w:rPr>
                <w:b/>
              </w:rPr>
              <w:t>Details</w:t>
            </w:r>
          </w:p>
        </w:tc>
      </w:tr>
      <w:tr w:rsidR="00351BE8" w14:paraId="3DEBC19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77" w14:textId="77777777" w:rsidR="00351BE8" w:rsidRDefault="0052315A">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78" w14:textId="77777777" w:rsidR="00351BE8" w:rsidRDefault="0052315A">
            <w:pPr>
              <w:spacing w:line="240" w:lineRule="auto"/>
              <w:rPr>
                <w:b/>
              </w:rPr>
            </w:pPr>
            <w:r>
              <w:rPr>
                <w:b/>
              </w:rPr>
              <w:t>The Buyer is Controller and the Supplier is Processor</w:t>
            </w:r>
          </w:p>
          <w:p w14:paraId="3DEBC179" w14:textId="77777777" w:rsidR="00351BE8" w:rsidRDefault="00351BE8">
            <w:pPr>
              <w:spacing w:line="240" w:lineRule="auto"/>
              <w:rPr>
                <w:b/>
              </w:rPr>
            </w:pPr>
          </w:p>
          <w:p w14:paraId="3DEBC17A" w14:textId="77777777" w:rsidR="00351BE8" w:rsidRDefault="0052315A">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3DEBC17B" w14:textId="77777777" w:rsidR="00351BE8" w:rsidRDefault="00351BE8">
            <w:pPr>
              <w:spacing w:line="240" w:lineRule="auto"/>
            </w:pPr>
          </w:p>
          <w:p w14:paraId="3DEBC17C" w14:textId="77777777" w:rsidR="00351BE8" w:rsidRDefault="0052315A" w:rsidP="009D7AFD">
            <w:pPr>
              <w:numPr>
                <w:ilvl w:val="0"/>
                <w:numId w:val="32"/>
              </w:numPr>
              <w:spacing w:line="240" w:lineRule="auto"/>
            </w:pPr>
            <w:r>
              <w:t>[</w:t>
            </w:r>
            <w:r>
              <w:rPr>
                <w:b/>
              </w:rPr>
              <w:t>Insert the scope of Personal Data for which the purposes and means of the Processing by the Supplier is determined by the Buyer</w:t>
            </w:r>
            <w:r>
              <w:t>]</w:t>
            </w:r>
          </w:p>
          <w:p w14:paraId="3DEBC17D" w14:textId="77777777" w:rsidR="00351BE8" w:rsidRDefault="00351BE8">
            <w:pPr>
              <w:spacing w:line="240" w:lineRule="auto"/>
            </w:pPr>
          </w:p>
          <w:p w14:paraId="3DEBC17E" w14:textId="77777777" w:rsidR="00351BE8" w:rsidRDefault="0052315A">
            <w:pPr>
              <w:spacing w:line="240" w:lineRule="auto"/>
              <w:rPr>
                <w:b/>
              </w:rPr>
            </w:pPr>
            <w:r>
              <w:rPr>
                <w:b/>
              </w:rPr>
              <w:t>The Supplier is Controller and the Buyer is Processor</w:t>
            </w:r>
          </w:p>
          <w:p w14:paraId="3DEBC17F" w14:textId="77777777" w:rsidR="00351BE8" w:rsidRDefault="00351BE8">
            <w:pPr>
              <w:spacing w:line="240" w:lineRule="auto"/>
            </w:pPr>
          </w:p>
          <w:p w14:paraId="3DEBC180" w14:textId="77777777" w:rsidR="00351BE8" w:rsidRDefault="0052315A">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3DEBC181" w14:textId="77777777" w:rsidR="00351BE8" w:rsidRDefault="0052315A" w:rsidP="009D7AFD">
            <w:pPr>
              <w:numPr>
                <w:ilvl w:val="0"/>
                <w:numId w:val="33"/>
              </w:numPr>
              <w:spacing w:line="240" w:lineRule="auto"/>
            </w:pPr>
            <w:r>
              <w:t>[</w:t>
            </w:r>
            <w:r>
              <w:rPr>
                <w:b/>
              </w:rPr>
              <w:t>Insert the scope of Personal Data which the purposes and means of the Processing by the Buyer is determined by the Supplier</w:t>
            </w:r>
            <w:r>
              <w:t>]</w:t>
            </w:r>
          </w:p>
          <w:p w14:paraId="3DEBC182" w14:textId="77777777" w:rsidR="00351BE8" w:rsidRDefault="00351BE8">
            <w:pPr>
              <w:spacing w:line="240" w:lineRule="auto"/>
            </w:pPr>
          </w:p>
          <w:p w14:paraId="3DEBC183" w14:textId="77777777" w:rsidR="00351BE8" w:rsidRDefault="0052315A">
            <w:pPr>
              <w:spacing w:line="240" w:lineRule="auto"/>
              <w:rPr>
                <w:b/>
              </w:rPr>
            </w:pPr>
            <w:r>
              <w:rPr>
                <w:b/>
              </w:rPr>
              <w:t>The Parties are Joint Controllers</w:t>
            </w:r>
          </w:p>
          <w:p w14:paraId="3DEBC184" w14:textId="77777777" w:rsidR="00351BE8" w:rsidRDefault="00351BE8">
            <w:pPr>
              <w:spacing w:line="240" w:lineRule="auto"/>
            </w:pPr>
          </w:p>
          <w:p w14:paraId="3DEBC185" w14:textId="77777777" w:rsidR="00351BE8" w:rsidRDefault="0052315A">
            <w:pPr>
              <w:spacing w:line="240" w:lineRule="auto"/>
            </w:pPr>
            <w:r>
              <w:lastRenderedPageBreak/>
              <w:t>The Parties acknowledge that they are Joint Controllers for the purposes of the Data Protection Legislation in respect of:</w:t>
            </w:r>
          </w:p>
          <w:p w14:paraId="3DEBC186" w14:textId="77777777" w:rsidR="00351BE8" w:rsidRDefault="00351BE8">
            <w:pPr>
              <w:spacing w:line="240" w:lineRule="auto"/>
            </w:pPr>
          </w:p>
          <w:p w14:paraId="3DEBC187" w14:textId="77777777" w:rsidR="00351BE8" w:rsidRDefault="0052315A">
            <w:pPr>
              <w:spacing w:line="240" w:lineRule="auto"/>
            </w:pPr>
            <w:r>
              <w:t>[</w:t>
            </w:r>
            <w:r>
              <w:rPr>
                <w:b/>
              </w:rPr>
              <w:t>Insert the scope of Personal Data which the purposes and means of the Processing is determined by the both Parties together</w:t>
            </w:r>
            <w:r>
              <w:t>]</w:t>
            </w:r>
          </w:p>
          <w:p w14:paraId="3DEBC188" w14:textId="77777777" w:rsidR="00351BE8" w:rsidRDefault="00351BE8">
            <w:pPr>
              <w:spacing w:line="240" w:lineRule="auto"/>
            </w:pPr>
          </w:p>
          <w:p w14:paraId="3DEBC189" w14:textId="77777777" w:rsidR="00351BE8" w:rsidRDefault="0052315A">
            <w:pPr>
              <w:spacing w:line="240" w:lineRule="auto"/>
              <w:rPr>
                <w:b/>
              </w:rPr>
            </w:pPr>
            <w:r>
              <w:rPr>
                <w:b/>
              </w:rPr>
              <w:t>The Parties are Independent Controllers of Personal Data</w:t>
            </w:r>
          </w:p>
          <w:p w14:paraId="3DEBC18A" w14:textId="77777777" w:rsidR="00351BE8" w:rsidRDefault="00351BE8">
            <w:pPr>
              <w:spacing w:line="240" w:lineRule="auto"/>
            </w:pPr>
          </w:p>
          <w:p w14:paraId="3DEBC18B" w14:textId="77777777" w:rsidR="00351BE8" w:rsidRDefault="0052315A">
            <w:pPr>
              <w:spacing w:line="240" w:lineRule="auto"/>
            </w:pPr>
            <w:r>
              <w:t>The Parties acknowledge that they are Independent Controllers for the purposes of the Data Protection Legislation in respect of:</w:t>
            </w:r>
          </w:p>
          <w:p w14:paraId="3DEBC18C" w14:textId="77777777" w:rsidR="00351BE8" w:rsidRDefault="00351BE8">
            <w:pPr>
              <w:spacing w:line="240" w:lineRule="auto"/>
            </w:pPr>
          </w:p>
          <w:p w14:paraId="3DEBC18D" w14:textId="77777777" w:rsidR="00351BE8" w:rsidRDefault="0052315A" w:rsidP="009D7AFD">
            <w:pPr>
              <w:numPr>
                <w:ilvl w:val="0"/>
                <w:numId w:val="34"/>
              </w:numPr>
              <w:spacing w:line="240" w:lineRule="auto"/>
            </w:pPr>
            <w:r>
              <w:t>Business contact details of Supplier Personnel for which the Supplier is the Controller</w:t>
            </w:r>
          </w:p>
          <w:p w14:paraId="3DEBC18E" w14:textId="77777777" w:rsidR="00351BE8" w:rsidRDefault="0052315A" w:rsidP="009D7AFD">
            <w:pPr>
              <w:numPr>
                <w:ilvl w:val="0"/>
                <w:numId w:val="34"/>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3DEBC18F" w14:textId="77777777" w:rsidR="00351BE8" w:rsidRDefault="0052315A" w:rsidP="009D7AFD">
            <w:pPr>
              <w:numPr>
                <w:ilvl w:val="0"/>
                <w:numId w:val="34"/>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3DEBC190" w14:textId="77777777" w:rsidR="00351BE8" w:rsidRDefault="00351BE8">
            <w:pPr>
              <w:spacing w:line="240" w:lineRule="auto"/>
            </w:pPr>
          </w:p>
          <w:p w14:paraId="3DEBC191" w14:textId="77777777" w:rsidR="00351BE8" w:rsidRDefault="0052315A">
            <w:pPr>
              <w:spacing w:line="240" w:lineRule="auto"/>
            </w:pPr>
            <w:r>
              <w:t>[Guidance where multiple relationships have been identified above, please address the below rows in the table for in respect of each relationship identified]</w:t>
            </w:r>
          </w:p>
        </w:tc>
      </w:tr>
      <w:tr w:rsidR="00351BE8" w14:paraId="3DEBC19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93" w14:textId="77777777" w:rsidR="00351BE8" w:rsidRDefault="0052315A">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94" w14:textId="77777777" w:rsidR="00351BE8" w:rsidRDefault="0052315A">
            <w:pPr>
              <w:spacing w:line="240" w:lineRule="auto"/>
            </w:pPr>
            <w:r>
              <w:t>[</w:t>
            </w:r>
            <w:r>
              <w:rPr>
                <w:b/>
              </w:rPr>
              <w:t>Clearly set out the duration of the Processing including dates</w:t>
            </w:r>
            <w:r>
              <w:t>]</w:t>
            </w:r>
          </w:p>
        </w:tc>
      </w:tr>
      <w:tr w:rsidR="00351BE8" w14:paraId="3DEBC19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96" w14:textId="77777777" w:rsidR="00351BE8" w:rsidRDefault="0052315A">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97" w14:textId="77777777" w:rsidR="00351BE8" w:rsidRDefault="0052315A">
            <w:pPr>
              <w:spacing w:line="240" w:lineRule="auto"/>
            </w:pPr>
            <w:r>
              <w:t>[</w:t>
            </w:r>
            <w:r>
              <w:rPr>
                <w:b/>
              </w:rPr>
              <w:t>Please be as specific as possible, but make sure that you cover all intended purposes</w:t>
            </w:r>
            <w:r>
              <w:t>.</w:t>
            </w:r>
          </w:p>
          <w:p w14:paraId="3DEBC198" w14:textId="77777777" w:rsidR="00351BE8" w:rsidRDefault="00351BE8">
            <w:pPr>
              <w:spacing w:line="240" w:lineRule="auto"/>
            </w:pPr>
          </w:p>
          <w:p w14:paraId="3DEBC199" w14:textId="77777777" w:rsidR="00351BE8" w:rsidRDefault="0052315A">
            <w:pPr>
              <w:spacing w:line="240" w:lineRule="auto"/>
            </w:pPr>
            <w:r>
              <w:t xml:space="preserve">The nature of the Processing means any operation such as collection, recording, organisation, structuring, storage, adaptation or </w:t>
            </w:r>
            <w:r>
              <w:lastRenderedPageBreak/>
              <w:t>alteration, retrieval, consultation, use, disclosure by transmission, dissemination or otherwise making available, alignment or combination, restriction, erasure or destruction of data (whether or not by automated means) etc.</w:t>
            </w:r>
          </w:p>
          <w:p w14:paraId="3DEBC19A" w14:textId="77777777" w:rsidR="00351BE8" w:rsidRDefault="0052315A">
            <w:pPr>
              <w:spacing w:line="240" w:lineRule="auto"/>
            </w:pPr>
            <w:r>
              <w:t>The purpose might include: employment Processing, statutory obligation, recruitment assessment etc]</w:t>
            </w:r>
          </w:p>
        </w:tc>
      </w:tr>
      <w:tr w:rsidR="00351BE8" w14:paraId="3DEBC19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9C" w14:textId="77777777" w:rsidR="00351BE8" w:rsidRDefault="0052315A">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9D" w14:textId="77777777" w:rsidR="00351BE8" w:rsidRDefault="0052315A">
            <w:pPr>
              <w:spacing w:line="240" w:lineRule="auto"/>
            </w:pPr>
            <w:r>
              <w:t>[</w:t>
            </w:r>
            <w:r>
              <w:rPr>
                <w:b/>
              </w:rPr>
              <w:t>Enter type of Personal Data.</w:t>
            </w:r>
            <w:r>
              <w:t xml:space="preserve"> Examples here include: name, address, date of birth, NI number, telephone number, pay, images, biometric data etc]</w:t>
            </w:r>
          </w:p>
        </w:tc>
      </w:tr>
      <w:tr w:rsidR="00351BE8" w14:paraId="3DEBC1A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9F" w14:textId="77777777" w:rsidR="00351BE8" w:rsidRDefault="0052315A">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A0" w14:textId="77777777" w:rsidR="00351BE8" w:rsidRDefault="0052315A">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351BE8" w14:paraId="3DEBC1A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A2" w14:textId="77777777" w:rsidR="00351BE8" w:rsidRDefault="0052315A">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1A3" w14:textId="77777777" w:rsidR="00351BE8" w:rsidRDefault="0052315A">
            <w:pPr>
              <w:spacing w:line="240" w:lineRule="auto"/>
            </w:pPr>
            <w:r>
              <w:t>[</w:t>
            </w:r>
            <w:r>
              <w:rPr>
                <w:b/>
              </w:rPr>
              <w:t>Describe how long the data will be retained for, how it be returned or destroyed</w:t>
            </w:r>
            <w:r>
              <w:t>]</w:t>
            </w:r>
          </w:p>
        </w:tc>
      </w:tr>
    </w:tbl>
    <w:p w14:paraId="3DEBC1A5" w14:textId="77777777" w:rsidR="00351BE8" w:rsidRDefault="00351BE8">
      <w:pPr>
        <w:spacing w:before="240" w:after="240"/>
        <w:rPr>
          <w:b/>
        </w:rPr>
      </w:pPr>
    </w:p>
    <w:p w14:paraId="3DEBC1A6" w14:textId="77777777" w:rsidR="00351BE8" w:rsidRDefault="00351BE8">
      <w:pPr>
        <w:pageBreakBefore/>
        <w:rPr>
          <w:sz w:val="24"/>
          <w:szCs w:val="24"/>
        </w:rPr>
      </w:pPr>
    </w:p>
    <w:p w14:paraId="3DEBC1A7" w14:textId="77777777" w:rsidR="00351BE8" w:rsidRDefault="0052315A">
      <w:pPr>
        <w:pStyle w:val="Heading3"/>
      </w:pPr>
      <w:r>
        <w:t>Annex 2: Joint Controller Agreement</w:t>
      </w:r>
    </w:p>
    <w:p w14:paraId="3DEBC1A8" w14:textId="77777777" w:rsidR="00351BE8" w:rsidRDefault="0052315A">
      <w:pPr>
        <w:pStyle w:val="Heading4"/>
      </w:pPr>
      <w:r>
        <w:t xml:space="preserve">1. Joint Controller Status and Allocation of Responsibilities </w:t>
      </w:r>
    </w:p>
    <w:p w14:paraId="3DEBC1A9" w14:textId="77777777" w:rsidR="00351BE8" w:rsidRDefault="0052315A">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3DEBC1AA" w14:textId="77777777" w:rsidR="00351BE8" w:rsidRDefault="00351BE8"/>
    <w:p w14:paraId="3DEBC1AB" w14:textId="77777777" w:rsidR="00351BE8" w:rsidRDefault="0052315A">
      <w:pPr>
        <w:spacing w:after="120"/>
      </w:pPr>
      <w:r>
        <w:t xml:space="preserve">1.2 </w:t>
      </w:r>
      <w:r>
        <w:tab/>
        <w:t>The Parties agree that the [</w:t>
      </w:r>
      <w:r>
        <w:rPr>
          <w:b/>
        </w:rPr>
        <w:t>delete as appropriate Supplier/Buyer</w:t>
      </w:r>
      <w:r>
        <w:t xml:space="preserve">]: </w:t>
      </w:r>
    </w:p>
    <w:p w14:paraId="3DEBC1AC" w14:textId="77777777" w:rsidR="00351BE8" w:rsidRDefault="0052315A">
      <w:pPr>
        <w:ind w:left="1440" w:hanging="720"/>
      </w:pPr>
      <w:r>
        <w:t>(a)</w:t>
      </w:r>
      <w:r>
        <w:tab/>
        <w:t>is the exclusive point of contact for Data Subjects and is responsible for all steps necessary to comply with the GDPR regarding the exercise by Data Subjects of their rights under the GDPR;</w:t>
      </w:r>
    </w:p>
    <w:p w14:paraId="3DEBC1AD" w14:textId="77777777" w:rsidR="00351BE8" w:rsidRDefault="00351BE8">
      <w:pPr>
        <w:ind w:left="1440"/>
      </w:pPr>
    </w:p>
    <w:p w14:paraId="3DEBC1AE" w14:textId="77777777" w:rsidR="00351BE8" w:rsidRDefault="0052315A">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3DEBC1AF" w14:textId="77777777" w:rsidR="00351BE8" w:rsidRDefault="00351BE8"/>
    <w:p w14:paraId="3DEBC1B0" w14:textId="77777777" w:rsidR="00351BE8" w:rsidRDefault="0052315A">
      <w:pPr>
        <w:ind w:left="1440" w:hanging="720"/>
      </w:pPr>
      <w:r>
        <w:t>(c)</w:t>
      </w:r>
      <w:r>
        <w:tab/>
        <w:t>is solely responsible for the Parties’ compliance with all duties to provide information to Data Subjects under Articles 13 and 14 of the GDPR;</w:t>
      </w:r>
    </w:p>
    <w:p w14:paraId="3DEBC1B1" w14:textId="77777777" w:rsidR="00351BE8" w:rsidRDefault="00351BE8"/>
    <w:p w14:paraId="3DEBC1B2" w14:textId="77777777" w:rsidR="00351BE8" w:rsidRDefault="0052315A">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3DEBC1B3" w14:textId="77777777" w:rsidR="00351BE8" w:rsidRDefault="00351BE8"/>
    <w:p w14:paraId="3DEBC1B4" w14:textId="77777777" w:rsidR="00351BE8" w:rsidRDefault="0052315A">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3DEBC1B5" w14:textId="77777777" w:rsidR="00351BE8" w:rsidRDefault="00351BE8"/>
    <w:p w14:paraId="3DEBC1B6" w14:textId="77777777" w:rsidR="00351BE8" w:rsidRDefault="0052315A">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3DEBC1B7" w14:textId="77777777" w:rsidR="00351BE8" w:rsidRDefault="00351BE8"/>
    <w:p w14:paraId="3DEBC1B8" w14:textId="77777777" w:rsidR="00351BE8" w:rsidRDefault="0052315A">
      <w:pPr>
        <w:pStyle w:val="Heading4"/>
      </w:pPr>
      <w:r>
        <w:t>2.</w:t>
      </w:r>
      <w:r>
        <w:tab/>
        <w:t>Undertakings of both Parties</w:t>
      </w:r>
    </w:p>
    <w:p w14:paraId="3DEBC1B9" w14:textId="77777777" w:rsidR="00351BE8" w:rsidRDefault="0052315A">
      <w:r>
        <w:t>2.1</w:t>
      </w:r>
      <w:r>
        <w:tab/>
        <w:t xml:space="preserve">The Supplier and the Buyer each undertake that they shall: </w:t>
      </w:r>
    </w:p>
    <w:p w14:paraId="3DEBC1BA" w14:textId="77777777" w:rsidR="00351BE8" w:rsidRDefault="00351BE8"/>
    <w:p w14:paraId="3DEBC1BB" w14:textId="77777777" w:rsidR="00351BE8" w:rsidRDefault="0052315A">
      <w:pPr>
        <w:ind w:firstLine="720"/>
      </w:pPr>
      <w:r>
        <w:t>(a)</w:t>
      </w:r>
      <w:r>
        <w:tab/>
        <w:t xml:space="preserve">report to the other Party every </w:t>
      </w:r>
      <w:r>
        <w:rPr>
          <w:b/>
        </w:rPr>
        <w:t>[enter number]</w:t>
      </w:r>
      <w:r>
        <w:t xml:space="preserve"> months on:</w:t>
      </w:r>
    </w:p>
    <w:p w14:paraId="3DEBC1BC" w14:textId="77777777" w:rsidR="00351BE8" w:rsidRDefault="00351BE8"/>
    <w:p w14:paraId="3DEBC1BD" w14:textId="77777777" w:rsidR="00351BE8" w:rsidRDefault="0052315A">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14:paraId="3DEBC1BE" w14:textId="77777777" w:rsidR="00351BE8" w:rsidRDefault="00351BE8"/>
    <w:p w14:paraId="3DEBC1BF" w14:textId="77777777" w:rsidR="00351BE8" w:rsidRDefault="0052315A">
      <w:pPr>
        <w:ind w:left="2160" w:hanging="720"/>
      </w:pPr>
      <w:r>
        <w:t>(ii)</w:t>
      </w:r>
      <w:r>
        <w:tab/>
        <w:t xml:space="preserve">the volume of requests from Data Subjects (or third parties on their behalf) to rectify, block or erase any Personal Data; </w:t>
      </w:r>
    </w:p>
    <w:p w14:paraId="3DEBC1C0" w14:textId="77777777" w:rsidR="00351BE8" w:rsidRDefault="00351BE8"/>
    <w:p w14:paraId="3DEBC1C1" w14:textId="77777777" w:rsidR="00351BE8" w:rsidRDefault="0052315A">
      <w:pPr>
        <w:ind w:left="2160" w:hanging="720"/>
      </w:pPr>
      <w:r>
        <w:t>(iii)</w:t>
      </w:r>
      <w:r>
        <w:tab/>
        <w:t>any other requests, complaints or communications from Data Subjects (or third parties on their behalf) relating to the other Party’s obligations under applicable Data Protection Legislation;</w:t>
      </w:r>
    </w:p>
    <w:p w14:paraId="3DEBC1C2" w14:textId="77777777" w:rsidR="00351BE8" w:rsidRDefault="00351BE8"/>
    <w:p w14:paraId="3DEBC1C3" w14:textId="77777777" w:rsidR="00351BE8" w:rsidRDefault="0052315A">
      <w:pPr>
        <w:ind w:left="2160" w:hanging="720"/>
      </w:pPr>
      <w:r>
        <w:t>(iv)</w:t>
      </w:r>
      <w:r>
        <w:tab/>
        <w:t>any communications from the Information Commissioner or any other regulatory authority in connection with Personal Data; and</w:t>
      </w:r>
    </w:p>
    <w:p w14:paraId="3DEBC1C4" w14:textId="77777777" w:rsidR="00351BE8" w:rsidRDefault="00351BE8"/>
    <w:p w14:paraId="3DEBC1C5" w14:textId="77777777" w:rsidR="00351BE8" w:rsidRDefault="0052315A">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3DEBC1C6" w14:textId="77777777" w:rsidR="00351BE8" w:rsidRDefault="00351BE8">
      <w:pPr>
        <w:ind w:left="2160"/>
      </w:pPr>
    </w:p>
    <w:p w14:paraId="3DEBC1C7" w14:textId="77777777" w:rsidR="00351BE8" w:rsidRDefault="0052315A">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3DEBC1C8" w14:textId="77777777" w:rsidR="00351BE8" w:rsidRDefault="00351BE8"/>
    <w:p w14:paraId="3DEBC1C9" w14:textId="77777777" w:rsidR="00351BE8" w:rsidRDefault="0052315A">
      <w:pPr>
        <w:ind w:left="1440" w:hanging="720"/>
      </w:pPr>
      <w:r>
        <w:t>(c)</w:t>
      </w:r>
      <w:r>
        <w:tab/>
        <w:t xml:space="preserve">provide the other Party with full cooperation and assistance in relation to any request, complaint or communication made as referred to in Clauses </w:t>
      </w:r>
    </w:p>
    <w:p w14:paraId="3DEBC1CA" w14:textId="77777777" w:rsidR="00351BE8" w:rsidRDefault="00351BE8">
      <w:pPr>
        <w:ind w:left="1440"/>
      </w:pPr>
    </w:p>
    <w:p w14:paraId="3DEBC1CB" w14:textId="77777777" w:rsidR="00351BE8" w:rsidRDefault="0052315A">
      <w:pPr>
        <w:ind w:left="1440"/>
      </w:pPr>
      <w:r>
        <w:t>2.1(a)(iii) to (v) to enable the other Party to comply with the relevant timescales set out in the Data Protection Legislation;</w:t>
      </w:r>
    </w:p>
    <w:p w14:paraId="3DEBC1CC" w14:textId="77777777" w:rsidR="00351BE8" w:rsidRDefault="00351BE8">
      <w:pPr>
        <w:ind w:left="1440"/>
      </w:pPr>
    </w:p>
    <w:p w14:paraId="3DEBC1CD" w14:textId="77777777" w:rsidR="00351BE8" w:rsidRDefault="0052315A">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3DEBC1CE" w14:textId="77777777" w:rsidR="00351BE8" w:rsidRDefault="00351BE8"/>
    <w:p w14:paraId="3DEBC1CF" w14:textId="77777777" w:rsidR="00351BE8" w:rsidRDefault="0052315A">
      <w:pPr>
        <w:ind w:left="1440" w:hanging="720"/>
      </w:pPr>
      <w:r>
        <w:t>(e)</w:t>
      </w:r>
      <w:r>
        <w:tab/>
        <w:t>request from the Data Subject only the minimum information necessary to provide the Services and treat such extracted information as Confidential Information;</w:t>
      </w:r>
    </w:p>
    <w:p w14:paraId="3DEBC1D0" w14:textId="77777777" w:rsidR="00351BE8" w:rsidRDefault="00351BE8"/>
    <w:p w14:paraId="3DEBC1D1" w14:textId="77777777" w:rsidR="00351BE8" w:rsidRDefault="0052315A">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DEBC1D2" w14:textId="77777777" w:rsidR="00351BE8" w:rsidRDefault="00351BE8"/>
    <w:p w14:paraId="3DEBC1D3" w14:textId="77777777" w:rsidR="00351BE8" w:rsidRDefault="0052315A">
      <w:pPr>
        <w:ind w:left="1440" w:hanging="720"/>
      </w:pPr>
      <w:r>
        <w:t>(g)</w:t>
      </w:r>
      <w:r>
        <w:tab/>
        <w:t>take all reasonable steps to ensure the reliability and integrity of any of its personnel who have access to the Personal Data and ensure that its personnel:</w:t>
      </w:r>
    </w:p>
    <w:p w14:paraId="3DEBC1D4" w14:textId="77777777" w:rsidR="00351BE8" w:rsidRDefault="00351BE8">
      <w:pPr>
        <w:ind w:left="1440"/>
      </w:pPr>
    </w:p>
    <w:p w14:paraId="3DEBC1D5" w14:textId="77777777" w:rsidR="00351BE8" w:rsidRDefault="0052315A">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3DEBC1D6" w14:textId="77777777" w:rsidR="00351BE8" w:rsidRDefault="00351BE8"/>
    <w:p w14:paraId="3DEBC1D7" w14:textId="77777777" w:rsidR="00351BE8" w:rsidRDefault="0052315A">
      <w:pPr>
        <w:ind w:left="2160" w:hanging="720"/>
      </w:pPr>
      <w:r>
        <w:lastRenderedPageBreak/>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3DEBC1D8" w14:textId="77777777" w:rsidR="00351BE8" w:rsidRDefault="00351BE8">
      <w:pPr>
        <w:ind w:left="2160"/>
      </w:pPr>
    </w:p>
    <w:p w14:paraId="3DEBC1D9" w14:textId="77777777" w:rsidR="00351BE8" w:rsidRDefault="0052315A">
      <w:pPr>
        <w:ind w:left="2160" w:hanging="720"/>
      </w:pPr>
      <w:r>
        <w:t>(iii)</w:t>
      </w:r>
      <w:r>
        <w:tab/>
        <w:t>have undergone adequate training in the use, care, protection and handling of Personal Data as required by the applicable Data Protection Legislation;</w:t>
      </w:r>
    </w:p>
    <w:p w14:paraId="3DEBC1DA" w14:textId="77777777" w:rsidR="00351BE8" w:rsidRDefault="00351BE8">
      <w:pPr>
        <w:ind w:left="2160"/>
      </w:pPr>
    </w:p>
    <w:p w14:paraId="3DEBC1DB" w14:textId="77777777" w:rsidR="00351BE8" w:rsidRDefault="0052315A">
      <w:pPr>
        <w:ind w:left="1440" w:hanging="720"/>
      </w:pPr>
      <w:r>
        <w:t>(h)</w:t>
      </w:r>
      <w:r>
        <w:tab/>
        <w:t>ensure that it has in place Protective Measures as appropriate to protect against a Data Loss Event having taken account of the:</w:t>
      </w:r>
    </w:p>
    <w:p w14:paraId="3DEBC1DC" w14:textId="77777777" w:rsidR="00351BE8" w:rsidRDefault="00351BE8">
      <w:pPr>
        <w:ind w:left="720" w:firstLine="720"/>
      </w:pPr>
    </w:p>
    <w:p w14:paraId="3DEBC1DD" w14:textId="77777777" w:rsidR="00351BE8" w:rsidRDefault="0052315A">
      <w:pPr>
        <w:ind w:left="720" w:firstLine="720"/>
      </w:pPr>
      <w:r>
        <w:t>(</w:t>
      </w:r>
      <w:proofErr w:type="spellStart"/>
      <w:r>
        <w:t>i</w:t>
      </w:r>
      <w:proofErr w:type="spellEnd"/>
      <w:r>
        <w:t>)</w:t>
      </w:r>
      <w:r>
        <w:tab/>
        <w:t>nature of the data to be protected;</w:t>
      </w:r>
    </w:p>
    <w:p w14:paraId="3DEBC1DE" w14:textId="77777777" w:rsidR="00351BE8" w:rsidRDefault="0052315A">
      <w:pPr>
        <w:ind w:left="720" w:firstLine="720"/>
      </w:pPr>
      <w:r>
        <w:t>(ii)</w:t>
      </w:r>
      <w:r>
        <w:tab/>
        <w:t>harm that might result from a Data Loss Event;</w:t>
      </w:r>
    </w:p>
    <w:p w14:paraId="3DEBC1DF" w14:textId="77777777" w:rsidR="00351BE8" w:rsidRDefault="0052315A">
      <w:pPr>
        <w:ind w:left="720" w:firstLine="720"/>
      </w:pPr>
      <w:r>
        <w:t>(iii)</w:t>
      </w:r>
      <w:r>
        <w:tab/>
        <w:t>state of technological development; and</w:t>
      </w:r>
    </w:p>
    <w:p w14:paraId="3DEBC1E0" w14:textId="77777777" w:rsidR="00351BE8" w:rsidRDefault="0052315A">
      <w:pPr>
        <w:ind w:left="720" w:firstLine="720"/>
      </w:pPr>
      <w:r>
        <w:t>(iv)</w:t>
      </w:r>
      <w:r>
        <w:tab/>
        <w:t>cost of implementing any measures;</w:t>
      </w:r>
    </w:p>
    <w:p w14:paraId="3DEBC1E1" w14:textId="77777777" w:rsidR="00351BE8" w:rsidRDefault="00351BE8">
      <w:pPr>
        <w:ind w:left="720" w:firstLine="720"/>
      </w:pPr>
    </w:p>
    <w:p w14:paraId="3DEBC1E2" w14:textId="77777777" w:rsidR="00351BE8" w:rsidRDefault="0052315A">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3DEBC1E3" w14:textId="77777777" w:rsidR="00351BE8" w:rsidRDefault="00351BE8">
      <w:pPr>
        <w:ind w:left="1440"/>
      </w:pPr>
    </w:p>
    <w:p w14:paraId="3DEBC1E4" w14:textId="77777777" w:rsidR="00351BE8" w:rsidRDefault="0052315A">
      <w:pPr>
        <w:ind w:left="2160" w:hanging="720"/>
      </w:pPr>
      <w:r>
        <w:t>(</w:t>
      </w:r>
      <w:proofErr w:type="spellStart"/>
      <w:r>
        <w:t>i</w:t>
      </w:r>
      <w:proofErr w:type="spellEnd"/>
      <w:r>
        <w:t>)</w:t>
      </w:r>
      <w:r>
        <w:tab/>
        <w:t>ensure that it notifies the other Party as soon as it becomes aware of a Data Loss Event.</w:t>
      </w:r>
    </w:p>
    <w:p w14:paraId="3DEBC1E5" w14:textId="77777777" w:rsidR="00351BE8" w:rsidRDefault="00351BE8">
      <w:pPr>
        <w:ind w:left="1440" w:firstLine="720"/>
      </w:pPr>
    </w:p>
    <w:p w14:paraId="3DEBC1E6" w14:textId="77777777" w:rsidR="00351BE8" w:rsidRDefault="0052315A">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DEBC1E7" w14:textId="77777777" w:rsidR="00351BE8" w:rsidRDefault="00351BE8"/>
    <w:p w14:paraId="3DEBC1E8" w14:textId="77777777" w:rsidR="00351BE8" w:rsidRDefault="0052315A">
      <w:pPr>
        <w:pStyle w:val="Heading4"/>
      </w:pPr>
      <w:r>
        <w:t>3.</w:t>
      </w:r>
      <w:r>
        <w:tab/>
        <w:t>Data Protection Breach</w:t>
      </w:r>
    </w:p>
    <w:p w14:paraId="3DEBC1E9" w14:textId="77777777" w:rsidR="00351BE8" w:rsidRDefault="0052315A">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DEBC1EA" w14:textId="77777777" w:rsidR="00351BE8" w:rsidRDefault="00351BE8"/>
    <w:p w14:paraId="3DEBC1EB" w14:textId="77777777" w:rsidR="00351BE8" w:rsidRDefault="0052315A">
      <w:pPr>
        <w:ind w:left="1440" w:hanging="720"/>
      </w:pPr>
      <w:r>
        <w:t xml:space="preserve">(a) </w:t>
      </w:r>
      <w:r>
        <w:tab/>
        <w:t>sufficient information and in a timescale which allows the other Party to meet any obligations to report a Personal Data Breach under the Data Protection Legislation;</w:t>
      </w:r>
    </w:p>
    <w:p w14:paraId="3DEBC1EC" w14:textId="77777777" w:rsidR="00351BE8" w:rsidRDefault="00351BE8">
      <w:pPr>
        <w:ind w:left="1440"/>
      </w:pPr>
    </w:p>
    <w:p w14:paraId="3DEBC1ED" w14:textId="77777777" w:rsidR="00351BE8" w:rsidRDefault="0052315A">
      <w:pPr>
        <w:ind w:firstLine="720"/>
      </w:pPr>
      <w:r>
        <w:t>(b)</w:t>
      </w:r>
      <w:r>
        <w:tab/>
        <w:t>all reasonable assistance, including:</w:t>
      </w:r>
    </w:p>
    <w:p w14:paraId="3DEBC1EE" w14:textId="77777777" w:rsidR="00351BE8" w:rsidRDefault="00351BE8">
      <w:pPr>
        <w:ind w:firstLine="720"/>
      </w:pPr>
    </w:p>
    <w:p w14:paraId="3DEBC1EF" w14:textId="77777777" w:rsidR="00351BE8" w:rsidRDefault="0052315A">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3DEBC1F0" w14:textId="77777777" w:rsidR="00351BE8" w:rsidRDefault="00351BE8">
      <w:pPr>
        <w:ind w:left="2160"/>
      </w:pPr>
    </w:p>
    <w:p w14:paraId="3DEBC1F1" w14:textId="77777777" w:rsidR="00351BE8" w:rsidRDefault="0052315A">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3DEBC1F2" w14:textId="77777777" w:rsidR="00351BE8" w:rsidRDefault="00351BE8"/>
    <w:p w14:paraId="3DEBC1F3" w14:textId="77777777" w:rsidR="00351BE8" w:rsidRDefault="0052315A">
      <w:pPr>
        <w:ind w:left="2160" w:firstLine="720"/>
      </w:pPr>
      <w:r>
        <w:t>(iii)</w:t>
      </w:r>
      <w:r>
        <w:tab/>
        <w:t xml:space="preserve">co-ordination with the other Party regarding the management of public relations and public statements relating to the Personal Data Breach; </w:t>
      </w:r>
    </w:p>
    <w:p w14:paraId="3DEBC1F4" w14:textId="77777777" w:rsidR="00351BE8" w:rsidRDefault="00351BE8">
      <w:pPr>
        <w:ind w:left="2160"/>
      </w:pPr>
    </w:p>
    <w:p w14:paraId="3DEBC1F5" w14:textId="77777777" w:rsidR="00351BE8" w:rsidRDefault="0052315A">
      <w:pPr>
        <w:ind w:left="2160"/>
      </w:pPr>
      <w:r>
        <w:t>and/or</w:t>
      </w:r>
    </w:p>
    <w:p w14:paraId="3DEBC1F6" w14:textId="77777777" w:rsidR="00351BE8" w:rsidRDefault="00351BE8">
      <w:pPr>
        <w:ind w:left="2160"/>
      </w:pPr>
    </w:p>
    <w:p w14:paraId="3DEBC1F7" w14:textId="77777777" w:rsidR="00351BE8" w:rsidRDefault="0052315A">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DEBC1F8" w14:textId="77777777" w:rsidR="00351BE8" w:rsidRDefault="00351BE8">
      <w:pPr>
        <w:ind w:left="2160"/>
      </w:pPr>
    </w:p>
    <w:p w14:paraId="3DEBC1F9" w14:textId="77777777" w:rsidR="00351BE8" w:rsidRDefault="0052315A">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DEBC1FA" w14:textId="77777777" w:rsidR="00351BE8" w:rsidRDefault="00351BE8">
      <w:pPr>
        <w:ind w:left="720"/>
      </w:pPr>
    </w:p>
    <w:p w14:paraId="3DEBC1FB" w14:textId="77777777" w:rsidR="00351BE8" w:rsidRDefault="0052315A">
      <w:pPr>
        <w:ind w:left="720"/>
      </w:pPr>
      <w:r>
        <w:t>(a)</w:t>
      </w:r>
      <w:r>
        <w:tab/>
        <w:t xml:space="preserve">the nature of the Personal Data Breach; </w:t>
      </w:r>
    </w:p>
    <w:p w14:paraId="3DEBC1FC" w14:textId="77777777" w:rsidR="00351BE8" w:rsidRDefault="00351BE8">
      <w:pPr>
        <w:ind w:left="720"/>
      </w:pPr>
    </w:p>
    <w:p w14:paraId="3DEBC1FD" w14:textId="77777777" w:rsidR="00351BE8" w:rsidRDefault="0052315A">
      <w:pPr>
        <w:ind w:firstLine="720"/>
      </w:pPr>
      <w:r>
        <w:t>(b)</w:t>
      </w:r>
      <w:r>
        <w:tab/>
        <w:t>the nature of Personal Data affected;</w:t>
      </w:r>
    </w:p>
    <w:p w14:paraId="3DEBC1FE" w14:textId="77777777" w:rsidR="00351BE8" w:rsidRDefault="00351BE8">
      <w:pPr>
        <w:ind w:firstLine="720"/>
      </w:pPr>
    </w:p>
    <w:p w14:paraId="3DEBC1FF" w14:textId="77777777" w:rsidR="00351BE8" w:rsidRDefault="0052315A">
      <w:pPr>
        <w:ind w:firstLine="720"/>
      </w:pPr>
      <w:r>
        <w:t>(c)</w:t>
      </w:r>
      <w:r>
        <w:tab/>
        <w:t>the categories and number of Data Subjects concerned;</w:t>
      </w:r>
    </w:p>
    <w:p w14:paraId="3DEBC200" w14:textId="77777777" w:rsidR="00351BE8" w:rsidRDefault="00351BE8">
      <w:pPr>
        <w:ind w:firstLine="720"/>
      </w:pPr>
    </w:p>
    <w:p w14:paraId="3DEBC201" w14:textId="77777777" w:rsidR="00351BE8" w:rsidRDefault="0052315A">
      <w:pPr>
        <w:ind w:left="1440" w:hanging="720"/>
      </w:pPr>
      <w:r>
        <w:t>(d)</w:t>
      </w:r>
      <w:r>
        <w:tab/>
        <w:t>the name and contact details of the Supplier’s Data Protection Officer or other relevant contact from whom more information may be obtained;</w:t>
      </w:r>
    </w:p>
    <w:p w14:paraId="3DEBC202" w14:textId="77777777" w:rsidR="00351BE8" w:rsidRDefault="00351BE8">
      <w:pPr>
        <w:ind w:left="720" w:firstLine="720"/>
      </w:pPr>
    </w:p>
    <w:p w14:paraId="3DEBC203" w14:textId="77777777" w:rsidR="00351BE8" w:rsidRDefault="0052315A">
      <w:pPr>
        <w:ind w:firstLine="720"/>
      </w:pPr>
      <w:r>
        <w:t>(e)</w:t>
      </w:r>
      <w:r>
        <w:tab/>
        <w:t>measures taken or proposed to be taken to address the Personal Data Breach; and</w:t>
      </w:r>
    </w:p>
    <w:p w14:paraId="3DEBC204" w14:textId="77777777" w:rsidR="00351BE8" w:rsidRDefault="00351BE8">
      <w:pPr>
        <w:ind w:left="720" w:firstLine="720"/>
      </w:pPr>
    </w:p>
    <w:p w14:paraId="3DEBC205" w14:textId="77777777" w:rsidR="00351BE8" w:rsidRDefault="0052315A">
      <w:pPr>
        <w:ind w:firstLine="720"/>
      </w:pPr>
      <w:r>
        <w:t>(f)</w:t>
      </w:r>
      <w:r>
        <w:tab/>
        <w:t>describe the likely consequences of the Personal Data Breach.</w:t>
      </w:r>
    </w:p>
    <w:p w14:paraId="3DEBC206" w14:textId="77777777" w:rsidR="00351BE8" w:rsidRDefault="00351BE8"/>
    <w:p w14:paraId="3DEBC207" w14:textId="77777777" w:rsidR="00351BE8" w:rsidRDefault="0052315A">
      <w:pPr>
        <w:pStyle w:val="Heading4"/>
      </w:pPr>
      <w:r>
        <w:t>4.</w:t>
      </w:r>
      <w:r>
        <w:tab/>
        <w:t>Audit</w:t>
      </w:r>
    </w:p>
    <w:p w14:paraId="3DEBC208" w14:textId="77777777" w:rsidR="00351BE8" w:rsidRDefault="0052315A">
      <w:r>
        <w:t>4.1</w:t>
      </w:r>
      <w:r>
        <w:tab/>
        <w:t>The Supplier shall permit:</w:t>
      </w:r>
      <w:r>
        <w:tab/>
      </w:r>
    </w:p>
    <w:p w14:paraId="3DEBC209" w14:textId="77777777" w:rsidR="00351BE8" w:rsidRDefault="00351BE8"/>
    <w:p w14:paraId="3DEBC20A" w14:textId="77777777" w:rsidR="00351BE8" w:rsidRDefault="0052315A">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3DEBC20B" w14:textId="77777777" w:rsidR="00351BE8" w:rsidRDefault="00351BE8"/>
    <w:p w14:paraId="3DEBC20C" w14:textId="77777777" w:rsidR="00351BE8" w:rsidRDefault="0052315A">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3DEBC20D" w14:textId="77777777" w:rsidR="00351BE8" w:rsidRDefault="00351BE8"/>
    <w:p w14:paraId="3DEBC20E" w14:textId="77777777" w:rsidR="00351BE8" w:rsidRDefault="0052315A">
      <w:pPr>
        <w:ind w:left="720" w:hanging="720"/>
      </w:pPr>
      <w:r>
        <w:t>4.2</w:t>
      </w:r>
      <w:r>
        <w:tab/>
        <w:t>The Buyer may, in its sole discretion, require the Supplier to provide evidence of the Supplier’s compliance with Clause 4.1 in lieu of conducting such an audit, assessment or inspection.</w:t>
      </w:r>
    </w:p>
    <w:p w14:paraId="3DEBC20F" w14:textId="77777777" w:rsidR="00351BE8" w:rsidRDefault="00351BE8"/>
    <w:p w14:paraId="3DEBC210" w14:textId="77777777" w:rsidR="00351BE8" w:rsidRDefault="0052315A">
      <w:pPr>
        <w:pStyle w:val="Heading4"/>
      </w:pPr>
      <w:r>
        <w:t>5.</w:t>
      </w:r>
      <w:r>
        <w:tab/>
        <w:t>Impact Assessments</w:t>
      </w:r>
    </w:p>
    <w:p w14:paraId="3DEBC211" w14:textId="77777777" w:rsidR="00351BE8" w:rsidRDefault="0052315A">
      <w:r>
        <w:t>5.1</w:t>
      </w:r>
      <w:r>
        <w:tab/>
        <w:t>The Parties shall:</w:t>
      </w:r>
    </w:p>
    <w:p w14:paraId="3DEBC212" w14:textId="77777777" w:rsidR="00351BE8" w:rsidRDefault="00351BE8"/>
    <w:p w14:paraId="3DEBC213" w14:textId="77777777" w:rsidR="00351BE8" w:rsidRDefault="0052315A">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3DEBC214" w14:textId="77777777" w:rsidR="00351BE8" w:rsidRDefault="00351BE8"/>
    <w:p w14:paraId="3DEBC215" w14:textId="77777777" w:rsidR="00351BE8" w:rsidRDefault="0052315A">
      <w:pPr>
        <w:ind w:left="1440" w:hanging="720"/>
      </w:pPr>
      <w:r>
        <w:t>(b)</w:t>
      </w:r>
      <w:r>
        <w:tab/>
        <w:t>maintain full and complete records of all Processing carried out in respect of the Personal Data in connection with the contract, in accordance with the terms of Article 30 GDPR.</w:t>
      </w:r>
    </w:p>
    <w:p w14:paraId="3DEBC216" w14:textId="77777777" w:rsidR="00351BE8" w:rsidRDefault="00351BE8"/>
    <w:p w14:paraId="3DEBC217" w14:textId="77777777" w:rsidR="00351BE8" w:rsidRDefault="0052315A">
      <w:pPr>
        <w:pStyle w:val="Heading4"/>
      </w:pPr>
      <w:r>
        <w:t>6.</w:t>
      </w:r>
      <w:r>
        <w:tab/>
        <w:t xml:space="preserve"> ICO Guidance</w:t>
      </w:r>
    </w:p>
    <w:p w14:paraId="3DEBC218" w14:textId="77777777" w:rsidR="00351BE8" w:rsidRDefault="0052315A">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3DEBC219" w14:textId="77777777" w:rsidR="00351BE8" w:rsidRDefault="00351BE8"/>
    <w:p w14:paraId="3DEBC21A" w14:textId="77777777" w:rsidR="00351BE8" w:rsidRDefault="0052315A">
      <w:pPr>
        <w:pStyle w:val="Heading4"/>
      </w:pPr>
      <w:r>
        <w:t xml:space="preserve">7. </w:t>
      </w:r>
      <w:r>
        <w:tab/>
        <w:t>Liabilities for Data Protection Breach</w:t>
      </w:r>
    </w:p>
    <w:p w14:paraId="3DEBC21B" w14:textId="77777777" w:rsidR="00351BE8" w:rsidRDefault="0052315A">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3DEBC21C" w14:textId="77777777" w:rsidR="00351BE8" w:rsidRDefault="00351BE8"/>
    <w:p w14:paraId="3DEBC21D" w14:textId="77777777" w:rsidR="00351BE8" w:rsidRDefault="0052315A">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3DEBC21E" w14:textId="77777777" w:rsidR="00351BE8" w:rsidRDefault="00351BE8">
      <w:pPr>
        <w:shd w:val="clear" w:color="auto" w:fill="FFFFFF"/>
        <w:spacing w:line="240" w:lineRule="auto"/>
        <w:rPr>
          <w:rFonts w:eastAsia="Times New Roman"/>
          <w:color w:val="000000"/>
          <w:lang w:eastAsia="en-US"/>
        </w:rPr>
      </w:pPr>
    </w:p>
    <w:p w14:paraId="3DEBC21F" w14:textId="77777777" w:rsidR="00351BE8" w:rsidRDefault="0052315A">
      <w:pPr>
        <w:shd w:val="clear" w:color="auto" w:fill="FFFFFF"/>
        <w:spacing w:line="240" w:lineRule="auto"/>
        <w:ind w:left="1440"/>
      </w:pPr>
      <w:r>
        <w:rPr>
          <w:rFonts w:eastAsia="Times New Roman"/>
          <w:color w:val="000000"/>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3DEBC220" w14:textId="77777777" w:rsidR="00351BE8" w:rsidRDefault="00351BE8">
      <w:pPr>
        <w:shd w:val="clear" w:color="auto" w:fill="FFFFFF"/>
        <w:spacing w:line="240" w:lineRule="auto"/>
        <w:rPr>
          <w:rFonts w:eastAsia="Times New Roman"/>
          <w:color w:val="000000"/>
          <w:lang w:eastAsia="en-US"/>
        </w:rPr>
      </w:pPr>
    </w:p>
    <w:p w14:paraId="3DEBC221" w14:textId="77777777" w:rsidR="00351BE8" w:rsidRDefault="0052315A">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14:paraId="3DEBC222" w14:textId="77777777" w:rsidR="00351BE8" w:rsidRDefault="00351BE8">
      <w:pPr>
        <w:shd w:val="clear" w:color="auto" w:fill="FFFFFF"/>
        <w:spacing w:line="240" w:lineRule="auto"/>
        <w:rPr>
          <w:rFonts w:eastAsia="Times New Roman"/>
          <w:color w:val="000000"/>
          <w:lang w:eastAsia="en-US"/>
        </w:rPr>
      </w:pPr>
    </w:p>
    <w:p w14:paraId="3DEBC223" w14:textId="77777777" w:rsidR="00351BE8" w:rsidRDefault="0052315A">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3DEBC224" w14:textId="77777777" w:rsidR="00351BE8" w:rsidRDefault="00351BE8">
      <w:pPr>
        <w:shd w:val="clear" w:color="auto" w:fill="FFFFFF"/>
        <w:spacing w:line="240" w:lineRule="auto"/>
        <w:rPr>
          <w:rFonts w:eastAsia="Times New Roman"/>
          <w:color w:val="000000"/>
          <w:lang w:eastAsia="en-US"/>
        </w:rPr>
      </w:pPr>
    </w:p>
    <w:p w14:paraId="3DEBC225" w14:textId="77777777" w:rsidR="00351BE8" w:rsidRDefault="0052315A">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DEBC226" w14:textId="77777777" w:rsidR="00351BE8" w:rsidRDefault="00351BE8">
      <w:pPr>
        <w:shd w:val="clear" w:color="auto" w:fill="FFFFFF"/>
        <w:spacing w:line="240" w:lineRule="auto"/>
        <w:rPr>
          <w:rFonts w:eastAsia="Times New Roman"/>
          <w:color w:val="000000"/>
          <w:lang w:eastAsia="en-US"/>
        </w:rPr>
      </w:pPr>
    </w:p>
    <w:p w14:paraId="3DEBC227" w14:textId="77777777" w:rsidR="00351BE8" w:rsidRDefault="0052315A">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3DEBC228" w14:textId="77777777" w:rsidR="00351BE8" w:rsidRDefault="00351BE8">
      <w:pPr>
        <w:shd w:val="clear" w:color="auto" w:fill="FFFFFF"/>
        <w:spacing w:line="240" w:lineRule="auto"/>
        <w:ind w:left="720" w:firstLine="720"/>
        <w:rPr>
          <w:rFonts w:eastAsia="Times New Roman"/>
          <w:color w:val="000000"/>
          <w:lang w:eastAsia="en-US"/>
        </w:rPr>
      </w:pPr>
    </w:p>
    <w:p w14:paraId="3DEBC229" w14:textId="77777777" w:rsidR="00351BE8" w:rsidRDefault="0052315A">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14:paraId="3DEBC22A" w14:textId="77777777" w:rsidR="00351BE8" w:rsidRDefault="00351BE8">
      <w:pPr>
        <w:shd w:val="clear" w:color="auto" w:fill="FFFFFF"/>
        <w:spacing w:line="240" w:lineRule="auto"/>
        <w:ind w:left="720" w:firstLine="720"/>
        <w:rPr>
          <w:rFonts w:eastAsia="Times New Roman"/>
          <w:color w:val="000000"/>
          <w:lang w:eastAsia="en-US"/>
        </w:rPr>
      </w:pPr>
    </w:p>
    <w:p w14:paraId="3DEBC22B" w14:textId="77777777" w:rsidR="00351BE8" w:rsidRDefault="0052315A">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3DEBC22C" w14:textId="77777777" w:rsidR="00351BE8" w:rsidRDefault="00351BE8">
      <w:pPr>
        <w:shd w:val="clear" w:color="auto" w:fill="FFFFFF"/>
        <w:spacing w:line="240" w:lineRule="auto"/>
        <w:rPr>
          <w:rFonts w:eastAsia="Times New Roman"/>
          <w:color w:val="000000"/>
          <w:lang w:eastAsia="en-US"/>
        </w:rPr>
      </w:pPr>
    </w:p>
    <w:p w14:paraId="3DEBC22D" w14:textId="77777777" w:rsidR="00351BE8" w:rsidRDefault="0052315A">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3DEBC22E" w14:textId="77777777" w:rsidR="00351BE8" w:rsidRDefault="00351BE8">
      <w:pPr>
        <w:shd w:val="clear" w:color="auto" w:fill="FFFFFF"/>
        <w:spacing w:line="240" w:lineRule="auto"/>
        <w:ind w:left="1440"/>
        <w:rPr>
          <w:rFonts w:ascii="Times New Roman" w:eastAsia="Times New Roman" w:hAnsi="Times New Roman" w:cs="Times New Roman"/>
          <w:sz w:val="24"/>
          <w:szCs w:val="24"/>
          <w:lang w:eastAsia="en-US"/>
        </w:rPr>
      </w:pPr>
    </w:p>
    <w:p w14:paraId="3DEBC22F" w14:textId="77777777" w:rsidR="00351BE8" w:rsidRDefault="0052315A">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3DEBC230" w14:textId="77777777" w:rsidR="00351BE8" w:rsidRDefault="00351BE8">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3DEBC231" w14:textId="77777777" w:rsidR="00351BE8" w:rsidRDefault="0052315A">
      <w:pPr>
        <w:pStyle w:val="Heading4"/>
        <w:spacing w:before="0" w:after="0" w:line="480" w:lineRule="auto"/>
      </w:pPr>
      <w:r>
        <w:t xml:space="preserve">8. </w:t>
      </w:r>
      <w:r>
        <w:tab/>
        <w:t>Not used</w:t>
      </w:r>
    </w:p>
    <w:p w14:paraId="3DEBC232" w14:textId="77777777" w:rsidR="00351BE8" w:rsidRDefault="0052315A">
      <w:pPr>
        <w:pStyle w:val="Heading4"/>
      </w:pPr>
      <w:r>
        <w:t>9.</w:t>
      </w:r>
      <w:r>
        <w:tab/>
        <w:t>Termination</w:t>
      </w:r>
    </w:p>
    <w:p w14:paraId="3DEBC233" w14:textId="77777777" w:rsidR="00351BE8" w:rsidRDefault="0052315A">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3DEBC234" w14:textId="77777777" w:rsidR="00351BE8" w:rsidRDefault="00351BE8"/>
    <w:p w14:paraId="3DEBC235" w14:textId="77777777" w:rsidR="00351BE8" w:rsidRDefault="0052315A">
      <w:pPr>
        <w:pStyle w:val="Heading4"/>
      </w:pPr>
      <w:r>
        <w:t>10.</w:t>
      </w:r>
      <w:r>
        <w:tab/>
        <w:t>Sub-Processing</w:t>
      </w:r>
    </w:p>
    <w:p w14:paraId="3DEBC236" w14:textId="77777777" w:rsidR="00351BE8" w:rsidRDefault="0052315A">
      <w:pPr>
        <w:ind w:left="720" w:hanging="720"/>
      </w:pPr>
      <w:r>
        <w:t>10.1</w:t>
      </w:r>
      <w:r>
        <w:tab/>
        <w:t>In respect of any Processing of Personal Data performed by a third party on behalf of a Party, that Party shall:</w:t>
      </w:r>
    </w:p>
    <w:p w14:paraId="3DEBC237" w14:textId="77777777" w:rsidR="00351BE8" w:rsidRDefault="00351BE8"/>
    <w:p w14:paraId="3DEBC238" w14:textId="77777777" w:rsidR="00351BE8" w:rsidRDefault="0052315A">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3DEBC239" w14:textId="77777777" w:rsidR="00351BE8" w:rsidRDefault="00351BE8">
      <w:pPr>
        <w:ind w:left="1440"/>
      </w:pPr>
    </w:p>
    <w:p w14:paraId="3DEBC23A" w14:textId="77777777" w:rsidR="00351BE8" w:rsidRDefault="0052315A">
      <w:pPr>
        <w:ind w:left="1440" w:hanging="720"/>
      </w:pPr>
      <w:r>
        <w:t>(b)</w:t>
      </w:r>
      <w:r>
        <w:tab/>
        <w:t>ensure that a suitable agreement is in place with the third party as required under applicable Data Protection Legislation.</w:t>
      </w:r>
    </w:p>
    <w:p w14:paraId="3DEBC23B" w14:textId="77777777" w:rsidR="00351BE8" w:rsidRDefault="00351BE8">
      <w:pPr>
        <w:ind w:left="720" w:firstLine="720"/>
      </w:pPr>
    </w:p>
    <w:p w14:paraId="3DEBC23C" w14:textId="77777777" w:rsidR="00351BE8" w:rsidRDefault="0052315A">
      <w:pPr>
        <w:pStyle w:val="Heading4"/>
      </w:pPr>
      <w:r>
        <w:t>11. Data Retention</w:t>
      </w:r>
    </w:p>
    <w:p w14:paraId="3DEBC23D" w14:textId="77777777" w:rsidR="00351BE8" w:rsidRDefault="0052315A">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351BE8">
      <w:headerReference w:type="even" r:id="rId37"/>
      <w:headerReference w:type="default" r:id="rId38"/>
      <w:footerReference w:type="even" r:id="rId39"/>
      <w:footerReference w:type="default" r:id="rId40"/>
      <w:headerReference w:type="first" r:id="rId41"/>
      <w:footerReference w:type="first" r:id="rId42"/>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B3A41" w14:textId="77777777" w:rsidR="007D1BC9" w:rsidRDefault="007D1BC9">
      <w:pPr>
        <w:spacing w:line="240" w:lineRule="auto"/>
      </w:pPr>
      <w:r>
        <w:separator/>
      </w:r>
    </w:p>
  </w:endnote>
  <w:endnote w:type="continuationSeparator" w:id="0">
    <w:p w14:paraId="66316B1E" w14:textId="77777777" w:rsidR="007D1BC9" w:rsidRDefault="007D1B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73F2F" w14:textId="77777777" w:rsidR="008556C8" w:rsidRDefault="00855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BB882" w14:textId="530BAF4D" w:rsidR="00A90966" w:rsidRDefault="00A90966">
    <w:pPr>
      <w:pStyle w:val="Footer"/>
      <w:ind w:right="360"/>
    </w:pPr>
    <w:r w:rsidRPr="00CC50A4">
      <w:rPr>
        <w:rStyle w:val="PageNumber"/>
      </w:rPr>
      <w:fldChar w:fldCharType="begin"/>
    </w:r>
    <w:r w:rsidRPr="00CC50A4">
      <w:rPr>
        <w:rStyle w:val="PageNumber"/>
      </w:rPr>
      <w:instrText xml:space="preserve"> PAGE   \* MERGEFORMAT </w:instrText>
    </w:r>
    <w:r w:rsidRPr="00CC50A4">
      <w:rPr>
        <w:rStyle w:val="PageNumber"/>
      </w:rPr>
      <w:fldChar w:fldCharType="separate"/>
    </w:r>
    <w:r w:rsidRPr="00CC50A4">
      <w:rPr>
        <w:rStyle w:val="PageNumber"/>
        <w:b/>
        <w:bCs/>
        <w:noProof/>
      </w:rPr>
      <w:t>1</w:t>
    </w:r>
    <w:r w:rsidRPr="00CC50A4">
      <w:rPr>
        <w:rStyle w:val="PageNumber"/>
        <w:b/>
        <w:bCs/>
        <w:noProof/>
      </w:rPr>
      <w:fldChar w:fldCharType="end"/>
    </w:r>
    <w:r w:rsidRPr="00CC50A4">
      <w:rPr>
        <w:rStyle w:val="PageNumber"/>
        <w:b/>
        <w:bCs/>
      </w:rPr>
      <w:t xml:space="preserve"> </w:t>
    </w:r>
    <w:r w:rsidRPr="00CC50A4">
      <w:rPr>
        <w:rStyle w:val="PageNumber"/>
      </w:rPr>
      <w:t>|</w:t>
    </w:r>
    <w:r w:rsidRPr="00CC50A4">
      <w:rPr>
        <w:rStyle w:val="PageNumber"/>
        <w:b/>
        <w:bCs/>
      </w:rPr>
      <w:t xml:space="preserve"> </w:t>
    </w:r>
    <w:r w:rsidRPr="00CC50A4">
      <w:rPr>
        <w:rStyle w:val="PageNumber"/>
        <w:color w:val="7F7F7F" w:themeColor="background1" w:themeShade="7F"/>
        <w:spacing w:val="6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63DA3" w14:textId="77777777" w:rsidR="008556C8" w:rsidRDefault="00855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17010" w14:textId="77777777" w:rsidR="007D1BC9" w:rsidRDefault="007D1BC9">
      <w:pPr>
        <w:spacing w:line="240" w:lineRule="auto"/>
      </w:pPr>
      <w:r>
        <w:rPr>
          <w:color w:val="000000"/>
        </w:rPr>
        <w:separator/>
      </w:r>
    </w:p>
  </w:footnote>
  <w:footnote w:type="continuationSeparator" w:id="0">
    <w:p w14:paraId="7B642EE7" w14:textId="77777777" w:rsidR="007D1BC9" w:rsidRDefault="007D1B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340B4" w14:textId="77777777" w:rsidR="008556C8" w:rsidRDefault="00855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9DFFF" w14:textId="77777777" w:rsidR="008556C8" w:rsidRDefault="00855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E4FD2" w14:textId="77777777" w:rsidR="008556C8" w:rsidRDefault="00855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20AAC"/>
    <w:multiLevelType w:val="multilevel"/>
    <w:tmpl w:val="0EA87FD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D064211"/>
    <w:multiLevelType w:val="multilevel"/>
    <w:tmpl w:val="843A47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0983B2D"/>
    <w:multiLevelType w:val="multilevel"/>
    <w:tmpl w:val="B9BE64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0D4CE7"/>
    <w:multiLevelType w:val="multilevel"/>
    <w:tmpl w:val="03089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E710FC"/>
    <w:multiLevelType w:val="multilevel"/>
    <w:tmpl w:val="77626F3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7D73641"/>
    <w:multiLevelType w:val="multilevel"/>
    <w:tmpl w:val="37BA3C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8326AE6"/>
    <w:multiLevelType w:val="multilevel"/>
    <w:tmpl w:val="742C48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BB6354"/>
    <w:multiLevelType w:val="multilevel"/>
    <w:tmpl w:val="9946A94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E77750B"/>
    <w:multiLevelType w:val="hybridMultilevel"/>
    <w:tmpl w:val="D61ED71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A03C2"/>
    <w:multiLevelType w:val="multilevel"/>
    <w:tmpl w:val="9498F6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7412809"/>
    <w:multiLevelType w:val="multilevel"/>
    <w:tmpl w:val="5754C6C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28381809"/>
    <w:multiLevelType w:val="multilevel"/>
    <w:tmpl w:val="A86CE6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9C76832"/>
    <w:multiLevelType w:val="multilevel"/>
    <w:tmpl w:val="392474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9EC71DB"/>
    <w:multiLevelType w:val="multilevel"/>
    <w:tmpl w:val="48205C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A635471"/>
    <w:multiLevelType w:val="multilevel"/>
    <w:tmpl w:val="4F68DE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C2532D5"/>
    <w:multiLevelType w:val="multilevel"/>
    <w:tmpl w:val="AEE058B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E9C4187"/>
    <w:multiLevelType w:val="multilevel"/>
    <w:tmpl w:val="23E21F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18F6545"/>
    <w:multiLevelType w:val="multilevel"/>
    <w:tmpl w:val="C3169D4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7417D28"/>
    <w:multiLevelType w:val="multilevel"/>
    <w:tmpl w:val="59BA9F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38042199"/>
    <w:multiLevelType w:val="multilevel"/>
    <w:tmpl w:val="4E161A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DE00645"/>
    <w:multiLevelType w:val="multilevel"/>
    <w:tmpl w:val="61A4549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40C6328F"/>
    <w:multiLevelType w:val="multilevel"/>
    <w:tmpl w:val="BA98C95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437A640B"/>
    <w:multiLevelType w:val="multilevel"/>
    <w:tmpl w:val="9CEA2B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4151B0D"/>
    <w:multiLevelType w:val="multilevel"/>
    <w:tmpl w:val="F5BAAAE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5785077"/>
    <w:multiLevelType w:val="hybridMultilevel"/>
    <w:tmpl w:val="3A6EF6B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4E350A"/>
    <w:multiLevelType w:val="hybridMultilevel"/>
    <w:tmpl w:val="E606336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500098"/>
    <w:multiLevelType w:val="multilevel"/>
    <w:tmpl w:val="F7F06A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1741511"/>
    <w:multiLevelType w:val="multilevel"/>
    <w:tmpl w:val="A2C043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2A00FC0"/>
    <w:multiLevelType w:val="multilevel"/>
    <w:tmpl w:val="D062C7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38258DB"/>
    <w:multiLevelType w:val="multilevel"/>
    <w:tmpl w:val="37F4F8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7E36820"/>
    <w:multiLevelType w:val="hybridMultilevel"/>
    <w:tmpl w:val="C922CD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6A02AA"/>
    <w:multiLevelType w:val="hybridMultilevel"/>
    <w:tmpl w:val="E56851E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1477CB"/>
    <w:multiLevelType w:val="hybridMultilevel"/>
    <w:tmpl w:val="EDB49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852148"/>
    <w:multiLevelType w:val="multilevel"/>
    <w:tmpl w:val="160630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63D95307"/>
    <w:multiLevelType w:val="multilevel"/>
    <w:tmpl w:val="D93088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43349F6"/>
    <w:multiLevelType w:val="hybridMultilevel"/>
    <w:tmpl w:val="381CE11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CB5F38"/>
    <w:multiLevelType w:val="multilevel"/>
    <w:tmpl w:val="514A1B94"/>
    <w:lvl w:ilvl="0">
      <w:numFmt w:val="bullet"/>
      <w:lvlText w:val="o"/>
      <w:lvlJc w:val="left"/>
      <w:pPr>
        <w:ind w:left="2160" w:hanging="360"/>
      </w:pPr>
      <w:rPr>
        <w:rFonts w:ascii="Courier New" w:hAnsi="Courier New" w:cs="Courier New"/>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37" w15:restartNumberingAfterBreak="0">
    <w:nsid w:val="67706F3C"/>
    <w:multiLevelType w:val="multilevel"/>
    <w:tmpl w:val="3A88D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7F195B"/>
    <w:multiLevelType w:val="hybridMultilevel"/>
    <w:tmpl w:val="BC3CF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FE29D9"/>
    <w:multiLevelType w:val="multilevel"/>
    <w:tmpl w:val="68FE5CA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777F0787"/>
    <w:multiLevelType w:val="multilevel"/>
    <w:tmpl w:val="EB360B3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79D47C65"/>
    <w:multiLevelType w:val="hybridMultilevel"/>
    <w:tmpl w:val="084A4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077233"/>
    <w:multiLevelType w:val="multilevel"/>
    <w:tmpl w:val="E24E58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2"/>
  </w:num>
  <w:num w:numId="2">
    <w:abstractNumId w:val="26"/>
  </w:num>
  <w:num w:numId="3">
    <w:abstractNumId w:val="36"/>
  </w:num>
  <w:num w:numId="4">
    <w:abstractNumId w:val="1"/>
  </w:num>
  <w:num w:numId="5">
    <w:abstractNumId w:val="39"/>
  </w:num>
  <w:num w:numId="6">
    <w:abstractNumId w:val="37"/>
  </w:num>
  <w:num w:numId="7">
    <w:abstractNumId w:val="5"/>
  </w:num>
  <w:num w:numId="8">
    <w:abstractNumId w:val="27"/>
  </w:num>
  <w:num w:numId="9">
    <w:abstractNumId w:val="12"/>
  </w:num>
  <w:num w:numId="10">
    <w:abstractNumId w:val="3"/>
  </w:num>
  <w:num w:numId="11">
    <w:abstractNumId w:val="11"/>
  </w:num>
  <w:num w:numId="12">
    <w:abstractNumId w:val="19"/>
  </w:num>
  <w:num w:numId="13">
    <w:abstractNumId w:val="29"/>
  </w:num>
  <w:num w:numId="14">
    <w:abstractNumId w:val="6"/>
  </w:num>
  <w:num w:numId="15">
    <w:abstractNumId w:val="2"/>
  </w:num>
  <w:num w:numId="16">
    <w:abstractNumId w:val="34"/>
  </w:num>
  <w:num w:numId="17">
    <w:abstractNumId w:val="15"/>
  </w:num>
  <w:num w:numId="18">
    <w:abstractNumId w:val="10"/>
  </w:num>
  <w:num w:numId="19">
    <w:abstractNumId w:val="16"/>
  </w:num>
  <w:num w:numId="20">
    <w:abstractNumId w:val="28"/>
  </w:num>
  <w:num w:numId="21">
    <w:abstractNumId w:val="22"/>
  </w:num>
  <w:num w:numId="22">
    <w:abstractNumId w:val="17"/>
  </w:num>
  <w:num w:numId="23">
    <w:abstractNumId w:val="13"/>
  </w:num>
  <w:num w:numId="24">
    <w:abstractNumId w:val="20"/>
  </w:num>
  <w:num w:numId="25">
    <w:abstractNumId w:val="23"/>
  </w:num>
  <w:num w:numId="26">
    <w:abstractNumId w:val="33"/>
  </w:num>
  <w:num w:numId="27">
    <w:abstractNumId w:val="4"/>
  </w:num>
  <w:num w:numId="28">
    <w:abstractNumId w:val="40"/>
  </w:num>
  <w:num w:numId="29">
    <w:abstractNumId w:val="18"/>
  </w:num>
  <w:num w:numId="30">
    <w:abstractNumId w:val="9"/>
  </w:num>
  <w:num w:numId="31">
    <w:abstractNumId w:val="14"/>
  </w:num>
  <w:num w:numId="32">
    <w:abstractNumId w:val="0"/>
  </w:num>
  <w:num w:numId="33">
    <w:abstractNumId w:val="21"/>
  </w:num>
  <w:num w:numId="34">
    <w:abstractNumId w:val="7"/>
  </w:num>
  <w:num w:numId="35">
    <w:abstractNumId w:val="32"/>
  </w:num>
  <w:num w:numId="36">
    <w:abstractNumId w:val="41"/>
  </w:num>
  <w:num w:numId="37">
    <w:abstractNumId w:val="25"/>
  </w:num>
  <w:num w:numId="38">
    <w:abstractNumId w:val="31"/>
  </w:num>
  <w:num w:numId="39">
    <w:abstractNumId w:val="8"/>
  </w:num>
  <w:num w:numId="40">
    <w:abstractNumId w:val="35"/>
  </w:num>
  <w:num w:numId="41">
    <w:abstractNumId w:val="30"/>
  </w:num>
  <w:num w:numId="42">
    <w:abstractNumId w:val="24"/>
  </w:num>
  <w:num w:numId="43">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BE8"/>
    <w:rsid w:val="00051E2F"/>
    <w:rsid w:val="000A09CB"/>
    <w:rsid w:val="000C4F81"/>
    <w:rsid w:val="000E6409"/>
    <w:rsid w:val="00144482"/>
    <w:rsid w:val="00187842"/>
    <w:rsid w:val="001B7161"/>
    <w:rsid w:val="002404DC"/>
    <w:rsid w:val="00271FB0"/>
    <w:rsid w:val="00280DB0"/>
    <w:rsid w:val="00351BE8"/>
    <w:rsid w:val="00391288"/>
    <w:rsid w:val="003E4B89"/>
    <w:rsid w:val="00440188"/>
    <w:rsid w:val="00471E0B"/>
    <w:rsid w:val="0052315A"/>
    <w:rsid w:val="005E63F9"/>
    <w:rsid w:val="006810AD"/>
    <w:rsid w:val="00725F79"/>
    <w:rsid w:val="00740092"/>
    <w:rsid w:val="007D1BC9"/>
    <w:rsid w:val="008556C8"/>
    <w:rsid w:val="0089011F"/>
    <w:rsid w:val="00967B01"/>
    <w:rsid w:val="00980B53"/>
    <w:rsid w:val="009D7AFD"/>
    <w:rsid w:val="00A90966"/>
    <w:rsid w:val="00A91E3F"/>
    <w:rsid w:val="00B34EFF"/>
    <w:rsid w:val="00B65CFE"/>
    <w:rsid w:val="00B778B6"/>
    <w:rsid w:val="00BE3DF3"/>
    <w:rsid w:val="00C31629"/>
    <w:rsid w:val="00C407CB"/>
    <w:rsid w:val="00CC4A48"/>
    <w:rsid w:val="00CC50A4"/>
    <w:rsid w:val="00D4439B"/>
    <w:rsid w:val="00D96B2D"/>
    <w:rsid w:val="00E13858"/>
    <w:rsid w:val="00E36248"/>
    <w:rsid w:val="00E61A0C"/>
    <w:rsid w:val="00E731D3"/>
    <w:rsid w:val="00E8766F"/>
    <w:rsid w:val="00E96F4C"/>
    <w:rsid w:val="00ED2422"/>
    <w:rsid w:val="00F83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DEBB86F"/>
  <w15:docId w15:val="{AB266E07-2909-492A-B387-AB0490A6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uiPriority w:val="34"/>
    <w:qFormat/>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rPr>
      <w:color w:val="605E5C"/>
      <w:shd w:val="clear" w:color="auto" w:fill="E1DFDD"/>
    </w:rPr>
  </w:style>
  <w:style w:type="table" w:styleId="ListTable3-Accent3">
    <w:name w:val="List Table 3 Accent 3"/>
    <w:basedOn w:val="TableNormal"/>
    <w:uiPriority w:val="48"/>
    <w:rsid w:val="00C407CB"/>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4-Accent3">
    <w:name w:val="List Table 4 Accent 3"/>
    <w:basedOn w:val="TableNormal"/>
    <w:uiPriority w:val="49"/>
    <w:rsid w:val="00C407CB"/>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package" Target="embeddings/Microsoft_Excel_Worksheet.xlsx"/><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ncsc.gov.uk/guidance/implementing-cloud-security-principles"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gov.uk/guidance/check-employment-status-for-tax" TargetMode="External"/><Relationship Id="rId42"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package" Target="embeddings/Microsoft_Word_Document2.docx"/><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digitalmarketplace.service.gov.uk/"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technology-code-of-practice/technology-code-of-practice"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24" Type="http://schemas.openxmlformats.org/officeDocument/2006/relationships/hyperlink" Target="https://www.ncsc.gov.uk/collection/risk-management-collection" TargetMode="External"/><Relationship Id="rId32" Type="http://schemas.openxmlformats.org/officeDocument/2006/relationships/hyperlink" Target="https://www.ncsc.gov.uk/guidance/10-steps-cyber-security"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package" Target="embeddings/Microsoft_Word_Document1.docx"/><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service-manual/agile-delivery/spend-controls-check-if-you-need-approval-to-spend-money-on-a-service" TargetMode="External"/><Relationship Id="rId10" Type="http://schemas.openxmlformats.org/officeDocument/2006/relationships/image" Target="media/image2.emf"/><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ncsc.gov.uk/guidance/10-steps-cyber-security"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ayments@insolvency.gov.uk" TargetMode="External"/><Relationship Id="rId14" Type="http://schemas.openxmlformats.org/officeDocument/2006/relationships/image" Target="media/image4.emf"/><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service-manual/agile-delivery/spend-controls-check-if-you-need-approval-to-spend-money-on-a-service"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17720</Words>
  <Characters>101007</Characters>
  <Application>Microsoft Office Word</Application>
  <DocSecurity>4</DocSecurity>
  <Lines>841</Lines>
  <Paragraphs>236</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Jane.Cooper</cp:lastModifiedBy>
  <cp:revision>2</cp:revision>
  <cp:lastPrinted>2020-06-10T10:41:00Z</cp:lastPrinted>
  <dcterms:created xsi:type="dcterms:W3CDTF">2022-01-21T10:22:00Z</dcterms:created>
  <dcterms:modified xsi:type="dcterms:W3CDTF">2022-01-21T10:22:00Z</dcterms:modified>
</cp:coreProperties>
</file>