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8E5D" w14:textId="77777777" w:rsidR="005769F9" w:rsidRDefault="00000000">
      <w:r>
        <w:t>Schedule 3 – Contract Data Sheet</w:t>
      </w:r>
      <w:r>
        <w:rPr>
          <w:b w:val="0"/>
        </w:rPr>
        <w:t xml:space="preserve"> </w:t>
      </w:r>
    </w:p>
    <w:p w14:paraId="368E6013" w14:textId="77777777" w:rsidR="005769F9" w:rsidRDefault="00000000">
      <w:pPr>
        <w:ind w:left="0"/>
      </w:pPr>
      <w:r>
        <w:rPr>
          <w:b w:val="0"/>
        </w:rPr>
        <w:t xml:space="preserve"> </w:t>
      </w:r>
    </w:p>
    <w:tbl>
      <w:tblPr>
        <w:tblStyle w:val="TableGrid"/>
        <w:tblW w:w="10279" w:type="dxa"/>
        <w:tblInd w:w="5" w:type="dxa"/>
        <w:tblCellMar>
          <w:left w:w="107" w:type="dxa"/>
          <w:right w:w="115" w:type="dxa"/>
        </w:tblCellMar>
        <w:tblLook w:val="04A0" w:firstRow="1" w:lastRow="0" w:firstColumn="1" w:lastColumn="0" w:noHBand="0" w:noVBand="1"/>
      </w:tblPr>
      <w:tblGrid>
        <w:gridCol w:w="10279"/>
      </w:tblGrid>
      <w:tr w:rsidR="005769F9" w14:paraId="563D3CD7"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0F088E06" w14:textId="77777777" w:rsidR="005769F9" w:rsidRDefault="00000000">
            <w:pPr>
              <w:ind w:left="1"/>
            </w:pPr>
            <w:r>
              <w:t xml:space="preserve">General Conditions </w:t>
            </w:r>
          </w:p>
        </w:tc>
      </w:tr>
      <w:tr w:rsidR="005769F9" w14:paraId="0F114AD7" w14:textId="77777777">
        <w:trPr>
          <w:trHeight w:val="1159"/>
        </w:trPr>
        <w:tc>
          <w:tcPr>
            <w:tcW w:w="10279" w:type="dxa"/>
            <w:tcBorders>
              <w:top w:val="single" w:sz="4" w:space="0" w:color="000000"/>
              <w:left w:val="single" w:sz="4" w:space="0" w:color="000000"/>
              <w:bottom w:val="single" w:sz="4" w:space="0" w:color="000000"/>
              <w:right w:val="single" w:sz="4" w:space="0" w:color="000000"/>
            </w:tcBorders>
          </w:tcPr>
          <w:p w14:paraId="0653FAF2" w14:textId="77777777" w:rsidR="005769F9" w:rsidRDefault="00000000">
            <w:pPr>
              <w:ind w:left="1"/>
            </w:pPr>
            <w:r>
              <w:t xml:space="preserve"> </w:t>
            </w:r>
          </w:p>
          <w:p w14:paraId="5ECECC89" w14:textId="77777777" w:rsidR="005769F9" w:rsidRDefault="00000000">
            <w:pPr>
              <w:ind w:left="1"/>
            </w:pPr>
            <w:r>
              <w:t xml:space="preserve">Condition 2 – Duration of Contract: </w:t>
            </w:r>
          </w:p>
          <w:p w14:paraId="3E898D92" w14:textId="77777777" w:rsidR="005769F9" w:rsidRDefault="00000000">
            <w:pPr>
              <w:ind w:left="1"/>
            </w:pPr>
            <w:r>
              <w:t xml:space="preserve"> </w:t>
            </w:r>
          </w:p>
          <w:p w14:paraId="3E08DFCC" w14:textId="2B4207CE" w:rsidR="005769F9" w:rsidRDefault="00000000">
            <w:pPr>
              <w:tabs>
                <w:tab w:val="center" w:pos="2061"/>
              </w:tabs>
              <w:ind w:left="0"/>
            </w:pPr>
            <w:r>
              <w:rPr>
                <w:b w:val="0"/>
              </w:rPr>
              <w:t xml:space="preserve">The Contract expiry date shall be: </w:t>
            </w:r>
            <w:r w:rsidR="00E01F52">
              <w:t>Ten</w:t>
            </w:r>
            <w:r w:rsidR="00B5627B" w:rsidRPr="00B5627B">
              <w:rPr>
                <w:i/>
                <w:iCs/>
              </w:rPr>
              <w:t xml:space="preserve"> (</w:t>
            </w:r>
            <w:r w:rsidR="00E01F52">
              <w:rPr>
                <w:i/>
                <w:iCs/>
              </w:rPr>
              <w:t>10</w:t>
            </w:r>
            <w:r w:rsidR="00B5627B" w:rsidRPr="00B5627B">
              <w:rPr>
                <w:i/>
                <w:iCs/>
              </w:rPr>
              <w:t>) years after Contract Award</w:t>
            </w:r>
            <w:r>
              <w:rPr>
                <w:b w:val="0"/>
              </w:rPr>
              <w:t xml:space="preserve">   </w:t>
            </w:r>
            <w:r w:rsidR="00E01F52">
              <w:rPr>
                <w:b w:val="0"/>
              </w:rPr>
              <w:t xml:space="preserve">- </w:t>
            </w:r>
            <w:r w:rsidR="00C023C7">
              <w:rPr>
                <w:b w:val="0"/>
              </w:rPr>
              <w:t>01/</w:t>
            </w:r>
            <w:r w:rsidR="003576F7">
              <w:rPr>
                <w:b w:val="0"/>
              </w:rPr>
              <w:t>0</w:t>
            </w:r>
            <w:r w:rsidR="00C023C7">
              <w:rPr>
                <w:b w:val="0"/>
              </w:rPr>
              <w:t>8/2025 valid till 31/07/2035</w:t>
            </w:r>
          </w:p>
          <w:p w14:paraId="757E7311" w14:textId="77777777" w:rsidR="005769F9" w:rsidRDefault="00000000">
            <w:pPr>
              <w:ind w:left="721"/>
            </w:pPr>
            <w:r>
              <w:t xml:space="preserve"> </w:t>
            </w:r>
          </w:p>
        </w:tc>
      </w:tr>
      <w:tr w:rsidR="005769F9" w14:paraId="4B4B576E" w14:textId="77777777">
        <w:trPr>
          <w:trHeight w:val="3461"/>
        </w:trPr>
        <w:tc>
          <w:tcPr>
            <w:tcW w:w="10279" w:type="dxa"/>
            <w:tcBorders>
              <w:top w:val="single" w:sz="4" w:space="0" w:color="000000"/>
              <w:left w:val="single" w:sz="4" w:space="0" w:color="000000"/>
              <w:bottom w:val="single" w:sz="4" w:space="0" w:color="000000"/>
              <w:right w:val="single" w:sz="4" w:space="0" w:color="000000"/>
            </w:tcBorders>
          </w:tcPr>
          <w:p w14:paraId="2570D0BB" w14:textId="77777777" w:rsidR="005769F9" w:rsidRDefault="00000000">
            <w:pPr>
              <w:ind w:left="1"/>
            </w:pPr>
            <w:r>
              <w:t xml:space="preserve"> </w:t>
            </w:r>
          </w:p>
          <w:p w14:paraId="7404595E" w14:textId="77777777" w:rsidR="005769F9" w:rsidRDefault="00000000">
            <w:pPr>
              <w:ind w:left="1"/>
            </w:pPr>
            <w:r>
              <w:t xml:space="preserve">Condition 4 – Governing Law: </w:t>
            </w:r>
          </w:p>
          <w:p w14:paraId="65E55745" w14:textId="77777777" w:rsidR="005769F9" w:rsidRDefault="00000000">
            <w:pPr>
              <w:ind w:left="1"/>
            </w:pPr>
            <w:r>
              <w:t xml:space="preserve"> </w:t>
            </w:r>
          </w:p>
          <w:p w14:paraId="2A51D01A" w14:textId="77777777" w:rsidR="005769F9" w:rsidRDefault="00000000" w:rsidP="005561A9">
            <w:pPr>
              <w:ind w:left="0"/>
            </w:pPr>
            <w:r>
              <w:rPr>
                <w:b w:val="0"/>
              </w:rPr>
              <w:t xml:space="preserve">Contract to be governed and construed in accordance with:  </w:t>
            </w:r>
          </w:p>
          <w:p w14:paraId="1FA94DB7" w14:textId="1A9DFBFE" w:rsidR="005769F9" w:rsidRDefault="00000000">
            <w:pPr>
              <w:ind w:left="1" w:right="7582"/>
            </w:pPr>
            <w:r>
              <w:rPr>
                <w:b w:val="0"/>
              </w:rPr>
              <w:t xml:space="preserve"> </w:t>
            </w:r>
          </w:p>
          <w:p w14:paraId="3D1717E8" w14:textId="655B647A" w:rsidR="005769F9" w:rsidRDefault="00B5627B" w:rsidP="005561A9">
            <w:pPr>
              <w:ind w:left="0" w:right="7582"/>
            </w:pPr>
            <w:r>
              <w:rPr>
                <w:b w:val="0"/>
                <w:noProof/>
              </w:rPr>
              <mc:AlternateContent>
                <mc:Choice Requires="wps">
                  <w:drawing>
                    <wp:anchor distT="0" distB="0" distL="114300" distR="114300" simplePos="0" relativeHeight="251658240" behindDoc="0" locked="0" layoutInCell="1" allowOverlap="1" wp14:anchorId="7E2A98EC" wp14:editId="109877E8">
                      <wp:simplePos x="0" y="0"/>
                      <wp:positionH relativeFrom="column">
                        <wp:posOffset>1525905</wp:posOffset>
                      </wp:positionH>
                      <wp:positionV relativeFrom="paragraph">
                        <wp:posOffset>16510</wp:posOffset>
                      </wp:positionV>
                      <wp:extent cx="117348" cy="117348"/>
                      <wp:effectExtent l="0" t="0" r="16510" b="16510"/>
                      <wp:wrapSquare wrapText="bothSides"/>
                      <wp:docPr id="34" name="Shape 34"/>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solidFill>
                                <a:srgbClr val="FFFF00"/>
                              </a:solidFill>
                              <a:ln w="9144" cap="sq">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78F8743" id="Shape 34" o:spid="_x0000_s1026" style="position:absolute;margin-left:120.15pt;margin-top:1.3pt;width:9.25pt;height:9.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" path="m,117348r117348,l117348,,,,,117348xe" fillcolor="yellow" strokeweight=".72pt">
                      <v:stroke miterlimit="83231f" joinstyle="miter" endcap="square"/>
                      <v:path arrowok="t" textboxrect="0,0,117348,117348"/>
                      <w10:wrap type="square"/>
                    </v:shape>
                  </w:pict>
                </mc:Fallback>
              </mc:AlternateContent>
            </w:r>
            <w:r>
              <w:rPr>
                <w:b w:val="0"/>
              </w:rPr>
              <w:t xml:space="preserve">English Law   </w:t>
            </w:r>
          </w:p>
          <w:p w14:paraId="39FD027D" w14:textId="77777777" w:rsidR="005769F9" w:rsidRDefault="00000000">
            <w:pPr>
              <w:ind w:left="1" w:right="7582"/>
            </w:pPr>
            <w:r>
              <w:rPr>
                <w:b w:val="0"/>
              </w:rPr>
              <w:t xml:space="preserve"> </w:t>
            </w:r>
          </w:p>
          <w:p w14:paraId="3A553BC5" w14:textId="43C1D1BC" w:rsidR="005769F9" w:rsidRDefault="00B5627B">
            <w:pPr>
              <w:tabs>
                <w:tab w:val="center" w:pos="2620"/>
                <w:tab w:val="center" w:pos="6069"/>
              </w:tabs>
              <w:ind w:left="0"/>
            </w:pPr>
            <w:r>
              <w:rPr>
                <w:b w:val="0"/>
              </w:rPr>
              <w:t xml:space="preserve">  Scots Law      clause 4.d shall apply </w:t>
            </w:r>
            <w:r>
              <w:rPr>
                <w:b w:val="0"/>
              </w:rPr>
              <w:tab/>
            </w:r>
            <w:r>
              <w:rPr>
                <w:b w:val="0"/>
                <w:i/>
              </w:rPr>
              <w:t xml:space="preserve">(one must be chosen) </w:t>
            </w:r>
          </w:p>
          <w:p w14:paraId="72E2BD8B" w14:textId="77777777" w:rsidR="005769F9" w:rsidRDefault="00000000">
            <w:pPr>
              <w:ind w:left="1"/>
            </w:pPr>
            <w:r>
              <w:rPr>
                <w:b w:val="0"/>
              </w:rPr>
              <w:t xml:space="preserve"> </w:t>
            </w:r>
          </w:p>
          <w:p w14:paraId="7F8E7A8C" w14:textId="77777777" w:rsidR="005769F9" w:rsidRDefault="00000000" w:rsidP="005561A9">
            <w:pPr>
              <w:spacing w:after="1"/>
              <w:ind w:left="0"/>
            </w:pPr>
            <w:r>
              <w:rPr>
                <w:b w:val="0"/>
              </w:rP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18005335" w14:textId="77777777" w:rsidR="005769F9" w:rsidRDefault="00000000">
            <w:pPr>
              <w:ind w:left="721"/>
            </w:pPr>
            <w:r>
              <w:rPr>
                <w:b w:val="0"/>
              </w:rPr>
              <w:t xml:space="preserve"> </w:t>
            </w:r>
          </w:p>
          <w:p w14:paraId="5F84E5F4" w14:textId="77777777" w:rsidR="005769F9" w:rsidRDefault="00000000">
            <w:pPr>
              <w:ind w:left="721"/>
            </w:pPr>
            <w:r>
              <w:rPr>
                <w:b w:val="0"/>
              </w:rPr>
              <w:t xml:space="preserve">      </w:t>
            </w:r>
          </w:p>
          <w:p w14:paraId="0876A958" w14:textId="77777777" w:rsidR="005769F9" w:rsidRDefault="00000000">
            <w:pPr>
              <w:ind w:left="1"/>
            </w:pPr>
            <w:r>
              <w:t xml:space="preserve"> </w:t>
            </w:r>
          </w:p>
        </w:tc>
      </w:tr>
      <w:tr w:rsidR="005769F9" w14:paraId="5615C0D2" w14:textId="77777777">
        <w:trPr>
          <w:trHeight w:val="2078"/>
        </w:trPr>
        <w:tc>
          <w:tcPr>
            <w:tcW w:w="10279" w:type="dxa"/>
            <w:tcBorders>
              <w:top w:val="single" w:sz="4" w:space="0" w:color="000000"/>
              <w:left w:val="single" w:sz="4" w:space="0" w:color="000000"/>
              <w:bottom w:val="single" w:sz="4" w:space="0" w:color="000000"/>
              <w:right w:val="single" w:sz="4" w:space="0" w:color="000000"/>
            </w:tcBorders>
          </w:tcPr>
          <w:p w14:paraId="2465F539" w14:textId="77777777" w:rsidR="005769F9" w:rsidRDefault="00000000">
            <w:pPr>
              <w:ind w:left="1"/>
            </w:pPr>
            <w:r>
              <w:t xml:space="preserve"> </w:t>
            </w:r>
          </w:p>
          <w:p w14:paraId="767D5283" w14:textId="77777777" w:rsidR="005769F9" w:rsidRDefault="00000000">
            <w:pPr>
              <w:ind w:left="1"/>
            </w:pPr>
            <w:r>
              <w:t xml:space="preserve">Condition 7 – Authority’s Representatives: </w:t>
            </w:r>
          </w:p>
          <w:p w14:paraId="40D35E61" w14:textId="77777777" w:rsidR="005769F9" w:rsidRDefault="00000000">
            <w:pPr>
              <w:ind w:left="1"/>
            </w:pPr>
            <w:r>
              <w:t xml:space="preserve"> </w:t>
            </w:r>
          </w:p>
          <w:p w14:paraId="07D89392" w14:textId="3BB01FF0" w:rsidR="005769F9" w:rsidRDefault="00000000">
            <w:pPr>
              <w:tabs>
                <w:tab w:val="center" w:pos="3368"/>
              </w:tabs>
              <w:ind w:left="0"/>
            </w:pPr>
            <w:r>
              <w:rPr>
                <w:b w:val="0"/>
              </w:rPr>
              <w:t xml:space="preserve">The Authority’s Representatives for the Contract are as follows: </w:t>
            </w:r>
          </w:p>
          <w:p w14:paraId="1AA203D6" w14:textId="77777777" w:rsidR="005769F9" w:rsidRDefault="00000000">
            <w:pPr>
              <w:ind w:left="1"/>
            </w:pPr>
            <w:r>
              <w:rPr>
                <w:b w:val="0"/>
              </w:rPr>
              <w:t xml:space="preserve"> </w:t>
            </w:r>
          </w:p>
          <w:p w14:paraId="5479DA45" w14:textId="2874FF44" w:rsidR="005769F9" w:rsidRDefault="00000000" w:rsidP="005561A9">
            <w:pPr>
              <w:ind w:left="0"/>
            </w:pPr>
            <w:r>
              <w:rPr>
                <w:b w:val="0"/>
              </w:rPr>
              <w:t xml:space="preserve">Commercial:  </w:t>
            </w:r>
            <w:r w:rsidR="00B5627B" w:rsidRPr="00B5627B">
              <w:rPr>
                <w:bCs/>
                <w:i/>
                <w:iCs/>
              </w:rPr>
              <w:t xml:space="preserve">Neena Sahauli </w:t>
            </w:r>
            <w:hyperlink r:id="rId7" w:history="1">
              <w:r w:rsidR="00B5627B" w:rsidRPr="00B5627B">
                <w:rPr>
                  <w:rStyle w:val="Hyperlink"/>
                  <w:bCs/>
                  <w:i/>
                  <w:iCs/>
                </w:rPr>
                <w:t>Neena.Sahauli100@mod.gov.uk</w:t>
              </w:r>
            </w:hyperlink>
            <w:r w:rsidR="00B5627B" w:rsidRPr="00B5627B">
              <w:rPr>
                <w:bCs/>
                <w:i/>
                <w:iCs/>
              </w:rPr>
              <w:t xml:space="preserve"> </w:t>
            </w:r>
            <w:r w:rsidR="00B5627B" w:rsidRPr="00B5627B">
              <w:rPr>
                <w:b w:val="0"/>
                <w:i/>
              </w:rPr>
              <w:t>(as per Annex A to Schedule 3 (DEFFORM 111))</w:t>
            </w:r>
          </w:p>
          <w:p w14:paraId="61B76560" w14:textId="77777777" w:rsidR="005769F9" w:rsidRDefault="00000000">
            <w:pPr>
              <w:ind w:left="1"/>
            </w:pPr>
            <w:r>
              <w:rPr>
                <w:b w:val="0"/>
              </w:rPr>
              <w:t xml:space="preserve"> </w:t>
            </w:r>
          </w:p>
          <w:p w14:paraId="53B90BAF" w14:textId="2D731D59" w:rsidR="005769F9" w:rsidRDefault="00000000" w:rsidP="005561A9">
            <w:pPr>
              <w:ind w:left="0"/>
            </w:pPr>
            <w:r>
              <w:rPr>
                <w:b w:val="0"/>
              </w:rPr>
              <w:t>Project Manager:</w:t>
            </w:r>
            <w:r w:rsidR="00B5627B">
              <w:rPr>
                <w:b w:val="0"/>
              </w:rPr>
              <w:t xml:space="preserve"> </w:t>
            </w:r>
            <w:r w:rsidR="007937DD" w:rsidRPr="007937DD">
              <w:rPr>
                <w:bCs/>
                <w:i/>
                <w:iCs/>
              </w:rPr>
              <w:t xml:space="preserve">Matthew.Porter-James100@mod.gov.uk </w:t>
            </w:r>
            <w:r>
              <w:rPr>
                <w:b w:val="0"/>
                <w:i/>
              </w:rPr>
              <w:t>(as per Annex A to Schedule 3 (DEFFORM 111))</w:t>
            </w:r>
            <w:r>
              <w:rPr>
                <w:b w:val="0"/>
              </w:rPr>
              <w:t xml:space="preserve"> </w:t>
            </w:r>
          </w:p>
          <w:p w14:paraId="7D02236B" w14:textId="77777777" w:rsidR="005769F9" w:rsidRDefault="00000000">
            <w:pPr>
              <w:ind w:left="1"/>
            </w:pPr>
            <w:r>
              <w:t xml:space="preserve"> </w:t>
            </w:r>
          </w:p>
        </w:tc>
      </w:tr>
      <w:tr w:rsidR="005769F9" w14:paraId="02929325" w14:textId="77777777">
        <w:trPr>
          <w:trHeight w:val="2542"/>
        </w:trPr>
        <w:tc>
          <w:tcPr>
            <w:tcW w:w="10279" w:type="dxa"/>
            <w:tcBorders>
              <w:top w:val="single" w:sz="4" w:space="0" w:color="000000"/>
              <w:left w:val="single" w:sz="4" w:space="0" w:color="000000"/>
              <w:bottom w:val="single" w:sz="4" w:space="0" w:color="000000"/>
              <w:right w:val="single" w:sz="4" w:space="0" w:color="000000"/>
            </w:tcBorders>
          </w:tcPr>
          <w:p w14:paraId="1B93295C" w14:textId="77777777" w:rsidR="005769F9" w:rsidRDefault="00000000">
            <w:pPr>
              <w:ind w:left="1"/>
            </w:pPr>
            <w:r>
              <w:t xml:space="preserve"> </w:t>
            </w:r>
          </w:p>
          <w:p w14:paraId="77A66591" w14:textId="77777777" w:rsidR="005769F9" w:rsidRDefault="00000000">
            <w:pPr>
              <w:ind w:left="1"/>
            </w:pPr>
            <w:r>
              <w:t xml:space="preserve">Condition 18 – Notices: </w:t>
            </w:r>
          </w:p>
          <w:p w14:paraId="45935FE4" w14:textId="77777777" w:rsidR="005769F9" w:rsidRDefault="00000000">
            <w:pPr>
              <w:ind w:left="1"/>
            </w:pPr>
            <w:r>
              <w:t xml:space="preserve"> </w:t>
            </w:r>
          </w:p>
          <w:p w14:paraId="41D27D2D" w14:textId="4AD1A21F" w:rsidR="005769F9" w:rsidRDefault="00000000">
            <w:pPr>
              <w:tabs>
                <w:tab w:val="center" w:pos="3780"/>
              </w:tabs>
              <w:ind w:left="0"/>
            </w:pPr>
            <w:r>
              <w:t xml:space="preserve"> </w:t>
            </w:r>
            <w:r>
              <w:rPr>
                <w:b w:val="0"/>
              </w:rPr>
              <w:t xml:space="preserve">Notices served under the Contract shall be sent to the following address: </w:t>
            </w:r>
          </w:p>
          <w:p w14:paraId="43190EE6" w14:textId="77777777" w:rsidR="005769F9" w:rsidRDefault="00000000">
            <w:pPr>
              <w:ind w:left="1"/>
            </w:pPr>
            <w:r>
              <w:rPr>
                <w:b w:val="0"/>
              </w:rPr>
              <w:t xml:space="preserve"> </w:t>
            </w:r>
          </w:p>
          <w:p w14:paraId="7855BD25" w14:textId="3FA2C6B5" w:rsidR="00B5627B" w:rsidRPr="00B5627B" w:rsidRDefault="00000000" w:rsidP="005561A9">
            <w:pPr>
              <w:ind w:left="0"/>
              <w:rPr>
                <w:bCs/>
                <w:i/>
                <w:iCs/>
              </w:rPr>
            </w:pPr>
            <w:r>
              <w:rPr>
                <w:b w:val="0"/>
              </w:rPr>
              <w:t>Authority</w:t>
            </w:r>
            <w:r w:rsidR="00973B10" w:rsidRPr="00F60B60">
              <w:rPr>
                <w:b w:val="0"/>
                <w:highlight w:val="yellow"/>
              </w:rPr>
              <w:t>:</w:t>
            </w:r>
            <w:r w:rsidR="00B5627B" w:rsidRPr="00F60B60">
              <w:rPr>
                <w:bCs/>
                <w:i/>
                <w:iCs/>
                <w:highlight w:val="yellow"/>
              </w:rPr>
              <w:t xml:space="preserve">  DE&amp;S, </w:t>
            </w:r>
            <w:r w:rsidR="00F60B60" w:rsidRPr="00F60B60">
              <w:rPr>
                <w:bCs/>
                <w:i/>
                <w:iCs/>
                <w:highlight w:val="yellow"/>
              </w:rPr>
              <w:t>Lethality&amp;Protect 2 Gunnery Sys Munitions, Dismounted Close Combat, MOD</w:t>
            </w:r>
            <w:r w:rsidR="00B5627B" w:rsidRPr="00F60B60">
              <w:rPr>
                <w:bCs/>
                <w:i/>
                <w:iCs/>
                <w:highlight w:val="yellow"/>
              </w:rPr>
              <w:t xml:space="preserve"> Abbey Wood, #</w:t>
            </w:r>
            <w:r w:rsidR="00F60B60" w:rsidRPr="00F60B60">
              <w:rPr>
                <w:bCs/>
                <w:i/>
                <w:iCs/>
                <w:highlight w:val="yellow"/>
              </w:rPr>
              <w:t>2048</w:t>
            </w:r>
            <w:r w:rsidR="00B5627B" w:rsidRPr="00F60B60">
              <w:rPr>
                <w:bCs/>
                <w:i/>
                <w:iCs/>
                <w:highlight w:val="yellow"/>
              </w:rPr>
              <w:t xml:space="preserve"> </w:t>
            </w:r>
            <w:r w:rsidR="00F60B60" w:rsidRPr="00F60B60">
              <w:rPr>
                <w:bCs/>
                <w:i/>
                <w:iCs/>
                <w:highlight w:val="yellow"/>
              </w:rPr>
              <w:t>FIR 1B</w:t>
            </w:r>
            <w:r w:rsidR="00B5627B" w:rsidRPr="00F60B60">
              <w:rPr>
                <w:bCs/>
                <w:i/>
                <w:iCs/>
                <w:highlight w:val="yellow"/>
              </w:rPr>
              <w:t>, Bristol, BS34 8JH</w:t>
            </w:r>
            <w:r w:rsidR="00B5627B" w:rsidRPr="00B5627B">
              <w:rPr>
                <w:bCs/>
                <w:i/>
                <w:iCs/>
              </w:rPr>
              <w:t xml:space="preserve"> (as per Annex A to Schedule 3 (DEFFORM 111)) </w:t>
            </w:r>
          </w:p>
          <w:p w14:paraId="6340B08C" w14:textId="77777777" w:rsidR="005561A9" w:rsidRDefault="00000000" w:rsidP="005561A9">
            <w:r>
              <w:rPr>
                <w:b w:val="0"/>
              </w:rPr>
              <w:t xml:space="preserve">  </w:t>
            </w:r>
          </w:p>
          <w:p w14:paraId="44B516A5" w14:textId="1D691469" w:rsidR="005769F9" w:rsidRDefault="00000000" w:rsidP="005561A9">
            <w:pPr>
              <w:ind w:left="0"/>
            </w:pPr>
            <w:r>
              <w:rPr>
                <w:b w:val="0"/>
              </w:rPr>
              <w:t xml:space="preserve">Contractor:          </w:t>
            </w:r>
          </w:p>
          <w:p w14:paraId="72328B69" w14:textId="5EDD91E4" w:rsidR="005769F9" w:rsidRDefault="00000000">
            <w:pPr>
              <w:ind w:left="0" w:right="5203"/>
            </w:pPr>
            <w:r>
              <w:rPr>
                <w:b w:val="0"/>
              </w:rPr>
              <w:t xml:space="preserve"> </w:t>
            </w:r>
          </w:p>
          <w:p w14:paraId="181B2253" w14:textId="2D337A9C" w:rsidR="005769F9" w:rsidRDefault="00000000">
            <w:pPr>
              <w:tabs>
                <w:tab w:val="center" w:pos="2300"/>
                <w:tab w:val="center" w:pos="4537"/>
                <w:tab w:val="center" w:pos="5986"/>
              </w:tabs>
              <w:ind w:left="0"/>
            </w:pPr>
            <w:r>
              <w:rPr>
                <w:b w:val="0"/>
              </w:rPr>
              <w:t xml:space="preserve"> Notices can be sent by electronic mail? </w:t>
            </w:r>
            <w:r w:rsidR="00B5627B" w:rsidRPr="00B5627B">
              <w:rPr>
                <w:bCs/>
                <w:i/>
                <w:iCs/>
              </w:rPr>
              <w:t>YES (See DEFFORM 111 Box 1 and 2 for points of contact)</w:t>
            </w:r>
            <w:r>
              <w:rPr>
                <w:b w:val="0"/>
              </w:rPr>
              <w:tab/>
              <w:t xml:space="preserve">   </w:t>
            </w:r>
            <w:r>
              <w:rPr>
                <w:b w:val="0"/>
              </w:rPr>
              <w:tab/>
            </w:r>
          </w:p>
          <w:p w14:paraId="64008246" w14:textId="77777777" w:rsidR="005769F9" w:rsidRDefault="00000000">
            <w:pPr>
              <w:ind w:left="1"/>
            </w:pPr>
            <w:r>
              <w:t xml:space="preserve"> </w:t>
            </w:r>
          </w:p>
        </w:tc>
      </w:tr>
      <w:tr w:rsidR="005769F9" w14:paraId="467EE5FD"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4C23B281" w14:textId="77777777" w:rsidR="005769F9" w:rsidRDefault="00000000">
            <w:pPr>
              <w:ind w:left="1"/>
            </w:pPr>
            <w:r>
              <w:t xml:space="preserve"> </w:t>
            </w:r>
          </w:p>
          <w:p w14:paraId="1083E452" w14:textId="77777777" w:rsidR="005769F9" w:rsidRDefault="00000000">
            <w:pPr>
              <w:ind w:left="1"/>
            </w:pPr>
            <w:r>
              <w:t xml:space="preserve">Condition 19.a – Progress Meetings: </w:t>
            </w:r>
          </w:p>
          <w:p w14:paraId="2EDAE605" w14:textId="77777777" w:rsidR="005769F9" w:rsidRDefault="00000000">
            <w:pPr>
              <w:ind w:left="1"/>
            </w:pPr>
            <w:r>
              <w:t xml:space="preserve"> </w:t>
            </w:r>
          </w:p>
          <w:p w14:paraId="1EB72B8E" w14:textId="75B22E69" w:rsidR="005769F9" w:rsidRDefault="00000000" w:rsidP="00B5627B">
            <w:pPr>
              <w:ind w:left="0"/>
            </w:pPr>
            <w:r>
              <w:rPr>
                <w:b w:val="0"/>
              </w:rPr>
              <w:t xml:space="preserve">The Contractor shall be required to attend the following meetings: </w:t>
            </w:r>
            <w:r w:rsidR="00B5627B" w:rsidRPr="00B5627B">
              <w:rPr>
                <w:i/>
                <w:iCs/>
              </w:rPr>
              <w:t>As per the Project Statement of Work (SCHEDULE 11</w:t>
            </w:r>
            <w:r w:rsidR="00FA169F">
              <w:rPr>
                <w:i/>
                <w:iCs/>
              </w:rPr>
              <w:t>A</w:t>
            </w:r>
            <w:r w:rsidR="00B5627B" w:rsidRPr="00B5627B">
              <w:rPr>
                <w:i/>
                <w:iCs/>
              </w:rPr>
              <w:t>)</w:t>
            </w:r>
            <w:r w:rsidR="00CD6479">
              <w:rPr>
                <w:i/>
                <w:iCs/>
              </w:rPr>
              <w:t xml:space="preserve"> and Schedule of Requirements (Schedule 02).</w:t>
            </w:r>
          </w:p>
          <w:p w14:paraId="740EA2FA" w14:textId="77777777" w:rsidR="005769F9" w:rsidRDefault="00000000">
            <w:pPr>
              <w:ind w:left="1"/>
            </w:pPr>
            <w:r>
              <w:rPr>
                <w:b w:val="0"/>
              </w:rPr>
              <w:t xml:space="preserve"> </w:t>
            </w:r>
          </w:p>
          <w:p w14:paraId="708F3A18" w14:textId="77777777" w:rsidR="005769F9" w:rsidRDefault="00000000">
            <w:pPr>
              <w:ind w:left="721"/>
            </w:pPr>
            <w:r>
              <w:rPr>
                <w:b w:val="0"/>
              </w:rPr>
              <w:t xml:space="preserve">      </w:t>
            </w:r>
          </w:p>
          <w:p w14:paraId="41B48C80" w14:textId="77777777" w:rsidR="005769F9" w:rsidRDefault="00000000">
            <w:pPr>
              <w:ind w:left="1"/>
            </w:pPr>
            <w:r>
              <w:t xml:space="preserve"> </w:t>
            </w:r>
          </w:p>
        </w:tc>
      </w:tr>
      <w:tr w:rsidR="005769F9" w14:paraId="327A50C1" w14:textId="77777777" w:rsidTr="00B5627B">
        <w:trPr>
          <w:trHeight w:val="2009"/>
        </w:trPr>
        <w:tc>
          <w:tcPr>
            <w:tcW w:w="10279" w:type="dxa"/>
            <w:tcBorders>
              <w:top w:val="single" w:sz="4" w:space="0" w:color="000000"/>
              <w:left w:val="single" w:sz="4" w:space="0" w:color="000000"/>
              <w:bottom w:val="single" w:sz="4" w:space="0" w:color="000000"/>
              <w:right w:val="single" w:sz="4" w:space="0" w:color="000000"/>
            </w:tcBorders>
          </w:tcPr>
          <w:p w14:paraId="0D49EC70" w14:textId="77777777" w:rsidR="005769F9" w:rsidRDefault="00000000">
            <w:pPr>
              <w:ind w:left="1"/>
            </w:pPr>
            <w:r>
              <w:lastRenderedPageBreak/>
              <w:t xml:space="preserve"> </w:t>
            </w:r>
          </w:p>
          <w:p w14:paraId="680029C6" w14:textId="77777777" w:rsidR="005769F9" w:rsidRDefault="00000000">
            <w:pPr>
              <w:ind w:left="1"/>
            </w:pPr>
            <w:r>
              <w:t xml:space="preserve">Condition 19.b – Progress Reports: </w:t>
            </w:r>
          </w:p>
          <w:p w14:paraId="694F8DC2" w14:textId="77777777" w:rsidR="005769F9" w:rsidRDefault="00000000">
            <w:pPr>
              <w:ind w:left="1"/>
            </w:pPr>
            <w:r>
              <w:t xml:space="preserve"> </w:t>
            </w:r>
          </w:p>
          <w:p w14:paraId="06154B7D" w14:textId="42636A76" w:rsidR="00CD6479" w:rsidRDefault="00000000" w:rsidP="00CD6479">
            <w:pPr>
              <w:ind w:left="0"/>
            </w:pPr>
            <w:r>
              <w:t xml:space="preserve"> </w:t>
            </w:r>
            <w:r>
              <w:rPr>
                <w:b w:val="0"/>
              </w:rPr>
              <w:t xml:space="preserve">The Contractor is required to submit the following Reports: </w:t>
            </w:r>
            <w:r w:rsidR="00B5627B" w:rsidRPr="00B5627B">
              <w:rPr>
                <w:i/>
                <w:iCs/>
              </w:rPr>
              <w:t>As per the Project Statement of Work (SCHEDULE 11</w:t>
            </w:r>
            <w:r w:rsidR="00C1662E">
              <w:rPr>
                <w:i/>
                <w:iCs/>
              </w:rPr>
              <w:t>A</w:t>
            </w:r>
            <w:r w:rsidR="00B5627B" w:rsidRPr="00B5627B">
              <w:rPr>
                <w:i/>
                <w:iCs/>
              </w:rPr>
              <w:t>)</w:t>
            </w:r>
            <w:r w:rsidR="00CD6479">
              <w:rPr>
                <w:i/>
                <w:iCs/>
              </w:rPr>
              <w:t xml:space="preserve"> and Schedule of Requirements (Schedule 02).</w:t>
            </w:r>
          </w:p>
          <w:p w14:paraId="07E9204B" w14:textId="79FD9D8C" w:rsidR="00B5627B" w:rsidRPr="00B5627B" w:rsidRDefault="00B5627B" w:rsidP="00B5627B">
            <w:pPr>
              <w:tabs>
                <w:tab w:val="center" w:pos="3151"/>
              </w:tabs>
              <w:ind w:left="0"/>
              <w:rPr>
                <w:b w:val="0"/>
              </w:rPr>
            </w:pPr>
          </w:p>
          <w:p w14:paraId="2BFE3CD8" w14:textId="158880B1" w:rsidR="005769F9" w:rsidRDefault="005769F9">
            <w:pPr>
              <w:tabs>
                <w:tab w:val="center" w:pos="3151"/>
              </w:tabs>
              <w:ind w:left="0"/>
            </w:pPr>
          </w:p>
          <w:p w14:paraId="160755FC" w14:textId="063C5BBF" w:rsidR="005769F9" w:rsidRPr="00B5627B" w:rsidRDefault="00000000" w:rsidP="00B5627B">
            <w:pPr>
              <w:ind w:left="1"/>
              <w:rPr>
                <w:b w:val="0"/>
              </w:rPr>
            </w:pPr>
            <w:r>
              <w:rPr>
                <w:b w:val="0"/>
              </w:rPr>
              <w:t xml:space="preserve"> Reports shall be Delivered to the following address: </w:t>
            </w:r>
            <w:r w:rsidR="00B5627B" w:rsidRPr="00B5627B">
              <w:rPr>
                <w:i/>
                <w:iCs/>
              </w:rPr>
              <w:t>See Box 2 of DEFFORM 111</w:t>
            </w:r>
            <w:r>
              <w:rPr>
                <w:b w:val="0"/>
              </w:rPr>
              <w:t xml:space="preserve">      </w:t>
            </w:r>
          </w:p>
        </w:tc>
      </w:tr>
    </w:tbl>
    <w:p w14:paraId="206EFACE" w14:textId="1F7A7C7D" w:rsidR="005769F9" w:rsidRDefault="005769F9" w:rsidP="00B5627B">
      <w:pPr>
        <w:ind w:left="0"/>
      </w:pPr>
    </w:p>
    <w:tbl>
      <w:tblPr>
        <w:tblStyle w:val="TableGrid"/>
        <w:tblW w:w="10279" w:type="dxa"/>
        <w:tblInd w:w="5" w:type="dxa"/>
        <w:tblCellMar>
          <w:left w:w="108" w:type="dxa"/>
          <w:right w:w="115" w:type="dxa"/>
        </w:tblCellMar>
        <w:tblLook w:val="04A0" w:firstRow="1" w:lastRow="0" w:firstColumn="1" w:lastColumn="0" w:noHBand="0" w:noVBand="1"/>
      </w:tblPr>
      <w:tblGrid>
        <w:gridCol w:w="10279"/>
      </w:tblGrid>
      <w:tr w:rsidR="005769F9" w14:paraId="61917197"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5C9880C8" w14:textId="77777777" w:rsidR="005769F9" w:rsidRDefault="00000000">
            <w:pPr>
              <w:ind w:left="0"/>
            </w:pPr>
            <w:r>
              <w:t xml:space="preserve">Supply of Contractor Deliverables </w:t>
            </w:r>
          </w:p>
        </w:tc>
      </w:tr>
      <w:tr w:rsidR="005769F9" w14:paraId="1433FD7C" w14:textId="77777777" w:rsidTr="00CC66A2">
        <w:trPr>
          <w:trHeight w:val="2052"/>
        </w:trPr>
        <w:tc>
          <w:tcPr>
            <w:tcW w:w="10279" w:type="dxa"/>
            <w:tcBorders>
              <w:top w:val="single" w:sz="4" w:space="0" w:color="000000"/>
              <w:left w:val="single" w:sz="4" w:space="0" w:color="000000"/>
              <w:bottom w:val="single" w:sz="4" w:space="0" w:color="000000"/>
              <w:right w:val="single" w:sz="4" w:space="0" w:color="000000"/>
            </w:tcBorders>
          </w:tcPr>
          <w:p w14:paraId="23BF8E24" w14:textId="77777777" w:rsidR="005769F9" w:rsidRPr="005561A9" w:rsidRDefault="00000000">
            <w:pPr>
              <w:ind w:left="0"/>
              <w:rPr>
                <w:b w:val="0"/>
                <w:bCs/>
              </w:rPr>
            </w:pPr>
            <w:r w:rsidRPr="005561A9">
              <w:rPr>
                <w:b w:val="0"/>
                <w:bCs/>
              </w:rPr>
              <w:t xml:space="preserve"> </w:t>
            </w:r>
          </w:p>
          <w:p w14:paraId="06BCBE38" w14:textId="77777777" w:rsidR="005769F9" w:rsidRPr="00F12320" w:rsidRDefault="00000000">
            <w:pPr>
              <w:ind w:left="0"/>
            </w:pPr>
            <w:r w:rsidRPr="00F12320">
              <w:t xml:space="preserve">Condition 20 – Quality Assurance: </w:t>
            </w:r>
          </w:p>
          <w:p w14:paraId="11DA143B" w14:textId="77777777" w:rsidR="005769F9" w:rsidRPr="00F12320" w:rsidRDefault="00000000">
            <w:pPr>
              <w:ind w:left="0"/>
            </w:pPr>
            <w:r w:rsidRPr="00F12320">
              <w:t xml:space="preserve"> </w:t>
            </w:r>
          </w:p>
          <w:p w14:paraId="18930EC1" w14:textId="3B80CE40" w:rsidR="005769F9" w:rsidRPr="005561A9" w:rsidRDefault="00000000" w:rsidP="00B5627B">
            <w:pPr>
              <w:ind w:left="0"/>
              <w:rPr>
                <w:b w:val="0"/>
                <w:bCs/>
              </w:rPr>
            </w:pPr>
            <w:r w:rsidRPr="005561A9">
              <w:rPr>
                <w:b w:val="0"/>
                <w:bCs/>
              </w:rPr>
              <w:t xml:space="preserve">Is a Deliverable Quality Plan required for this Contract? </w:t>
            </w:r>
            <w:r w:rsidR="00B5627B" w:rsidRPr="005561A9">
              <w:rPr>
                <w:b w:val="0"/>
                <w:bCs/>
                <w:i/>
                <w:iCs/>
              </w:rPr>
              <w:t>NO</w:t>
            </w:r>
            <w:r w:rsidRPr="005561A9">
              <w:rPr>
                <w:b w:val="0"/>
                <w:bCs/>
                <w:i/>
              </w:rPr>
              <w:t xml:space="preserve"> </w:t>
            </w:r>
          </w:p>
          <w:p w14:paraId="29D5AEB7" w14:textId="3E593D4A" w:rsidR="005769F9" w:rsidRPr="005561A9" w:rsidRDefault="00000000" w:rsidP="00B5627B">
            <w:pPr>
              <w:ind w:left="0" w:right="8148"/>
              <w:rPr>
                <w:b w:val="0"/>
                <w:bCs/>
              </w:rPr>
            </w:pPr>
            <w:r w:rsidRPr="005561A9">
              <w:rPr>
                <w:b w:val="0"/>
                <w:bCs/>
              </w:rPr>
              <w:t xml:space="preserve"> </w:t>
            </w:r>
          </w:p>
          <w:p w14:paraId="634D206D" w14:textId="170397C9" w:rsidR="005769F9" w:rsidRPr="005561A9" w:rsidRDefault="00000000" w:rsidP="00B5627B">
            <w:pPr>
              <w:ind w:left="0" w:right="1994"/>
              <w:rPr>
                <w:b w:val="0"/>
                <w:bCs/>
              </w:rPr>
            </w:pPr>
            <w:r w:rsidRPr="005561A9">
              <w:rPr>
                <w:b w:val="0"/>
                <w:bCs/>
              </w:rPr>
              <w:t xml:space="preserve">Other Quality Assurance Requirements: </w:t>
            </w:r>
          </w:p>
          <w:p w14:paraId="580C400F" w14:textId="15E81C43" w:rsidR="005561A9" w:rsidRPr="005561A9" w:rsidRDefault="005561A9" w:rsidP="005561A9">
            <w:pPr>
              <w:ind w:left="0"/>
              <w:rPr>
                <w:b w:val="0"/>
                <w:bCs/>
                <w:i/>
                <w:iCs/>
              </w:rPr>
            </w:pPr>
            <w:r w:rsidRPr="005561A9">
              <w:rPr>
                <w:b w:val="0"/>
                <w:bCs/>
                <w:i/>
                <w:iCs/>
              </w:rPr>
              <w:t>AQAP 2110 Edition D Version 1 NATO Quality Assurance Requirements for Design, Development and Production. CoC shall be provided in accordance with Clause 26. </w:t>
            </w:r>
          </w:p>
          <w:p w14:paraId="6902643A" w14:textId="77777777" w:rsidR="005561A9" w:rsidRPr="005561A9" w:rsidRDefault="005561A9" w:rsidP="005561A9">
            <w:pPr>
              <w:ind w:left="0"/>
              <w:rPr>
                <w:b w:val="0"/>
                <w:bCs/>
                <w:i/>
                <w:iCs/>
              </w:rPr>
            </w:pPr>
          </w:p>
          <w:p w14:paraId="1BCBEAAD" w14:textId="77777777" w:rsidR="005561A9" w:rsidRPr="005561A9" w:rsidRDefault="005561A9" w:rsidP="005561A9">
            <w:pPr>
              <w:ind w:left="0"/>
              <w:rPr>
                <w:b w:val="0"/>
                <w:bCs/>
                <w:i/>
                <w:iCs/>
              </w:rPr>
            </w:pPr>
            <w:r w:rsidRPr="005561A9">
              <w:rPr>
                <w:b w:val="0"/>
                <w:bCs/>
                <w:i/>
                <w:iCs/>
              </w:rPr>
              <w:t>Concessions shall be managed in accordance with DEFSTAN 05-061 Pt 1 – Issue 7 - Quality Assurance Procedural Requirements - Concessions </w:t>
            </w:r>
          </w:p>
          <w:p w14:paraId="78F6AE02" w14:textId="77777777" w:rsidR="005561A9" w:rsidRPr="005561A9" w:rsidRDefault="005561A9" w:rsidP="005561A9">
            <w:pPr>
              <w:ind w:left="0"/>
              <w:rPr>
                <w:b w:val="0"/>
                <w:bCs/>
                <w:i/>
                <w:iCs/>
              </w:rPr>
            </w:pPr>
          </w:p>
          <w:p w14:paraId="2A7E87A7" w14:textId="77777777" w:rsidR="005561A9" w:rsidRPr="005561A9" w:rsidRDefault="005561A9" w:rsidP="005561A9">
            <w:pPr>
              <w:ind w:left="0"/>
              <w:rPr>
                <w:b w:val="0"/>
                <w:bCs/>
                <w:i/>
                <w:iCs/>
              </w:rPr>
            </w:pPr>
            <w:r w:rsidRPr="005561A9">
              <w:rPr>
                <w:b w:val="0"/>
                <w:bCs/>
                <w:i/>
                <w:iCs/>
              </w:rPr>
              <w:t>Any contractor working parties shall be provided in accordance with DEFSTAN 05-061 Pt 4 – Issue 4 - Quality Assurance Procedural Requirements - Contractor Working Parties </w:t>
            </w:r>
          </w:p>
          <w:p w14:paraId="5326CE22" w14:textId="77777777" w:rsidR="005561A9" w:rsidRPr="005561A9" w:rsidRDefault="005561A9" w:rsidP="005561A9">
            <w:pPr>
              <w:ind w:left="0"/>
              <w:rPr>
                <w:b w:val="0"/>
                <w:bCs/>
                <w:i/>
                <w:iCs/>
              </w:rPr>
            </w:pPr>
          </w:p>
          <w:p w14:paraId="12BEDE99" w14:textId="77777777" w:rsidR="005561A9" w:rsidRPr="005561A9" w:rsidRDefault="005561A9" w:rsidP="005561A9">
            <w:pPr>
              <w:ind w:left="0"/>
              <w:rPr>
                <w:b w:val="0"/>
                <w:bCs/>
                <w:i/>
                <w:iCs/>
              </w:rPr>
            </w:pPr>
            <w:r w:rsidRPr="005561A9">
              <w:rPr>
                <w:b w:val="0"/>
                <w:bCs/>
                <w:i/>
                <w:iCs/>
              </w:rPr>
              <w:t>Processes and controls for the avoidance of counterfeit material shall be stablished and applied in accordance with DEFSTAN 05-135 – Issue 2 - Avoidance of Counterfeit Materiel </w:t>
            </w:r>
          </w:p>
          <w:p w14:paraId="3F6E4ACE" w14:textId="77777777" w:rsidR="005561A9" w:rsidRPr="005561A9" w:rsidRDefault="005561A9" w:rsidP="005561A9">
            <w:pPr>
              <w:ind w:left="0"/>
              <w:rPr>
                <w:b w:val="0"/>
                <w:bCs/>
                <w:i/>
                <w:iCs/>
              </w:rPr>
            </w:pPr>
            <w:r w:rsidRPr="005561A9">
              <w:rPr>
                <w:b w:val="0"/>
                <w:bCs/>
                <w:i/>
                <w:iCs/>
              </w:rPr>
              <w:t> </w:t>
            </w:r>
          </w:p>
          <w:p w14:paraId="71DA85BA" w14:textId="77777777" w:rsidR="005561A9" w:rsidRPr="005561A9" w:rsidRDefault="005561A9" w:rsidP="005561A9">
            <w:pPr>
              <w:ind w:left="0"/>
              <w:rPr>
                <w:b w:val="0"/>
                <w:bCs/>
                <w:i/>
                <w:iCs/>
              </w:rPr>
            </w:pPr>
            <w:r w:rsidRPr="005561A9">
              <w:rPr>
                <w:b w:val="0"/>
                <w:bCs/>
                <w:i/>
                <w:iCs/>
              </w:rPr>
              <w:t>No Deliverable Quality Plan is required reference DEFCON 602B (Edn 12/06) - Quality Assurance (Without Deliverable Quality Plan) </w:t>
            </w:r>
          </w:p>
          <w:p w14:paraId="674932DE" w14:textId="77777777" w:rsidR="005561A9" w:rsidRPr="005561A9" w:rsidRDefault="005561A9" w:rsidP="005561A9">
            <w:pPr>
              <w:ind w:left="0"/>
              <w:rPr>
                <w:b w:val="0"/>
                <w:bCs/>
                <w:i/>
                <w:iCs/>
              </w:rPr>
            </w:pPr>
            <w:r w:rsidRPr="005561A9">
              <w:rPr>
                <w:b w:val="0"/>
                <w:bCs/>
                <w:i/>
                <w:iCs/>
              </w:rPr>
              <w:t> </w:t>
            </w:r>
          </w:p>
          <w:p w14:paraId="7E316A0D" w14:textId="77777777" w:rsidR="005561A9" w:rsidRPr="005561A9" w:rsidRDefault="005561A9" w:rsidP="005561A9">
            <w:pPr>
              <w:ind w:left="0"/>
              <w:rPr>
                <w:b w:val="0"/>
                <w:bCs/>
                <w:i/>
                <w:iCs/>
              </w:rPr>
            </w:pPr>
            <w:r w:rsidRPr="005561A9">
              <w:rPr>
                <w:b w:val="0"/>
                <w:bCs/>
                <w:i/>
                <w:iCs/>
              </w:rPr>
              <w:t>A Certificate of Conformity template for use under this contract is attached at Schedule 18 - Certificate of Conformity </w:t>
            </w:r>
          </w:p>
          <w:p w14:paraId="48BE7B25" w14:textId="77777777" w:rsidR="005561A9" w:rsidRPr="005561A9" w:rsidRDefault="005561A9" w:rsidP="005561A9">
            <w:pPr>
              <w:ind w:left="0"/>
              <w:rPr>
                <w:b w:val="0"/>
                <w:bCs/>
                <w:i/>
                <w:iCs/>
              </w:rPr>
            </w:pPr>
            <w:r w:rsidRPr="005561A9">
              <w:rPr>
                <w:b w:val="0"/>
                <w:bCs/>
                <w:i/>
                <w:iCs/>
              </w:rPr>
              <w:t> </w:t>
            </w:r>
          </w:p>
          <w:p w14:paraId="4E870F2F" w14:textId="77777777" w:rsidR="005561A9" w:rsidRPr="005561A9" w:rsidRDefault="005561A9" w:rsidP="005561A9">
            <w:pPr>
              <w:ind w:left="0"/>
              <w:rPr>
                <w:b w:val="0"/>
                <w:bCs/>
                <w:i/>
                <w:iCs/>
              </w:rPr>
            </w:pPr>
            <w:r w:rsidRPr="005561A9">
              <w:rPr>
                <w:b w:val="0"/>
                <w:bCs/>
                <w:i/>
                <w:iCs/>
              </w:rPr>
              <w:t>For guidance on the application and interpretation of AQAPs refer to the appropriate AQAP standards Related Document (SRD) </w:t>
            </w:r>
          </w:p>
          <w:p w14:paraId="2E5E68A0" w14:textId="77777777" w:rsidR="005561A9" w:rsidRPr="005561A9" w:rsidRDefault="005561A9" w:rsidP="005561A9">
            <w:pPr>
              <w:ind w:left="0"/>
              <w:rPr>
                <w:b w:val="0"/>
                <w:bCs/>
                <w:i/>
                <w:iCs/>
              </w:rPr>
            </w:pPr>
            <w:r w:rsidRPr="005561A9">
              <w:rPr>
                <w:b w:val="0"/>
                <w:bCs/>
                <w:i/>
                <w:iCs/>
              </w:rPr>
              <w:t> </w:t>
            </w:r>
          </w:p>
          <w:p w14:paraId="76E080D6" w14:textId="77777777" w:rsidR="005561A9" w:rsidRPr="005561A9" w:rsidRDefault="005561A9" w:rsidP="005561A9">
            <w:pPr>
              <w:ind w:left="0"/>
              <w:rPr>
                <w:b w:val="0"/>
                <w:bCs/>
                <w:i/>
                <w:iCs/>
              </w:rPr>
            </w:pPr>
            <w:r w:rsidRPr="005561A9">
              <w:rPr>
                <w:b w:val="0"/>
                <w:bCs/>
                <w:i/>
                <w:iCs/>
              </w:rPr>
              <w:t>Where GQA is performed against this contract it will be in accordance with AQAP 2070 Edition B Version 4. </w:t>
            </w:r>
          </w:p>
          <w:p w14:paraId="20E1E6F7" w14:textId="1DBB9338" w:rsidR="005769F9" w:rsidRPr="005561A9" w:rsidRDefault="005561A9" w:rsidP="005561A9">
            <w:pPr>
              <w:ind w:left="0"/>
              <w:rPr>
                <w:b w:val="0"/>
                <w:bCs/>
              </w:rPr>
            </w:pPr>
            <w:r w:rsidRPr="005561A9">
              <w:rPr>
                <w:b w:val="0"/>
                <w:bCs/>
              </w:rPr>
              <w:t xml:space="preserve">      </w:t>
            </w:r>
          </w:p>
          <w:p w14:paraId="3B029525" w14:textId="77777777" w:rsidR="005561A9" w:rsidRPr="005561A9" w:rsidRDefault="005561A9" w:rsidP="005561A9">
            <w:pPr>
              <w:numPr>
                <w:ilvl w:val="0"/>
                <w:numId w:val="2"/>
              </w:numPr>
              <w:rPr>
                <w:b w:val="0"/>
                <w:bCs/>
              </w:rPr>
            </w:pPr>
            <w:r w:rsidRPr="005561A9">
              <w:rPr>
                <w:b w:val="0"/>
                <w:bCs/>
                <w:u w:val="single"/>
              </w:rPr>
              <w:t>Quality Management System</w:t>
            </w:r>
            <w:r w:rsidRPr="005561A9">
              <w:rPr>
                <w:b w:val="0"/>
                <w:bCs/>
              </w:rPr>
              <w:t xml:space="preserve"> - The contractor shall maintain a Quality Management system in accordance with ISO9001:2015 (or suitable alternative) throughout the duration of this Contract, with an appropriate scope to meet the contract deliverables, this shall be certificated by an UKAS accredited certification body or equivalent IAF member. This shall be at no additional cost to the Authority.</w:t>
            </w:r>
          </w:p>
          <w:p w14:paraId="6D20812F" w14:textId="77777777" w:rsidR="005561A9" w:rsidRPr="005561A9" w:rsidRDefault="005561A9" w:rsidP="005561A9">
            <w:pPr>
              <w:numPr>
                <w:ilvl w:val="0"/>
                <w:numId w:val="2"/>
              </w:numPr>
              <w:rPr>
                <w:b w:val="0"/>
                <w:bCs/>
              </w:rPr>
            </w:pPr>
            <w:r w:rsidRPr="005561A9">
              <w:rPr>
                <w:b w:val="0"/>
                <w:bCs/>
                <w:u w:val="single"/>
              </w:rPr>
              <w:t>NATO Quality Assurance Requirements (Design/Development and Production)</w:t>
            </w:r>
            <w:r w:rsidRPr="005561A9">
              <w:rPr>
                <w:b w:val="0"/>
                <w:bCs/>
              </w:rPr>
              <w:t xml:space="preserve"> - For the purposes of the Contract AQAP2110 Edition D entitled "NATO Quality Assurance Requirements for Design, Development and Production" shall apply where the Contractors Quality Management System meets the requirements of ISO 9001:2015. Certificate of Conformity shall be provided in accordance with DEFCON 627.  </w:t>
            </w:r>
          </w:p>
          <w:p w14:paraId="1308D2A0" w14:textId="77777777" w:rsidR="005561A9" w:rsidRPr="005561A9" w:rsidRDefault="005561A9" w:rsidP="005561A9">
            <w:pPr>
              <w:numPr>
                <w:ilvl w:val="0"/>
                <w:numId w:val="2"/>
              </w:numPr>
              <w:rPr>
                <w:b w:val="0"/>
                <w:bCs/>
              </w:rPr>
            </w:pPr>
            <w:r w:rsidRPr="005561A9">
              <w:rPr>
                <w:b w:val="0"/>
                <w:bCs/>
                <w:u w:val="single"/>
              </w:rPr>
              <w:t>Concessions</w:t>
            </w:r>
            <w:r w:rsidRPr="005561A9">
              <w:rPr>
                <w:b w:val="0"/>
                <w:bCs/>
              </w:rPr>
              <w:t xml:space="preserve"> - For the purpose of the Contract, Concessions shall be managed in accordance with Defence Standard 05-061 Part 1 entitled "Quality Assurance Procedural Requirements - Concessions Issue 7".</w:t>
            </w:r>
          </w:p>
          <w:p w14:paraId="548502FD" w14:textId="77777777" w:rsidR="005561A9" w:rsidRPr="005561A9" w:rsidRDefault="005561A9" w:rsidP="005561A9">
            <w:pPr>
              <w:numPr>
                <w:ilvl w:val="0"/>
                <w:numId w:val="2"/>
              </w:numPr>
              <w:rPr>
                <w:b w:val="0"/>
                <w:bCs/>
              </w:rPr>
            </w:pPr>
            <w:r w:rsidRPr="005561A9">
              <w:rPr>
                <w:b w:val="0"/>
                <w:bCs/>
                <w:u w:val="single"/>
              </w:rPr>
              <w:t>Counterfeit Avoidance Management</w:t>
            </w:r>
            <w:r w:rsidRPr="005561A9">
              <w:rPr>
                <w:b w:val="0"/>
                <w:bCs/>
              </w:rPr>
              <w:t xml:space="preserve"> - For the purposes of the contract, Counterfeit Avoidance Management shall be managed in accordance with Defence Standard 05-135 entitled "Avoidance of Counterfeit Materiel Issue 2".</w:t>
            </w:r>
          </w:p>
          <w:p w14:paraId="0DD08CF7" w14:textId="77777777" w:rsidR="005561A9" w:rsidRPr="005561A9" w:rsidRDefault="005561A9" w:rsidP="005561A9">
            <w:pPr>
              <w:numPr>
                <w:ilvl w:val="0"/>
                <w:numId w:val="2"/>
              </w:numPr>
              <w:rPr>
                <w:b w:val="0"/>
                <w:bCs/>
              </w:rPr>
            </w:pPr>
            <w:r w:rsidRPr="005561A9">
              <w:rPr>
                <w:b w:val="0"/>
                <w:bCs/>
                <w:u w:val="single"/>
              </w:rPr>
              <w:t>Contractor Working Parties</w:t>
            </w:r>
            <w:r w:rsidRPr="005561A9">
              <w:rPr>
                <w:b w:val="0"/>
                <w:bCs/>
              </w:rPr>
              <w:t xml:space="preserve"> - For the purposes of the contract, and Contractor Working Parties shall be provided in accordance with Defence Standard 05-061 Part 4 entitled " Quality Assurance Procedural Requirements - Contractor Working Parties Issue 4".</w:t>
            </w:r>
          </w:p>
          <w:p w14:paraId="14BC862C" w14:textId="77777777" w:rsidR="005561A9" w:rsidRPr="005561A9" w:rsidRDefault="005561A9" w:rsidP="005561A9">
            <w:pPr>
              <w:numPr>
                <w:ilvl w:val="0"/>
                <w:numId w:val="2"/>
              </w:numPr>
              <w:rPr>
                <w:b w:val="0"/>
                <w:bCs/>
              </w:rPr>
            </w:pPr>
            <w:r w:rsidRPr="005561A9">
              <w:rPr>
                <w:b w:val="0"/>
                <w:bCs/>
                <w:u w:val="single"/>
              </w:rPr>
              <w:lastRenderedPageBreak/>
              <w:t>Informative Quality Assurance Standards</w:t>
            </w:r>
            <w:r w:rsidRPr="005561A9">
              <w:rPr>
                <w:b w:val="0"/>
                <w:bCs/>
              </w:rPr>
              <w:t xml:space="preserve"> - For Guidance on the application and interpretation Please use the appropriate AQAP Standard Related document (SRD). Where Government Quality Assurance is performed against this Contract, it will be in accordance with AQAP 2070 Edition B. For the purposes of the Contract, ISO 25051:2008 Software engineering - Software Product Quality Requirements and Evaluation (</w:t>
            </w:r>
            <w:proofErr w:type="spellStart"/>
            <w:r w:rsidRPr="005561A9">
              <w:rPr>
                <w:b w:val="0"/>
                <w:bCs/>
              </w:rPr>
              <w:t>SQuaRE</w:t>
            </w:r>
            <w:proofErr w:type="spellEnd"/>
            <w:r w:rsidRPr="005561A9">
              <w:rPr>
                <w:b w:val="0"/>
                <w:bCs/>
              </w:rPr>
              <w:t>) shall apply.</w:t>
            </w:r>
          </w:p>
          <w:p w14:paraId="1F74006E" w14:textId="77777777" w:rsidR="005561A9" w:rsidRPr="005561A9" w:rsidRDefault="005561A9" w:rsidP="005561A9">
            <w:pPr>
              <w:numPr>
                <w:ilvl w:val="0"/>
                <w:numId w:val="2"/>
              </w:numPr>
              <w:rPr>
                <w:b w:val="0"/>
                <w:bCs/>
              </w:rPr>
            </w:pPr>
            <w:r w:rsidRPr="005561A9">
              <w:rPr>
                <w:b w:val="0"/>
                <w:bCs/>
                <w:u w:val="single"/>
              </w:rPr>
              <w:t>Quality Assurance Representative</w:t>
            </w:r>
            <w:r w:rsidRPr="005561A9">
              <w:rPr>
                <w:b w:val="0"/>
                <w:bCs/>
              </w:rPr>
              <w:t xml:space="preserve"> - All Reference to the GQAR in the documents which form part of this Contract shall be read as referring to the Authority specified in Box 7 of the DEFFORM 111.</w:t>
            </w:r>
          </w:p>
          <w:p w14:paraId="156664C1" w14:textId="1C7E64B1" w:rsidR="005769F9" w:rsidRPr="005561A9" w:rsidRDefault="005769F9" w:rsidP="005561A9">
            <w:pPr>
              <w:ind w:left="0"/>
              <w:rPr>
                <w:b w:val="0"/>
                <w:bCs/>
              </w:rPr>
            </w:pPr>
          </w:p>
        </w:tc>
      </w:tr>
      <w:tr w:rsidR="005769F9" w14:paraId="00A6BB94" w14:textId="77777777" w:rsidTr="005561A9">
        <w:trPr>
          <w:trHeight w:val="1256"/>
        </w:trPr>
        <w:tc>
          <w:tcPr>
            <w:tcW w:w="10279" w:type="dxa"/>
            <w:tcBorders>
              <w:top w:val="single" w:sz="4" w:space="0" w:color="000000"/>
              <w:left w:val="single" w:sz="4" w:space="0" w:color="000000"/>
              <w:bottom w:val="single" w:sz="4" w:space="0" w:color="000000"/>
              <w:right w:val="single" w:sz="4" w:space="0" w:color="000000"/>
            </w:tcBorders>
          </w:tcPr>
          <w:p w14:paraId="29902875" w14:textId="77777777" w:rsidR="005769F9" w:rsidRDefault="00000000">
            <w:pPr>
              <w:ind w:left="0"/>
            </w:pPr>
            <w:r>
              <w:lastRenderedPageBreak/>
              <w:t xml:space="preserve"> </w:t>
            </w:r>
          </w:p>
          <w:p w14:paraId="1A6CE301" w14:textId="77777777" w:rsidR="005769F9" w:rsidRDefault="00000000">
            <w:pPr>
              <w:ind w:left="0"/>
            </w:pPr>
            <w:r>
              <w:t xml:space="preserve">Condition 21 – Marking of Contractor Deliverables: </w:t>
            </w:r>
          </w:p>
          <w:p w14:paraId="5E4D5050" w14:textId="77777777" w:rsidR="005769F9" w:rsidRDefault="00000000">
            <w:pPr>
              <w:ind w:left="0"/>
            </w:pPr>
            <w:r>
              <w:t xml:space="preserve"> </w:t>
            </w:r>
          </w:p>
          <w:p w14:paraId="570EFAAE" w14:textId="2F61B678" w:rsidR="005769F9" w:rsidRDefault="00000000">
            <w:pPr>
              <w:tabs>
                <w:tab w:val="center" w:pos="0"/>
                <w:tab w:val="center" w:pos="1916"/>
              </w:tabs>
              <w:ind w:left="0"/>
            </w:pPr>
            <w:r w:rsidRPr="00F12320">
              <w:rPr>
                <w:b w:val="0"/>
                <w:highlight w:val="yellow"/>
              </w:rPr>
              <w:t xml:space="preserve">Special Marking requirements:  </w:t>
            </w:r>
            <w:r w:rsidR="00F60B60">
              <w:rPr>
                <w:highlight w:val="yellow"/>
              </w:rPr>
              <w:t>Y</w:t>
            </w:r>
            <w:r w:rsidR="00DF2AFD" w:rsidRPr="00F12320">
              <w:rPr>
                <w:highlight w:val="yellow"/>
              </w:rPr>
              <w:t xml:space="preserve">es – </w:t>
            </w:r>
            <w:r w:rsidR="00F60B60">
              <w:rPr>
                <w:highlight w:val="yellow"/>
              </w:rPr>
              <w:t>I</w:t>
            </w:r>
            <w:r w:rsidR="00DF2AFD" w:rsidRPr="00F12320">
              <w:rPr>
                <w:highlight w:val="yellow"/>
              </w:rPr>
              <w:t>n accordance with Schedule 15</w:t>
            </w:r>
            <w:r w:rsidR="00F60B60">
              <w:t xml:space="preserve">- </w:t>
            </w:r>
            <w:r w:rsidR="00F60B60" w:rsidRPr="00F60B60">
              <w:rPr>
                <w:highlight w:val="yellow"/>
              </w:rPr>
              <w:t>HMG MLI WEAPON LOGBOOK</w:t>
            </w:r>
          </w:p>
          <w:p w14:paraId="38F3EBB8" w14:textId="402D6835" w:rsidR="005769F9" w:rsidRDefault="005769F9" w:rsidP="005561A9">
            <w:pPr>
              <w:ind w:left="0"/>
            </w:pPr>
          </w:p>
        </w:tc>
      </w:tr>
      <w:tr w:rsidR="005769F9" w14:paraId="3DF8010A" w14:textId="77777777">
        <w:trPr>
          <w:trHeight w:val="3461"/>
        </w:trPr>
        <w:tc>
          <w:tcPr>
            <w:tcW w:w="10279" w:type="dxa"/>
            <w:tcBorders>
              <w:top w:val="single" w:sz="4" w:space="0" w:color="000000"/>
              <w:left w:val="single" w:sz="4" w:space="0" w:color="000000"/>
              <w:bottom w:val="single" w:sz="4" w:space="0" w:color="000000"/>
              <w:right w:val="single" w:sz="4" w:space="0" w:color="000000"/>
            </w:tcBorders>
          </w:tcPr>
          <w:p w14:paraId="1776C60E" w14:textId="77777777" w:rsidR="005769F9" w:rsidRDefault="00000000">
            <w:pPr>
              <w:ind w:left="0"/>
            </w:pPr>
            <w:r>
              <w:t xml:space="preserve"> </w:t>
            </w:r>
          </w:p>
          <w:p w14:paraId="4298BDC9" w14:textId="77777777" w:rsidR="005769F9" w:rsidRDefault="00000000">
            <w:pPr>
              <w:spacing w:line="241" w:lineRule="auto"/>
              <w:ind w:left="0"/>
            </w:pPr>
            <w:r>
              <w:t xml:space="preserve">Condition 24 - Supply of Data for Hazardous Substances, Mixtures and Articles in Contractor Deliverables: </w:t>
            </w:r>
          </w:p>
          <w:p w14:paraId="78B59DEC" w14:textId="77777777" w:rsidR="005769F9" w:rsidRDefault="00000000">
            <w:pPr>
              <w:ind w:left="0"/>
            </w:pPr>
            <w:r>
              <w:t xml:space="preserve"> </w:t>
            </w:r>
          </w:p>
          <w:p w14:paraId="6A785D6B" w14:textId="77777777" w:rsidR="005769F9" w:rsidRDefault="00000000" w:rsidP="005561A9">
            <w:pPr>
              <w:spacing w:after="6" w:line="235" w:lineRule="auto"/>
              <w:ind w:left="0"/>
            </w:pPr>
            <w:r>
              <w:rPr>
                <w:b w:val="0"/>
              </w:rPr>
              <w:t>A completed Schedule 6 (Hazardous and Non-Hazardous Substances, Mixture or Articles Statement), and if applicable, UK REACH compliant</w:t>
            </w:r>
            <w:r>
              <w:rPr>
                <w:rFonts w:ascii="Verdana" w:eastAsia="Verdana" w:hAnsi="Verdana" w:cs="Verdana"/>
                <w:b w:val="0"/>
              </w:rPr>
              <w:t xml:space="preserve"> </w:t>
            </w:r>
            <w:r>
              <w:rPr>
                <w:b w:val="0"/>
              </w:rPr>
              <w:t xml:space="preserve">Safety Data Sheet(s) are to be provided by e-mail with attachments in Adobe PDF or MS WORD format to: </w:t>
            </w:r>
          </w:p>
          <w:p w14:paraId="26A4C749" w14:textId="77777777" w:rsidR="005769F9" w:rsidRDefault="00000000">
            <w:pPr>
              <w:ind w:left="0"/>
            </w:pPr>
            <w:r>
              <w:rPr>
                <w:b w:val="0"/>
              </w:rPr>
              <w:t xml:space="preserve"> </w:t>
            </w:r>
          </w:p>
          <w:p w14:paraId="1A7E0733" w14:textId="77777777" w:rsidR="005769F9" w:rsidRDefault="00000000">
            <w:pPr>
              <w:numPr>
                <w:ilvl w:val="0"/>
                <w:numId w:val="1"/>
              </w:numPr>
              <w:ind w:hanging="288"/>
            </w:pPr>
            <w:r>
              <w:rPr>
                <w:b w:val="0"/>
              </w:rPr>
              <w:t xml:space="preserve">The Authority’s Representative (Commercial) </w:t>
            </w:r>
          </w:p>
          <w:p w14:paraId="6FE6F489" w14:textId="77777777" w:rsidR="005769F9" w:rsidRDefault="00000000">
            <w:pPr>
              <w:ind w:left="0"/>
            </w:pPr>
            <w:r>
              <w:rPr>
                <w:b w:val="0"/>
              </w:rPr>
              <w:t xml:space="preserve"> </w:t>
            </w:r>
          </w:p>
          <w:p w14:paraId="0A4010C7" w14:textId="77777777" w:rsidR="005769F9" w:rsidRDefault="00000000">
            <w:pPr>
              <w:numPr>
                <w:ilvl w:val="0"/>
                <w:numId w:val="1"/>
              </w:numPr>
              <w:ind w:hanging="288"/>
            </w:pPr>
            <w:r>
              <w:rPr>
                <w:b w:val="0"/>
              </w:rPr>
              <w:t xml:space="preserve">Defence Safety Authority – </w:t>
            </w:r>
            <w:r>
              <w:rPr>
                <w:b w:val="0"/>
                <w:color w:val="0000FF"/>
                <w:u w:val="single" w:color="0000FF"/>
              </w:rPr>
              <w:t>DESEngSfty-QSEPSEP-HSISMulti@mod.gov.uk</w:t>
            </w:r>
            <w:r>
              <w:rPr>
                <w:b w:val="0"/>
              </w:rPr>
              <w:t xml:space="preserve"> </w:t>
            </w:r>
          </w:p>
          <w:p w14:paraId="56D05013" w14:textId="77777777" w:rsidR="005769F9" w:rsidRDefault="00000000">
            <w:pPr>
              <w:ind w:left="0"/>
            </w:pPr>
            <w:r>
              <w:rPr>
                <w:b w:val="0"/>
              </w:rPr>
              <w:t xml:space="preserve"> </w:t>
            </w:r>
          </w:p>
          <w:p w14:paraId="109CC212" w14:textId="77777777" w:rsidR="005769F9" w:rsidRDefault="00000000" w:rsidP="005561A9">
            <w:pPr>
              <w:spacing w:line="241" w:lineRule="auto"/>
              <w:ind w:left="0"/>
            </w:pPr>
            <w:r>
              <w:rPr>
                <w:b w:val="0"/>
              </w:rPr>
              <w:t xml:space="preserve">to be Delivered no later than one (1) month prior to the Delivery Date for the Contract Deliverable or by the following date:       </w:t>
            </w:r>
          </w:p>
          <w:p w14:paraId="68CDE5DB" w14:textId="77777777" w:rsidR="005769F9" w:rsidRDefault="00000000">
            <w:pPr>
              <w:ind w:left="0"/>
            </w:pPr>
            <w:r>
              <w:t xml:space="preserve"> </w:t>
            </w:r>
          </w:p>
        </w:tc>
      </w:tr>
      <w:tr w:rsidR="005769F9" w14:paraId="18284602" w14:textId="77777777">
        <w:trPr>
          <w:trHeight w:val="2081"/>
        </w:trPr>
        <w:tc>
          <w:tcPr>
            <w:tcW w:w="10279" w:type="dxa"/>
            <w:tcBorders>
              <w:top w:val="single" w:sz="4" w:space="0" w:color="000000"/>
              <w:left w:val="single" w:sz="4" w:space="0" w:color="000000"/>
              <w:bottom w:val="single" w:sz="4" w:space="0" w:color="000000"/>
              <w:right w:val="single" w:sz="4" w:space="0" w:color="000000"/>
            </w:tcBorders>
          </w:tcPr>
          <w:p w14:paraId="6E4CA77C" w14:textId="77777777" w:rsidR="005769F9" w:rsidRDefault="00000000">
            <w:pPr>
              <w:ind w:left="0"/>
            </w:pPr>
            <w:r>
              <w:t xml:space="preserve"> </w:t>
            </w:r>
          </w:p>
          <w:p w14:paraId="0DC22B7F" w14:textId="77777777" w:rsidR="005769F9" w:rsidRDefault="00000000">
            <w:pPr>
              <w:ind w:left="0"/>
            </w:pPr>
            <w:r>
              <w:t xml:space="preserve">Condition 25 – Timber and Wood-Derived Products: </w:t>
            </w:r>
          </w:p>
          <w:p w14:paraId="6D0B6CE4" w14:textId="77777777" w:rsidR="005769F9" w:rsidRDefault="00000000">
            <w:pPr>
              <w:ind w:left="0"/>
            </w:pPr>
            <w:r>
              <w:t xml:space="preserve"> </w:t>
            </w:r>
            <w:r>
              <w:tab/>
              <w:t xml:space="preserve"> </w:t>
            </w:r>
            <w:r>
              <w:tab/>
            </w:r>
            <w:r>
              <w:rPr>
                <w:b w:val="0"/>
              </w:rPr>
              <w:t xml:space="preserve"> </w:t>
            </w:r>
          </w:p>
          <w:p w14:paraId="6A5D6B26" w14:textId="77777777" w:rsidR="005769F9" w:rsidRDefault="00000000" w:rsidP="005561A9">
            <w:pPr>
              <w:ind w:left="0" w:right="60"/>
            </w:pPr>
            <w:r>
              <w:rPr>
                <w:b w:val="0"/>
              </w:rPr>
              <w:t xml:space="preserve">A completed Schedule 7 (Timber and Wood-Derived Products Supplied under the Contract: Data </w:t>
            </w:r>
          </w:p>
          <w:p w14:paraId="1CE4889E" w14:textId="77777777" w:rsidR="005769F9" w:rsidRDefault="00000000" w:rsidP="005561A9">
            <w:pPr>
              <w:spacing w:line="241" w:lineRule="auto"/>
              <w:ind w:left="0"/>
            </w:pPr>
            <w:r>
              <w:rPr>
                <w:b w:val="0"/>
              </w:rPr>
              <w:t xml:space="preserve">Requirements) is to be provided by e-mail with attachments in Adobe PDF or MS WORD format to the Authority’s Representative (Commercial) </w:t>
            </w:r>
          </w:p>
          <w:p w14:paraId="0659D9E3" w14:textId="77777777" w:rsidR="005769F9" w:rsidRDefault="00000000">
            <w:pPr>
              <w:ind w:left="720"/>
            </w:pPr>
            <w:r>
              <w:rPr>
                <w:b w:val="0"/>
              </w:rPr>
              <w:t xml:space="preserve"> </w:t>
            </w:r>
          </w:p>
          <w:p w14:paraId="40088DB1" w14:textId="29705B1A" w:rsidR="005769F9" w:rsidRDefault="00000000" w:rsidP="005561A9">
            <w:pPr>
              <w:ind w:left="0"/>
            </w:pPr>
            <w:r>
              <w:rPr>
                <w:b w:val="0"/>
              </w:rPr>
              <w:t>to be Delivered by the following date:</w:t>
            </w:r>
            <w:r w:rsidR="005561A9" w:rsidRPr="005561A9">
              <w:rPr>
                <w:bCs/>
                <w:i/>
                <w:iCs/>
              </w:rPr>
              <w:t xml:space="preserve"> TENDER RETURN</w:t>
            </w:r>
            <w:r>
              <w:rPr>
                <w:b w:val="0"/>
              </w:rPr>
              <w:t xml:space="preserve">       </w:t>
            </w:r>
          </w:p>
          <w:p w14:paraId="233089EE" w14:textId="77777777" w:rsidR="005769F9" w:rsidRDefault="00000000">
            <w:pPr>
              <w:ind w:left="0"/>
            </w:pPr>
            <w:r>
              <w:t xml:space="preserve"> </w:t>
            </w:r>
          </w:p>
        </w:tc>
      </w:tr>
    </w:tbl>
    <w:p w14:paraId="5C126655" w14:textId="77777777" w:rsidR="005769F9" w:rsidRDefault="005769F9">
      <w:pPr>
        <w:ind w:left="-720" w:right="4048"/>
      </w:pPr>
    </w:p>
    <w:tbl>
      <w:tblPr>
        <w:tblStyle w:val="TableGrid"/>
        <w:tblW w:w="10279" w:type="dxa"/>
        <w:tblInd w:w="5" w:type="dxa"/>
        <w:tblCellMar>
          <w:left w:w="108" w:type="dxa"/>
          <w:right w:w="115" w:type="dxa"/>
        </w:tblCellMar>
        <w:tblLook w:val="04A0" w:firstRow="1" w:lastRow="0" w:firstColumn="1" w:lastColumn="0" w:noHBand="0" w:noVBand="1"/>
      </w:tblPr>
      <w:tblGrid>
        <w:gridCol w:w="10279"/>
      </w:tblGrid>
      <w:tr w:rsidR="005769F9" w14:paraId="668DFC60" w14:textId="77777777">
        <w:trPr>
          <w:trHeight w:val="2770"/>
        </w:trPr>
        <w:tc>
          <w:tcPr>
            <w:tcW w:w="10279" w:type="dxa"/>
            <w:tcBorders>
              <w:top w:val="single" w:sz="4" w:space="0" w:color="000000"/>
              <w:left w:val="single" w:sz="4" w:space="0" w:color="000000"/>
              <w:bottom w:val="single" w:sz="4" w:space="0" w:color="000000"/>
              <w:right w:val="single" w:sz="4" w:space="0" w:color="000000"/>
            </w:tcBorders>
          </w:tcPr>
          <w:p w14:paraId="48ECC024" w14:textId="77777777" w:rsidR="005769F9" w:rsidRDefault="00000000">
            <w:pPr>
              <w:ind w:left="0"/>
            </w:pPr>
            <w:r>
              <w:t xml:space="preserve"> </w:t>
            </w:r>
          </w:p>
          <w:p w14:paraId="3D94092F" w14:textId="77777777" w:rsidR="005769F9" w:rsidRDefault="00000000">
            <w:pPr>
              <w:ind w:left="0"/>
            </w:pPr>
            <w:r>
              <w:t xml:space="preserve">Condition 26 – Certificate of Conformity: </w:t>
            </w:r>
          </w:p>
          <w:p w14:paraId="73311D53" w14:textId="6B9BE6B0" w:rsidR="005769F9" w:rsidRDefault="00000000">
            <w:pPr>
              <w:ind w:left="0" w:right="3850"/>
            </w:pPr>
            <w:r>
              <w:t xml:space="preserve"> </w:t>
            </w:r>
          </w:p>
          <w:p w14:paraId="3E3EDD68" w14:textId="56EDD929" w:rsidR="005769F9" w:rsidRDefault="00000000" w:rsidP="005561A9">
            <w:pPr>
              <w:ind w:left="0"/>
            </w:pPr>
            <w:r>
              <w:rPr>
                <w:b w:val="0"/>
              </w:rPr>
              <w:t xml:space="preserve">Is a Certificate of Conformity required for this Contract?  </w:t>
            </w:r>
          </w:p>
          <w:p w14:paraId="0CC0BA1F" w14:textId="77777777" w:rsidR="005769F9" w:rsidRDefault="00000000">
            <w:pPr>
              <w:ind w:left="0"/>
            </w:pPr>
            <w:r>
              <w:rPr>
                <w:b w:val="0"/>
              </w:rPr>
              <w:t xml:space="preserve"> </w:t>
            </w:r>
          </w:p>
          <w:p w14:paraId="58B0FAD9" w14:textId="34964C9F" w:rsidR="005769F9" w:rsidRDefault="00000000">
            <w:pPr>
              <w:tabs>
                <w:tab w:val="center" w:pos="1809"/>
                <w:tab w:val="center" w:pos="3970"/>
              </w:tabs>
              <w:ind w:left="0"/>
            </w:pPr>
            <w:r>
              <w:rPr>
                <w:b w:val="0"/>
              </w:rPr>
              <w:t xml:space="preserve">Applicable to Line Items:   </w:t>
            </w:r>
            <w:r w:rsidR="00EB7133" w:rsidRPr="00EB7133">
              <w:rPr>
                <w:bCs/>
                <w:i/>
                <w:iCs/>
              </w:rPr>
              <w:t>as per Schedule of Requirements (Schedule 02)</w:t>
            </w:r>
            <w:r w:rsidR="00EB7133" w:rsidRPr="00EB7133">
              <w:rPr>
                <w:b w:val="0"/>
              </w:rPr>
              <w:t xml:space="preserve">    </w:t>
            </w:r>
            <w:r>
              <w:rPr>
                <w:b w:val="0"/>
              </w:rPr>
              <w:t xml:space="preserve">    </w:t>
            </w:r>
            <w:r>
              <w:rPr>
                <w:b w:val="0"/>
              </w:rPr>
              <w:tab/>
              <w:t xml:space="preserve"> </w:t>
            </w:r>
          </w:p>
          <w:p w14:paraId="18942A88" w14:textId="1DAC53E6" w:rsidR="005769F9" w:rsidRDefault="00000000">
            <w:pPr>
              <w:ind w:left="0" w:right="614"/>
            </w:pPr>
            <w:r>
              <w:rPr>
                <w:b w:val="0"/>
              </w:rPr>
              <w:t xml:space="preserve"> </w:t>
            </w:r>
          </w:p>
          <w:p w14:paraId="073052C4" w14:textId="2E4BC4C1" w:rsidR="005769F9" w:rsidRDefault="00000000" w:rsidP="005561A9">
            <w:pPr>
              <w:ind w:left="0" w:right="614"/>
            </w:pPr>
            <w:r>
              <w:rPr>
                <w:b w:val="0"/>
              </w:rPr>
              <w:t xml:space="preserve">If required, does the Contractor Deliverables require traceability throughout the supply chain?  </w:t>
            </w:r>
            <w:r w:rsidR="005561A9">
              <w:rPr>
                <w:b w:val="0"/>
              </w:rPr>
              <w:t>YES</w:t>
            </w:r>
            <w:r>
              <w:rPr>
                <w:b w:val="0"/>
              </w:rPr>
              <w:t xml:space="preserve">       </w:t>
            </w:r>
          </w:p>
          <w:p w14:paraId="63E3D4E2" w14:textId="2F1AF65A" w:rsidR="005769F9" w:rsidRDefault="00000000" w:rsidP="005561A9">
            <w:pPr>
              <w:ind w:left="0"/>
            </w:pPr>
            <w:r>
              <w:rPr>
                <w:b w:val="0"/>
              </w:rPr>
              <w:t xml:space="preserve"> </w:t>
            </w:r>
          </w:p>
          <w:p w14:paraId="3CE042DD" w14:textId="48EC8CB4" w:rsidR="005769F9" w:rsidRDefault="00000000" w:rsidP="005561A9">
            <w:pPr>
              <w:ind w:left="0"/>
            </w:pPr>
            <w:r>
              <w:rPr>
                <w:b w:val="0"/>
              </w:rPr>
              <w:t xml:space="preserve">Applicable to Line Items:       </w:t>
            </w:r>
          </w:p>
          <w:p w14:paraId="0271E5EA" w14:textId="77777777" w:rsidR="005769F9" w:rsidRDefault="00000000">
            <w:pPr>
              <w:ind w:left="0"/>
            </w:pPr>
            <w:r>
              <w:t xml:space="preserve"> </w:t>
            </w:r>
          </w:p>
        </w:tc>
      </w:tr>
      <w:tr w:rsidR="005769F9" w14:paraId="58E56DD9" w14:textId="77777777" w:rsidTr="005561A9">
        <w:trPr>
          <w:trHeight w:val="2492"/>
        </w:trPr>
        <w:tc>
          <w:tcPr>
            <w:tcW w:w="10279" w:type="dxa"/>
            <w:tcBorders>
              <w:top w:val="single" w:sz="4" w:space="0" w:color="000000"/>
              <w:left w:val="single" w:sz="4" w:space="0" w:color="000000"/>
              <w:bottom w:val="single" w:sz="4" w:space="0" w:color="000000"/>
              <w:right w:val="single" w:sz="4" w:space="0" w:color="000000"/>
            </w:tcBorders>
          </w:tcPr>
          <w:p w14:paraId="7017DBD2" w14:textId="77777777" w:rsidR="005769F9" w:rsidRDefault="00000000">
            <w:pPr>
              <w:ind w:left="0"/>
            </w:pPr>
            <w:r>
              <w:lastRenderedPageBreak/>
              <w:t xml:space="preserve"> </w:t>
            </w:r>
          </w:p>
          <w:p w14:paraId="5E58FC2D" w14:textId="77777777" w:rsidR="005769F9" w:rsidRDefault="00000000">
            <w:pPr>
              <w:ind w:left="0"/>
            </w:pPr>
            <w:r>
              <w:t>Condition 28.b – Delivery by the Contractor:</w:t>
            </w:r>
            <w:r>
              <w:rPr>
                <w:b w:val="0"/>
              </w:rPr>
              <w:t xml:space="preserve"> </w:t>
            </w:r>
          </w:p>
          <w:p w14:paraId="16CF31FA" w14:textId="77777777" w:rsidR="005769F9" w:rsidRDefault="00000000">
            <w:pPr>
              <w:ind w:left="0"/>
            </w:pPr>
            <w:r>
              <w:t xml:space="preserve"> </w:t>
            </w:r>
          </w:p>
          <w:p w14:paraId="55C08C01" w14:textId="77777777" w:rsidR="005561A9" w:rsidRPr="005561A9" w:rsidRDefault="00000000" w:rsidP="005561A9">
            <w:pPr>
              <w:ind w:left="0"/>
              <w:rPr>
                <w:b w:val="0"/>
              </w:rPr>
            </w:pPr>
            <w:r>
              <w:rPr>
                <w:b w:val="0"/>
              </w:rPr>
              <w:t xml:space="preserve">The following Line Items are to be Delivered by the Contractor: </w:t>
            </w:r>
            <w:r w:rsidR="005561A9" w:rsidRPr="005561A9">
              <w:rPr>
                <w:i/>
                <w:iCs/>
              </w:rPr>
              <w:t>Applicable to Schedule 2 - Schedule of Requirements - All line Items. </w:t>
            </w:r>
          </w:p>
          <w:p w14:paraId="25BCFF51" w14:textId="56C7DCE0" w:rsidR="005769F9" w:rsidRDefault="005769F9">
            <w:pPr>
              <w:ind w:left="708"/>
            </w:pPr>
          </w:p>
          <w:p w14:paraId="6BD3CC3A" w14:textId="4139D5FC" w:rsidR="005769F9" w:rsidRDefault="00000000" w:rsidP="005561A9">
            <w:pPr>
              <w:ind w:left="0"/>
            </w:pPr>
            <w:r>
              <w:rPr>
                <w:b w:val="0"/>
              </w:rPr>
              <w:t>Special Delivery Instructions:</w:t>
            </w:r>
            <w:r w:rsidR="005561A9" w:rsidRPr="005561A9">
              <w:rPr>
                <w:i/>
                <w:iCs/>
              </w:rPr>
              <w:t xml:space="preserve"> Not Applicable</w:t>
            </w:r>
            <w:r w:rsidR="005561A9" w:rsidRPr="005561A9">
              <w:t> </w:t>
            </w:r>
            <w:r>
              <w:rPr>
                <w:b w:val="0"/>
              </w:rPr>
              <w:t xml:space="preserve"> </w:t>
            </w:r>
          </w:p>
          <w:p w14:paraId="374EAD81" w14:textId="77777777" w:rsidR="005769F9" w:rsidRDefault="00000000">
            <w:pPr>
              <w:ind w:left="708"/>
            </w:pPr>
            <w:r>
              <w:rPr>
                <w:b w:val="0"/>
              </w:rPr>
              <w:t xml:space="preserve"> </w:t>
            </w:r>
          </w:p>
          <w:p w14:paraId="6BA981E2" w14:textId="3DC16DC8" w:rsidR="005769F9" w:rsidRDefault="00000000" w:rsidP="005561A9">
            <w:pPr>
              <w:ind w:left="0"/>
            </w:pPr>
            <w:r>
              <w:rPr>
                <w:b w:val="0"/>
              </w:rPr>
              <w:t xml:space="preserve">Each consignment is to be accompanied by a DEFFORM 129J. </w:t>
            </w:r>
          </w:p>
          <w:p w14:paraId="60E8AA98" w14:textId="77777777" w:rsidR="005769F9" w:rsidRDefault="00000000">
            <w:pPr>
              <w:ind w:left="0"/>
            </w:pPr>
            <w:r>
              <w:rPr>
                <w:rFonts w:ascii="Times New Roman" w:eastAsia="Times New Roman" w:hAnsi="Times New Roman" w:cs="Times New Roman"/>
              </w:rPr>
              <w:t xml:space="preserve"> </w:t>
            </w:r>
          </w:p>
        </w:tc>
      </w:tr>
      <w:tr w:rsidR="005769F9" w14:paraId="252E2819" w14:textId="77777777" w:rsidTr="005561A9">
        <w:trPr>
          <w:trHeight w:val="3250"/>
        </w:trPr>
        <w:tc>
          <w:tcPr>
            <w:tcW w:w="10279" w:type="dxa"/>
            <w:tcBorders>
              <w:top w:val="single" w:sz="4" w:space="0" w:color="000000"/>
              <w:left w:val="single" w:sz="4" w:space="0" w:color="000000"/>
              <w:bottom w:val="single" w:sz="4" w:space="0" w:color="000000"/>
              <w:right w:val="single" w:sz="4" w:space="0" w:color="000000"/>
            </w:tcBorders>
          </w:tcPr>
          <w:p w14:paraId="74B3F57F" w14:textId="77777777" w:rsidR="005769F9" w:rsidRDefault="00000000">
            <w:pPr>
              <w:ind w:left="0"/>
            </w:pPr>
            <w:r>
              <w:t xml:space="preserve"> </w:t>
            </w:r>
          </w:p>
          <w:p w14:paraId="36DDF6E8" w14:textId="77777777" w:rsidR="005769F9" w:rsidRDefault="00000000">
            <w:pPr>
              <w:ind w:left="0"/>
            </w:pPr>
            <w:r>
              <w:t>Condition 28.c - Collection by the Authority:</w:t>
            </w:r>
            <w:r>
              <w:rPr>
                <w:b w:val="0"/>
                <w:i/>
              </w:rPr>
              <w:t xml:space="preserve"> </w:t>
            </w:r>
          </w:p>
          <w:p w14:paraId="7C56002A" w14:textId="77777777" w:rsidR="005769F9" w:rsidRDefault="00000000">
            <w:pPr>
              <w:ind w:left="0"/>
            </w:pPr>
            <w:r>
              <w:rPr>
                <w:b w:val="0"/>
                <w:i/>
              </w:rPr>
              <w:t xml:space="preserve"> </w:t>
            </w:r>
          </w:p>
          <w:p w14:paraId="0A513BF4" w14:textId="3CC51F3A" w:rsidR="005769F9" w:rsidRDefault="00000000" w:rsidP="005561A9">
            <w:pPr>
              <w:ind w:left="0"/>
            </w:pPr>
            <w:r>
              <w:rPr>
                <w:b w:val="0"/>
              </w:rPr>
              <w:t>The following Line Items are to be Collected by the Authority:</w:t>
            </w:r>
            <w:r w:rsidRPr="005561A9">
              <w:rPr>
                <w:bCs/>
                <w:i/>
                <w:iCs/>
              </w:rPr>
              <w:t xml:space="preserve"> </w:t>
            </w:r>
            <w:r w:rsidR="005561A9" w:rsidRPr="005561A9">
              <w:rPr>
                <w:bCs/>
                <w:i/>
                <w:iCs/>
              </w:rPr>
              <w:t>N/A</w:t>
            </w:r>
          </w:p>
          <w:p w14:paraId="6975BA4F" w14:textId="77777777" w:rsidR="005769F9" w:rsidRDefault="00000000">
            <w:pPr>
              <w:ind w:left="708"/>
            </w:pPr>
            <w:r>
              <w:rPr>
                <w:b w:val="0"/>
              </w:rPr>
              <w:t xml:space="preserve"> </w:t>
            </w:r>
          </w:p>
          <w:p w14:paraId="1FC13EA7" w14:textId="793E3A72" w:rsidR="005769F9" w:rsidRDefault="00000000" w:rsidP="005561A9">
            <w:pPr>
              <w:ind w:left="0"/>
            </w:pPr>
            <w:r>
              <w:rPr>
                <w:b w:val="0"/>
              </w:rPr>
              <w:t xml:space="preserve">Special Delivery Instructions: </w:t>
            </w:r>
            <w:r w:rsidR="005561A9" w:rsidRPr="005561A9">
              <w:rPr>
                <w:bCs/>
                <w:i/>
                <w:iCs/>
              </w:rPr>
              <w:t>N/A</w:t>
            </w:r>
          </w:p>
          <w:p w14:paraId="538D5F9D" w14:textId="77777777" w:rsidR="005769F9" w:rsidRDefault="00000000">
            <w:pPr>
              <w:ind w:left="708"/>
            </w:pPr>
            <w:r>
              <w:rPr>
                <w:b w:val="0"/>
              </w:rPr>
              <w:t xml:space="preserve"> </w:t>
            </w:r>
            <w:r>
              <w:rPr>
                <w:b w:val="0"/>
              </w:rPr>
              <w:tab/>
              <w:t xml:space="preserve"> </w:t>
            </w:r>
          </w:p>
          <w:p w14:paraId="6D9C8CAF" w14:textId="77777777" w:rsidR="005561A9" w:rsidRDefault="00000000" w:rsidP="005561A9">
            <w:pPr>
              <w:ind w:left="0"/>
              <w:rPr>
                <w:b w:val="0"/>
              </w:rPr>
            </w:pPr>
            <w:r>
              <w:rPr>
                <w:b w:val="0"/>
              </w:rPr>
              <w:t xml:space="preserve">Each consignment is to be accompanied by a DEFFORM 129J. </w:t>
            </w:r>
          </w:p>
          <w:p w14:paraId="391986E7" w14:textId="77777777" w:rsidR="005561A9" w:rsidRDefault="005561A9" w:rsidP="005561A9">
            <w:pPr>
              <w:ind w:left="0"/>
            </w:pPr>
          </w:p>
          <w:p w14:paraId="594CECEF" w14:textId="63552F08" w:rsidR="005769F9" w:rsidRDefault="00000000" w:rsidP="005561A9">
            <w:pPr>
              <w:ind w:left="0"/>
              <w:rPr>
                <w:b w:val="0"/>
              </w:rPr>
            </w:pPr>
            <w:r>
              <w:rPr>
                <w:b w:val="0"/>
              </w:rPr>
              <w:t xml:space="preserve">Consignor details (in accordance with Condition 28.c.(4)): </w:t>
            </w:r>
            <w:r w:rsidR="005561A9" w:rsidRPr="005561A9">
              <w:rPr>
                <w:bCs/>
                <w:i/>
                <w:iCs/>
              </w:rPr>
              <w:t>N/A</w:t>
            </w:r>
          </w:p>
          <w:p w14:paraId="2F54E647" w14:textId="77777777" w:rsidR="005561A9" w:rsidRDefault="005561A9" w:rsidP="005561A9">
            <w:pPr>
              <w:ind w:left="0"/>
            </w:pPr>
          </w:p>
          <w:p w14:paraId="1A89AE8A" w14:textId="55FA3D6A" w:rsidR="005769F9" w:rsidRDefault="00000000" w:rsidP="005561A9">
            <w:pPr>
              <w:ind w:left="0"/>
            </w:pPr>
            <w:r>
              <w:rPr>
                <w:b w:val="0"/>
              </w:rPr>
              <w:t xml:space="preserve">Consignee details (in accordance with Condition 22): </w:t>
            </w:r>
            <w:r w:rsidR="005561A9" w:rsidRPr="005561A9">
              <w:rPr>
                <w:bCs/>
                <w:i/>
                <w:iCs/>
              </w:rPr>
              <w:t>N/A</w:t>
            </w:r>
          </w:p>
          <w:p w14:paraId="1C48854A" w14:textId="77777777" w:rsidR="005769F9" w:rsidRDefault="00000000">
            <w:pPr>
              <w:ind w:left="0"/>
            </w:pPr>
            <w:r>
              <w:t xml:space="preserve"> </w:t>
            </w:r>
          </w:p>
        </w:tc>
      </w:tr>
      <w:tr w:rsidR="005769F9" w14:paraId="0E748CF3" w14:textId="77777777" w:rsidTr="005561A9">
        <w:trPr>
          <w:trHeight w:val="1412"/>
        </w:trPr>
        <w:tc>
          <w:tcPr>
            <w:tcW w:w="10279" w:type="dxa"/>
            <w:tcBorders>
              <w:top w:val="single" w:sz="4" w:space="0" w:color="000000"/>
              <w:left w:val="single" w:sz="4" w:space="0" w:color="000000"/>
              <w:bottom w:val="single" w:sz="4" w:space="0" w:color="000000"/>
              <w:right w:val="single" w:sz="4" w:space="0" w:color="000000"/>
            </w:tcBorders>
          </w:tcPr>
          <w:p w14:paraId="76C5141B" w14:textId="77777777" w:rsidR="005769F9" w:rsidRDefault="00000000">
            <w:pPr>
              <w:ind w:left="0"/>
            </w:pPr>
            <w:r>
              <w:t xml:space="preserve"> </w:t>
            </w:r>
          </w:p>
          <w:p w14:paraId="01A14586" w14:textId="77777777" w:rsidR="005769F9" w:rsidRDefault="00000000">
            <w:pPr>
              <w:ind w:left="0"/>
            </w:pPr>
            <w:r>
              <w:t xml:space="preserve">Condition 30 – Rejection: </w:t>
            </w:r>
          </w:p>
          <w:p w14:paraId="22F4E6F2" w14:textId="77777777" w:rsidR="005769F9" w:rsidRDefault="00000000">
            <w:pPr>
              <w:ind w:left="0"/>
            </w:pPr>
            <w:r>
              <w:rPr>
                <w:b w:val="0"/>
              </w:rPr>
              <w:t xml:space="preserve"> </w:t>
            </w:r>
          </w:p>
          <w:p w14:paraId="1BD9BCAB" w14:textId="211E739F" w:rsidR="005769F9" w:rsidRDefault="00000000" w:rsidP="005561A9">
            <w:pPr>
              <w:spacing w:line="241" w:lineRule="auto"/>
              <w:ind w:left="0"/>
            </w:pPr>
            <w:r>
              <w:rPr>
                <w:b w:val="0"/>
              </w:rPr>
              <w:t xml:space="preserve">The default time limit for rejection of the Contractor Deliverables is </w:t>
            </w:r>
            <w:r w:rsidRPr="005561A9">
              <w:rPr>
                <w:bCs/>
              </w:rPr>
              <w:t>thirty (30) days</w:t>
            </w:r>
            <w:r>
              <w:rPr>
                <w:b w:val="0"/>
              </w:rPr>
              <w:t xml:space="preserve"> unless otherwise specified here: </w:t>
            </w:r>
          </w:p>
          <w:p w14:paraId="096BFA78" w14:textId="77777777" w:rsidR="005769F9" w:rsidRDefault="00000000">
            <w:pPr>
              <w:ind w:left="708"/>
            </w:pPr>
            <w:r>
              <w:t xml:space="preserve"> </w:t>
            </w:r>
          </w:p>
        </w:tc>
      </w:tr>
      <w:tr w:rsidR="005769F9" w14:paraId="2A3B5861" w14:textId="77777777" w:rsidTr="005561A9">
        <w:trPr>
          <w:trHeight w:val="1973"/>
        </w:trPr>
        <w:tc>
          <w:tcPr>
            <w:tcW w:w="10279" w:type="dxa"/>
            <w:tcBorders>
              <w:top w:val="single" w:sz="4" w:space="0" w:color="000000"/>
              <w:left w:val="single" w:sz="4" w:space="0" w:color="000000"/>
              <w:bottom w:val="single" w:sz="4" w:space="0" w:color="000000"/>
              <w:right w:val="single" w:sz="4" w:space="0" w:color="000000"/>
            </w:tcBorders>
          </w:tcPr>
          <w:p w14:paraId="284FFCB7" w14:textId="77777777" w:rsidR="005769F9" w:rsidRDefault="00000000">
            <w:pPr>
              <w:ind w:left="0"/>
            </w:pPr>
            <w:r>
              <w:t xml:space="preserve"> </w:t>
            </w:r>
          </w:p>
          <w:p w14:paraId="1F9EBDAE" w14:textId="77777777" w:rsidR="005769F9" w:rsidRDefault="00000000">
            <w:pPr>
              <w:ind w:left="0"/>
            </w:pPr>
            <w:r>
              <w:t xml:space="preserve">Condition 32 – Self-to-Self Delivery: </w:t>
            </w:r>
          </w:p>
          <w:p w14:paraId="27DF7918" w14:textId="16B335F7" w:rsidR="005769F9" w:rsidRDefault="00000000">
            <w:pPr>
              <w:ind w:left="0" w:right="5880"/>
            </w:pPr>
            <w:r>
              <w:t xml:space="preserve"> </w:t>
            </w:r>
          </w:p>
          <w:p w14:paraId="43354461" w14:textId="0A31487A" w:rsidR="005769F9" w:rsidRPr="00F60B60" w:rsidRDefault="00000000" w:rsidP="005561A9">
            <w:pPr>
              <w:rPr>
                <w:highlight w:val="yellow"/>
              </w:rPr>
            </w:pPr>
            <w:r>
              <w:rPr>
                <w:b w:val="0"/>
              </w:rPr>
              <w:t xml:space="preserve">Self-to-Self Delivery required? </w:t>
            </w:r>
            <w:r w:rsidR="00E64E66" w:rsidRPr="00F60B60">
              <w:rPr>
                <w:b w:val="0"/>
                <w:highlight w:val="yellow"/>
              </w:rPr>
              <w:t xml:space="preserve">YES </w:t>
            </w:r>
          </w:p>
          <w:p w14:paraId="6D8D1756" w14:textId="77777777" w:rsidR="005769F9" w:rsidRPr="00F60B60" w:rsidRDefault="00000000">
            <w:pPr>
              <w:ind w:left="708"/>
              <w:rPr>
                <w:highlight w:val="yellow"/>
              </w:rPr>
            </w:pPr>
            <w:r w:rsidRPr="00F60B60">
              <w:rPr>
                <w:b w:val="0"/>
                <w:highlight w:val="yellow"/>
              </w:rPr>
              <w:t xml:space="preserve"> </w:t>
            </w:r>
          </w:p>
          <w:p w14:paraId="2BF7DEB8" w14:textId="1891B040" w:rsidR="005769F9" w:rsidRDefault="00E64E66" w:rsidP="005561A9">
            <w:pPr>
              <w:rPr>
                <w:b w:val="0"/>
              </w:rPr>
            </w:pPr>
            <w:r w:rsidRPr="00F60B60">
              <w:rPr>
                <w:highlight w:val="yellow"/>
              </w:rPr>
              <w:t>Phoenix House, Slade Green Rd, Erith DA8 2HY</w:t>
            </w:r>
            <w:r w:rsidRPr="00F60B60">
              <w:rPr>
                <w:b w:val="0"/>
                <w:highlight w:val="yellow"/>
              </w:rPr>
              <w:t>:</w:t>
            </w:r>
            <w:r>
              <w:rPr>
                <w:b w:val="0"/>
              </w:rPr>
              <w:t xml:space="preserve"> </w:t>
            </w:r>
          </w:p>
          <w:p w14:paraId="7A264BEA" w14:textId="63B9B7DB" w:rsidR="00E64E66" w:rsidRDefault="00E64E66" w:rsidP="005561A9"/>
        </w:tc>
      </w:tr>
      <w:tr w:rsidR="005769F9" w14:paraId="22E37B5B"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41BA4B31" w14:textId="77777777" w:rsidR="005769F9" w:rsidRDefault="00000000">
            <w:pPr>
              <w:ind w:left="0"/>
            </w:pPr>
            <w:r>
              <w:t xml:space="preserve">Pricing and Payment </w:t>
            </w:r>
          </w:p>
        </w:tc>
      </w:tr>
      <w:tr w:rsidR="005769F9" w14:paraId="6DA83005"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0C0022C3" w14:textId="77777777" w:rsidR="005769F9" w:rsidRDefault="00000000">
            <w:pPr>
              <w:ind w:left="0"/>
            </w:pPr>
            <w:r>
              <w:t xml:space="preserve"> </w:t>
            </w:r>
          </w:p>
          <w:p w14:paraId="7C423800" w14:textId="77777777" w:rsidR="005769F9" w:rsidRDefault="00000000">
            <w:pPr>
              <w:ind w:left="0"/>
            </w:pPr>
            <w:r>
              <w:t xml:space="preserve">Condition 35 – Contract Price: </w:t>
            </w:r>
          </w:p>
          <w:p w14:paraId="10C3E965" w14:textId="77777777" w:rsidR="005561A9" w:rsidRDefault="005561A9">
            <w:pPr>
              <w:ind w:left="0"/>
            </w:pPr>
          </w:p>
          <w:p w14:paraId="703B8661" w14:textId="31E21E37" w:rsidR="005561A9" w:rsidRPr="005561A9" w:rsidRDefault="005561A9" w:rsidP="005561A9">
            <w:pPr>
              <w:ind w:left="0"/>
              <w:rPr>
                <w:bCs/>
                <w:i/>
                <w:iCs/>
              </w:rPr>
            </w:pPr>
            <w:r w:rsidRPr="005561A9">
              <w:rPr>
                <w:bCs/>
                <w:i/>
                <w:iCs/>
              </w:rPr>
              <w:t>All Schedule 2-line items shall be FIRM Price and stated in British Pounds (Sterling) and exclude VAT for the duration of the contract. </w:t>
            </w:r>
          </w:p>
          <w:p w14:paraId="6D68EF10" w14:textId="0B217F80" w:rsidR="005769F9" w:rsidRDefault="005769F9" w:rsidP="005561A9">
            <w:pPr>
              <w:ind w:left="0"/>
            </w:pPr>
          </w:p>
        </w:tc>
      </w:tr>
    </w:tbl>
    <w:p w14:paraId="68472FB8" w14:textId="77777777" w:rsidR="005769F9" w:rsidRDefault="00000000">
      <w:pPr>
        <w:ind w:left="0"/>
      </w:pPr>
      <w:r>
        <w:t xml:space="preserve"> </w:t>
      </w:r>
    </w:p>
    <w:tbl>
      <w:tblPr>
        <w:tblStyle w:val="TableGrid"/>
        <w:tblW w:w="10279" w:type="dxa"/>
        <w:tblInd w:w="5" w:type="dxa"/>
        <w:tblCellMar>
          <w:left w:w="108" w:type="dxa"/>
          <w:right w:w="115" w:type="dxa"/>
        </w:tblCellMar>
        <w:tblLook w:val="04A0" w:firstRow="1" w:lastRow="0" w:firstColumn="1" w:lastColumn="0" w:noHBand="0" w:noVBand="1"/>
      </w:tblPr>
      <w:tblGrid>
        <w:gridCol w:w="10279"/>
      </w:tblGrid>
      <w:tr w:rsidR="005769F9" w14:paraId="77D12A1B" w14:textId="77777777" w:rsidTr="005561A9">
        <w:trPr>
          <w:trHeight w:val="261"/>
        </w:trPr>
        <w:tc>
          <w:tcPr>
            <w:tcW w:w="10279" w:type="dxa"/>
            <w:tcBorders>
              <w:top w:val="single" w:sz="4" w:space="0" w:color="000000"/>
              <w:left w:val="single" w:sz="4" w:space="0" w:color="000000"/>
              <w:bottom w:val="single" w:sz="4" w:space="0" w:color="000000"/>
              <w:right w:val="single" w:sz="4" w:space="0" w:color="000000"/>
            </w:tcBorders>
          </w:tcPr>
          <w:p w14:paraId="2F64E16B" w14:textId="4C288290" w:rsidR="005769F9" w:rsidRDefault="00000000">
            <w:pPr>
              <w:ind w:left="0"/>
              <w:rPr>
                <w:b w:val="0"/>
              </w:rPr>
            </w:pPr>
            <w:r>
              <w:t>Termination</w:t>
            </w:r>
            <w:r>
              <w:rPr>
                <w:b w:val="0"/>
              </w:rPr>
              <w:t xml:space="preserve"> </w:t>
            </w:r>
          </w:p>
          <w:p w14:paraId="0DFE8215" w14:textId="77AB11DE" w:rsidR="005561A9" w:rsidRDefault="005561A9">
            <w:pPr>
              <w:ind w:left="0"/>
            </w:pPr>
          </w:p>
        </w:tc>
      </w:tr>
      <w:tr w:rsidR="005769F9" w14:paraId="4FD24029"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2E493CC7" w14:textId="77777777" w:rsidR="005769F9" w:rsidRDefault="00000000">
            <w:pPr>
              <w:ind w:left="0"/>
            </w:pPr>
            <w:r>
              <w:t xml:space="preserve"> </w:t>
            </w:r>
          </w:p>
          <w:p w14:paraId="4AAD7895" w14:textId="77777777" w:rsidR="005769F9" w:rsidRDefault="00000000">
            <w:pPr>
              <w:ind w:left="0"/>
            </w:pPr>
            <w:r>
              <w:t>Condition 42 – Termination for Convenience</w:t>
            </w:r>
            <w:r>
              <w:rPr>
                <w:b w:val="0"/>
              </w:rPr>
              <w:t xml:space="preserve">: </w:t>
            </w:r>
          </w:p>
          <w:p w14:paraId="7BF7C13E" w14:textId="77777777" w:rsidR="005769F9" w:rsidRDefault="00000000">
            <w:pPr>
              <w:ind w:left="0"/>
            </w:pPr>
            <w:r>
              <w:rPr>
                <w:b w:val="0"/>
              </w:rPr>
              <w:t xml:space="preserve"> </w:t>
            </w:r>
          </w:p>
          <w:p w14:paraId="6ABD74E9" w14:textId="77777777" w:rsidR="005769F9" w:rsidRDefault="00000000" w:rsidP="005561A9">
            <w:pPr>
              <w:ind w:left="0"/>
            </w:pPr>
            <w:r>
              <w:rPr>
                <w:b w:val="0"/>
              </w:rPr>
              <w:t xml:space="preserve">The Notice period for terminating the Contract shall be </w:t>
            </w:r>
            <w:r w:rsidRPr="005561A9">
              <w:rPr>
                <w:bCs/>
                <w:i/>
                <w:iCs/>
              </w:rPr>
              <w:t>twenty (20) days</w:t>
            </w:r>
            <w:r>
              <w:rPr>
                <w:b w:val="0"/>
              </w:rPr>
              <w:t xml:space="preserve"> unless otherwise specified here: </w:t>
            </w:r>
          </w:p>
          <w:p w14:paraId="013B058F" w14:textId="77777777" w:rsidR="005769F9" w:rsidRDefault="00000000">
            <w:pPr>
              <w:ind w:left="708"/>
            </w:pPr>
            <w:r>
              <w:rPr>
                <w:b w:val="0"/>
              </w:rPr>
              <w:t xml:space="preserve"> </w:t>
            </w:r>
          </w:p>
          <w:p w14:paraId="4DF51FD0" w14:textId="48A10D90" w:rsidR="005769F9" w:rsidRDefault="005769F9">
            <w:pPr>
              <w:ind w:left="0"/>
            </w:pPr>
          </w:p>
        </w:tc>
      </w:tr>
    </w:tbl>
    <w:p w14:paraId="4FF43751" w14:textId="77777777" w:rsidR="005769F9" w:rsidRDefault="00000000">
      <w:pPr>
        <w:ind w:left="0"/>
      </w:pPr>
      <w:r>
        <w:lastRenderedPageBreak/>
        <w:t xml:space="preserve"> </w:t>
      </w:r>
    </w:p>
    <w:tbl>
      <w:tblPr>
        <w:tblStyle w:val="TableGrid"/>
        <w:tblW w:w="10279" w:type="dxa"/>
        <w:tblInd w:w="5" w:type="dxa"/>
        <w:tblCellMar>
          <w:top w:w="98" w:type="dxa"/>
          <w:left w:w="108" w:type="dxa"/>
          <w:right w:w="115" w:type="dxa"/>
        </w:tblCellMar>
        <w:tblLook w:val="04A0" w:firstRow="1" w:lastRow="0" w:firstColumn="1" w:lastColumn="0" w:noHBand="0" w:noVBand="1"/>
      </w:tblPr>
      <w:tblGrid>
        <w:gridCol w:w="10279"/>
      </w:tblGrid>
      <w:tr w:rsidR="005769F9" w14:paraId="43F3A74F"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66FAF0C5" w14:textId="77777777" w:rsidR="005769F9" w:rsidRDefault="00000000">
            <w:pPr>
              <w:ind w:left="0"/>
            </w:pPr>
            <w:r>
              <w:t xml:space="preserve">Other Addresses and Other Information </w:t>
            </w:r>
            <w:r>
              <w:rPr>
                <w:b w:val="0"/>
                <w:i/>
              </w:rPr>
              <w:t>(forms and publications addresses and official use information)</w:t>
            </w:r>
            <w:r>
              <w:t xml:space="preserve"> </w:t>
            </w:r>
          </w:p>
        </w:tc>
      </w:tr>
      <w:tr w:rsidR="005769F9" w14:paraId="7145E0A6"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75665132" w14:textId="7AF80948" w:rsidR="005769F9" w:rsidRDefault="00000000" w:rsidP="005561A9">
            <w:pPr>
              <w:ind w:left="0"/>
            </w:pPr>
            <w:r>
              <w:rPr>
                <w:b w:val="0"/>
              </w:rPr>
              <w:t>See Annex A to Schedule 3</w:t>
            </w:r>
            <w:r w:rsidR="00C1662E">
              <w:rPr>
                <w:b w:val="0"/>
              </w:rPr>
              <w:t>A</w:t>
            </w:r>
            <w:r>
              <w:rPr>
                <w:b w:val="0"/>
              </w:rPr>
              <w:t xml:space="preserve"> (DEFFORM 111) </w:t>
            </w:r>
          </w:p>
        </w:tc>
      </w:tr>
    </w:tbl>
    <w:p w14:paraId="20C83951" w14:textId="77777777" w:rsidR="005769F9" w:rsidRDefault="00000000">
      <w:pPr>
        <w:spacing w:after="218"/>
        <w:ind w:left="0"/>
      </w:pPr>
      <w:r>
        <w:t xml:space="preserve"> </w:t>
      </w:r>
    </w:p>
    <w:p w14:paraId="3C4B9964" w14:textId="77777777" w:rsidR="005769F9" w:rsidRDefault="00000000">
      <w:pPr>
        <w:ind w:left="0"/>
        <w:jc w:val="both"/>
      </w:pPr>
      <w:r>
        <w:t xml:space="preserve"> </w:t>
      </w:r>
      <w:r>
        <w:tab/>
        <w:t xml:space="preserve"> </w:t>
      </w:r>
    </w:p>
    <w:sectPr w:rsidR="005769F9" w:rsidSect="005561A9">
      <w:headerReference w:type="even" r:id="rId8"/>
      <w:headerReference w:type="default" r:id="rId9"/>
      <w:footerReference w:type="even" r:id="rId10"/>
      <w:headerReference w:type="first" r:id="rId11"/>
      <w:footerReference w:type="first" r:id="rId12"/>
      <w:pgSz w:w="11906" w:h="16841"/>
      <w:pgMar w:top="697" w:right="282" w:bottom="10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32E2" w14:textId="77777777" w:rsidR="003C6E47" w:rsidRDefault="003C6E47" w:rsidP="00B5627B">
      <w:pPr>
        <w:spacing w:line="240" w:lineRule="auto"/>
      </w:pPr>
      <w:r>
        <w:separator/>
      </w:r>
    </w:p>
  </w:endnote>
  <w:endnote w:type="continuationSeparator" w:id="0">
    <w:p w14:paraId="6B1A34E7" w14:textId="77777777" w:rsidR="003C6E47" w:rsidRDefault="003C6E47" w:rsidP="00B56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0C3F" w14:textId="7A2B41A3" w:rsidR="00B5627B" w:rsidRDefault="00B5627B">
    <w:pPr>
      <w:pStyle w:val="Footer"/>
    </w:pPr>
    <w:r>
      <w:rPr>
        <w:noProof/>
      </w:rPr>
      <mc:AlternateContent>
        <mc:Choice Requires="wps">
          <w:drawing>
            <wp:anchor distT="0" distB="0" distL="0" distR="0" simplePos="0" relativeHeight="251662336" behindDoc="0" locked="0" layoutInCell="1" allowOverlap="1" wp14:anchorId="68820459" wp14:editId="754E8D9B">
              <wp:simplePos x="635" y="635"/>
              <wp:positionH relativeFrom="page">
                <wp:align>center</wp:align>
              </wp:positionH>
              <wp:positionV relativeFrom="page">
                <wp:align>bottom</wp:align>
              </wp:positionV>
              <wp:extent cx="443865" cy="443865"/>
              <wp:effectExtent l="0" t="0" r="1905" b="0"/>
              <wp:wrapNone/>
              <wp:docPr id="1984903699"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37B0C" w14:textId="3D445892" w:rsidR="00B5627B" w:rsidRPr="00B5627B" w:rsidRDefault="00B5627B" w:rsidP="00B5627B">
                          <w:pPr>
                            <w:rPr>
                              <w:noProof/>
                              <w:sz w:val="22"/>
                            </w:rPr>
                          </w:pPr>
                          <w:r w:rsidRPr="00B5627B">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820459" id="_x0000_t202" coordsize="21600,21600" o:spt="202" path="m,l,21600r21600,l21600,xe">
              <v:stroke joinstyle="miter"/>
              <v:path gradientshapeok="t" o:connecttype="rect"/>
            </v:shapetype>
            <v:shape id="Text Box 5" o:spid="_x0000_s1027"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4737B0C" w14:textId="3D445892" w:rsidR="00B5627B" w:rsidRPr="00B5627B" w:rsidRDefault="00B5627B" w:rsidP="00B5627B">
                    <w:pPr>
                      <w:rPr>
                        <w:noProof/>
                        <w:sz w:val="22"/>
                      </w:rPr>
                    </w:pPr>
                    <w:r w:rsidRPr="00B5627B">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EA64" w14:textId="4A9FF42A" w:rsidR="00B5627B" w:rsidRDefault="00B5627B">
    <w:pPr>
      <w:pStyle w:val="Footer"/>
    </w:pPr>
    <w:r>
      <w:rPr>
        <w:noProof/>
      </w:rPr>
      <mc:AlternateContent>
        <mc:Choice Requires="wps">
          <w:drawing>
            <wp:anchor distT="0" distB="0" distL="0" distR="0" simplePos="0" relativeHeight="251661312" behindDoc="0" locked="0" layoutInCell="1" allowOverlap="1" wp14:anchorId="7566D0A9" wp14:editId="604F04D1">
              <wp:simplePos x="635" y="635"/>
              <wp:positionH relativeFrom="page">
                <wp:align>center</wp:align>
              </wp:positionH>
              <wp:positionV relativeFrom="page">
                <wp:align>bottom</wp:align>
              </wp:positionV>
              <wp:extent cx="443865" cy="443865"/>
              <wp:effectExtent l="0" t="0" r="1905" b="0"/>
              <wp:wrapNone/>
              <wp:docPr id="2010643413"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43571" w14:textId="6782ED6A" w:rsidR="00B5627B" w:rsidRPr="00B5627B" w:rsidRDefault="00B5627B" w:rsidP="00B5627B">
                          <w:pPr>
                            <w:rPr>
                              <w:noProof/>
                              <w:sz w:val="22"/>
                            </w:rPr>
                          </w:pPr>
                          <w:r w:rsidRPr="00B5627B">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6D0A9" id="_x0000_t202" coordsize="21600,21600" o:spt="202" path="m,l,21600r21600,l21600,xe">
              <v:stroke joinstyle="miter"/>
              <v:path gradientshapeok="t" o:connecttype="rect"/>
            </v:shapetype>
            <v:shape id="Text Box 4" o:spid="_x0000_s1029"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7043571" w14:textId="6782ED6A" w:rsidR="00B5627B" w:rsidRPr="00B5627B" w:rsidRDefault="00B5627B" w:rsidP="00B5627B">
                    <w:pPr>
                      <w:rPr>
                        <w:noProof/>
                        <w:sz w:val="22"/>
                      </w:rPr>
                    </w:pPr>
                    <w:r w:rsidRPr="00B5627B">
                      <w:rPr>
                        <w:noProof/>
                        <w:sz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71C50" w14:textId="77777777" w:rsidR="003C6E47" w:rsidRDefault="003C6E47" w:rsidP="00B5627B">
      <w:pPr>
        <w:spacing w:line="240" w:lineRule="auto"/>
      </w:pPr>
      <w:r>
        <w:separator/>
      </w:r>
    </w:p>
  </w:footnote>
  <w:footnote w:type="continuationSeparator" w:id="0">
    <w:p w14:paraId="398E67F8" w14:textId="77777777" w:rsidR="003C6E47" w:rsidRDefault="003C6E47" w:rsidP="00B562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B6F0" w14:textId="2BAD436E" w:rsidR="00B5627B" w:rsidRDefault="00B5627B">
    <w:pPr>
      <w:pStyle w:val="Header"/>
    </w:pPr>
    <w:r>
      <w:rPr>
        <w:noProof/>
      </w:rPr>
      <mc:AlternateContent>
        <mc:Choice Requires="wps">
          <w:drawing>
            <wp:anchor distT="0" distB="0" distL="0" distR="0" simplePos="0" relativeHeight="251659264" behindDoc="0" locked="0" layoutInCell="1" allowOverlap="1" wp14:anchorId="31008FBB" wp14:editId="267E28DE">
              <wp:simplePos x="635" y="635"/>
              <wp:positionH relativeFrom="page">
                <wp:align>center</wp:align>
              </wp:positionH>
              <wp:positionV relativeFrom="page">
                <wp:align>top</wp:align>
              </wp:positionV>
              <wp:extent cx="443865" cy="443865"/>
              <wp:effectExtent l="0" t="0" r="1905" b="15240"/>
              <wp:wrapNone/>
              <wp:docPr id="158074485"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E3501" w14:textId="13C451C4" w:rsidR="00B5627B" w:rsidRPr="00B5627B" w:rsidRDefault="00B5627B" w:rsidP="00B5627B">
                          <w:pPr>
                            <w:rPr>
                              <w:noProof/>
                              <w:sz w:val="22"/>
                            </w:rPr>
                          </w:pPr>
                          <w:r w:rsidRPr="00B5627B">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08FBB"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7E3501" w14:textId="13C451C4" w:rsidR="00B5627B" w:rsidRPr="00B5627B" w:rsidRDefault="00B5627B" w:rsidP="00B5627B">
                    <w:pPr>
                      <w:rPr>
                        <w:noProof/>
                        <w:sz w:val="22"/>
                      </w:rPr>
                    </w:pPr>
                    <w:r w:rsidRPr="00B5627B">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41E" w14:textId="7450ACC6" w:rsidR="00B5627B" w:rsidRPr="00CD6479" w:rsidRDefault="005561A9" w:rsidP="005561A9">
    <w:pPr>
      <w:pStyle w:val="Header"/>
      <w:tabs>
        <w:tab w:val="clear" w:pos="4513"/>
        <w:tab w:val="clear" w:pos="9026"/>
        <w:tab w:val="center" w:pos="1734"/>
      </w:tabs>
      <w:jc w:val="center"/>
      <w:rPr>
        <w:noProof/>
        <w:sz w:val="16"/>
        <w:szCs w:val="16"/>
      </w:rPr>
    </w:pPr>
    <w:r w:rsidRPr="005561A9">
      <w:rPr>
        <w:noProof/>
        <w:sz w:val="18"/>
        <w:szCs w:val="18"/>
      </w:rPr>
      <w:t xml:space="preserve">                                                                                                                                                     </w:t>
    </w:r>
    <w:r w:rsidR="007937DD">
      <w:rPr>
        <w:noProof/>
        <w:sz w:val="16"/>
        <w:szCs w:val="16"/>
      </w:rPr>
      <w:t>HMG MLI</w:t>
    </w:r>
    <w:r w:rsidRPr="00CD6479">
      <w:rPr>
        <w:noProof/>
        <w:sz w:val="16"/>
        <w:szCs w:val="16"/>
      </w:rPr>
      <w:t>:70</w:t>
    </w:r>
    <w:r w:rsidR="007937DD">
      <w:rPr>
        <w:noProof/>
        <w:sz w:val="16"/>
        <w:szCs w:val="16"/>
      </w:rPr>
      <w:t>4656450</w:t>
    </w:r>
  </w:p>
  <w:p w14:paraId="6350CA1B" w14:textId="297C3408" w:rsidR="005561A9" w:rsidRPr="00CD6479" w:rsidRDefault="005561A9" w:rsidP="005561A9">
    <w:pPr>
      <w:pStyle w:val="Header"/>
      <w:tabs>
        <w:tab w:val="clear" w:pos="4513"/>
        <w:tab w:val="clear" w:pos="9026"/>
        <w:tab w:val="center" w:pos="1734"/>
      </w:tabs>
      <w:jc w:val="center"/>
      <w:rPr>
        <w:sz w:val="16"/>
        <w:szCs w:val="16"/>
      </w:rPr>
    </w:pPr>
    <w:r w:rsidRPr="00CD6479">
      <w:rPr>
        <w:noProof/>
        <w:sz w:val="16"/>
        <w:szCs w:val="16"/>
      </w:rPr>
      <w:t xml:space="preserve">                                                                                                                                      </w:t>
    </w:r>
    <w:r w:rsidR="00CD6479">
      <w:rPr>
        <w:noProof/>
        <w:sz w:val="16"/>
        <w:szCs w:val="16"/>
      </w:rPr>
      <w:t xml:space="preserve">                    </w:t>
    </w:r>
    <w:r w:rsidRPr="00CD6479">
      <w:rPr>
        <w:noProof/>
        <w:sz w:val="16"/>
        <w:szCs w:val="16"/>
      </w:rPr>
      <w:t>SCHEDULE</w:t>
    </w:r>
    <w:r w:rsidR="00CC66A2" w:rsidRPr="00CD6479">
      <w:rPr>
        <w:noProof/>
        <w:sz w:val="16"/>
        <w:szCs w:val="16"/>
      </w:rPr>
      <w:t xml:space="preserve"> </w:t>
    </w:r>
    <w:r w:rsidRPr="00CD6479">
      <w:rPr>
        <w:noProof/>
        <w:sz w:val="16"/>
        <w:szCs w:val="16"/>
      </w:rPr>
      <w:t>3</w:t>
    </w:r>
  </w:p>
  <w:p w14:paraId="06CE2A2E" w14:textId="77777777" w:rsidR="005561A9" w:rsidRPr="005561A9" w:rsidRDefault="005561A9" w:rsidP="005561A9">
    <w:pPr>
      <w:pStyle w:val="Header"/>
      <w:tabs>
        <w:tab w:val="clear" w:pos="4513"/>
        <w:tab w:val="clear" w:pos="9026"/>
        <w:tab w:val="center" w:pos="1734"/>
      </w:tabs>
      <w:rPr>
        <w:sz w:val="18"/>
        <w:szCs w:val="18"/>
      </w:rPr>
    </w:pPr>
  </w:p>
  <w:p w14:paraId="46DB895D" w14:textId="77777777" w:rsidR="005561A9" w:rsidRDefault="005561A9" w:rsidP="005561A9">
    <w:pPr>
      <w:pStyle w:val="Header"/>
      <w:tabs>
        <w:tab w:val="clear" w:pos="4513"/>
        <w:tab w:val="clear" w:pos="9026"/>
        <w:tab w:val="center" w:pos="1734"/>
      </w:tabs>
    </w:pPr>
  </w:p>
  <w:p w14:paraId="5B675FBA" w14:textId="77777777" w:rsidR="005561A9" w:rsidRDefault="005561A9" w:rsidP="005561A9">
    <w:pPr>
      <w:pStyle w:val="Header"/>
      <w:tabs>
        <w:tab w:val="clear" w:pos="4513"/>
        <w:tab w:val="clear" w:pos="9026"/>
        <w:tab w:val="center" w:pos="1734"/>
      </w:tabs>
      <w:jc w:val="right"/>
    </w:pPr>
  </w:p>
  <w:p w14:paraId="3D162FF0" w14:textId="77777777" w:rsidR="005561A9" w:rsidRDefault="005561A9" w:rsidP="005561A9">
    <w:pPr>
      <w:pStyle w:val="Header"/>
      <w:tabs>
        <w:tab w:val="clear" w:pos="4513"/>
        <w:tab w:val="clear" w:pos="9026"/>
        <w:tab w:val="center" w:pos="17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AC22" w14:textId="0B4E8E71" w:rsidR="00B5627B" w:rsidRDefault="00B5627B">
    <w:pPr>
      <w:pStyle w:val="Header"/>
    </w:pPr>
    <w:r>
      <w:rPr>
        <w:noProof/>
      </w:rPr>
      <mc:AlternateContent>
        <mc:Choice Requires="wps">
          <w:drawing>
            <wp:anchor distT="0" distB="0" distL="0" distR="0" simplePos="0" relativeHeight="251658240" behindDoc="0" locked="0" layoutInCell="1" allowOverlap="1" wp14:anchorId="5FBB306F" wp14:editId="15897081">
              <wp:simplePos x="635" y="635"/>
              <wp:positionH relativeFrom="page">
                <wp:align>center</wp:align>
              </wp:positionH>
              <wp:positionV relativeFrom="page">
                <wp:align>top</wp:align>
              </wp:positionV>
              <wp:extent cx="443865" cy="443865"/>
              <wp:effectExtent l="0" t="0" r="1905" b="15240"/>
              <wp:wrapNone/>
              <wp:docPr id="217204038"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1F858" w14:textId="4C70EA10" w:rsidR="00B5627B" w:rsidRPr="00B5627B" w:rsidRDefault="00B5627B" w:rsidP="00B5627B">
                          <w:pPr>
                            <w:rPr>
                              <w:noProof/>
                              <w:sz w:val="22"/>
                            </w:rPr>
                          </w:pPr>
                          <w:r w:rsidRPr="00B5627B">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B306F" id="_x0000_t202" coordsize="21600,21600" o:spt="202" path="m,l,21600r21600,l21600,xe">
              <v:stroke joinstyle="miter"/>
              <v:path gradientshapeok="t" o:connecttype="rect"/>
            </v:shapetype>
            <v:shape id="Text Box 1" o:spid="_x0000_s1028"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11F858" w14:textId="4C70EA10" w:rsidR="00B5627B" w:rsidRPr="00B5627B" w:rsidRDefault="00B5627B" w:rsidP="00B5627B">
                    <w:pPr>
                      <w:rPr>
                        <w:noProof/>
                        <w:sz w:val="22"/>
                      </w:rPr>
                    </w:pPr>
                    <w:r w:rsidRPr="00B5627B">
                      <w:rPr>
                        <w:noProof/>
                        <w:sz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6BE"/>
    <w:multiLevelType w:val="hybridMultilevel"/>
    <w:tmpl w:val="1BA4CC82"/>
    <w:lvl w:ilvl="0" w:tplc="38C2C294">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1CDBB2">
      <w:start w:val="1"/>
      <w:numFmt w:val="lowerLetter"/>
      <w:lvlText w:val="%2"/>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047BE">
      <w:start w:val="1"/>
      <w:numFmt w:val="lowerRoman"/>
      <w:lvlText w:val="%3"/>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248C20">
      <w:start w:val="1"/>
      <w:numFmt w:val="decimal"/>
      <w:lvlText w:val="%4"/>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C72A0">
      <w:start w:val="1"/>
      <w:numFmt w:val="lowerLetter"/>
      <w:lvlText w:val="%5"/>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96A46A">
      <w:start w:val="1"/>
      <w:numFmt w:val="lowerRoman"/>
      <w:lvlText w:val="%6"/>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C408C6">
      <w:start w:val="1"/>
      <w:numFmt w:val="decimal"/>
      <w:lvlText w:val="%7"/>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64C9A6">
      <w:start w:val="1"/>
      <w:numFmt w:val="lowerLetter"/>
      <w:lvlText w:val="%8"/>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48D4BE">
      <w:start w:val="1"/>
      <w:numFmt w:val="lowerRoman"/>
      <w:lvlText w:val="%9"/>
      <w:lvlJc w:val="left"/>
      <w:pPr>
        <w:ind w:left="6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4353AF"/>
    <w:multiLevelType w:val="hybridMultilevel"/>
    <w:tmpl w:val="68AE3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806828">
    <w:abstractNumId w:val="0"/>
  </w:num>
  <w:num w:numId="2" w16cid:durableId="68171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F9"/>
    <w:rsid w:val="00032236"/>
    <w:rsid w:val="00074DE6"/>
    <w:rsid w:val="0018226E"/>
    <w:rsid w:val="00201712"/>
    <w:rsid w:val="00246928"/>
    <w:rsid w:val="00294F2E"/>
    <w:rsid w:val="00347548"/>
    <w:rsid w:val="0035764B"/>
    <w:rsid w:val="003576F7"/>
    <w:rsid w:val="003C6E47"/>
    <w:rsid w:val="003D2B1C"/>
    <w:rsid w:val="004E3CD4"/>
    <w:rsid w:val="005561A9"/>
    <w:rsid w:val="005769F9"/>
    <w:rsid w:val="005E65AB"/>
    <w:rsid w:val="005F282D"/>
    <w:rsid w:val="00672346"/>
    <w:rsid w:val="006F6A29"/>
    <w:rsid w:val="007937DD"/>
    <w:rsid w:val="007A1377"/>
    <w:rsid w:val="007F71EB"/>
    <w:rsid w:val="00973B10"/>
    <w:rsid w:val="00B064F4"/>
    <w:rsid w:val="00B52E31"/>
    <w:rsid w:val="00B5627B"/>
    <w:rsid w:val="00BA5957"/>
    <w:rsid w:val="00BC2F22"/>
    <w:rsid w:val="00C023C7"/>
    <w:rsid w:val="00C1619A"/>
    <w:rsid w:val="00C1662E"/>
    <w:rsid w:val="00CB404B"/>
    <w:rsid w:val="00CC66A2"/>
    <w:rsid w:val="00CD6479"/>
    <w:rsid w:val="00D77E6A"/>
    <w:rsid w:val="00D83D81"/>
    <w:rsid w:val="00DC2C8E"/>
    <w:rsid w:val="00DF2AFD"/>
    <w:rsid w:val="00E01F52"/>
    <w:rsid w:val="00E64E66"/>
    <w:rsid w:val="00E742EA"/>
    <w:rsid w:val="00EB7133"/>
    <w:rsid w:val="00F12320"/>
    <w:rsid w:val="00F60B60"/>
    <w:rsid w:val="00FA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4544"/>
  <w15:docId w15:val="{5E3CED8F-DD66-452B-9DFB-BFAA316D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4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5627B"/>
    <w:pPr>
      <w:tabs>
        <w:tab w:val="center" w:pos="4513"/>
        <w:tab w:val="right" w:pos="9026"/>
      </w:tabs>
      <w:spacing w:line="240" w:lineRule="auto"/>
    </w:pPr>
  </w:style>
  <w:style w:type="character" w:customStyle="1" w:styleId="HeaderChar">
    <w:name w:val="Header Char"/>
    <w:basedOn w:val="DefaultParagraphFont"/>
    <w:link w:val="Header"/>
    <w:uiPriority w:val="99"/>
    <w:rsid w:val="00B5627B"/>
    <w:rPr>
      <w:rFonts w:ascii="Arial" w:eastAsia="Arial" w:hAnsi="Arial" w:cs="Arial"/>
      <w:b/>
      <w:color w:val="000000"/>
      <w:sz w:val="20"/>
    </w:rPr>
  </w:style>
  <w:style w:type="paragraph" w:styleId="Footer">
    <w:name w:val="footer"/>
    <w:basedOn w:val="Normal"/>
    <w:link w:val="FooterChar"/>
    <w:uiPriority w:val="99"/>
    <w:unhideWhenUsed/>
    <w:rsid w:val="00B5627B"/>
    <w:pPr>
      <w:tabs>
        <w:tab w:val="center" w:pos="4513"/>
        <w:tab w:val="right" w:pos="9026"/>
      </w:tabs>
      <w:spacing w:line="240" w:lineRule="auto"/>
    </w:pPr>
  </w:style>
  <w:style w:type="character" w:customStyle="1" w:styleId="FooterChar">
    <w:name w:val="Footer Char"/>
    <w:basedOn w:val="DefaultParagraphFont"/>
    <w:link w:val="Footer"/>
    <w:uiPriority w:val="99"/>
    <w:rsid w:val="00B5627B"/>
    <w:rPr>
      <w:rFonts w:ascii="Arial" w:eastAsia="Arial" w:hAnsi="Arial" w:cs="Arial"/>
      <w:b/>
      <w:color w:val="000000"/>
      <w:sz w:val="20"/>
    </w:rPr>
  </w:style>
  <w:style w:type="character" w:styleId="Hyperlink">
    <w:name w:val="Hyperlink"/>
    <w:basedOn w:val="DefaultParagraphFont"/>
    <w:uiPriority w:val="99"/>
    <w:unhideWhenUsed/>
    <w:rsid w:val="00B5627B"/>
    <w:rPr>
      <w:color w:val="0563C1" w:themeColor="hyperlink"/>
      <w:u w:val="single"/>
    </w:rPr>
  </w:style>
  <w:style w:type="character" w:styleId="UnresolvedMention">
    <w:name w:val="Unresolved Mention"/>
    <w:basedOn w:val="DefaultParagraphFont"/>
    <w:uiPriority w:val="99"/>
    <w:semiHidden/>
    <w:unhideWhenUsed/>
    <w:rsid w:val="00B5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ena.Sahauli100@mod.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cp:lastModifiedBy>Sahauli, Neena (DES Commercial-326)</cp:lastModifiedBy>
  <cp:revision>15</cp:revision>
  <dcterms:created xsi:type="dcterms:W3CDTF">2024-10-23T12:55:00Z</dcterms:created>
  <dcterms:modified xsi:type="dcterms:W3CDTF">2025-08-20T13:26:00Z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cf24546,96c0675,3813d839</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77d7fbd5,764f3a13,7447ab27</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2024-10-03T21:09:26Z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1fdeda41-862d-4a0e-ac8a-0500c9ef4786</vt:lpwstr>
  </property>
  <property fmtid="{D5CDD505-2E9C-101B-9397-08002B2CF9AE}" pid="14" name="MSIP_Label_5e992740-1f89-4ed6-b51b-95a6d0136ac8_ContentBits">
    <vt:lpwstr>3</vt:lpwstr>
  </property>
</Properties>
</file>