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B39E" w14:textId="070BC471" w:rsidR="003B7DCD"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2E421D">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even" r:id="rId92"/>
          <w:headerReference w:type="default" r:id="rId93"/>
          <w:footerReference w:type="even" r:id="rId94"/>
          <w:footerReference w:type="default" r:id="rId95"/>
          <w:headerReference w:type="first" r:id="rId96"/>
          <w:footerReference w:type="first" r:id="rId97"/>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30B67A07" w:rsidR="00E4296F" w:rsidRPr="00431991" w:rsidRDefault="00B23FFE" w:rsidP="00F153DE">
      <w:pPr>
        <w:pStyle w:val="CoversheetParty"/>
        <w:rPr>
          <w:rFonts w:cs="Arial"/>
          <w:sz w:val="24"/>
          <w:szCs w:val="24"/>
        </w:rPr>
      </w:pPr>
      <w:r>
        <w:rPr>
          <w:rFonts w:cs="Arial"/>
          <w:sz w:val="24"/>
          <w:szCs w:val="24"/>
        </w:rPr>
        <w:t>NORTH TYNESIDE COUNCIL</w:t>
      </w:r>
    </w:p>
    <w:p w14:paraId="40871C33" w14:textId="77777777" w:rsidR="00A21A41" w:rsidRPr="00431991" w:rsidRDefault="00A21A41" w:rsidP="00A21A41">
      <w:pPr>
        <w:pStyle w:val="CoversheetParty"/>
        <w:jc w:val="left"/>
        <w:rPr>
          <w:rFonts w:cs="Arial"/>
          <w:b w:val="0"/>
          <w:bCs/>
          <w:sz w:val="24"/>
          <w:szCs w:val="24"/>
        </w:rPr>
      </w:pPr>
    </w:p>
    <w:p w14:paraId="11BB20E1" w14:textId="6FEE3D92"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BE06C2" w:rsidRPr="00F50FFE">
        <w:rPr>
          <w:rFonts w:cs="Arial"/>
          <w:b w:val="0"/>
          <w:sz w:val="24"/>
          <w:szCs w:val="24"/>
          <w:highlight w:val="black"/>
        </w:rPr>
        <w:t>XXXXXXXXXXX</w:t>
      </w:r>
      <w:r w:rsidR="00BE06C2">
        <w:rPr>
          <w:rFonts w:cs="Arial"/>
          <w:b w:val="0"/>
          <w:sz w:val="24"/>
          <w:szCs w:val="24"/>
        </w:rPr>
        <w:t xml:space="preserve"> </w:t>
      </w:r>
      <w:r w:rsidRPr="0F9E223E">
        <w:rPr>
          <w:rFonts w:cs="Arial"/>
          <w:b w:val="0"/>
          <w:sz w:val="24"/>
          <w:szCs w:val="24"/>
        </w:rPr>
        <w:t>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42C59D88" w:rsidR="00A21A41" w:rsidRPr="00431991" w:rsidRDefault="16DAC025" w:rsidP="0F9E223E">
      <w:pPr>
        <w:pStyle w:val="CoversheetParty"/>
        <w:jc w:val="left"/>
        <w:rPr>
          <w:rFonts w:cs="Arial"/>
          <w:b w:val="0"/>
          <w:sz w:val="24"/>
          <w:szCs w:val="24"/>
        </w:rPr>
      </w:pPr>
      <w:r w:rsidRPr="0F9E223E">
        <w:rPr>
          <w:rFonts w:cs="Arial"/>
          <w:b w:val="0"/>
          <w:sz w:val="24"/>
          <w:szCs w:val="24"/>
        </w:rPr>
        <w:t>Signed by</w:t>
      </w:r>
      <w:r w:rsidR="00803DF0">
        <w:rPr>
          <w:rFonts w:cs="Arial"/>
          <w:b w:val="0"/>
          <w:sz w:val="24"/>
          <w:szCs w:val="24"/>
        </w:rPr>
        <w:t xml:space="preserve"> </w:t>
      </w:r>
      <w:proofErr w:type="gramStart"/>
      <w:r w:rsidR="00F50FFE" w:rsidRPr="00F50FFE">
        <w:rPr>
          <w:rFonts w:cs="Arial"/>
          <w:b w:val="0"/>
          <w:sz w:val="24"/>
          <w:szCs w:val="24"/>
          <w:highlight w:val="black"/>
        </w:rPr>
        <w:t>XXXXXXXXXXXXXX</w:t>
      </w:r>
      <w:r w:rsidR="00F50FFE">
        <w:rPr>
          <w:rFonts w:cs="Arial"/>
          <w:b w:val="0"/>
          <w:sz w:val="24"/>
          <w:szCs w:val="24"/>
        </w:rPr>
        <w:t xml:space="preserve"> </w:t>
      </w:r>
      <w:r w:rsidRPr="0F9E223E">
        <w:rPr>
          <w:rFonts w:cs="Arial"/>
          <w:b w:val="0"/>
          <w:sz w:val="24"/>
          <w:szCs w:val="24"/>
        </w:rPr>
        <w:t xml:space="preserve"> for</w:t>
      </w:r>
      <w:proofErr w:type="gramEnd"/>
      <w:r w:rsidRPr="0F9E223E">
        <w:rPr>
          <w:rFonts w:cs="Arial"/>
          <w:b w:val="0"/>
          <w:sz w:val="24"/>
          <w:szCs w:val="24"/>
        </w:rPr>
        <w:t xml:space="preserve"> an</w:t>
      </w:r>
      <w:r w:rsidR="1D0710FC" w:rsidRPr="0F9E223E">
        <w:rPr>
          <w:rFonts w:cs="Arial"/>
          <w:b w:val="0"/>
          <w:sz w:val="24"/>
          <w:szCs w:val="24"/>
        </w:rPr>
        <w:t>d</w:t>
      </w:r>
      <w:r w:rsidRPr="0F9E223E">
        <w:rPr>
          <w:rFonts w:cs="Arial"/>
          <w:b w:val="0"/>
          <w:sz w:val="24"/>
          <w:szCs w:val="24"/>
        </w:rPr>
        <w:t xml:space="preserve"> on behalf of </w:t>
      </w:r>
      <w:r w:rsidR="007C2B01" w:rsidRPr="007C176B">
        <w:rPr>
          <w:rFonts w:cs="Arial"/>
          <w:bCs/>
          <w:sz w:val="24"/>
          <w:szCs w:val="24"/>
        </w:rPr>
        <w:t>North Tyneside Council</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7274783"/>
    <w:bookmarkStart w:id="1" w:name="_Hlt47274673"/>
    <w:bookmarkStart w:id="2" w:name="_Hlt46745558"/>
    <w:bookmarkStart w:id="3" w:name="_Hlt46745456"/>
    <w:bookmarkStart w:id="4" w:name="_Hlt47275201"/>
    <w:bookmarkStart w:id="5" w:name="_Hlt47279663"/>
    <w:bookmarkStart w:id="6" w:name="_Hlt46745422"/>
    <w:bookmarkStart w:id="7" w:name="_Hlt46745421"/>
    <w:p w14:paraId="183FC5CE" w14:textId="30C1EF5A"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6905A0">
          <w:rPr>
            <w:noProof/>
          </w:rPr>
          <w:t>4</w:t>
        </w:r>
        <w:r w:rsidR="00FF45EC">
          <w:rPr>
            <w:noProof/>
          </w:rPr>
          <w:fldChar w:fldCharType="end"/>
        </w:r>
      </w:hyperlink>
    </w:p>
    <w:p w14:paraId="619430CC" w14:textId="2411543A" w:rsidR="00FF45EC" w:rsidRDefault="002E421D">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6905A0">
          <w:rPr>
            <w:noProof/>
          </w:rPr>
          <w:t>15</w:t>
        </w:r>
        <w:r w:rsidR="00FF45EC">
          <w:rPr>
            <w:noProof/>
          </w:rPr>
          <w:fldChar w:fldCharType="end"/>
        </w:r>
      </w:hyperlink>
    </w:p>
    <w:p w14:paraId="0D20EE76" w14:textId="6A40D34B" w:rsidR="00FF45EC" w:rsidRDefault="002E421D">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6905A0">
          <w:rPr>
            <w:noProof/>
          </w:rPr>
          <w:t>16</w:t>
        </w:r>
        <w:r w:rsidR="00FF45EC">
          <w:rPr>
            <w:noProof/>
          </w:rPr>
          <w:fldChar w:fldCharType="end"/>
        </w:r>
      </w:hyperlink>
    </w:p>
    <w:p w14:paraId="4368CB01" w14:textId="3E17AA72" w:rsidR="00FF45EC" w:rsidRDefault="002E421D">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6905A0">
          <w:rPr>
            <w:noProof/>
          </w:rPr>
          <w:t>16</w:t>
        </w:r>
        <w:r w:rsidR="00FF45EC">
          <w:rPr>
            <w:noProof/>
          </w:rPr>
          <w:fldChar w:fldCharType="end"/>
        </w:r>
      </w:hyperlink>
    </w:p>
    <w:p w14:paraId="2640D0AA" w14:textId="75C33991" w:rsidR="00FF45EC" w:rsidRDefault="002E421D">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6905A0">
          <w:rPr>
            <w:noProof/>
          </w:rPr>
          <w:t>16</w:t>
        </w:r>
        <w:r w:rsidR="00FF45EC">
          <w:rPr>
            <w:noProof/>
          </w:rPr>
          <w:fldChar w:fldCharType="end"/>
        </w:r>
      </w:hyperlink>
    </w:p>
    <w:p w14:paraId="1F91C16F" w14:textId="3B3B0E47" w:rsidR="00FF45EC" w:rsidRDefault="002E421D">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6905A0">
          <w:rPr>
            <w:noProof/>
          </w:rPr>
          <w:t>18</w:t>
        </w:r>
        <w:r w:rsidR="00FF45EC">
          <w:rPr>
            <w:noProof/>
          </w:rPr>
          <w:fldChar w:fldCharType="end"/>
        </w:r>
      </w:hyperlink>
    </w:p>
    <w:p w14:paraId="35B6713A" w14:textId="7C541AFE" w:rsidR="00FF45EC" w:rsidRDefault="002E421D">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6905A0">
          <w:rPr>
            <w:noProof/>
          </w:rPr>
          <w:t>19</w:t>
        </w:r>
        <w:r w:rsidR="00FF45EC">
          <w:rPr>
            <w:noProof/>
          </w:rPr>
          <w:fldChar w:fldCharType="end"/>
        </w:r>
      </w:hyperlink>
    </w:p>
    <w:p w14:paraId="332296DD" w14:textId="2D96A4DD" w:rsidR="00FF45EC" w:rsidRDefault="002E421D">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6905A0">
          <w:rPr>
            <w:noProof/>
          </w:rPr>
          <w:t>19</w:t>
        </w:r>
        <w:r w:rsidR="00FF45EC">
          <w:rPr>
            <w:noProof/>
          </w:rPr>
          <w:fldChar w:fldCharType="end"/>
        </w:r>
      </w:hyperlink>
    </w:p>
    <w:p w14:paraId="51025920" w14:textId="2899BFB5" w:rsidR="00FF45EC" w:rsidRDefault="002E421D">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6905A0">
          <w:rPr>
            <w:noProof/>
          </w:rPr>
          <w:t>20</w:t>
        </w:r>
        <w:r w:rsidR="00FF45EC">
          <w:rPr>
            <w:noProof/>
          </w:rPr>
          <w:fldChar w:fldCharType="end"/>
        </w:r>
      </w:hyperlink>
    </w:p>
    <w:p w14:paraId="62220D58" w14:textId="4ABAEC01" w:rsidR="00FF45EC" w:rsidRDefault="002E421D">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6905A0">
          <w:rPr>
            <w:noProof/>
          </w:rPr>
          <w:t>21</w:t>
        </w:r>
        <w:r w:rsidR="00FF45EC">
          <w:rPr>
            <w:noProof/>
          </w:rPr>
          <w:fldChar w:fldCharType="end"/>
        </w:r>
      </w:hyperlink>
    </w:p>
    <w:p w14:paraId="4F66D850" w14:textId="1D348F6B" w:rsidR="00FF45EC" w:rsidRDefault="002E421D">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6905A0">
          <w:rPr>
            <w:noProof/>
          </w:rPr>
          <w:t>21</w:t>
        </w:r>
        <w:r w:rsidR="00FF45EC">
          <w:rPr>
            <w:noProof/>
          </w:rPr>
          <w:fldChar w:fldCharType="end"/>
        </w:r>
      </w:hyperlink>
    </w:p>
    <w:p w14:paraId="37854BC1" w14:textId="2937CDBE" w:rsidR="00FF45EC" w:rsidRDefault="002E421D">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6905A0">
          <w:rPr>
            <w:noProof/>
          </w:rPr>
          <w:t>23</w:t>
        </w:r>
        <w:r w:rsidR="00FF45EC">
          <w:rPr>
            <w:noProof/>
          </w:rPr>
          <w:fldChar w:fldCharType="end"/>
        </w:r>
      </w:hyperlink>
    </w:p>
    <w:p w14:paraId="0FB80B06" w14:textId="1A04D74F" w:rsidR="00FF45EC" w:rsidRDefault="002E421D">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6905A0">
          <w:rPr>
            <w:noProof/>
          </w:rPr>
          <w:t>24</w:t>
        </w:r>
        <w:r w:rsidR="00FF45EC">
          <w:rPr>
            <w:noProof/>
          </w:rPr>
          <w:fldChar w:fldCharType="end"/>
        </w:r>
      </w:hyperlink>
    </w:p>
    <w:p w14:paraId="228BABD7" w14:textId="03E71FA8" w:rsidR="00FF45EC" w:rsidRDefault="002E421D">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6905A0">
          <w:rPr>
            <w:noProof/>
          </w:rPr>
          <w:t>25</w:t>
        </w:r>
        <w:r w:rsidR="00FF45EC">
          <w:rPr>
            <w:noProof/>
          </w:rPr>
          <w:fldChar w:fldCharType="end"/>
        </w:r>
      </w:hyperlink>
    </w:p>
    <w:p w14:paraId="634C1598" w14:textId="6C0F71CA" w:rsidR="00FF45EC" w:rsidRDefault="002E421D">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6905A0">
          <w:rPr>
            <w:noProof/>
          </w:rPr>
          <w:t>26</w:t>
        </w:r>
        <w:r w:rsidR="00FF45EC">
          <w:rPr>
            <w:noProof/>
          </w:rPr>
          <w:fldChar w:fldCharType="end"/>
        </w:r>
      </w:hyperlink>
    </w:p>
    <w:p w14:paraId="78E554C9" w14:textId="735B5999" w:rsidR="00FF45EC" w:rsidRDefault="002E421D">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6905A0">
          <w:rPr>
            <w:noProof/>
          </w:rPr>
          <w:t>27</w:t>
        </w:r>
        <w:r w:rsidR="00FF45EC">
          <w:rPr>
            <w:noProof/>
          </w:rPr>
          <w:fldChar w:fldCharType="end"/>
        </w:r>
      </w:hyperlink>
    </w:p>
    <w:p w14:paraId="10F2AACB" w14:textId="369D4D26" w:rsidR="00FF45EC" w:rsidRDefault="002E421D">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6905A0">
          <w:rPr>
            <w:noProof/>
          </w:rPr>
          <w:t>29</w:t>
        </w:r>
        <w:r w:rsidR="00FF45EC">
          <w:rPr>
            <w:noProof/>
          </w:rPr>
          <w:fldChar w:fldCharType="end"/>
        </w:r>
      </w:hyperlink>
    </w:p>
    <w:p w14:paraId="488EE651" w14:textId="28099DAD" w:rsidR="00FF45EC" w:rsidRDefault="002E421D">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6905A0">
          <w:rPr>
            <w:noProof/>
          </w:rPr>
          <w:t>30</w:t>
        </w:r>
        <w:r w:rsidR="00FF45EC">
          <w:rPr>
            <w:noProof/>
          </w:rPr>
          <w:fldChar w:fldCharType="end"/>
        </w:r>
      </w:hyperlink>
    </w:p>
    <w:p w14:paraId="2D269096" w14:textId="61816DDD" w:rsidR="00FF45EC" w:rsidRDefault="002E421D">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6905A0">
          <w:rPr>
            <w:noProof/>
          </w:rPr>
          <w:t>30</w:t>
        </w:r>
        <w:r w:rsidR="00FF45EC">
          <w:rPr>
            <w:noProof/>
          </w:rPr>
          <w:fldChar w:fldCharType="end"/>
        </w:r>
      </w:hyperlink>
    </w:p>
    <w:p w14:paraId="3B859832" w14:textId="3E24D95B" w:rsidR="00FF45EC" w:rsidRDefault="002E421D">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6905A0">
          <w:rPr>
            <w:noProof/>
          </w:rPr>
          <w:t>31</w:t>
        </w:r>
        <w:r w:rsidR="00FF45EC">
          <w:rPr>
            <w:noProof/>
          </w:rPr>
          <w:fldChar w:fldCharType="end"/>
        </w:r>
      </w:hyperlink>
    </w:p>
    <w:p w14:paraId="0F2C7781" w14:textId="47DE1BCA" w:rsidR="00FF45EC" w:rsidRDefault="002E421D">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6905A0">
          <w:rPr>
            <w:noProof/>
          </w:rPr>
          <w:t>32</w:t>
        </w:r>
        <w:r w:rsidR="00FF45EC">
          <w:rPr>
            <w:noProof/>
          </w:rPr>
          <w:fldChar w:fldCharType="end"/>
        </w:r>
      </w:hyperlink>
    </w:p>
    <w:p w14:paraId="37F15253" w14:textId="6A6A0C5F" w:rsidR="00FF45EC" w:rsidRDefault="002E421D">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6905A0">
          <w:rPr>
            <w:noProof/>
          </w:rPr>
          <w:t>32</w:t>
        </w:r>
        <w:r w:rsidR="00FF45EC">
          <w:rPr>
            <w:noProof/>
          </w:rPr>
          <w:fldChar w:fldCharType="end"/>
        </w:r>
      </w:hyperlink>
    </w:p>
    <w:p w14:paraId="3FF0186A" w14:textId="48AA71F5" w:rsidR="00FF45EC" w:rsidRDefault="002E421D">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6905A0">
          <w:rPr>
            <w:noProof/>
          </w:rPr>
          <w:t>33</w:t>
        </w:r>
        <w:r w:rsidR="00FF45EC">
          <w:rPr>
            <w:noProof/>
          </w:rPr>
          <w:fldChar w:fldCharType="end"/>
        </w:r>
      </w:hyperlink>
    </w:p>
    <w:p w14:paraId="78E56150" w14:textId="0A49DF0C" w:rsidR="00FF45EC" w:rsidRDefault="002E421D">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6905A0">
          <w:rPr>
            <w:noProof/>
          </w:rPr>
          <w:t>33</w:t>
        </w:r>
        <w:r w:rsidR="00FF45EC">
          <w:rPr>
            <w:noProof/>
          </w:rPr>
          <w:fldChar w:fldCharType="end"/>
        </w:r>
      </w:hyperlink>
    </w:p>
    <w:p w14:paraId="12D32CDB" w14:textId="15D9D2D0" w:rsidR="00FF45EC" w:rsidRDefault="002E421D">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6905A0">
          <w:rPr>
            <w:noProof/>
          </w:rPr>
          <w:t>34</w:t>
        </w:r>
        <w:r w:rsidR="00FF45EC">
          <w:rPr>
            <w:noProof/>
          </w:rPr>
          <w:fldChar w:fldCharType="end"/>
        </w:r>
      </w:hyperlink>
    </w:p>
    <w:p w14:paraId="4A6C8B86" w14:textId="2430AA69" w:rsidR="00FF45EC" w:rsidRDefault="002E421D">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6905A0">
          <w:rPr>
            <w:noProof/>
          </w:rPr>
          <w:t>34</w:t>
        </w:r>
        <w:r w:rsidR="00FF45EC">
          <w:rPr>
            <w:noProof/>
          </w:rPr>
          <w:fldChar w:fldCharType="end"/>
        </w:r>
      </w:hyperlink>
    </w:p>
    <w:p w14:paraId="413175D6" w14:textId="5B45AB73" w:rsidR="00FF45EC" w:rsidRDefault="002E421D">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6905A0">
          <w:rPr>
            <w:noProof/>
          </w:rPr>
          <w:t>39</w:t>
        </w:r>
        <w:r w:rsidR="00FF45EC">
          <w:rPr>
            <w:noProof/>
          </w:rPr>
          <w:fldChar w:fldCharType="end"/>
        </w:r>
      </w:hyperlink>
    </w:p>
    <w:p w14:paraId="21826AA3" w14:textId="1B3656A8" w:rsidR="00FF45EC" w:rsidRDefault="002E421D">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6905A0">
          <w:rPr>
            <w:noProof/>
          </w:rPr>
          <w:t>39</w:t>
        </w:r>
        <w:r w:rsidR="00FF45EC">
          <w:rPr>
            <w:noProof/>
          </w:rPr>
          <w:fldChar w:fldCharType="end"/>
        </w:r>
      </w:hyperlink>
    </w:p>
    <w:p w14:paraId="2341A52A" w14:textId="402CC627" w:rsidR="00FF45EC" w:rsidRDefault="002E421D">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6905A0">
          <w:rPr>
            <w:noProof/>
          </w:rPr>
          <w:t>40</w:t>
        </w:r>
        <w:r w:rsidR="00FF45EC">
          <w:rPr>
            <w:noProof/>
          </w:rPr>
          <w:fldChar w:fldCharType="end"/>
        </w:r>
      </w:hyperlink>
    </w:p>
    <w:p w14:paraId="286A0DB5" w14:textId="6190CA4B" w:rsidR="00FF45EC" w:rsidRDefault="002E421D">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6905A0">
          <w:rPr>
            <w:noProof/>
          </w:rPr>
          <w:t>42</w:t>
        </w:r>
        <w:r w:rsidR="00FF45EC">
          <w:rPr>
            <w:noProof/>
          </w:rPr>
          <w:fldChar w:fldCharType="end"/>
        </w:r>
      </w:hyperlink>
    </w:p>
    <w:p w14:paraId="079C9D3E" w14:textId="410D18FC" w:rsidR="00FF45EC" w:rsidRDefault="002E421D">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6905A0">
          <w:rPr>
            <w:noProof/>
          </w:rPr>
          <w:t>42</w:t>
        </w:r>
        <w:r w:rsidR="00FF45EC">
          <w:rPr>
            <w:noProof/>
          </w:rPr>
          <w:fldChar w:fldCharType="end"/>
        </w:r>
      </w:hyperlink>
    </w:p>
    <w:p w14:paraId="1E4907C0" w14:textId="263F8377" w:rsidR="00FF45EC" w:rsidRDefault="002E421D">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6905A0">
          <w:rPr>
            <w:noProof/>
          </w:rPr>
          <w:t>42</w:t>
        </w:r>
        <w:r w:rsidR="00FF45EC">
          <w:rPr>
            <w:noProof/>
          </w:rPr>
          <w:fldChar w:fldCharType="end"/>
        </w:r>
      </w:hyperlink>
    </w:p>
    <w:p w14:paraId="72BB1B60" w14:textId="29FDC6A5" w:rsidR="00FF45EC" w:rsidRDefault="002E421D">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6905A0">
          <w:rPr>
            <w:noProof/>
          </w:rPr>
          <w:t>44</w:t>
        </w:r>
        <w:r w:rsidR="00FF45EC">
          <w:rPr>
            <w:noProof/>
          </w:rPr>
          <w:fldChar w:fldCharType="end"/>
        </w:r>
      </w:hyperlink>
    </w:p>
    <w:p w14:paraId="0F162EC9" w14:textId="18D829EB" w:rsidR="00FF45EC" w:rsidRDefault="002E421D">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6905A0">
          <w:rPr>
            <w:noProof/>
          </w:rPr>
          <w:t>45</w:t>
        </w:r>
        <w:r w:rsidR="00FF45EC">
          <w:rPr>
            <w:noProof/>
          </w:rPr>
          <w:fldChar w:fldCharType="end"/>
        </w:r>
      </w:hyperlink>
    </w:p>
    <w:p w14:paraId="610D80B3" w14:textId="4817C073" w:rsidR="00FF45EC" w:rsidRDefault="002E421D">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6905A0">
          <w:rPr>
            <w:noProof/>
          </w:rPr>
          <w:t>46</w:t>
        </w:r>
        <w:r w:rsidR="00FF45EC">
          <w:rPr>
            <w:noProof/>
          </w:rPr>
          <w:fldChar w:fldCharType="end"/>
        </w:r>
      </w:hyperlink>
    </w:p>
    <w:p w14:paraId="5E0F4F42" w14:textId="5247C108" w:rsidR="00FF45EC" w:rsidRDefault="002E421D">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6905A0">
          <w:rPr>
            <w:noProof/>
          </w:rPr>
          <w:t>47</w:t>
        </w:r>
        <w:r w:rsidR="00FF45EC">
          <w:rPr>
            <w:noProof/>
          </w:rPr>
          <w:fldChar w:fldCharType="end"/>
        </w:r>
      </w:hyperlink>
    </w:p>
    <w:p w14:paraId="0C6076F7" w14:textId="1910085A" w:rsidR="00FF45EC" w:rsidRDefault="002E421D">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6905A0">
          <w:rPr>
            <w:noProof/>
          </w:rPr>
          <w:t>49</w:t>
        </w:r>
        <w:r w:rsidR="00FF45EC">
          <w:rPr>
            <w:noProof/>
          </w:rPr>
          <w:fldChar w:fldCharType="end"/>
        </w:r>
      </w:hyperlink>
    </w:p>
    <w:p w14:paraId="6BC088FE" w14:textId="55AA79D3" w:rsidR="00FF45EC" w:rsidRDefault="002E421D">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6905A0">
          <w:rPr>
            <w:noProof/>
          </w:rPr>
          <w:t>50</w:t>
        </w:r>
        <w:r w:rsidR="00FF45EC">
          <w:rPr>
            <w:noProof/>
          </w:rPr>
          <w:fldChar w:fldCharType="end"/>
        </w:r>
      </w:hyperlink>
    </w:p>
    <w:p w14:paraId="54545901" w14:textId="78B592E9" w:rsidR="00FF45EC" w:rsidRDefault="002E421D">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6905A0">
          <w:rPr>
            <w:noProof/>
          </w:rPr>
          <w:t>51</w:t>
        </w:r>
        <w:r w:rsidR="00FF45EC">
          <w:rPr>
            <w:noProof/>
          </w:rPr>
          <w:fldChar w:fldCharType="end"/>
        </w:r>
      </w:hyperlink>
    </w:p>
    <w:p w14:paraId="42E76862" w14:textId="55FC24FF" w:rsidR="00FF45EC" w:rsidRDefault="002E421D">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6905A0">
          <w:rPr>
            <w:noProof/>
          </w:rPr>
          <w:t>52</w:t>
        </w:r>
        <w:r w:rsidR="00FF45EC">
          <w:rPr>
            <w:noProof/>
          </w:rPr>
          <w:fldChar w:fldCharType="end"/>
        </w:r>
      </w:hyperlink>
    </w:p>
    <w:p w14:paraId="429C5C75" w14:textId="18EB3339" w:rsidR="00FF45EC" w:rsidRDefault="002E421D">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6905A0">
          <w:rPr>
            <w:noProof/>
          </w:rPr>
          <w:t>52</w:t>
        </w:r>
        <w:r w:rsidR="00FF45EC">
          <w:rPr>
            <w:noProof/>
          </w:rPr>
          <w:fldChar w:fldCharType="end"/>
        </w:r>
      </w:hyperlink>
    </w:p>
    <w:p w14:paraId="0393BAB7" w14:textId="5FA41BF4" w:rsidR="00FF45EC" w:rsidRDefault="002E421D">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6905A0">
          <w:rPr>
            <w:noProof/>
          </w:rPr>
          <w:t>53</w:t>
        </w:r>
        <w:r w:rsidR="00FF45EC">
          <w:rPr>
            <w:noProof/>
          </w:rPr>
          <w:fldChar w:fldCharType="end"/>
        </w:r>
      </w:hyperlink>
    </w:p>
    <w:p w14:paraId="556EB986" w14:textId="3A376B95" w:rsidR="00FF45EC" w:rsidRDefault="002E421D">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6905A0">
          <w:rPr>
            <w:noProof/>
          </w:rPr>
          <w:t>54</w:t>
        </w:r>
        <w:r w:rsidR="00FF45EC">
          <w:rPr>
            <w:noProof/>
          </w:rPr>
          <w:fldChar w:fldCharType="end"/>
        </w:r>
      </w:hyperlink>
    </w:p>
    <w:p w14:paraId="13D0289E" w14:textId="25D5A47F" w:rsidR="00FF45EC" w:rsidRDefault="002E421D">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6905A0">
          <w:rPr>
            <w:noProof/>
          </w:rPr>
          <w:t>55</w:t>
        </w:r>
        <w:r w:rsidR="00FF45EC">
          <w:rPr>
            <w:noProof/>
          </w:rPr>
          <w:fldChar w:fldCharType="end"/>
        </w:r>
      </w:hyperlink>
    </w:p>
    <w:p w14:paraId="33B2EE32" w14:textId="7BE7CA86" w:rsidR="00FF45EC" w:rsidRDefault="002E421D">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6905A0">
          <w:rPr>
            <w:noProof/>
          </w:rPr>
          <w:t>55</w:t>
        </w:r>
        <w:r w:rsidR="00FF45EC">
          <w:rPr>
            <w:noProof/>
          </w:rPr>
          <w:fldChar w:fldCharType="end"/>
        </w:r>
      </w:hyperlink>
    </w:p>
    <w:p w14:paraId="7268C1DD" w14:textId="7D6A57EF" w:rsidR="00FF45EC" w:rsidRDefault="002E421D">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6905A0">
          <w:rPr>
            <w:noProof/>
          </w:rPr>
          <w:t>56</w:t>
        </w:r>
        <w:r w:rsidR="00FF45EC">
          <w:rPr>
            <w:noProof/>
          </w:rPr>
          <w:fldChar w:fldCharType="end"/>
        </w:r>
      </w:hyperlink>
    </w:p>
    <w:p w14:paraId="37E222FD" w14:textId="1BF11817" w:rsidR="00FF45EC" w:rsidRDefault="002E421D">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6905A0">
          <w:rPr>
            <w:noProof/>
          </w:rPr>
          <w:t>56</w:t>
        </w:r>
        <w:r w:rsidR="00FF45EC">
          <w:rPr>
            <w:noProof/>
          </w:rPr>
          <w:fldChar w:fldCharType="end"/>
        </w:r>
      </w:hyperlink>
    </w:p>
    <w:p w14:paraId="7965065E" w14:textId="312C50C5" w:rsidR="00FF45EC" w:rsidRDefault="002E421D">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6905A0">
          <w:rPr>
            <w:noProof/>
          </w:rPr>
          <w:t>58</w:t>
        </w:r>
        <w:r w:rsidR="00FF45EC">
          <w:rPr>
            <w:noProof/>
          </w:rPr>
          <w:fldChar w:fldCharType="end"/>
        </w:r>
      </w:hyperlink>
    </w:p>
    <w:p w14:paraId="33B248C6" w14:textId="44E90C4D" w:rsidR="00FF45EC" w:rsidRDefault="002E421D">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6905A0">
          <w:rPr>
            <w:noProof/>
          </w:rPr>
          <w:t>58</w:t>
        </w:r>
        <w:r w:rsidR="00FF45EC">
          <w:rPr>
            <w:noProof/>
          </w:rPr>
          <w:fldChar w:fldCharType="end"/>
        </w:r>
      </w:hyperlink>
    </w:p>
    <w:p w14:paraId="599E9AE3" w14:textId="2D7C6CA7" w:rsidR="00FF45EC" w:rsidRDefault="002E421D">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6905A0">
          <w:rPr>
            <w:noProof/>
          </w:rPr>
          <w:t>58</w:t>
        </w:r>
        <w:r w:rsidR="00FF45EC">
          <w:rPr>
            <w:noProof/>
          </w:rPr>
          <w:fldChar w:fldCharType="end"/>
        </w:r>
      </w:hyperlink>
    </w:p>
    <w:p w14:paraId="34A8D0D4" w14:textId="398A6733" w:rsidR="00FF45EC" w:rsidRDefault="002E421D">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6905A0">
          <w:rPr>
            <w:noProof/>
          </w:rPr>
          <w:t>58</w:t>
        </w:r>
        <w:r w:rsidR="00FF45EC">
          <w:rPr>
            <w:noProof/>
          </w:rPr>
          <w:fldChar w:fldCharType="end"/>
        </w:r>
      </w:hyperlink>
    </w:p>
    <w:p w14:paraId="4B60311A" w14:textId="2DC6318D" w:rsidR="00FF45EC" w:rsidRDefault="002E421D">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6905A0">
          <w:rPr>
            <w:noProof/>
          </w:rPr>
          <w:t>58</w:t>
        </w:r>
        <w:r w:rsidR="00FF45EC">
          <w:rPr>
            <w:noProof/>
          </w:rPr>
          <w:fldChar w:fldCharType="end"/>
        </w:r>
      </w:hyperlink>
    </w:p>
    <w:p w14:paraId="4448955A" w14:textId="508D40DA" w:rsidR="00FF45EC" w:rsidRDefault="002E421D">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6905A0">
          <w:rPr>
            <w:noProof/>
          </w:rPr>
          <w:t>59</w:t>
        </w:r>
        <w:r w:rsidR="00FF45EC">
          <w:rPr>
            <w:noProof/>
          </w:rPr>
          <w:fldChar w:fldCharType="end"/>
        </w:r>
      </w:hyperlink>
    </w:p>
    <w:p w14:paraId="2F966E8B" w14:textId="01C7CF9A" w:rsidR="00FF45EC" w:rsidRDefault="002E421D">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6905A0">
          <w:rPr>
            <w:noProof/>
          </w:rPr>
          <w:t>59</w:t>
        </w:r>
        <w:r w:rsidR="00FF45EC">
          <w:rPr>
            <w:noProof/>
          </w:rPr>
          <w:fldChar w:fldCharType="end"/>
        </w:r>
      </w:hyperlink>
    </w:p>
    <w:p w14:paraId="391BA3F6" w14:textId="232C7DF6" w:rsidR="00FF45EC" w:rsidRDefault="002E421D">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6905A0">
          <w:rPr>
            <w:noProof/>
          </w:rPr>
          <w:t>59</w:t>
        </w:r>
        <w:r w:rsidR="00FF45EC">
          <w:rPr>
            <w:noProof/>
          </w:rPr>
          <w:fldChar w:fldCharType="end"/>
        </w:r>
      </w:hyperlink>
    </w:p>
    <w:p w14:paraId="746DE98F" w14:textId="11D6B8DC" w:rsidR="00FF45EC" w:rsidRDefault="002E421D">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6905A0">
          <w:rPr>
            <w:noProof/>
          </w:rPr>
          <w:t>59</w:t>
        </w:r>
        <w:r w:rsidR="00FF45EC">
          <w:rPr>
            <w:noProof/>
          </w:rPr>
          <w:fldChar w:fldCharType="end"/>
        </w:r>
      </w:hyperlink>
    </w:p>
    <w:p w14:paraId="37A600F2" w14:textId="10477FF5" w:rsidR="00FF45EC" w:rsidRDefault="002E421D">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6905A0">
          <w:rPr>
            <w:noProof/>
          </w:rPr>
          <w:t>60</w:t>
        </w:r>
        <w:r w:rsidR="00FF45EC">
          <w:rPr>
            <w:noProof/>
          </w:rPr>
          <w:fldChar w:fldCharType="end"/>
        </w:r>
      </w:hyperlink>
    </w:p>
    <w:p w14:paraId="767F1043" w14:textId="2295064A" w:rsidR="00FF45EC" w:rsidRDefault="002E421D">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6905A0">
          <w:rPr>
            <w:noProof/>
          </w:rPr>
          <w:t>61</w:t>
        </w:r>
        <w:r w:rsidR="00FF45EC">
          <w:rPr>
            <w:noProof/>
          </w:rPr>
          <w:fldChar w:fldCharType="end"/>
        </w:r>
      </w:hyperlink>
    </w:p>
    <w:p w14:paraId="039FDE11" w14:textId="255DC2BA" w:rsidR="00FF45EC" w:rsidRDefault="002E421D">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6905A0">
          <w:rPr>
            <w:noProof/>
          </w:rPr>
          <w:t>61</w:t>
        </w:r>
        <w:r w:rsidR="00FF45EC">
          <w:rPr>
            <w:noProof/>
          </w:rPr>
          <w:fldChar w:fldCharType="end"/>
        </w:r>
      </w:hyperlink>
    </w:p>
    <w:p w14:paraId="2716F23E" w14:textId="5021213B" w:rsidR="00FF45EC" w:rsidRDefault="002E421D">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6905A0">
          <w:rPr>
            <w:noProof/>
          </w:rPr>
          <w:t>62</w:t>
        </w:r>
        <w:r w:rsidR="00FF45EC">
          <w:rPr>
            <w:noProof/>
          </w:rPr>
          <w:fldChar w:fldCharType="end"/>
        </w:r>
      </w:hyperlink>
    </w:p>
    <w:p w14:paraId="3657F39D" w14:textId="2A593130" w:rsidR="00FF45EC" w:rsidRDefault="002E421D">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6905A0">
          <w:rPr>
            <w:noProof/>
          </w:rPr>
          <w:t>62</w:t>
        </w:r>
        <w:r w:rsidR="00FF45EC">
          <w:rPr>
            <w:noProof/>
          </w:rPr>
          <w:fldChar w:fldCharType="end"/>
        </w:r>
      </w:hyperlink>
    </w:p>
    <w:p w14:paraId="6729A5A0" w14:textId="10059232" w:rsidR="00FF45EC" w:rsidRDefault="002E421D">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6905A0">
          <w:rPr>
            <w:noProof/>
          </w:rPr>
          <w:t>62</w:t>
        </w:r>
        <w:r w:rsidR="00FF45EC">
          <w:rPr>
            <w:noProof/>
          </w:rPr>
          <w:fldChar w:fldCharType="end"/>
        </w:r>
      </w:hyperlink>
    </w:p>
    <w:p w14:paraId="43C3D1ED" w14:textId="12C4F367" w:rsidR="00FF45EC" w:rsidRDefault="002E421D">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6905A0">
          <w:rPr>
            <w:noProof/>
          </w:rPr>
          <w:t>63</w:t>
        </w:r>
        <w:r w:rsidR="00FF45EC">
          <w:rPr>
            <w:noProof/>
          </w:rPr>
          <w:fldChar w:fldCharType="end"/>
        </w:r>
      </w:hyperlink>
    </w:p>
    <w:p w14:paraId="4A595307" w14:textId="1688194F" w:rsidR="00FF45EC" w:rsidRDefault="002E421D">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6905A0">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2E421D">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2E421D">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2E421D">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6622E8B5" w:rsidR="00EF24F1" w:rsidRDefault="002E421D">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w:t>
        </w:r>
      </w:hyperlink>
      <w:r w:rsidR="00C35065">
        <w:rPr>
          <w:noProof/>
        </w:rPr>
        <w:t>70</w:t>
      </w:r>
    </w:p>
    <w:p w14:paraId="375D96EB" w14:textId="6AD8DBF9" w:rsidR="00EF24F1" w:rsidRDefault="002E421D">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w:t>
        </w:r>
      </w:hyperlink>
      <w:r w:rsidR="00C35065">
        <w:rPr>
          <w:noProof/>
        </w:rPr>
        <w:t>71</w:t>
      </w:r>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2FA4FDFA" w:rsidR="00E4296F" w:rsidRPr="00431991" w:rsidRDefault="007C176B" w:rsidP="00314BBC">
      <w:pPr>
        <w:pStyle w:val="Parties"/>
        <w:jc w:val="both"/>
        <w:rPr>
          <w:rFonts w:cs="Arial"/>
        </w:rPr>
      </w:pPr>
      <w:r>
        <w:rPr>
          <w:rFonts w:cs="Arial"/>
          <w:b/>
        </w:rPr>
        <w:t>North Tyneside Council</w:t>
      </w:r>
      <w:r w:rsidR="00237B58" w:rsidRPr="2B489A15">
        <w:rPr>
          <w:rFonts w:cs="Arial"/>
        </w:rPr>
        <w:t xml:space="preserve"> whose head office is at </w:t>
      </w:r>
      <w:r w:rsidR="00CA7A58">
        <w:rPr>
          <w:rFonts w:cs="Arial"/>
        </w:rPr>
        <w:t>The Quadrant, Silverlink North, Cobalt Business Park</w:t>
      </w:r>
      <w:r w:rsidR="00956272">
        <w:rPr>
          <w:rFonts w:cs="Arial"/>
        </w:rPr>
        <w:t xml:space="preserve"> NE27 0BY</w:t>
      </w:r>
      <w:r w:rsidR="00237B58" w:rsidRPr="2B489A15">
        <w:rPr>
          <w:rFonts w:cs="Arial"/>
        </w:rPr>
        <w:t xml:space="preserve"> (</w:t>
      </w:r>
      <w:r w:rsidR="00237B58" w:rsidRPr="2B489A15">
        <w:rPr>
          <w:rStyle w:val="DefTerm"/>
          <w:b w:val="0"/>
        </w:rPr>
        <w:t>the “</w:t>
      </w:r>
      <w:r w:rsidR="00237B58" w:rsidRPr="2B489A15">
        <w:rPr>
          <w:rStyle w:val="DefTerm"/>
        </w:rPr>
        <w:t>Provider</w:t>
      </w:r>
      <w:r w:rsidR="00237B58" w:rsidRPr="2B489A15">
        <w:rPr>
          <w:rStyle w:val="DefTerm"/>
          <w:b w:val="0"/>
        </w:rPr>
        <w:t>”</w:t>
      </w:r>
      <w:r w:rsidR="00237B58"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includes all healthcare education and training regardless of the Funding mechanism, and applies unilaterally across all areas which HEE funds (</w:t>
      </w:r>
      <w:proofErr w:type="gramStart"/>
      <w:r w:rsidRPr="00431991">
        <w:rPr>
          <w:rFonts w:cs="Arial"/>
          <w:szCs w:val="24"/>
        </w:rPr>
        <w:t>i.e.</w:t>
      </w:r>
      <w:proofErr w:type="gramEnd"/>
      <w:r w:rsidRPr="00431991">
        <w:rPr>
          <w:rFonts w:cs="Arial"/>
          <w:szCs w:val="24"/>
        </w:rPr>
        <w:t xml:space="preserve"> all pre-registration healthcare </w:t>
      </w:r>
      <w:proofErr w:type="spellStart"/>
      <w:r w:rsidRPr="00431991">
        <w:rPr>
          <w:rFonts w:cs="Arial"/>
          <w:szCs w:val="24"/>
        </w:rPr>
        <w:t>programmes</w:t>
      </w:r>
      <w:proofErr w:type="spellEnd"/>
      <w:r w:rsidRPr="00431991">
        <w:rPr>
          <w:rFonts w:cs="Arial"/>
          <w:szCs w:val="24"/>
        </w:rPr>
        <w:t xml:space="preserve">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w:t>
      </w:r>
      <w:proofErr w:type="gramStart"/>
      <w:r w:rsidRPr="00234B30">
        <w:rPr>
          <w:rFonts w:cstheme="minorHAnsi"/>
          <w:szCs w:val="24"/>
        </w:rPr>
        <w:t>codes</w:t>
      </w:r>
      <w:proofErr w:type="gramEnd"/>
      <w:r w:rsidRPr="00234B30">
        <w:rPr>
          <w:rFonts w:cstheme="minorHAnsi"/>
          <w:szCs w:val="24"/>
        </w:rPr>
        <w:t xml:space="preserve">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xml:space="preserve">: a day, other than a Saturday, </w:t>
      </w:r>
      <w:proofErr w:type="gramStart"/>
      <w:r w:rsidRPr="00431991">
        <w:rPr>
          <w:rFonts w:cs="Arial"/>
          <w:szCs w:val="24"/>
        </w:rPr>
        <w:t>Sunday</w:t>
      </w:r>
      <w:proofErr w:type="gramEnd"/>
      <w:r w:rsidRPr="00431991">
        <w:rPr>
          <w:rFonts w:cs="Arial"/>
          <w:szCs w:val="24"/>
        </w:rPr>
        <w:t xml:space="preserve">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 xml:space="preserve">Clinical </w:t>
      </w:r>
      <w:proofErr w:type="spellStart"/>
      <w:r w:rsidRPr="0035100B">
        <w:rPr>
          <w:rStyle w:val="DefTerm"/>
          <w:rFonts w:asciiTheme="minorHAnsi" w:hAnsiTheme="minorHAnsi" w:cstheme="minorHAnsi"/>
          <w:szCs w:val="24"/>
        </w:rPr>
        <w:t>Programmes</w:t>
      </w:r>
      <w:proofErr w:type="spellEnd"/>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6B9BFE1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w:t>
      </w:r>
      <w:proofErr w:type="spellStart"/>
      <w:r w:rsidRPr="0035100B">
        <w:rPr>
          <w:rStyle w:val="DefTerm"/>
          <w:rFonts w:asciiTheme="minorHAnsi" w:hAnsiTheme="minorHAnsi" w:cstheme="minorHAnsi"/>
          <w:b w:val="0"/>
          <w:szCs w:val="24"/>
        </w:rPr>
        <w:t>licence</w:t>
      </w:r>
      <w:proofErr w:type="spellEnd"/>
      <w:r w:rsidRPr="0035100B">
        <w:rPr>
          <w:rStyle w:val="DefTerm"/>
          <w:rFonts w:asciiTheme="minorHAnsi" w:hAnsiTheme="minorHAnsi" w:cstheme="minorHAnsi"/>
          <w:b w:val="0"/>
          <w:szCs w:val="24"/>
        </w:rPr>
        <w:t xml:space="preserve">, statutory agreement, </w:t>
      </w:r>
      <w:proofErr w:type="spellStart"/>
      <w:r w:rsidRPr="0035100B">
        <w:rPr>
          <w:rStyle w:val="DefTerm"/>
          <w:rFonts w:asciiTheme="minorHAnsi" w:hAnsiTheme="minorHAnsi" w:cstheme="minorHAnsi"/>
          <w:b w:val="0"/>
          <w:szCs w:val="24"/>
        </w:rPr>
        <w:t>authorisation</w:t>
      </w:r>
      <w:proofErr w:type="spellEnd"/>
      <w:r w:rsidRPr="0035100B">
        <w:rPr>
          <w:rStyle w:val="DefTerm"/>
          <w:rFonts w:asciiTheme="minorHAnsi" w:hAnsiTheme="minorHAnsi" w:cstheme="minorHAnsi"/>
          <w:b w:val="0"/>
          <w:szCs w:val="24"/>
        </w:rPr>
        <w:t xml:space="preserve">, </w:t>
      </w:r>
      <w:proofErr w:type="gramStart"/>
      <w:r w:rsidRPr="0035100B">
        <w:rPr>
          <w:rStyle w:val="DefTerm"/>
          <w:rFonts w:asciiTheme="minorHAnsi" w:hAnsiTheme="minorHAnsi" w:cstheme="minorHAnsi"/>
          <w:b w:val="0"/>
          <w:szCs w:val="24"/>
        </w:rPr>
        <w:t>exception</w:t>
      </w:r>
      <w:proofErr w:type="gramEnd"/>
      <w:r w:rsidRPr="0035100B">
        <w:rPr>
          <w:rStyle w:val="DefTerm"/>
          <w:rFonts w:asciiTheme="minorHAnsi" w:hAnsiTheme="minorHAnsi" w:cstheme="minorHAnsi"/>
          <w:b w:val="0"/>
          <w:szCs w:val="24"/>
        </w:rPr>
        <w:t xml:space="preserve">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66284066"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53BA1E66"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29536403"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 xml:space="preserve">Contracting </w:t>
      </w:r>
      <w:proofErr w:type="gramStart"/>
      <w:r w:rsidRPr="0035100B">
        <w:rPr>
          <w:rStyle w:val="DefTerm"/>
          <w:rFonts w:asciiTheme="minorHAnsi" w:hAnsiTheme="minorHAnsi" w:cstheme="minorHAnsi"/>
          <w:szCs w:val="24"/>
        </w:rPr>
        <w:t>Authority</w:t>
      </w:r>
      <w:r w:rsidRPr="0035100B">
        <w:rPr>
          <w:rStyle w:val="DefTerm"/>
          <w:rFonts w:asciiTheme="minorHAnsi" w:hAnsiTheme="minorHAnsi" w:cstheme="minorHAnsi"/>
          <w:b w:val="0"/>
          <w:szCs w:val="24"/>
        </w:rPr>
        <w:t>:</w:t>
      </w:r>
      <w:proofErr w:type="gramEnd"/>
      <w:r w:rsidRPr="0035100B">
        <w:rPr>
          <w:rStyle w:val="DefTerm"/>
          <w:rFonts w:asciiTheme="minorHAnsi" w:hAnsiTheme="minorHAnsi" w:cstheme="minorHAnsi"/>
          <w:b w:val="0"/>
          <w:szCs w:val="24"/>
        </w:rPr>
        <w:t xml:space="preserve">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 xml:space="preserve">Controller, processor, data subject, personal data, personal data breach, </w:t>
      </w:r>
      <w:proofErr w:type="gramStart"/>
      <w:r w:rsidRPr="008E2FC6">
        <w:rPr>
          <w:rStyle w:val="DefTerm"/>
          <w:rFonts w:asciiTheme="minorHAnsi" w:hAnsiTheme="minorHAnsi" w:cstheme="minorHAnsi"/>
          <w:szCs w:val="24"/>
        </w:rPr>
        <w:t>processing</w:t>
      </w:r>
      <w:proofErr w:type="gramEnd"/>
      <w:r w:rsidRPr="008E2FC6">
        <w:rPr>
          <w:rStyle w:val="DefTerm"/>
          <w:rFonts w:asciiTheme="minorHAnsi" w:hAnsiTheme="minorHAnsi" w:cstheme="minorHAnsi"/>
          <w:szCs w:val="24"/>
        </w:rPr>
        <w:t xml:space="preserve">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 xml:space="preserve">Doctors in </w:t>
      </w:r>
      <w:proofErr w:type="gramStart"/>
      <w:r w:rsidRPr="00431991">
        <w:rPr>
          <w:rFonts w:eastAsia="Arial" w:cs="Arial"/>
          <w:b/>
          <w:szCs w:val="24"/>
        </w:rPr>
        <w:t>Training</w:t>
      </w:r>
      <w:r w:rsidRPr="00431991">
        <w:rPr>
          <w:rFonts w:eastAsia="Arial" w:cs="Arial"/>
          <w:szCs w:val="24"/>
        </w:rPr>
        <w:t>:</w:t>
      </w:r>
      <w:proofErr w:type="gramEnd"/>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w:t>
      </w:r>
      <w:proofErr w:type="spellStart"/>
      <w:r w:rsidRPr="00431991">
        <w:rPr>
          <w:rFonts w:cs="Arial"/>
          <w:szCs w:val="24"/>
        </w:rPr>
        <w:t>recognised</w:t>
      </w:r>
      <w:proofErr w:type="spellEnd"/>
      <w:r w:rsidRPr="00431991">
        <w:rPr>
          <w:rFonts w:cs="Arial"/>
          <w:szCs w:val="24"/>
        </w:rPr>
        <w:t xml:space="preserve">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xml:space="preserve">: </w:t>
      </w:r>
      <w:proofErr w:type="gramStart"/>
      <w:r w:rsidRPr="00431991">
        <w:rPr>
          <w:rFonts w:cs="Arial"/>
          <w:szCs w:val="24"/>
        </w:rPr>
        <w:t>computer based</w:t>
      </w:r>
      <w:proofErr w:type="gramEnd"/>
      <w:r w:rsidRPr="00431991">
        <w:rPr>
          <w:rFonts w:cs="Arial"/>
          <w:szCs w:val="24"/>
        </w:rPr>
        <w:t xml:space="preserve">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xml:space="preserve">: the Equality Delivery System for the NHS – EDS2, being a tool designed to help NHS </w:t>
      </w:r>
      <w:proofErr w:type="spellStart"/>
      <w:r w:rsidRPr="00431991">
        <w:rPr>
          <w:rFonts w:cs="Arial"/>
          <w:szCs w:val="24"/>
        </w:rPr>
        <w:t>organisations</w:t>
      </w:r>
      <w:proofErr w:type="spellEnd"/>
      <w:r w:rsidRPr="00431991">
        <w:rPr>
          <w:rFonts w:cs="Arial"/>
          <w:szCs w:val="24"/>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contracted provider which undertakes educational provision services, and which is an education provider of academic studies, including but not limited to a HEI, faculty, school, further education provider, or an education and training </w:t>
      </w:r>
      <w:proofErr w:type="spellStart"/>
      <w:r w:rsidRPr="00431991">
        <w:rPr>
          <w:rFonts w:eastAsia="Arial" w:cs="Arial"/>
          <w:bCs/>
          <w:szCs w:val="24"/>
        </w:rPr>
        <w:t>organisation</w:t>
      </w:r>
      <w:proofErr w:type="spellEnd"/>
      <w:r w:rsidRPr="00431991">
        <w:rPr>
          <w:rFonts w:eastAsia="Arial" w:cs="Arial"/>
          <w:bCs/>
          <w:szCs w:val="24"/>
        </w:rPr>
        <w:t>.</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xml:space="preserve">: those Learners who are recruited into NHS posts on </w:t>
      </w:r>
      <w:proofErr w:type="spellStart"/>
      <w:r w:rsidRPr="00431991">
        <w:rPr>
          <w:rFonts w:cs="Arial"/>
          <w:szCs w:val="24"/>
        </w:rPr>
        <w:t>Programmes</w:t>
      </w:r>
      <w:proofErr w:type="spellEnd"/>
      <w:r w:rsidRPr="00431991">
        <w:rPr>
          <w:rFonts w:cs="Arial"/>
          <w:szCs w:val="24"/>
        </w:rPr>
        <w:t xml:space="preserve">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038CEAD3"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6905A0">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w:t>
      </w:r>
      <w:proofErr w:type="spellStart"/>
      <w:r w:rsidRPr="00541EE6">
        <w:rPr>
          <w:rStyle w:val="DefTerm"/>
          <w:rFonts w:asciiTheme="minorHAnsi" w:hAnsiTheme="minorHAnsi" w:cstheme="minorHAnsi"/>
          <w:b w:val="0"/>
          <w:szCs w:val="24"/>
        </w:rPr>
        <w:t>Programmes</w:t>
      </w:r>
      <w:proofErr w:type="spellEnd"/>
      <w:r w:rsidRPr="00541EE6">
        <w:rPr>
          <w:rStyle w:val="DefTerm"/>
          <w:rFonts w:asciiTheme="minorHAnsi" w:hAnsiTheme="minorHAnsi" w:cstheme="minorHAnsi"/>
          <w:b w:val="0"/>
          <w:szCs w:val="24"/>
        </w:rPr>
        <w:t xml:space="preserve">,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xml:space="preserve">: using standards, practices, </w:t>
      </w:r>
      <w:proofErr w:type="gramStart"/>
      <w:r w:rsidRPr="00541EE6">
        <w:rPr>
          <w:rStyle w:val="DefTerm"/>
          <w:rFonts w:asciiTheme="minorHAnsi" w:hAnsiTheme="minorHAnsi" w:cstheme="minorHAnsi"/>
          <w:b w:val="0"/>
          <w:szCs w:val="24"/>
        </w:rPr>
        <w:t>methods</w:t>
      </w:r>
      <w:proofErr w:type="gramEnd"/>
      <w:r w:rsidRPr="00541EE6">
        <w:rPr>
          <w:rStyle w:val="DefTerm"/>
          <w:rFonts w:asciiTheme="minorHAnsi" w:hAnsiTheme="minorHAnsi" w:cstheme="minorHAnsi"/>
          <w:b w:val="0"/>
          <w:szCs w:val="24"/>
        </w:rPr>
        <w:t xml:space="preserve">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in respect of any Party, the board of directors, governing body, executive </w:t>
      </w:r>
      <w:proofErr w:type="gramStart"/>
      <w:r w:rsidRPr="00541EE6">
        <w:rPr>
          <w:rStyle w:val="DefTerm"/>
          <w:rFonts w:asciiTheme="minorHAnsi" w:hAnsiTheme="minorHAnsi" w:cstheme="minorHAnsi"/>
          <w:b w:val="0"/>
          <w:szCs w:val="24"/>
        </w:rPr>
        <w:t>team</w:t>
      </w:r>
      <w:proofErr w:type="gramEnd"/>
      <w:r w:rsidRPr="00541EE6">
        <w:rPr>
          <w:rStyle w:val="DefTerm"/>
          <w:rFonts w:asciiTheme="minorHAnsi" w:hAnsiTheme="minorHAnsi" w:cstheme="minorHAnsi"/>
          <w:b w:val="0"/>
          <w:szCs w:val="24"/>
        </w:rPr>
        <w:t xml:space="preserve">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proofErr w:type="gramStart"/>
      <w:r w:rsidR="00EF5CAE" w:rsidRPr="00541EE6">
        <w:rPr>
          <w:rStyle w:val="DefTerm"/>
          <w:rFonts w:asciiTheme="minorHAnsi" w:hAnsiTheme="minorHAnsi" w:cstheme="minorHAnsi"/>
          <w:b w:val="0"/>
          <w:szCs w:val="24"/>
        </w:rPr>
        <w:t>a</w:t>
      </w:r>
      <w:proofErr w:type="gramEnd"/>
      <w:r w:rsidR="00EF5CAE" w:rsidRPr="00541EE6">
        <w:rPr>
          <w:rStyle w:val="DefTerm"/>
          <w:rFonts w:asciiTheme="minorHAnsi" w:hAnsiTheme="minorHAnsi" w:cstheme="minorHAnsi"/>
          <w:b w:val="0"/>
          <w:szCs w:val="24"/>
        </w:rPr>
        <w:t xml:space="preserve">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 xml:space="preserve">guardian of safe working hours, designed to reassure junior doctors and employers that </w:t>
      </w:r>
      <w:proofErr w:type="spellStart"/>
      <w:r w:rsidRPr="00431991">
        <w:rPr>
          <w:rFonts w:cs="Arial"/>
          <w:bCs/>
          <w:szCs w:val="24"/>
          <w:shd w:val="clear" w:color="auto" w:fill="FFFFFF"/>
        </w:rPr>
        <w:t>rotas</w:t>
      </w:r>
      <w:proofErr w:type="spellEnd"/>
      <w:r w:rsidRPr="00431991">
        <w:rPr>
          <w:rFonts w:cs="Arial"/>
          <w:bCs/>
          <w:szCs w:val="24"/>
          <w:shd w:val="clear" w:color="auto" w:fill="FFFFFF"/>
        </w:rPr>
        <w:t xml:space="preserve">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proofErr w:type="gramStart"/>
      <w:r w:rsidRPr="00431991">
        <w:rPr>
          <w:rFonts w:eastAsia="Arial" w:cs="Arial"/>
          <w:szCs w:val="24"/>
        </w:rPr>
        <w:t>the</w:t>
      </w:r>
      <w:proofErr w:type="gramEnd"/>
      <w:r w:rsidRPr="00431991">
        <w:rPr>
          <w:rFonts w:eastAsia="Arial" w:cs="Arial"/>
          <w:szCs w:val="24"/>
        </w:rPr>
        <w:t xml:space="preserv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 xml:space="preserve">the local economic health and social care system, referred to as a Sustainability and Transformation Partnership (STP), or an Integrated Care System (ICS) or any other partnership which brings together health and social care </w:t>
      </w:r>
      <w:proofErr w:type="spellStart"/>
      <w:r w:rsidRPr="00431991">
        <w:rPr>
          <w:rFonts w:eastAsia="Arial" w:cs="Arial"/>
          <w:bCs/>
          <w:szCs w:val="24"/>
        </w:rPr>
        <w:t>organisations</w:t>
      </w:r>
      <w:proofErr w:type="spellEnd"/>
      <w:r w:rsidRPr="00431991">
        <w:rPr>
          <w:rFonts w:eastAsia="Arial" w:cs="Arial"/>
          <w:bCs/>
          <w:szCs w:val="24"/>
        </w:rPr>
        <w:t>.</w:t>
      </w:r>
    </w:p>
    <w:p w14:paraId="6F51BE15" w14:textId="756A16EB"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w:t>
      </w:r>
      <w:proofErr w:type="gramStart"/>
      <w:r w:rsidRPr="00431991">
        <w:rPr>
          <w:rFonts w:eastAsia="Arial" w:cs="Arial"/>
          <w:szCs w:val="24"/>
        </w:rPr>
        <w:t>subcontractors</w:t>
      </w:r>
      <w:proofErr w:type="gramEnd"/>
      <w:r w:rsidRPr="00431991">
        <w:rPr>
          <w:rFonts w:eastAsia="Arial" w:cs="Arial"/>
          <w:szCs w:val="24"/>
        </w:rPr>
        <w:t xml:space="preserve">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6905A0">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all documents, information, </w:t>
      </w:r>
      <w:proofErr w:type="gramStart"/>
      <w:r w:rsidRPr="00431991">
        <w:rPr>
          <w:rFonts w:eastAsia="Arial" w:cs="Arial"/>
          <w:szCs w:val="24"/>
        </w:rPr>
        <w:t>items</w:t>
      </w:r>
      <w:proofErr w:type="gramEnd"/>
      <w:r w:rsidRPr="00431991">
        <w:rPr>
          <w:rFonts w:eastAsia="Arial" w:cs="Arial"/>
          <w:szCs w:val="24"/>
        </w:rPr>
        <w:t xml:space="preserve">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xml:space="preserve">: the multi-professional education and training quality framework published by HEE and as amended, </w:t>
      </w:r>
      <w:proofErr w:type="gramStart"/>
      <w:r w:rsidRPr="00431991">
        <w:rPr>
          <w:rFonts w:eastAsia="Arial" w:cs="Arial"/>
          <w:szCs w:val="24"/>
        </w:rPr>
        <w:t>replaced</w:t>
      </w:r>
      <w:proofErr w:type="gramEnd"/>
      <w:r w:rsidRPr="00431991">
        <w:rPr>
          <w:rFonts w:eastAsia="Arial" w:cs="Arial"/>
          <w:szCs w:val="24"/>
        </w:rPr>
        <w:t xml:space="preserve">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sidRPr="005927AD">
        <w:rPr>
          <w:rStyle w:val="DefTerm"/>
          <w:rFonts w:asciiTheme="minorHAnsi" w:hAnsiTheme="minorHAnsi" w:cstheme="minorHAnsi"/>
          <w:b w:val="0"/>
          <w:szCs w:val="24"/>
        </w:rPr>
        <w:t>reorganisation</w:t>
      </w:r>
      <w:proofErr w:type="spellEnd"/>
      <w:r w:rsidRPr="005927AD">
        <w:rPr>
          <w:rStyle w:val="DefTerm"/>
          <w:rFonts w:asciiTheme="minorHAnsi" w:hAnsiTheme="minorHAnsi" w:cstheme="minorHAnsi"/>
          <w:b w:val="0"/>
          <w:szCs w:val="24"/>
        </w:rPr>
        <w:t xml:space="preserve">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xml:space="preserve">: patents, utility models, rights to inventions, copyright and </w:t>
      </w:r>
      <w:proofErr w:type="spellStart"/>
      <w:r w:rsidRPr="00431991">
        <w:rPr>
          <w:rFonts w:cs="Arial"/>
          <w:szCs w:val="24"/>
        </w:rPr>
        <w:t>neighbouring</w:t>
      </w:r>
      <w:proofErr w:type="spellEnd"/>
      <w:r w:rsidRPr="00431991">
        <w:rPr>
          <w:rFonts w:cs="Arial"/>
          <w:szCs w:val="24"/>
        </w:rPr>
        <w:t xml:space="preserve"> and related rights, moral rights, </w:t>
      </w:r>
      <w:proofErr w:type="spellStart"/>
      <w:r w:rsidRPr="00431991">
        <w:rPr>
          <w:rFonts w:cs="Arial"/>
          <w:szCs w:val="24"/>
        </w:rPr>
        <w:t>trade marks</w:t>
      </w:r>
      <w:proofErr w:type="spellEnd"/>
      <w:r w:rsidRPr="00431991">
        <w:rPr>
          <w:rFonts w:cs="Arial"/>
          <w:szCs w:val="24"/>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0E6BB066"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deferred from a </w:t>
      </w:r>
      <w:proofErr w:type="spellStart"/>
      <w:r w:rsidRPr="005927AD">
        <w:rPr>
          <w:rStyle w:val="DefTerm"/>
          <w:rFonts w:asciiTheme="minorHAnsi" w:hAnsiTheme="minorHAnsi" w:cstheme="minorHAnsi"/>
          <w:b w:val="0"/>
          <w:szCs w:val="24"/>
        </w:rPr>
        <w:t>Programme</w:t>
      </w:r>
      <w:proofErr w:type="spell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xml:space="preserv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excluding those who are </w:t>
      </w:r>
      <w:proofErr w:type="gramStart"/>
      <w:r w:rsidRPr="005927AD">
        <w:rPr>
          <w:rStyle w:val="DefTerm"/>
          <w:rFonts w:asciiTheme="minorHAnsi" w:hAnsiTheme="minorHAnsi" w:cstheme="minorHAnsi"/>
          <w:b w:val="0"/>
          <w:szCs w:val="24"/>
        </w:rPr>
        <w:t>temporarily suspended</w:t>
      </w:r>
      <w:proofErr w:type="gramEnd"/>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xml:space="preserve">: an environment in which Learners acquire knowledge, information, comprehension or skill by study, </w:t>
      </w:r>
      <w:proofErr w:type="gramStart"/>
      <w:r w:rsidRPr="005927AD">
        <w:rPr>
          <w:rStyle w:val="DefTerm"/>
          <w:rFonts w:asciiTheme="minorHAnsi" w:hAnsiTheme="minorHAnsi" w:cstheme="minorHAnsi"/>
          <w:b w:val="0"/>
          <w:szCs w:val="24"/>
        </w:rPr>
        <w:t>instruction</w:t>
      </w:r>
      <w:proofErr w:type="gramEnd"/>
      <w:r w:rsidRPr="005927AD">
        <w:rPr>
          <w:rStyle w:val="DefTerm"/>
          <w:rFonts w:asciiTheme="minorHAnsi" w:hAnsiTheme="minorHAnsi" w:cstheme="minorHAnsi"/>
          <w:b w:val="0"/>
          <w:szCs w:val="24"/>
        </w:rPr>
        <w:t xml:space="preserve"> or experience in all fields of healthcare which are relevant to </w:t>
      </w:r>
      <w:proofErr w:type="spellStart"/>
      <w:r w:rsidRPr="005927AD">
        <w:rPr>
          <w:rStyle w:val="DefTerm"/>
          <w:rFonts w:asciiTheme="minorHAnsi" w:hAnsiTheme="minorHAnsi" w:cstheme="minorHAnsi"/>
          <w:b w:val="0"/>
          <w:szCs w:val="24"/>
        </w:rPr>
        <w:t>Programme</w:t>
      </w:r>
      <w:proofErr w:type="spellEnd"/>
      <w:r w:rsidRPr="005927AD">
        <w:rPr>
          <w:rStyle w:val="DefTerm"/>
          <w:rFonts w:asciiTheme="minorHAnsi" w:hAnsiTheme="minorHAnsi" w:cstheme="minorHAnsi"/>
          <w:b w:val="0"/>
          <w:szCs w:val="24"/>
        </w:rPr>
        <w:t>,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xml:space="preserve">: </w:t>
      </w:r>
      <w:proofErr w:type="gramStart"/>
      <w:r w:rsidRPr="00431991">
        <w:rPr>
          <w:rFonts w:eastAsia="Arial" w:cs="Arial"/>
          <w:szCs w:val="24"/>
        </w:rPr>
        <w:t>a</w:t>
      </w:r>
      <w:proofErr w:type="gramEnd"/>
      <w:r w:rsidRPr="00431991">
        <w:rPr>
          <w:rFonts w:eastAsia="Arial" w:cs="Arial"/>
          <w:szCs w:val="24"/>
        </w:rPr>
        <w:t xml:space="preserve">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 xml:space="preserve">Medical </w:t>
      </w:r>
      <w:proofErr w:type="spellStart"/>
      <w:r w:rsidRPr="00431991">
        <w:rPr>
          <w:rFonts w:cs="Arial"/>
          <w:b/>
          <w:bCs/>
          <w:szCs w:val="24"/>
        </w:rPr>
        <w:t>Programmes</w:t>
      </w:r>
      <w:proofErr w:type="spellEnd"/>
      <w:r w:rsidRPr="00431991">
        <w:rPr>
          <w:rFonts w:cs="Arial"/>
          <w:bCs/>
          <w:szCs w:val="24"/>
        </w:rPr>
        <w:t>:</w:t>
      </w:r>
      <w:r w:rsidRPr="00431991">
        <w:rPr>
          <w:rFonts w:cs="Arial"/>
          <w:szCs w:val="24"/>
        </w:rPr>
        <w:t xml:space="preserve"> </w:t>
      </w:r>
      <w:proofErr w:type="spellStart"/>
      <w:r w:rsidRPr="00431991">
        <w:rPr>
          <w:rFonts w:cs="Arial"/>
          <w:szCs w:val="24"/>
        </w:rPr>
        <w:t>programmes</w:t>
      </w:r>
      <w:proofErr w:type="spellEnd"/>
      <w:r w:rsidRPr="00431991">
        <w:rPr>
          <w:rFonts w:cs="Arial"/>
          <w:szCs w:val="24"/>
        </w:rPr>
        <w:t xml:space="preserve"> within a medical </w:t>
      </w:r>
      <w:proofErr w:type="spellStart"/>
      <w:r w:rsidRPr="00431991">
        <w:rPr>
          <w:rFonts w:cs="Arial"/>
          <w:szCs w:val="24"/>
        </w:rPr>
        <w:t>speciality</w:t>
      </w:r>
      <w:proofErr w:type="spellEnd"/>
      <w:r w:rsidRPr="00431991">
        <w:rPr>
          <w:rFonts w:cs="Arial"/>
          <w:szCs w:val="24"/>
        </w:rPr>
        <w:t xml:space="preserve">, both undergraduate and postgraduate. </w:t>
      </w:r>
    </w:p>
    <w:p w14:paraId="4BF62810" w14:textId="3D28BD7D"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 xml:space="preserve">Monitor’s </w:t>
      </w:r>
      <w:proofErr w:type="spellStart"/>
      <w:r w:rsidRPr="00431991">
        <w:rPr>
          <w:rFonts w:eastAsia="Arial" w:cs="Arial"/>
          <w:b/>
          <w:szCs w:val="24"/>
        </w:rPr>
        <w:t>Licence</w:t>
      </w:r>
      <w:proofErr w:type="spellEnd"/>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 </w:t>
      </w:r>
      <w:proofErr w:type="spellStart"/>
      <w:r w:rsidRPr="00431991">
        <w:rPr>
          <w:rFonts w:eastAsia="Arial" w:cs="Arial"/>
          <w:szCs w:val="24"/>
        </w:rPr>
        <w:t>licence</w:t>
      </w:r>
      <w:proofErr w:type="spellEnd"/>
      <w:r w:rsidRPr="00431991">
        <w:rPr>
          <w:rFonts w:eastAsia="Arial" w:cs="Arial"/>
          <w:szCs w:val="24"/>
        </w:rPr>
        <w:t xml:space="preserv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w:t>
      </w:r>
      <w:proofErr w:type="spellStart"/>
      <w:r w:rsidRPr="0090768D">
        <w:rPr>
          <w:rFonts w:cstheme="minorHAnsi"/>
          <w:szCs w:val="24"/>
        </w:rPr>
        <w:t>Programmes</w:t>
      </w:r>
      <w:proofErr w:type="spellEnd"/>
      <w:r w:rsidRPr="0090768D">
        <w:rPr>
          <w:rFonts w:cstheme="minorHAnsi"/>
          <w:szCs w:val="24"/>
        </w:rPr>
        <w:t xml:space="preserve">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xml:space="preserve">, GP surgery, dental practice and other </w:t>
      </w:r>
      <w:proofErr w:type="spellStart"/>
      <w:r w:rsidRPr="0090768D">
        <w:rPr>
          <w:rStyle w:val="DefTerm"/>
          <w:rFonts w:asciiTheme="minorHAnsi" w:hAnsiTheme="minorHAnsi" w:cstheme="minorHAnsi"/>
          <w:b w:val="0"/>
          <w:szCs w:val="24"/>
        </w:rPr>
        <w:t>organisations</w:t>
      </w:r>
      <w:proofErr w:type="spellEnd"/>
      <w:r w:rsidRPr="0090768D">
        <w:rPr>
          <w:rStyle w:val="DefTerm"/>
          <w:rFonts w:asciiTheme="minorHAnsi" w:hAnsiTheme="minorHAnsi" w:cstheme="minorHAnsi"/>
          <w:b w:val="0"/>
          <w:szCs w:val="24"/>
        </w:rPr>
        <w:t xml:space="preserve">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 xml:space="preserve">an </w:t>
      </w:r>
      <w:proofErr w:type="spellStart"/>
      <w:r w:rsidRPr="0090768D">
        <w:rPr>
          <w:rStyle w:val="DefTerm"/>
          <w:rFonts w:asciiTheme="minorHAnsi" w:hAnsiTheme="minorHAnsi" w:cstheme="minorHAnsi"/>
          <w:b w:val="0"/>
          <w:szCs w:val="24"/>
        </w:rPr>
        <w:t>organisation</w:t>
      </w:r>
      <w:proofErr w:type="spellEnd"/>
      <w:r w:rsidRPr="0090768D">
        <w:rPr>
          <w:rStyle w:val="DefTerm"/>
          <w:rFonts w:asciiTheme="minorHAnsi" w:hAnsiTheme="minorHAnsi" w:cstheme="minorHAnsi"/>
          <w:b w:val="0"/>
          <w:szCs w:val="24"/>
        </w:rPr>
        <w:t xml:space="preserve">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proofErr w:type="spellStart"/>
      <w:r w:rsidRPr="0090768D">
        <w:rPr>
          <w:rStyle w:val="DefTerm"/>
          <w:rFonts w:asciiTheme="minorHAnsi" w:hAnsiTheme="minorHAnsi" w:cstheme="minorHAnsi"/>
          <w:szCs w:val="24"/>
        </w:rPr>
        <w:t>Programme</w:t>
      </w:r>
      <w:proofErr w:type="spellEnd"/>
      <w:r w:rsidRPr="0090768D">
        <w:rPr>
          <w:rStyle w:val="DefTerm"/>
          <w:rFonts w:asciiTheme="minorHAnsi" w:hAnsiTheme="minorHAnsi" w:cstheme="minorHAnsi"/>
          <w:b w:val="0"/>
          <w:szCs w:val="24"/>
        </w:rPr>
        <w:t xml:space="preserve">: any of the pre-qualification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undergraduate medical and dental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post graduate medical and dental training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and all other Clinical </w:t>
      </w:r>
      <w:proofErr w:type="spellStart"/>
      <w:r w:rsidRPr="0090768D">
        <w:rPr>
          <w:rStyle w:val="DefTerm"/>
          <w:rFonts w:asciiTheme="minorHAnsi" w:hAnsiTheme="minorHAnsi" w:cstheme="minorHAnsi"/>
          <w:b w:val="0"/>
          <w:szCs w:val="24"/>
        </w:rPr>
        <w:t>Programmes</w:t>
      </w:r>
      <w:proofErr w:type="spellEnd"/>
      <w:r w:rsidRPr="0090768D">
        <w:rPr>
          <w:rStyle w:val="DefTerm"/>
          <w:rFonts w:asciiTheme="minorHAnsi" w:hAnsiTheme="minorHAnsi" w:cstheme="minorHAnsi"/>
          <w:b w:val="0"/>
          <w:szCs w:val="24"/>
        </w:rPr>
        <w:t xml:space="preserve"> at undergraduate and postgraduate level, as may be applicable to the </w:t>
      </w:r>
      <w:proofErr w:type="gramStart"/>
      <w:r w:rsidRPr="0090768D">
        <w:rPr>
          <w:rStyle w:val="DefTerm"/>
          <w:rFonts w:asciiTheme="minorHAnsi" w:hAnsiTheme="minorHAnsi" w:cstheme="minorHAnsi"/>
          <w:b w:val="0"/>
          <w:szCs w:val="24"/>
        </w:rPr>
        <w:t>particular context</w:t>
      </w:r>
      <w:proofErr w:type="gramEnd"/>
      <w:r w:rsidRPr="0090768D">
        <w:rPr>
          <w:rStyle w:val="DefTerm"/>
          <w:rFonts w:asciiTheme="minorHAnsi" w:hAnsiTheme="minorHAnsi" w:cstheme="minorHAnsi"/>
          <w:b w:val="0"/>
          <w:szCs w:val="24"/>
        </w:rPr>
        <w: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w:t>
      </w:r>
      <w:proofErr w:type="gramStart"/>
      <w:r w:rsidRPr="0090768D">
        <w:rPr>
          <w:rStyle w:val="DefTerm"/>
          <w:rFonts w:asciiTheme="minorHAnsi" w:hAnsiTheme="minorHAnsi" w:cstheme="minorHAnsi"/>
          <w:b w:val="0"/>
          <w:szCs w:val="24"/>
        </w:rPr>
        <w:t>the</w:t>
      </w:r>
      <w:proofErr w:type="gramEnd"/>
      <w:r w:rsidRPr="0090768D">
        <w:rPr>
          <w:rStyle w:val="DefTerm"/>
          <w:rFonts w:asciiTheme="minorHAnsi" w:hAnsiTheme="minorHAnsi" w:cstheme="minorHAnsi"/>
          <w:b w:val="0"/>
          <w:szCs w:val="24"/>
        </w:rPr>
        <w:t xml:space="preserv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sidRPr="0090768D">
        <w:rPr>
          <w:rStyle w:val="DefTerm"/>
          <w:rFonts w:asciiTheme="minorHAnsi" w:hAnsiTheme="minorHAnsi" w:cstheme="minorHAnsi"/>
          <w:b w:val="0"/>
          <w:szCs w:val="24"/>
        </w:rPr>
        <w:t>favour</w:t>
      </w:r>
      <w:proofErr w:type="spellEnd"/>
      <w:r w:rsidRPr="0090768D">
        <w:rPr>
          <w:rStyle w:val="DefTerm"/>
          <w:rFonts w:asciiTheme="minorHAnsi" w:hAnsiTheme="minorHAnsi" w:cstheme="minorHAnsi"/>
          <w:b w:val="0"/>
          <w:szCs w:val="24"/>
        </w:rPr>
        <w:t xml:space="preserve"> or </w:t>
      </w:r>
      <w:proofErr w:type="spellStart"/>
      <w:r w:rsidRPr="0090768D">
        <w:rPr>
          <w:rStyle w:val="DefTerm"/>
          <w:rFonts w:asciiTheme="minorHAnsi" w:hAnsiTheme="minorHAnsi" w:cstheme="minorHAnsi"/>
          <w:b w:val="0"/>
          <w:szCs w:val="24"/>
        </w:rPr>
        <w:t>disfavour</w:t>
      </w:r>
      <w:proofErr w:type="spellEnd"/>
      <w:r w:rsidRPr="0090768D">
        <w:rPr>
          <w:rStyle w:val="DefTerm"/>
          <w:rFonts w:asciiTheme="minorHAnsi" w:hAnsiTheme="minorHAnsi" w:cstheme="minorHAnsi"/>
          <w:b w:val="0"/>
          <w:szCs w:val="24"/>
        </w:rPr>
        <w:t xml:space="preserve">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425261FD"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 xml:space="preserve">notified by the Provider to HEE from time to time in accordance with clause </w:t>
      </w:r>
      <w:proofErr w:type="gramStart"/>
      <w:r w:rsidR="00DF6F2A" w:rsidRPr="0090768D">
        <w:rPr>
          <w:rStyle w:val="DefTerm"/>
          <w:rFonts w:asciiTheme="minorHAnsi" w:hAnsiTheme="minorHAnsi" w:cstheme="minorHAnsi"/>
          <w:b w:val="0"/>
          <w:szCs w:val="24"/>
        </w:rPr>
        <w:t>24.2;</w:t>
      </w:r>
      <w:proofErr w:type="gramEnd"/>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w:t>
      </w:r>
      <w:proofErr w:type="spellStart"/>
      <w:r w:rsidRPr="00431991">
        <w:rPr>
          <w:rFonts w:cs="Arial"/>
          <w:szCs w:val="24"/>
        </w:rPr>
        <w:t>organisations</w:t>
      </w:r>
      <w:proofErr w:type="spellEnd"/>
      <w:r w:rsidRPr="00431991">
        <w:rPr>
          <w:rFonts w:cs="Arial"/>
          <w:szCs w:val="24"/>
        </w:rPr>
        <w:t xml:space="preserve">,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w:t>
      </w:r>
      <w:proofErr w:type="gramStart"/>
      <w:r w:rsidRPr="00431991">
        <w:rPr>
          <w:rFonts w:eastAsia="Arial" w:cs="Arial"/>
          <w:szCs w:val="24"/>
        </w:rPr>
        <w:t>North East</w:t>
      </w:r>
      <w:proofErr w:type="gramEnd"/>
      <w:r w:rsidRPr="00431991">
        <w:rPr>
          <w:rFonts w:eastAsia="Arial" w:cs="Arial"/>
          <w:szCs w:val="24"/>
        </w:rPr>
        <w:t xml:space="preserve">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4A41C720"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FCC94F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41E09978"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w:t>
      </w:r>
      <w:proofErr w:type="gramStart"/>
      <w:r w:rsidRPr="0090768D">
        <w:rPr>
          <w:rStyle w:val="DefTerm"/>
          <w:rFonts w:asciiTheme="minorHAnsi" w:hAnsiTheme="minorHAnsi" w:cstheme="minorHAnsi"/>
          <w:b w:val="0"/>
          <w:szCs w:val="24"/>
        </w:rPr>
        <w:t>particular physical</w:t>
      </w:r>
      <w:proofErr w:type="gramEnd"/>
      <w:r w:rsidRPr="0090768D">
        <w:rPr>
          <w:rStyle w:val="DefTerm"/>
          <w:rFonts w:asciiTheme="minorHAnsi" w:hAnsiTheme="minorHAnsi" w:cstheme="minorHAnsi"/>
          <w:b w:val="0"/>
          <w:szCs w:val="24"/>
        </w:rPr>
        <w:t xml:space="preserve">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w:t>
      </w:r>
      <w:proofErr w:type="gramStart"/>
      <w:r w:rsidRPr="0090768D">
        <w:rPr>
          <w:rStyle w:val="DefTerm"/>
          <w:rFonts w:asciiTheme="minorHAnsi" w:hAnsiTheme="minorHAnsi" w:cstheme="minorHAnsi"/>
          <w:b w:val="0"/>
          <w:szCs w:val="24"/>
        </w:rPr>
        <w:t>reprimands</w:t>
      </w:r>
      <w:proofErr w:type="gramEnd"/>
      <w:r w:rsidRPr="0090768D">
        <w:rPr>
          <w:rStyle w:val="DefTerm"/>
          <w:rFonts w:asciiTheme="minorHAnsi" w:hAnsiTheme="minorHAnsi" w:cstheme="minorHAnsi"/>
          <w:b w:val="0"/>
          <w:szCs w:val="24"/>
        </w:rPr>
        <w:t xml:space="preserve">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 xml:space="preserve">HEE and/or any Regulator having reasonable and material concerns as to the continuity, </w:t>
      </w:r>
      <w:proofErr w:type="gramStart"/>
      <w:r w:rsidRPr="0090768D">
        <w:rPr>
          <w:rStyle w:val="DefTerm"/>
          <w:rFonts w:asciiTheme="minorHAnsi" w:hAnsiTheme="minorHAnsi" w:cstheme="minorHAnsi"/>
          <w:b w:val="0"/>
          <w:szCs w:val="24"/>
        </w:rPr>
        <w:t>quality</w:t>
      </w:r>
      <w:proofErr w:type="gramEnd"/>
      <w:r w:rsidRPr="0090768D">
        <w:rPr>
          <w:rStyle w:val="DefTerm"/>
          <w:rFonts w:asciiTheme="minorHAnsi" w:hAnsiTheme="minorHAnsi" w:cstheme="minorHAnsi"/>
          <w:b w:val="0"/>
          <w:szCs w:val="24"/>
        </w:rPr>
        <w:t xml:space="preserve">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376D5654"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6905A0">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 xml:space="preserve">being prevented from providing a Service due to the termination, suspension, restriction or variation of any Consent or Monitor’s </w:t>
      </w:r>
      <w:proofErr w:type="spellStart"/>
      <w:r w:rsidRPr="0090768D">
        <w:rPr>
          <w:rStyle w:val="DefTerm"/>
          <w:rFonts w:asciiTheme="minorHAnsi" w:hAnsiTheme="minorHAnsi" w:cstheme="minorHAnsi"/>
          <w:b w:val="0"/>
          <w:szCs w:val="24"/>
        </w:rPr>
        <w:t>Licence</w:t>
      </w:r>
      <w:proofErr w:type="spellEnd"/>
      <w:r w:rsidRPr="0090768D">
        <w:rPr>
          <w:rStyle w:val="DefTerm"/>
          <w:rFonts w:asciiTheme="minorHAnsi" w:hAnsiTheme="minorHAnsi" w:cstheme="minorHAnsi"/>
          <w:b w:val="0"/>
          <w:szCs w:val="24"/>
        </w:rPr>
        <w:t>.</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w:t>
      </w:r>
      <w:proofErr w:type="gramStart"/>
      <w:r w:rsidRPr="0090768D">
        <w:rPr>
          <w:rStyle w:val="DefTerm"/>
          <w:rFonts w:asciiTheme="minorHAnsi" w:hAnsiTheme="minorHAnsi" w:cstheme="minorHAnsi"/>
          <w:b w:val="0"/>
          <w:szCs w:val="24"/>
        </w:rPr>
        <w:t>entered into</w:t>
      </w:r>
      <w:proofErr w:type="gramEnd"/>
      <w:r w:rsidRPr="0090768D">
        <w:rPr>
          <w:rStyle w:val="DefTerm"/>
          <w:rFonts w:asciiTheme="minorHAnsi" w:hAnsiTheme="minorHAnsi" w:cstheme="minorHAnsi"/>
          <w:b w:val="0"/>
          <w:szCs w:val="24"/>
        </w:rPr>
        <w:t xml:space="preserve">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w:t>
      </w:r>
      <w:proofErr w:type="gramStart"/>
      <w:r w:rsidRPr="0090768D">
        <w:rPr>
          <w:rStyle w:val="DefTerm"/>
          <w:rFonts w:asciiTheme="minorHAnsi" w:hAnsiTheme="minorHAnsi" w:cstheme="minorHAnsi"/>
          <w:b w:val="0"/>
          <w:bCs/>
          <w:szCs w:val="24"/>
        </w:rPr>
        <w:t>entered into</w:t>
      </w:r>
      <w:proofErr w:type="gramEnd"/>
      <w:r w:rsidRPr="0090768D">
        <w:rPr>
          <w:rStyle w:val="DefTerm"/>
          <w:rFonts w:asciiTheme="minorHAnsi" w:hAnsiTheme="minorHAnsi" w:cstheme="minorHAnsi"/>
          <w:b w:val="0"/>
          <w:bCs/>
          <w:szCs w:val="24"/>
        </w:rPr>
        <w:t xml:space="preserve"> between HEE, a placement provider, and an education provider that sets out the scope, roles and responsibilities and funding mechanism for undergraduate medical education and training, which shall </w:t>
      </w:r>
      <w:proofErr w:type="spellStart"/>
      <w:r w:rsidRPr="0090768D">
        <w:rPr>
          <w:rStyle w:val="DefTerm"/>
          <w:rFonts w:asciiTheme="minorHAnsi" w:hAnsiTheme="minorHAnsi" w:cstheme="minorHAnsi"/>
          <w:b w:val="0"/>
          <w:bCs/>
          <w:szCs w:val="24"/>
        </w:rPr>
        <w:t>operationalise</w:t>
      </w:r>
      <w:proofErr w:type="spellEnd"/>
      <w:r w:rsidRPr="0090768D">
        <w:rPr>
          <w:rStyle w:val="DefTerm"/>
          <w:rFonts w:asciiTheme="minorHAnsi" w:hAnsiTheme="minorHAnsi" w:cstheme="minorHAnsi"/>
          <w:b w:val="0"/>
          <w:bCs/>
          <w:szCs w:val="24"/>
        </w:rPr>
        <w:t xml:space="preserv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w:t>
      </w:r>
      <w:proofErr w:type="gramStart"/>
      <w:r w:rsidRPr="0090768D">
        <w:rPr>
          <w:rStyle w:val="DefTerm"/>
          <w:rFonts w:asciiTheme="minorHAnsi" w:hAnsiTheme="minorHAnsi" w:cstheme="minorHAnsi"/>
          <w:b w:val="0"/>
          <w:szCs w:val="24"/>
        </w:rPr>
        <w:t>values based</w:t>
      </w:r>
      <w:proofErr w:type="gramEnd"/>
      <w:r w:rsidRPr="0090768D">
        <w:rPr>
          <w:rStyle w:val="DefTerm"/>
          <w:rFonts w:asciiTheme="minorHAnsi" w:hAnsiTheme="minorHAnsi" w:cstheme="minorHAnsi"/>
          <w:b w:val="0"/>
          <w:szCs w:val="24"/>
        </w:rPr>
        <w:t xml:space="preserve">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 xml:space="preserve">Clause, </w:t>
      </w:r>
      <w:proofErr w:type="gramStart"/>
      <w:r w:rsidRPr="00431991">
        <w:rPr>
          <w:rFonts w:cs="Arial"/>
          <w:szCs w:val="24"/>
        </w:rPr>
        <w:t>Schedule</w:t>
      </w:r>
      <w:proofErr w:type="gramEnd"/>
      <w:r w:rsidRPr="00431991">
        <w:rPr>
          <w:rFonts w:cs="Arial"/>
          <w:szCs w:val="24"/>
        </w:rPr>
        <w:t xml:space="preserv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t>
      </w:r>
      <w:proofErr w:type="gramStart"/>
      <w:r w:rsidRPr="00431991">
        <w:rPr>
          <w:rFonts w:cs="Arial"/>
          <w:szCs w:val="24"/>
        </w:rPr>
        <w:t>whether or not</w:t>
      </w:r>
      <w:proofErr w:type="gramEnd"/>
      <w:r w:rsidRPr="00431991">
        <w:rPr>
          <w:rFonts w:cs="Arial"/>
          <w:szCs w:val="24"/>
        </w:rPr>
        <w:t xml:space="preserve">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w:t>
      </w:r>
      <w:proofErr w:type="gramStart"/>
      <w:r w:rsidRPr="00431991">
        <w:rPr>
          <w:rFonts w:cs="Arial"/>
          <w:szCs w:val="24"/>
        </w:rPr>
        <w:t>corporation</w:t>
      </w:r>
      <w:proofErr w:type="gramEnd"/>
      <w:r w:rsidRPr="00431991">
        <w:rPr>
          <w:rFonts w:cs="Arial"/>
          <w:szCs w:val="24"/>
        </w:rPr>
        <w:t xml:space="preserve">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 xml:space="preserve">Unless the context otherwise requires, words in the singular shall include the plural </w:t>
      </w:r>
      <w:proofErr w:type="gramStart"/>
      <w:r w:rsidRPr="00431991">
        <w:rPr>
          <w:rFonts w:cs="Arial"/>
          <w:szCs w:val="24"/>
        </w:rPr>
        <w:t>and in the plural</w:t>
      </w:r>
      <w:proofErr w:type="gramEnd"/>
      <w:r w:rsidRPr="00431991">
        <w:rPr>
          <w:rFonts w:cs="Arial"/>
          <w:szCs w:val="24"/>
        </w:rPr>
        <w:t xml:space="preserve">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w:t>
      </w:r>
      <w:proofErr w:type="spellStart"/>
      <w:r w:rsidRPr="00431991">
        <w:rPr>
          <w:rFonts w:cs="Arial"/>
          <w:szCs w:val="24"/>
        </w:rPr>
        <w:t>enure</w:t>
      </w:r>
      <w:proofErr w:type="spellEnd"/>
      <w:r w:rsidRPr="00431991">
        <w:rPr>
          <w:rFonts w:cs="Arial"/>
          <w:szCs w:val="24"/>
        </w:rPr>
        <w:t xml:space="preserv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 xml:space="preserve">A reference to a statute or statutory provision is a reference to it as amended, </w:t>
      </w:r>
      <w:proofErr w:type="gramStart"/>
      <w:r w:rsidRPr="00431991">
        <w:rPr>
          <w:rFonts w:cs="Arial"/>
          <w:szCs w:val="24"/>
        </w:rPr>
        <w:t>extended</w:t>
      </w:r>
      <w:proofErr w:type="gramEnd"/>
      <w:r w:rsidRPr="00431991">
        <w:rPr>
          <w:rFonts w:cs="Arial"/>
          <w:szCs w:val="24"/>
        </w:rPr>
        <w:t xml:space="preserve">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w:t>
      </w:r>
      <w:proofErr w:type="gramStart"/>
      <w:r w:rsidRPr="00431991">
        <w:rPr>
          <w:rFonts w:cs="Arial"/>
          <w:szCs w:val="24"/>
        </w:rPr>
        <w:t>re-enacted</w:t>
      </w:r>
      <w:proofErr w:type="gramEnd"/>
      <w:r w:rsidRPr="00431991">
        <w:rPr>
          <w:rFonts w:cs="Arial"/>
          <w:szCs w:val="24"/>
        </w:rPr>
        <w:t xml:space="preserve">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proofErr w:type="gramStart"/>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w:t>
      </w:r>
      <w:proofErr w:type="gramEnd"/>
      <w:r w:rsidRPr="00431991">
        <w:rPr>
          <w:rFonts w:cs="Arial"/>
          <w:b/>
          <w:szCs w:val="24"/>
        </w:rPr>
        <w:t xml:space="preserve">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2068B514"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127E6AE7"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 xml:space="preserve">have been obtained and are in full force and </w:t>
      </w:r>
      <w:proofErr w:type="gramStart"/>
      <w:r w:rsidRPr="00431991">
        <w:rPr>
          <w:szCs w:val="24"/>
        </w:rPr>
        <w:t>effect;</w:t>
      </w:r>
      <w:proofErr w:type="gramEnd"/>
    </w:p>
    <w:p w14:paraId="1AF4C0FC" w14:textId="77777777" w:rsidR="00E4296F" w:rsidRPr="00431991" w:rsidRDefault="00237B58" w:rsidP="00314BBC">
      <w:pPr>
        <w:pStyle w:val="Untitledsubclause2"/>
        <w:jc w:val="both"/>
        <w:rPr>
          <w:szCs w:val="24"/>
        </w:rPr>
      </w:pPr>
      <w:r w:rsidRPr="00431991">
        <w:rPr>
          <w:szCs w:val="24"/>
        </w:rPr>
        <w:t xml:space="preserve">the execution of this contract does not and shall not contravene or conflict with its Governing Documents or any legal obligations (including under contract) to which it is </w:t>
      </w:r>
      <w:proofErr w:type="gramStart"/>
      <w:r w:rsidRPr="00431991">
        <w:rPr>
          <w:szCs w:val="24"/>
        </w:rPr>
        <w:t>subject;</w:t>
      </w:r>
      <w:proofErr w:type="gramEnd"/>
    </w:p>
    <w:p w14:paraId="3A9C4483" w14:textId="77777777" w:rsidR="00E4296F" w:rsidRPr="00431991" w:rsidRDefault="00237B58" w:rsidP="00314BBC">
      <w:pPr>
        <w:pStyle w:val="Untitledsubclause2"/>
        <w:jc w:val="both"/>
        <w:rPr>
          <w:szCs w:val="24"/>
        </w:rPr>
      </w:pPr>
      <w:r w:rsidRPr="00431991">
        <w:rPr>
          <w:szCs w:val="24"/>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431991">
        <w:rPr>
          <w:szCs w:val="24"/>
        </w:rPr>
        <w:t>contract;</w:t>
      </w:r>
      <w:proofErr w:type="gramEnd"/>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6F7CAAE1"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5204AC51"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5465E2A0"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 xml:space="preserve">Services. The Provider shall use all reasonable </w:t>
      </w:r>
      <w:proofErr w:type="spellStart"/>
      <w:r w:rsidRPr="00431991">
        <w:rPr>
          <w:rFonts w:cs="Arial"/>
          <w:szCs w:val="24"/>
        </w:rPr>
        <w:t>endeavours</w:t>
      </w:r>
      <w:proofErr w:type="spellEnd"/>
      <w:r w:rsidRPr="00431991">
        <w:rPr>
          <w:rFonts w:cs="Arial"/>
          <w:szCs w:val="24"/>
        </w:rPr>
        <w:t xml:space="preserve"> to ensure that the same person acts as the Provider's manager throughout the term of this </w:t>
      </w:r>
      <w:proofErr w:type="gramStart"/>
      <w:r w:rsidRPr="00431991">
        <w:rPr>
          <w:rFonts w:cs="Arial"/>
          <w:szCs w:val="24"/>
        </w:rPr>
        <w:t>contract, but</w:t>
      </w:r>
      <w:proofErr w:type="gramEnd"/>
      <w:r w:rsidRPr="00431991">
        <w:rPr>
          <w:rFonts w:cs="Arial"/>
          <w:szCs w:val="24"/>
        </w:rPr>
        <w:t xml:space="preserve"> may replace that person from time to time where reasonably necessary in the interests of the Provider's business.</w:t>
      </w:r>
      <w:bookmarkEnd w:id="67"/>
    </w:p>
    <w:p w14:paraId="0C0A6AD2" w14:textId="0AA8784B"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27</w:t>
      </w:r>
      <w:r w:rsidR="006A0041" w:rsidRPr="00431991">
        <w:rPr>
          <w:rFonts w:cs="Arial"/>
          <w:szCs w:val="24"/>
        </w:rPr>
        <w:fldChar w:fldCharType="end"/>
      </w:r>
      <w:r w:rsidRPr="00431991">
        <w:rPr>
          <w:rFonts w:cs="Arial"/>
          <w:szCs w:val="24"/>
        </w:rPr>
        <w:t xml:space="preserve"> of this </w:t>
      </w:r>
      <w:proofErr w:type="gramStart"/>
      <w:r w:rsidRPr="00431991">
        <w:rPr>
          <w:rFonts w:cs="Arial"/>
          <w:szCs w:val="24"/>
        </w:rPr>
        <w:t>contract, and</w:t>
      </w:r>
      <w:proofErr w:type="gramEnd"/>
      <w:r w:rsidRPr="00431991">
        <w:rPr>
          <w:rFonts w:cs="Arial"/>
          <w:szCs w:val="24"/>
        </w:rPr>
        <w:t xml:space="preserve">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w:t>
      </w:r>
      <w:proofErr w:type="spellStart"/>
      <w:r w:rsidRPr="00431991">
        <w:rPr>
          <w:rFonts w:cs="Arial"/>
          <w:szCs w:val="24"/>
        </w:rPr>
        <w:t>endeavours</w:t>
      </w:r>
      <w:proofErr w:type="spellEnd"/>
      <w:r w:rsidRPr="00431991">
        <w:rPr>
          <w:rFonts w:cs="Arial"/>
          <w:szCs w:val="24"/>
        </w:rPr>
        <w:t xml:space="preserve">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 xml:space="preserve">including demonstrating leadership accountability for educational governance within the </w:t>
      </w:r>
      <w:proofErr w:type="spellStart"/>
      <w:r w:rsidR="00CF2BE5" w:rsidRPr="00431991">
        <w:rPr>
          <w:rFonts w:cs="Arial"/>
          <w:szCs w:val="24"/>
        </w:rPr>
        <w:t>organisation</w:t>
      </w:r>
      <w:proofErr w:type="spellEnd"/>
      <w:r w:rsidR="00CF2BE5" w:rsidRPr="00431991">
        <w:rPr>
          <w:rFonts w:cs="Arial"/>
          <w:szCs w:val="24"/>
        </w:rPr>
        <w:t xml:space="preserve">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 xml:space="preserve">in accordance with the terms of this </w:t>
      </w:r>
      <w:proofErr w:type="gramStart"/>
      <w:r w:rsidRPr="00431991">
        <w:rPr>
          <w:szCs w:val="24"/>
        </w:rPr>
        <w:t>contract;</w:t>
      </w:r>
      <w:proofErr w:type="gramEnd"/>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w:t>
      </w:r>
      <w:proofErr w:type="gramStart"/>
      <w:r w:rsidRPr="00431991">
        <w:rPr>
          <w:szCs w:val="24"/>
        </w:rPr>
        <w:t>personnel;</w:t>
      </w:r>
      <w:proofErr w:type="gramEnd"/>
      <w:r w:rsidRPr="00431991">
        <w:rPr>
          <w:szCs w:val="24"/>
        </w:rPr>
        <w:t xml:space="preserve">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w:t>
      </w:r>
      <w:proofErr w:type="gramStart"/>
      <w:r w:rsidRPr="00431991">
        <w:rPr>
          <w:szCs w:val="24"/>
        </w:rPr>
        <w:t>Framework;</w:t>
      </w:r>
      <w:proofErr w:type="gramEnd"/>
      <w:r w:rsidRPr="00431991">
        <w:rPr>
          <w:szCs w:val="24"/>
        </w:rPr>
        <w:t xml:space="preserve"> </w:t>
      </w:r>
    </w:p>
    <w:p w14:paraId="7576F696" w14:textId="77777777" w:rsidR="00E4296F" w:rsidRPr="00431991" w:rsidRDefault="00237B58" w:rsidP="00314BBC">
      <w:pPr>
        <w:pStyle w:val="Untitledsubclause2"/>
        <w:jc w:val="both"/>
        <w:rPr>
          <w:szCs w:val="24"/>
        </w:rPr>
      </w:pPr>
      <w:r w:rsidRPr="00431991">
        <w:rPr>
          <w:szCs w:val="24"/>
        </w:rPr>
        <w:t xml:space="preserve">in accordance with regulatory requirements of any Regulator in respect of the </w:t>
      </w:r>
      <w:proofErr w:type="gramStart"/>
      <w:r w:rsidRPr="00431991">
        <w:rPr>
          <w:szCs w:val="24"/>
        </w:rPr>
        <w:t>Services;</w:t>
      </w:r>
      <w:proofErr w:type="gramEnd"/>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w:t>
      </w:r>
      <w:proofErr w:type="spellStart"/>
      <w:r w:rsidRPr="00431991">
        <w:rPr>
          <w:szCs w:val="24"/>
        </w:rPr>
        <w:t>licences</w:t>
      </w:r>
      <w:proofErr w:type="spellEnd"/>
      <w:r w:rsidRPr="00431991">
        <w:rPr>
          <w:szCs w:val="24"/>
        </w:rPr>
        <w:t xml:space="preserve">, </w:t>
      </w:r>
      <w:proofErr w:type="spellStart"/>
      <w:r w:rsidRPr="00431991">
        <w:rPr>
          <w:szCs w:val="24"/>
        </w:rPr>
        <w:t>authorisations</w:t>
      </w:r>
      <w:proofErr w:type="spellEnd"/>
      <w:r w:rsidRPr="00431991">
        <w:rPr>
          <w:szCs w:val="24"/>
        </w:rPr>
        <w:t xml:space="preserve"> and permissions in order to ensure compliance in all respects with its obligations under this contract</w:t>
      </w:r>
      <w:proofErr w:type="gramStart"/>
      <w:r w:rsidRPr="00431991">
        <w:rPr>
          <w:szCs w:val="24"/>
        </w:rPr>
        <w:t>);</w:t>
      </w:r>
      <w:proofErr w:type="gramEnd"/>
      <w:r w:rsidRPr="00431991">
        <w:rPr>
          <w:szCs w:val="24"/>
        </w:rPr>
        <w:t xml:space="preserve"> </w:t>
      </w:r>
    </w:p>
    <w:p w14:paraId="52A7BC5C" w14:textId="77777777" w:rsidR="00E4296F" w:rsidRPr="00431991" w:rsidRDefault="00237B58" w:rsidP="00314BBC">
      <w:pPr>
        <w:pStyle w:val="Untitledsubclause2"/>
        <w:jc w:val="both"/>
        <w:rPr>
          <w:szCs w:val="24"/>
        </w:rPr>
      </w:pPr>
      <w:r w:rsidRPr="00431991">
        <w:rPr>
          <w:szCs w:val="24"/>
        </w:rPr>
        <w:t xml:space="preserve">using all reasonable </w:t>
      </w:r>
      <w:proofErr w:type="spellStart"/>
      <w:r w:rsidRPr="00431991">
        <w:rPr>
          <w:szCs w:val="24"/>
        </w:rPr>
        <w:t>endeavours</w:t>
      </w:r>
      <w:proofErr w:type="spellEnd"/>
      <w:r w:rsidRPr="00431991">
        <w:rPr>
          <w:szCs w:val="24"/>
        </w:rPr>
        <w:t xml:space="preserve"> to ensure that it does not do, and to procure that none of its employees, directors, </w:t>
      </w:r>
      <w:proofErr w:type="gramStart"/>
      <w:r w:rsidRPr="00431991">
        <w:rPr>
          <w:szCs w:val="24"/>
        </w:rPr>
        <w:t>officers</w:t>
      </w:r>
      <w:proofErr w:type="gramEnd"/>
      <w:r w:rsidRPr="00431991">
        <w:rPr>
          <w:szCs w:val="24"/>
        </w:rPr>
        <w:t xml:space="preserve">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proofErr w:type="spellStart"/>
      <w:r w:rsidRPr="00431991">
        <w:rPr>
          <w:rFonts w:cs="Arial"/>
          <w:szCs w:val="24"/>
        </w:rPr>
        <w:t>organisation</w:t>
      </w:r>
      <w:proofErr w:type="spellEnd"/>
      <w:r w:rsidRPr="00431991">
        <w:rPr>
          <w:rFonts w:cs="Arial"/>
          <w:szCs w:val="24"/>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w:t>
      </w:r>
      <w:proofErr w:type="gramStart"/>
      <w:r w:rsidRPr="00431991">
        <w:rPr>
          <w:rFonts w:cs="Arial"/>
          <w:szCs w:val="24"/>
        </w:rPr>
        <w:t>sufficient numbers of</w:t>
      </w:r>
      <w:proofErr w:type="gramEnd"/>
      <w:r w:rsidRPr="00431991">
        <w:rPr>
          <w:rFonts w:cs="Arial"/>
          <w:szCs w:val="24"/>
        </w:rPr>
        <w:t xml:space="preserve">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45286C19"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supervision and clinical education for Learners is </w:t>
      </w:r>
      <w:proofErr w:type="gramStart"/>
      <w:r w:rsidRPr="00431991">
        <w:rPr>
          <w:rFonts w:cs="Arial"/>
          <w:szCs w:val="24"/>
        </w:rPr>
        <w:t>provided at all times</w:t>
      </w:r>
      <w:proofErr w:type="gramEnd"/>
      <w:r w:rsidRPr="00431991">
        <w:rPr>
          <w:rFonts w:cs="Arial"/>
          <w:szCs w:val="24"/>
        </w:rPr>
        <w:t xml:space="preserve">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should fully integrate education and training into their plans for clinical services, </w:t>
      </w:r>
      <w:proofErr w:type="gramStart"/>
      <w:r w:rsidRPr="00431991">
        <w:rPr>
          <w:rFonts w:cs="Arial"/>
          <w:szCs w:val="24"/>
        </w:rPr>
        <w:t>in order to</w:t>
      </w:r>
      <w:proofErr w:type="gramEnd"/>
      <w:r w:rsidRPr="00431991">
        <w:rPr>
          <w:rFonts w:cs="Arial"/>
          <w:szCs w:val="24"/>
        </w:rPr>
        <w:t xml:space="preserve">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6A8824D0"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 xml:space="preserve">both on and off a Business Day, where they </w:t>
      </w:r>
      <w:proofErr w:type="gramStart"/>
      <w:r w:rsidRPr="00431991">
        <w:rPr>
          <w:szCs w:val="24"/>
        </w:rPr>
        <w:t>operate;</w:t>
      </w:r>
      <w:proofErr w:type="gramEnd"/>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w:t>
      </w:r>
      <w:proofErr w:type="spellStart"/>
      <w:r w:rsidRPr="00431991">
        <w:rPr>
          <w:rFonts w:cs="Arial"/>
          <w:szCs w:val="24"/>
        </w:rPr>
        <w:t>Programme</w:t>
      </w:r>
      <w:proofErr w:type="spellEnd"/>
      <w:r w:rsidRPr="00431991">
        <w:rPr>
          <w:rFonts w:cs="Arial"/>
          <w:szCs w:val="24"/>
        </w:rPr>
        <w:t xml:space="preserv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w:t>
      </w:r>
      <w:proofErr w:type="gramStart"/>
      <w:r w:rsidRPr="00431991">
        <w:rPr>
          <w:rFonts w:cs="Arial"/>
          <w:szCs w:val="24"/>
        </w:rPr>
        <w:t>curriculum</w:t>
      </w:r>
      <w:proofErr w:type="gramEnd"/>
      <w:r w:rsidRPr="00431991">
        <w:rPr>
          <w:rFonts w:cs="Arial"/>
          <w:szCs w:val="24"/>
        </w:rPr>
        <w:t xml:space="preserve">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 xml:space="preserve">Education Providers should provide HEE with their </w:t>
      </w:r>
      <w:proofErr w:type="spellStart"/>
      <w:r w:rsidRPr="00431991">
        <w:rPr>
          <w:rFonts w:cs="Arial"/>
          <w:szCs w:val="24"/>
        </w:rPr>
        <w:t>Programme</w:t>
      </w:r>
      <w:proofErr w:type="spellEnd"/>
      <w:r w:rsidRPr="00431991">
        <w:rPr>
          <w:rFonts w:cs="Arial"/>
          <w:szCs w:val="24"/>
        </w:rPr>
        <w:t xml:space="preserve"> specific widening participation plans when requested</w:t>
      </w:r>
      <w:r w:rsidR="00FA3626">
        <w:rPr>
          <w:rFonts w:cs="Arial"/>
          <w:szCs w:val="24"/>
        </w:rPr>
        <w:t>, or</w:t>
      </w:r>
      <w:r w:rsidR="00992F5E">
        <w:rPr>
          <w:rFonts w:cs="Arial"/>
          <w:szCs w:val="24"/>
        </w:rPr>
        <w:t xml:space="preserve"> plans which cover multiple </w:t>
      </w:r>
      <w:proofErr w:type="spellStart"/>
      <w:r w:rsidR="00992F5E">
        <w:rPr>
          <w:rFonts w:cs="Arial"/>
          <w:szCs w:val="24"/>
        </w:rPr>
        <w:t>Programmes</w:t>
      </w:r>
      <w:proofErr w:type="spellEnd"/>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 xml:space="preserve">HEE will seek assurance from the Education Provider that expectations to improve representation of the community is reflected in recruitment, education and training, and completion of </w:t>
      </w:r>
      <w:proofErr w:type="spellStart"/>
      <w:r w:rsidRPr="00431991">
        <w:rPr>
          <w:rFonts w:cs="Arial"/>
          <w:szCs w:val="24"/>
        </w:rPr>
        <w:t>Programmes</w:t>
      </w:r>
      <w:proofErr w:type="spellEnd"/>
      <w:r w:rsidRPr="00431991">
        <w:rPr>
          <w:rFonts w:cs="Arial"/>
          <w:szCs w:val="24"/>
        </w:rPr>
        <w:t>.</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all applicable equality law (whether in relation to race, sex, gender reassignment, age, disability, sexual orientation, religion or belief, pregnancy, maternity or otherwise</w:t>
      </w:r>
      <w:proofErr w:type="gramStart"/>
      <w:r w:rsidRPr="00431991">
        <w:rPr>
          <w:szCs w:val="24"/>
        </w:rPr>
        <w:t>);</w:t>
      </w:r>
      <w:proofErr w:type="gramEnd"/>
      <w:r w:rsidRPr="00431991">
        <w:rPr>
          <w:szCs w:val="24"/>
        </w:rPr>
        <w:t xml:space="preserve"> </w:t>
      </w:r>
    </w:p>
    <w:p w14:paraId="43A84071" w14:textId="77777777" w:rsidR="00E4296F" w:rsidRPr="00431991" w:rsidRDefault="00237B58" w:rsidP="00314BBC">
      <w:pPr>
        <w:pStyle w:val="Untitledsubclause2"/>
        <w:jc w:val="both"/>
        <w:rPr>
          <w:szCs w:val="24"/>
        </w:rPr>
      </w:pPr>
      <w:r w:rsidRPr="00431991">
        <w:rPr>
          <w:szCs w:val="24"/>
        </w:rPr>
        <w:t xml:space="preserve">any HEE equality and diversity policies, or other reasonable requirements relating to equality or diversity, communicated to it by </w:t>
      </w:r>
      <w:proofErr w:type="gramStart"/>
      <w:r w:rsidRPr="00431991">
        <w:rPr>
          <w:szCs w:val="24"/>
        </w:rPr>
        <w:t>HEE;</w:t>
      </w:r>
      <w:proofErr w:type="gramEnd"/>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 xml:space="preserve">co-operate and adopt a partnership approach with the Provider in all matters relating to the </w:t>
      </w:r>
      <w:proofErr w:type="gramStart"/>
      <w:r w:rsidRPr="00431991">
        <w:rPr>
          <w:szCs w:val="24"/>
        </w:rPr>
        <w:t>Services;</w:t>
      </w:r>
      <w:bookmarkEnd w:id="82"/>
      <w:proofErr w:type="gramEnd"/>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 xml:space="preserve">appoint a regional manager for the Services, to work with the HEE Representative. Only the HEE Representative shall have the authority to contractually bind HEE on matters relating to the </w:t>
      </w:r>
      <w:proofErr w:type="gramStart"/>
      <w:r w:rsidRPr="00431991">
        <w:rPr>
          <w:szCs w:val="24"/>
        </w:rPr>
        <w:t>Services;</w:t>
      </w:r>
      <w:bookmarkEnd w:id="83"/>
      <w:proofErr w:type="gramEnd"/>
    </w:p>
    <w:p w14:paraId="526580E4" w14:textId="1EE4378C"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w:t>
      </w:r>
    </w:p>
    <w:p w14:paraId="1B0E9AD9" w14:textId="3F66BDB9"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27</w:t>
      </w:r>
      <w:r w:rsidR="006A0041" w:rsidRPr="00431991">
        <w:rPr>
          <w:szCs w:val="24"/>
        </w:rPr>
        <w:fldChar w:fldCharType="end"/>
      </w:r>
      <w:r w:rsidRPr="00431991">
        <w:rPr>
          <w:szCs w:val="24"/>
        </w:rPr>
        <w:t>;</w:t>
      </w:r>
    </w:p>
    <w:p w14:paraId="1A573F84" w14:textId="2059067C"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 xml:space="preserve">ensure any formal communication under this contract is responded to within three 3 Business Days and which includes agreement for a detailed response within a reasonable </w:t>
      </w:r>
      <w:proofErr w:type="gramStart"/>
      <w:r w:rsidR="00237B58" w:rsidRPr="00431991">
        <w:rPr>
          <w:szCs w:val="24"/>
        </w:rPr>
        <w:t>timeframe;</w:t>
      </w:r>
      <w:proofErr w:type="gramEnd"/>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w:t>
      </w:r>
      <w:proofErr w:type="gramStart"/>
      <w:r w:rsidRPr="00431991">
        <w:rPr>
          <w:szCs w:val="24"/>
        </w:rPr>
        <w:t>invoice;</w:t>
      </w:r>
      <w:proofErr w:type="gramEnd"/>
    </w:p>
    <w:p w14:paraId="2B687087" w14:textId="77777777" w:rsidR="00E4296F" w:rsidRPr="00431991" w:rsidRDefault="00237B58" w:rsidP="00314BBC">
      <w:pPr>
        <w:pStyle w:val="Untitledsubclause2"/>
        <w:jc w:val="both"/>
        <w:rPr>
          <w:szCs w:val="24"/>
        </w:rPr>
      </w:pPr>
      <w:r w:rsidRPr="00431991">
        <w:rPr>
          <w:szCs w:val="24"/>
        </w:rPr>
        <w:t xml:space="preserve">ensure that the Provider has access to the HEE Quality </w:t>
      </w:r>
      <w:proofErr w:type="gramStart"/>
      <w:r w:rsidRPr="00431991">
        <w:rPr>
          <w:szCs w:val="24"/>
        </w:rPr>
        <w:t>Framework;</w:t>
      </w:r>
      <w:proofErr w:type="gramEnd"/>
    </w:p>
    <w:p w14:paraId="60B1B79E" w14:textId="77777777" w:rsidR="00E4296F" w:rsidRPr="00431991" w:rsidRDefault="00237B58" w:rsidP="00314BBC">
      <w:pPr>
        <w:pStyle w:val="Untitledsubclause2"/>
        <w:jc w:val="both"/>
        <w:rPr>
          <w:szCs w:val="24"/>
        </w:rPr>
      </w:pPr>
      <w:r w:rsidRPr="00431991">
        <w:rPr>
          <w:szCs w:val="24"/>
        </w:rPr>
        <w:t xml:space="preserve">engage with other relevant national bodies, government, Regulators, and arm’s length bodies to review the performance and suitability of the Provider to undertake education and training for </w:t>
      </w:r>
      <w:proofErr w:type="gramStart"/>
      <w:r w:rsidRPr="00431991">
        <w:rPr>
          <w:szCs w:val="24"/>
        </w:rPr>
        <w:t>HEE;</w:t>
      </w:r>
      <w:proofErr w:type="gramEnd"/>
    </w:p>
    <w:p w14:paraId="1CDE1AAB" w14:textId="77777777" w:rsidR="00E4296F" w:rsidRPr="00431991" w:rsidRDefault="00237B58" w:rsidP="00314BBC">
      <w:pPr>
        <w:pStyle w:val="Untitledsubclause2"/>
        <w:jc w:val="both"/>
        <w:rPr>
          <w:szCs w:val="24"/>
        </w:rPr>
      </w:pPr>
      <w:r w:rsidRPr="00431991">
        <w:rPr>
          <w:szCs w:val="24"/>
        </w:rPr>
        <w:t xml:space="preserve">initiate the TPA and/or TPA-UGME process with parties as requested, or as required by </w:t>
      </w:r>
      <w:proofErr w:type="gramStart"/>
      <w:r w:rsidRPr="00431991">
        <w:rPr>
          <w:szCs w:val="24"/>
        </w:rPr>
        <w:t>HEE;</w:t>
      </w:r>
      <w:proofErr w:type="gramEnd"/>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 xml:space="preserve">If the Provider's performance of its obligations under this contract is prevented or delayed by any act or omission of HEE, its agents, subcontractors, </w:t>
      </w:r>
      <w:proofErr w:type="gramStart"/>
      <w:r w:rsidRPr="00431991">
        <w:rPr>
          <w:rFonts w:cs="Arial"/>
          <w:szCs w:val="24"/>
        </w:rPr>
        <w:t>consultants</w:t>
      </w:r>
      <w:proofErr w:type="gramEnd"/>
      <w:r w:rsidRPr="00431991">
        <w:rPr>
          <w:rFonts w:cs="Arial"/>
          <w:szCs w:val="24"/>
        </w:rPr>
        <w:t xml:space="preserve">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w:t>
      </w:r>
      <w:proofErr w:type="spellStart"/>
      <w:r w:rsidRPr="00431991">
        <w:rPr>
          <w:szCs w:val="24"/>
        </w:rPr>
        <w:t>Programmes</w:t>
      </w:r>
      <w:proofErr w:type="spellEnd"/>
      <w:r w:rsidRPr="00431991">
        <w:rPr>
          <w:szCs w:val="24"/>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sidRPr="00431991">
        <w:rPr>
          <w:szCs w:val="24"/>
        </w:rPr>
        <w:t>basis;</w:t>
      </w:r>
      <w:proofErr w:type="gramEnd"/>
      <w:r w:rsidRPr="00431991">
        <w:rPr>
          <w:szCs w:val="24"/>
        </w:rPr>
        <w:t xml:space="preserve"> </w:t>
      </w:r>
    </w:p>
    <w:p w14:paraId="6428EA98" w14:textId="77777777" w:rsidR="00E4296F" w:rsidRPr="00431991" w:rsidRDefault="00237B58" w:rsidP="00314BBC">
      <w:pPr>
        <w:pStyle w:val="Untitledsubclause2"/>
        <w:jc w:val="both"/>
        <w:rPr>
          <w:szCs w:val="24"/>
        </w:rPr>
      </w:pPr>
      <w:r w:rsidRPr="00431991">
        <w:rPr>
          <w:szCs w:val="24"/>
        </w:rPr>
        <w:t xml:space="preserve">provide learning experiences in partnership with other providers in regard to the provision of all Funded education and training and </w:t>
      </w:r>
      <w:proofErr w:type="gramStart"/>
      <w:r w:rsidRPr="00431991">
        <w:rPr>
          <w:szCs w:val="24"/>
        </w:rPr>
        <w:t>where</w:t>
      </w:r>
      <w:proofErr w:type="gramEnd"/>
      <w:r w:rsidRPr="00431991">
        <w:rPr>
          <w:szCs w:val="24"/>
        </w:rPr>
        <w:t xml:space="preserv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other providers in the Region </w:t>
      </w:r>
      <w:proofErr w:type="gramStart"/>
      <w:r w:rsidRPr="00431991">
        <w:rPr>
          <w:rFonts w:cs="Arial"/>
          <w:szCs w:val="24"/>
        </w:rPr>
        <w:t>in order to</w:t>
      </w:r>
      <w:proofErr w:type="gramEnd"/>
      <w:r w:rsidRPr="00431991">
        <w:rPr>
          <w:rFonts w:cs="Arial"/>
          <w:szCs w:val="24"/>
        </w:rPr>
        <w:t>:</w:t>
      </w:r>
    </w:p>
    <w:p w14:paraId="15C7BD7A" w14:textId="77777777" w:rsidR="00E4296F" w:rsidRPr="00431991" w:rsidRDefault="00237B58" w:rsidP="00314BBC">
      <w:pPr>
        <w:pStyle w:val="Untitledsubclause2"/>
        <w:jc w:val="both"/>
        <w:rPr>
          <w:szCs w:val="24"/>
        </w:rPr>
      </w:pPr>
      <w:r w:rsidRPr="00431991">
        <w:rPr>
          <w:szCs w:val="24"/>
        </w:rPr>
        <w:t xml:space="preserve">address workforce </w:t>
      </w:r>
      <w:proofErr w:type="gramStart"/>
      <w:r w:rsidRPr="00431991">
        <w:rPr>
          <w:szCs w:val="24"/>
        </w:rPr>
        <w:t>priorities;</w:t>
      </w:r>
      <w:proofErr w:type="gramEnd"/>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w:t>
      </w:r>
      <w:proofErr w:type="gramStart"/>
      <w:r w:rsidRPr="00431991">
        <w:rPr>
          <w:rFonts w:cs="Arial"/>
          <w:szCs w:val="24"/>
        </w:rPr>
        <w:t>qualified</w:t>
      </w:r>
      <w:proofErr w:type="gramEnd"/>
      <w:r w:rsidRPr="00431991">
        <w:rPr>
          <w:rFonts w:cs="Arial"/>
          <w:szCs w:val="24"/>
        </w:rPr>
        <w:t xml:space="preserve">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w:t>
      </w:r>
      <w:proofErr w:type="gramStart"/>
      <w:r w:rsidRPr="00431991">
        <w:rPr>
          <w:szCs w:val="24"/>
        </w:rPr>
        <w:t>instruction;</w:t>
      </w:r>
      <w:proofErr w:type="gramEnd"/>
      <w:r w:rsidRPr="00431991">
        <w:rPr>
          <w:szCs w:val="24"/>
        </w:rPr>
        <w:t xml:space="preserve">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3713DB3A"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4E413362"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 xml:space="preserve">The Provider shall implement systems and procedures to ensure that its Staff are appropriately monitored, </w:t>
      </w:r>
      <w:proofErr w:type="gramStart"/>
      <w:r w:rsidRPr="00431991">
        <w:rPr>
          <w:rFonts w:cs="Arial"/>
          <w:szCs w:val="24"/>
        </w:rPr>
        <w:t>appraised</w:t>
      </w:r>
      <w:proofErr w:type="gramEnd"/>
      <w:r w:rsidRPr="00431991">
        <w:rPr>
          <w:rFonts w:cs="Arial"/>
          <w:szCs w:val="24"/>
        </w:rPr>
        <w:t xml:space="preserve">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that all Staff have all necessary permits and/or entitlements to work in England and may </w:t>
      </w:r>
      <w:proofErr w:type="gramStart"/>
      <w:r w:rsidRPr="00431991">
        <w:rPr>
          <w:rFonts w:cs="Arial"/>
          <w:szCs w:val="24"/>
        </w:rPr>
        <w:t>do so legally at all times</w:t>
      </w:r>
      <w:proofErr w:type="gramEnd"/>
      <w:r w:rsidRPr="00431991">
        <w:rPr>
          <w:rFonts w:cs="Arial"/>
          <w:szCs w:val="24"/>
        </w:rPr>
        <w:t xml:space="preserve">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proofErr w:type="spellStart"/>
      <w:r w:rsidRPr="00431991">
        <w:rPr>
          <w:rFonts w:eastAsia="Times New Roman" w:cs="Arial"/>
          <w:szCs w:val="24"/>
        </w:rPr>
        <w:t>organisation</w:t>
      </w:r>
      <w:proofErr w:type="spellEnd"/>
      <w:r w:rsidRPr="00431991">
        <w:rPr>
          <w:rFonts w:eastAsia="Times New Roman" w:cs="Arial"/>
          <w:szCs w:val="24"/>
        </w:rPr>
        <w:t xml:space="preserve">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 xml:space="preserve">ensure that all Staff meet the requirements of the Regulator at all times during the </w:t>
      </w:r>
      <w:proofErr w:type="gramStart"/>
      <w:r w:rsidRPr="00431991">
        <w:rPr>
          <w:szCs w:val="24"/>
        </w:rPr>
        <w:t>Term;</w:t>
      </w:r>
      <w:proofErr w:type="gramEnd"/>
    </w:p>
    <w:p w14:paraId="2834ECB0" w14:textId="77777777" w:rsidR="00E4296F" w:rsidRPr="00431991" w:rsidRDefault="00237B58" w:rsidP="00314BBC">
      <w:pPr>
        <w:pStyle w:val="Untitledsubclause2"/>
        <w:jc w:val="both"/>
        <w:rPr>
          <w:szCs w:val="24"/>
        </w:rPr>
      </w:pPr>
      <w:bookmarkStart w:id="118" w:name="_Ref53593814"/>
      <w:r w:rsidRPr="00431991">
        <w:rPr>
          <w:szCs w:val="24"/>
        </w:rPr>
        <w:t xml:space="preserve">appoint one or more Freedom </w:t>
      </w:r>
      <w:proofErr w:type="gramStart"/>
      <w:r w:rsidRPr="00431991">
        <w:rPr>
          <w:szCs w:val="24"/>
        </w:rPr>
        <w:t>To</w:t>
      </w:r>
      <w:proofErr w:type="gramEnd"/>
      <w:r w:rsidRPr="00431991">
        <w:rPr>
          <w:szCs w:val="24"/>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 xml:space="preserve">if undertaking medical education appoint one or more Guardians of Safe Working to fulfill the role set out in and otherwise comply with the requirements of 2016 terms and conditions of service (TCS) for doctors in training, or identify from a partner provider who </w:t>
      </w:r>
      <w:proofErr w:type="gramStart"/>
      <w:r w:rsidRPr="00431991">
        <w:rPr>
          <w:szCs w:val="24"/>
        </w:rPr>
        <w:t>the  Guardians</w:t>
      </w:r>
      <w:proofErr w:type="gramEnd"/>
      <w:r w:rsidRPr="00431991">
        <w:rPr>
          <w:szCs w:val="24"/>
        </w:rPr>
        <w:t xml:space="preserve"> of Safe Working is and ensure all Learners are aware;</w:t>
      </w:r>
      <w:bookmarkEnd w:id="119"/>
    </w:p>
    <w:p w14:paraId="02E04283" w14:textId="3E949AA8"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 xml:space="preserve">have in place, </w:t>
      </w:r>
      <w:proofErr w:type="gramStart"/>
      <w:r w:rsidRPr="00431991">
        <w:rPr>
          <w:szCs w:val="24"/>
        </w:rPr>
        <w:t>promote</w:t>
      </w:r>
      <w:proofErr w:type="gramEnd"/>
      <w:r w:rsidRPr="00431991">
        <w:rPr>
          <w:szCs w:val="24"/>
        </w:rPr>
        <w:t xml:space="preserv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sidRPr="00431991">
        <w:rPr>
          <w:szCs w:val="24"/>
        </w:rPr>
        <w:t>organisation</w:t>
      </w:r>
      <w:proofErr w:type="spellEnd"/>
      <w:r w:rsidRPr="00431991">
        <w:rPr>
          <w:szCs w:val="24"/>
        </w:rPr>
        <w:t xml:space="preserve">,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w:t>
      </w:r>
      <w:proofErr w:type="spellStart"/>
      <w:r w:rsidRPr="00431991">
        <w:rPr>
          <w:szCs w:val="24"/>
        </w:rPr>
        <w:t>immunisations</w:t>
      </w:r>
      <w:proofErr w:type="spellEnd"/>
      <w:r w:rsidRPr="00431991">
        <w:rPr>
          <w:szCs w:val="24"/>
        </w:rPr>
        <w:t xml:space="preserve"> and vaccinations deemed necessary by </w:t>
      </w:r>
      <w:proofErr w:type="spellStart"/>
      <w:r w:rsidRPr="00431991">
        <w:rPr>
          <w:szCs w:val="24"/>
        </w:rPr>
        <w:t>programme</w:t>
      </w:r>
      <w:proofErr w:type="spellEnd"/>
      <w:r w:rsidRPr="00431991">
        <w:rPr>
          <w:szCs w:val="24"/>
        </w:rPr>
        <w:t xml:space="preserve"> standards set out by Applicable Laws and Guidance including applicable Department of Health and Social Care </w:t>
      </w:r>
      <w:proofErr w:type="gramStart"/>
      <w:r w:rsidRPr="00431991">
        <w:rPr>
          <w:szCs w:val="24"/>
        </w:rPr>
        <w:t>guidance;</w:t>
      </w:r>
      <w:proofErr w:type="gramEnd"/>
      <w:r w:rsidRPr="00431991">
        <w:rPr>
          <w:szCs w:val="24"/>
        </w:rPr>
        <w:t xml:space="preserv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596CE0C4"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 xml:space="preserve">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sidRPr="00431991">
        <w:rPr>
          <w:rFonts w:cs="Arial"/>
          <w:szCs w:val="24"/>
        </w:rPr>
        <w:t>Programme</w:t>
      </w:r>
      <w:proofErr w:type="spellEnd"/>
      <w:r w:rsidRPr="00431991">
        <w:rPr>
          <w:rFonts w:cs="Arial"/>
          <w:szCs w:val="24"/>
        </w:rPr>
        <w:t>(s), Non-Employed Learners shall:</w:t>
      </w:r>
    </w:p>
    <w:p w14:paraId="5E365CC7" w14:textId="5B0B68B4" w:rsidR="00E4296F" w:rsidRPr="00431991" w:rsidRDefault="00237B58" w:rsidP="00314BBC">
      <w:pPr>
        <w:pStyle w:val="Untitledsubclause2"/>
        <w:jc w:val="both"/>
        <w:rPr>
          <w:szCs w:val="24"/>
        </w:rPr>
      </w:pPr>
      <w:r w:rsidRPr="00431991">
        <w:rPr>
          <w:szCs w:val="24"/>
        </w:rPr>
        <w:t xml:space="preserve">possess at least the minimum entry requirements for the appropriate </w:t>
      </w:r>
      <w:proofErr w:type="spellStart"/>
      <w:r w:rsidRPr="00431991">
        <w:rPr>
          <w:szCs w:val="24"/>
        </w:rPr>
        <w:t>Programme</w:t>
      </w:r>
      <w:proofErr w:type="spellEnd"/>
      <w:r w:rsidRPr="00431991">
        <w:rPr>
          <w:szCs w:val="24"/>
        </w:rPr>
        <w:t xml:space="preserve">(s) as required by the appropriate Regulator and the specific rules and standards of the Education Provider and that all education qualifications are checked and </w:t>
      </w:r>
      <w:proofErr w:type="gramStart"/>
      <w:r w:rsidRPr="00431991">
        <w:rPr>
          <w:szCs w:val="24"/>
        </w:rPr>
        <w:t>verified;</w:t>
      </w:r>
      <w:proofErr w:type="gramEnd"/>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roofErr w:type="gramStart"/>
      <w:r w:rsidRPr="00431991">
        <w:rPr>
          <w:szCs w:val="24"/>
        </w:rPr>
        <w:t>);</w:t>
      </w:r>
      <w:proofErr w:type="gramEnd"/>
    </w:p>
    <w:p w14:paraId="10EABD0A" w14:textId="77777777" w:rsidR="00E4296F" w:rsidRPr="00431991" w:rsidRDefault="00237B58" w:rsidP="00314BBC">
      <w:pPr>
        <w:pStyle w:val="Untitledsubclause2"/>
        <w:jc w:val="both"/>
        <w:rPr>
          <w:szCs w:val="24"/>
        </w:rPr>
      </w:pPr>
      <w:r w:rsidRPr="00431991">
        <w:rPr>
          <w:szCs w:val="24"/>
        </w:rPr>
        <w:t xml:space="preserve">have their references checked for accuracy </w:t>
      </w:r>
      <w:proofErr w:type="gramStart"/>
      <w:r w:rsidRPr="00431991">
        <w:rPr>
          <w:szCs w:val="24"/>
        </w:rPr>
        <w:t>and veracity;</w:t>
      </w:r>
      <w:proofErr w:type="gramEnd"/>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w:t>
      </w:r>
      <w:proofErr w:type="gramStart"/>
      <w:r w:rsidRPr="00431991">
        <w:rPr>
          <w:szCs w:val="24"/>
        </w:rPr>
        <w:t>screening;</w:t>
      </w:r>
      <w:proofErr w:type="gramEnd"/>
      <w:r w:rsidRPr="00431991">
        <w:rPr>
          <w:szCs w:val="24"/>
        </w:rPr>
        <w:t xml:space="preserve">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roofErr w:type="gramStart"/>
      <w:r w:rsidRPr="00431991">
        <w:rPr>
          <w:szCs w:val="24"/>
        </w:rPr>
        <w:t>);</w:t>
      </w:r>
      <w:proofErr w:type="gramEnd"/>
    </w:p>
    <w:p w14:paraId="52404BFD" w14:textId="77777777" w:rsidR="00E4296F" w:rsidRPr="00431991" w:rsidRDefault="00237B58" w:rsidP="00314BBC">
      <w:pPr>
        <w:pStyle w:val="Untitledsubclause2"/>
        <w:jc w:val="both"/>
        <w:rPr>
          <w:szCs w:val="24"/>
        </w:rPr>
      </w:pPr>
      <w:r w:rsidRPr="00431991">
        <w:rPr>
          <w:szCs w:val="24"/>
        </w:rPr>
        <w:t xml:space="preserve">comply with the requirements of the Border Force in relation to immigration </w:t>
      </w:r>
      <w:proofErr w:type="gramStart"/>
      <w:r w:rsidRPr="00431991">
        <w:rPr>
          <w:szCs w:val="24"/>
        </w:rPr>
        <w:t>control;</w:t>
      </w:r>
      <w:proofErr w:type="gramEnd"/>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w:t>
      </w:r>
      <w:proofErr w:type="spellStart"/>
      <w:r w:rsidRPr="00431991">
        <w:rPr>
          <w:szCs w:val="24"/>
        </w:rPr>
        <w:t>Programmes</w:t>
      </w:r>
      <w:proofErr w:type="spellEnd"/>
      <w:r w:rsidRPr="00431991">
        <w:rPr>
          <w:szCs w:val="24"/>
        </w:rPr>
        <w:t xml:space="preserve"> in line with any relevant nationally </w:t>
      </w:r>
      <w:proofErr w:type="spellStart"/>
      <w:r w:rsidRPr="00431991">
        <w:rPr>
          <w:szCs w:val="24"/>
        </w:rPr>
        <w:t>recognised</w:t>
      </w:r>
      <w:proofErr w:type="spellEnd"/>
      <w:r w:rsidRPr="00431991">
        <w:rPr>
          <w:szCs w:val="24"/>
        </w:rPr>
        <w:t xml:space="preserve"> eligibility criteria where appropriate. HEE reserves the right to have access to evidence of Non-Employed Learner eligibility and identity as may be </w:t>
      </w:r>
      <w:proofErr w:type="gramStart"/>
      <w:r w:rsidRPr="00431991">
        <w:rPr>
          <w:szCs w:val="24"/>
        </w:rPr>
        <w:t>required;</w:t>
      </w:r>
      <w:proofErr w:type="gramEnd"/>
      <w:r w:rsidRPr="00431991">
        <w:rPr>
          <w:szCs w:val="24"/>
        </w:rPr>
        <w:t xml:space="preserve"> </w:t>
      </w:r>
    </w:p>
    <w:p w14:paraId="068BAFBF" w14:textId="079572A3" w:rsidR="00E4296F" w:rsidRPr="00431991" w:rsidRDefault="00237B58" w:rsidP="00314BBC">
      <w:pPr>
        <w:pStyle w:val="Untitledsubclause2"/>
        <w:jc w:val="both"/>
        <w:rPr>
          <w:szCs w:val="24"/>
        </w:rPr>
      </w:pPr>
      <w:r w:rsidRPr="00431991">
        <w:rPr>
          <w:szCs w:val="24"/>
        </w:rPr>
        <w:t xml:space="preserve">promptly provide original documentation as evidence to support the checks undertaken pursuant to this clause and provide all relevant documentation to the Provider throughout their </w:t>
      </w:r>
      <w:proofErr w:type="gramStart"/>
      <w:r w:rsidRPr="00431991">
        <w:rPr>
          <w:szCs w:val="24"/>
        </w:rPr>
        <w:t>training</w:t>
      </w:r>
      <w:r w:rsidR="00C10EFC" w:rsidRPr="00431991">
        <w:rPr>
          <w:szCs w:val="24"/>
        </w:rPr>
        <w:t>;</w:t>
      </w:r>
      <w:proofErr w:type="gramEnd"/>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w:t>
      </w:r>
      <w:proofErr w:type="gramStart"/>
      <w:r w:rsidRPr="00431991">
        <w:rPr>
          <w:szCs w:val="24"/>
        </w:rPr>
        <w:t>Check;</w:t>
      </w:r>
      <w:proofErr w:type="gramEnd"/>
      <w:r w:rsidRPr="00431991">
        <w:rPr>
          <w:szCs w:val="24"/>
        </w:rPr>
        <w:t xml:space="preserve">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w:t>
      </w:r>
      <w:proofErr w:type="spellStart"/>
      <w:r w:rsidRPr="00431991">
        <w:rPr>
          <w:szCs w:val="24"/>
        </w:rPr>
        <w:t>immunisations</w:t>
      </w:r>
      <w:proofErr w:type="spellEnd"/>
      <w:r w:rsidRPr="00431991">
        <w:rPr>
          <w:szCs w:val="24"/>
        </w:rPr>
        <w:t xml:space="preserve"> and vaccinations required </w:t>
      </w:r>
      <w:proofErr w:type="gramStart"/>
      <w:r w:rsidRPr="00431991">
        <w:rPr>
          <w:szCs w:val="24"/>
        </w:rPr>
        <w:t>in order to</w:t>
      </w:r>
      <w:proofErr w:type="gramEnd"/>
      <w:r w:rsidRPr="00431991">
        <w:rPr>
          <w:szCs w:val="24"/>
        </w:rPr>
        <w:t xml:space="preserve">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shall </w:t>
      </w:r>
      <w:proofErr w:type="spellStart"/>
      <w:r w:rsidRPr="00431991">
        <w:rPr>
          <w:rFonts w:cs="Arial"/>
          <w:szCs w:val="24"/>
        </w:rPr>
        <w:t>recognise</w:t>
      </w:r>
      <w:proofErr w:type="spellEnd"/>
      <w:r w:rsidRPr="00431991">
        <w:rPr>
          <w:rFonts w:cs="Arial"/>
          <w:szCs w:val="24"/>
        </w:rPr>
        <w:t xml:space="preserve"> HEE’s requirements of the Education Provider regarding the Disclosure and Barring Service and occupational health checks and shall not seek additional checks unless deemed reasonable, </w:t>
      </w:r>
      <w:proofErr w:type="gramStart"/>
      <w:r w:rsidRPr="00431991">
        <w:rPr>
          <w:rFonts w:cs="Arial"/>
          <w:szCs w:val="24"/>
        </w:rPr>
        <w:t>necessary</w:t>
      </w:r>
      <w:proofErr w:type="gramEnd"/>
      <w:r w:rsidRPr="00431991">
        <w:rPr>
          <w:rFonts w:cs="Arial"/>
          <w:szCs w:val="24"/>
        </w:rPr>
        <w:t xml:space="preserve">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be responsible for ensuring all Learners have an appropriate induction into the </w:t>
      </w:r>
      <w:proofErr w:type="spellStart"/>
      <w:r w:rsidRPr="00431991">
        <w:rPr>
          <w:rFonts w:cs="Arial"/>
          <w:szCs w:val="24"/>
        </w:rPr>
        <w:t>organisation</w:t>
      </w:r>
      <w:proofErr w:type="spellEnd"/>
      <w:r w:rsidRPr="00431991">
        <w:rPr>
          <w:rFonts w:cs="Arial"/>
          <w:szCs w:val="24"/>
        </w:rPr>
        <w:t xml:space="preserve"> to meet its obligations as an employer. The Provider is committed to ensuring all new Staff including substantive, temporary or Learners are properly inducted into the </w:t>
      </w:r>
      <w:proofErr w:type="spellStart"/>
      <w:r w:rsidRPr="00431991">
        <w:rPr>
          <w:rFonts w:cs="Arial"/>
          <w:szCs w:val="24"/>
        </w:rPr>
        <w:t>organisation</w:t>
      </w:r>
      <w:proofErr w:type="spellEnd"/>
      <w:r w:rsidRPr="00431991">
        <w:rPr>
          <w:rFonts w:cs="Arial"/>
          <w:szCs w:val="24"/>
        </w:rPr>
        <w:t xml:space="preserve">, the NHS Constitution and their department and their job. The process of induction is unequivocally linked to the Provider’s </w:t>
      </w:r>
      <w:proofErr w:type="gramStart"/>
      <w:r w:rsidRPr="00431991">
        <w:rPr>
          <w:rFonts w:cs="Arial"/>
          <w:szCs w:val="24"/>
        </w:rPr>
        <w:t>values, and</w:t>
      </w:r>
      <w:proofErr w:type="gramEnd"/>
      <w:r w:rsidRPr="00431991">
        <w:rPr>
          <w:rFonts w:cs="Arial"/>
          <w:szCs w:val="24"/>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w:t>
      </w:r>
      <w:proofErr w:type="gramStart"/>
      <w:r w:rsidRPr="00431991">
        <w:rPr>
          <w:rFonts w:cs="Arial"/>
          <w:szCs w:val="24"/>
        </w:rPr>
        <w:t>environment</w:t>
      </w:r>
      <w:proofErr w:type="gramEnd"/>
      <w:r w:rsidRPr="00431991">
        <w:rPr>
          <w:rFonts w:cs="Arial"/>
          <w:szCs w:val="24"/>
        </w:rPr>
        <w:t xml:space="preserve"> and ways of working. The Provider shall continuously monitor the induction process to ensure the aims of the induction policy are </w:t>
      </w:r>
      <w:proofErr w:type="gramStart"/>
      <w:r w:rsidRPr="00431991">
        <w:rPr>
          <w:rFonts w:cs="Arial"/>
          <w:szCs w:val="24"/>
        </w:rPr>
        <w:t>met, and</w:t>
      </w:r>
      <w:proofErr w:type="gramEnd"/>
      <w:r w:rsidRPr="00431991">
        <w:rPr>
          <w:rFonts w:cs="Arial"/>
          <w:szCs w:val="24"/>
        </w:rPr>
        <w:t xml:space="preserve">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w:t>
      </w:r>
      <w:proofErr w:type="spellStart"/>
      <w:r w:rsidRPr="00431991">
        <w:rPr>
          <w:rFonts w:cs="Arial"/>
          <w:szCs w:val="24"/>
        </w:rPr>
        <w:t>Programme</w:t>
      </w:r>
      <w:proofErr w:type="spellEnd"/>
      <w:r w:rsidRPr="00431991">
        <w:rPr>
          <w:rFonts w:cs="Arial"/>
          <w:szCs w:val="24"/>
        </w:rPr>
        <w:t xml:space="preserv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staff of Education Providers involved in the supervision, education and assessment of Learners undertaking any education/training at the Provider shall have access to all </w:t>
      </w:r>
      <w:proofErr w:type="spellStart"/>
      <w:r w:rsidRPr="00431991">
        <w:rPr>
          <w:rFonts w:cs="Arial"/>
          <w:szCs w:val="24"/>
        </w:rPr>
        <w:t>Programme</w:t>
      </w:r>
      <w:proofErr w:type="spellEnd"/>
      <w:r w:rsidRPr="00431991">
        <w:rPr>
          <w:rFonts w:cs="Arial"/>
          <w:szCs w:val="24"/>
        </w:rPr>
        <w:t xml:space="preserv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sidRPr="00431991">
        <w:rPr>
          <w:rFonts w:cs="Arial"/>
          <w:szCs w:val="24"/>
        </w:rPr>
        <w:t>Programme</w:t>
      </w:r>
      <w:proofErr w:type="spellEnd"/>
      <w:r w:rsidRPr="00431991">
        <w:rPr>
          <w:rFonts w:cs="Arial"/>
          <w:szCs w:val="24"/>
        </w:rPr>
        <w:t xml:space="preserve"> must be used to support that </w:t>
      </w:r>
      <w:proofErr w:type="spellStart"/>
      <w:r w:rsidRPr="00431991">
        <w:rPr>
          <w:rFonts w:cs="Arial"/>
          <w:szCs w:val="24"/>
        </w:rPr>
        <w:t>Programme</w:t>
      </w:r>
      <w:proofErr w:type="spellEnd"/>
      <w:r w:rsidRPr="00431991">
        <w:rPr>
          <w:rFonts w:cs="Arial"/>
          <w:szCs w:val="24"/>
        </w:rPr>
        <w:t xml:space="preserv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77383B56"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15.7</w:t>
      </w:r>
      <w:r w:rsidR="006A0041" w:rsidRPr="00431991">
        <w:rPr>
          <w:rFonts w:cs="Arial"/>
          <w:szCs w:val="24"/>
        </w:rPr>
        <w:fldChar w:fldCharType="end"/>
      </w:r>
      <w:r w:rsidRPr="00431991">
        <w:rPr>
          <w:rFonts w:cs="Arial"/>
          <w:szCs w:val="24"/>
        </w:rPr>
        <w:t xml:space="preserve">. HEE reserves the right to assess the impact of these changes upon the educational environment (taking into account the views of the Provider) and shall make a determination as a result acting reasonably at all </w:t>
      </w:r>
      <w:proofErr w:type="gramStart"/>
      <w:r w:rsidRPr="00431991">
        <w:rPr>
          <w:rFonts w:cs="Arial"/>
          <w:szCs w:val="24"/>
        </w:rPr>
        <w:t>times, but</w:t>
      </w:r>
      <w:proofErr w:type="gramEnd"/>
      <w:r w:rsidRPr="00431991">
        <w:rPr>
          <w:rFonts w:cs="Arial"/>
          <w:szCs w:val="24"/>
        </w:rPr>
        <w:t xml:space="preserve">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proofErr w:type="gramStart"/>
      <w:r w:rsidRPr="00431991">
        <w:rPr>
          <w:rFonts w:cs="Arial"/>
          <w:szCs w:val="24"/>
        </w:rPr>
        <w:t>facilities</w:t>
      </w:r>
      <w:proofErr w:type="gramEnd"/>
      <w:r w:rsidRPr="00431991">
        <w:rPr>
          <w:rFonts w:cs="Arial"/>
          <w:szCs w:val="24"/>
        </w:rPr>
        <w:t xml:space="preserve"> and equipment:</w:t>
      </w:r>
    </w:p>
    <w:p w14:paraId="3B537C0F" w14:textId="77777777" w:rsidR="00E4296F" w:rsidRPr="00431991" w:rsidRDefault="00237B58" w:rsidP="00314BBC">
      <w:pPr>
        <w:pStyle w:val="Untitledsubclause2"/>
        <w:jc w:val="both"/>
        <w:rPr>
          <w:szCs w:val="24"/>
        </w:rPr>
      </w:pPr>
      <w:r w:rsidRPr="00431991">
        <w:rPr>
          <w:szCs w:val="24"/>
        </w:rPr>
        <w:t xml:space="preserve">are suitable for the performance of the </w:t>
      </w:r>
      <w:proofErr w:type="gramStart"/>
      <w:r w:rsidRPr="00431991">
        <w:rPr>
          <w:szCs w:val="24"/>
        </w:rPr>
        <w:t>Services;</w:t>
      </w:r>
      <w:proofErr w:type="gramEnd"/>
    </w:p>
    <w:p w14:paraId="0CCB2F42" w14:textId="77777777" w:rsidR="00CF2BE5" w:rsidRPr="00431991" w:rsidRDefault="00CF2BE5" w:rsidP="00314BBC">
      <w:pPr>
        <w:pStyle w:val="Untitledsubclause2"/>
        <w:jc w:val="both"/>
        <w:rPr>
          <w:szCs w:val="24"/>
        </w:rPr>
      </w:pPr>
      <w:r w:rsidRPr="00431991">
        <w:rPr>
          <w:szCs w:val="24"/>
        </w:rPr>
        <w:t xml:space="preserve">are accessible, safe, and </w:t>
      </w:r>
      <w:proofErr w:type="gramStart"/>
      <w:r w:rsidRPr="00431991">
        <w:rPr>
          <w:szCs w:val="24"/>
        </w:rPr>
        <w:t>secure;</w:t>
      </w:r>
      <w:proofErr w:type="gramEnd"/>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 xml:space="preserve">are sufficient to enable the Services to be </w:t>
      </w:r>
      <w:proofErr w:type="gramStart"/>
      <w:r w:rsidRPr="00431991">
        <w:rPr>
          <w:szCs w:val="24"/>
        </w:rPr>
        <w:t>provided at all times</w:t>
      </w:r>
      <w:proofErr w:type="gramEnd"/>
      <w:r w:rsidRPr="00431991">
        <w:rPr>
          <w:szCs w:val="24"/>
        </w:rPr>
        <w:t xml:space="preserve"> and, in all respects, in accordance with this contract.</w:t>
      </w:r>
    </w:p>
    <w:p w14:paraId="35EA7104" w14:textId="6C96CC0F"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w:t>
      </w:r>
      <w:proofErr w:type="spellStart"/>
      <w:r w:rsidRPr="00431991">
        <w:rPr>
          <w:rFonts w:cs="Arial"/>
          <w:szCs w:val="24"/>
        </w:rPr>
        <w:t>Programmes</w:t>
      </w:r>
      <w:proofErr w:type="spellEnd"/>
      <w:r w:rsidRPr="00431991">
        <w:rPr>
          <w:rFonts w:cs="Arial"/>
          <w:szCs w:val="24"/>
        </w:rPr>
        <w:t xml:space="preserve">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7B4027B0"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w:t>
      </w:r>
      <w:proofErr w:type="spellStart"/>
      <w:r w:rsidRPr="00431991">
        <w:rPr>
          <w:rFonts w:cs="Arial"/>
          <w:szCs w:val="24"/>
        </w:rPr>
        <w:t>Programme</w:t>
      </w:r>
      <w:proofErr w:type="spellEnd"/>
      <w:r w:rsidRPr="00431991">
        <w:rPr>
          <w:rFonts w:cs="Arial"/>
          <w:szCs w:val="24"/>
        </w:rPr>
        <w:t xml:space="preserv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0C5F2F1A"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6905A0">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 xml:space="preserve">HEE requires the Provider to ensure financial transparency on the use of the Funding, and that the Funding is assigned to education and training, and not any other services. An </w:t>
      </w:r>
      <w:proofErr w:type="spellStart"/>
      <w:r w:rsidRPr="00431991">
        <w:rPr>
          <w:rFonts w:cs="Arial"/>
          <w:szCs w:val="24"/>
        </w:rPr>
        <w:t>itemised</w:t>
      </w:r>
      <w:proofErr w:type="spellEnd"/>
      <w:r w:rsidRPr="00431991">
        <w:rPr>
          <w:rFonts w:cs="Arial"/>
          <w:szCs w:val="24"/>
        </w:rPr>
        <w:t xml:space="preserve"> financial report of </w:t>
      </w:r>
      <w:proofErr w:type="gramStart"/>
      <w:r w:rsidRPr="00431991">
        <w:rPr>
          <w:rFonts w:cs="Arial"/>
          <w:szCs w:val="24"/>
        </w:rPr>
        <w:t>any and all</w:t>
      </w:r>
      <w:proofErr w:type="gramEnd"/>
      <w:r w:rsidRPr="00431991">
        <w:rPr>
          <w:rFonts w:cs="Arial"/>
          <w:szCs w:val="24"/>
        </w:rPr>
        <w:t xml:space="preserve"> Funding provided by HEE must be made available to HEE within 5 Business Days from HEE’s request, from any </w:t>
      </w:r>
      <w:proofErr w:type="spellStart"/>
      <w:r w:rsidRPr="00431991">
        <w:rPr>
          <w:rFonts w:cs="Arial"/>
          <w:szCs w:val="24"/>
        </w:rPr>
        <w:t>authorised</w:t>
      </w:r>
      <w:proofErr w:type="spellEnd"/>
      <w:r w:rsidRPr="00431991">
        <w:rPr>
          <w:rFonts w:cs="Arial"/>
          <w:szCs w:val="24"/>
        </w:rPr>
        <w:t xml:space="preserve">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 xml:space="preserve">HEE requires the Provider to comply with all quality stipulations in accordance with the HEE Quality Framework </w:t>
      </w:r>
      <w:proofErr w:type="gramStart"/>
      <w:r w:rsidRPr="00431991">
        <w:rPr>
          <w:rFonts w:cs="Arial"/>
          <w:szCs w:val="24"/>
        </w:rPr>
        <w:t>in order to</w:t>
      </w:r>
      <w:proofErr w:type="gramEnd"/>
      <w:r w:rsidRPr="00431991">
        <w:rPr>
          <w:rFonts w:cs="Arial"/>
          <w:szCs w:val="24"/>
        </w:rPr>
        <w:t xml:space="preserve">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w:t>
      </w:r>
      <w:proofErr w:type="spellStart"/>
      <w:r w:rsidRPr="00431991">
        <w:rPr>
          <w:rFonts w:cs="Arial"/>
          <w:szCs w:val="24"/>
        </w:rPr>
        <w:t>Programmes</w:t>
      </w:r>
      <w:proofErr w:type="spellEnd"/>
      <w:r w:rsidRPr="00431991">
        <w:rPr>
          <w:rFonts w:cs="Arial"/>
          <w:szCs w:val="24"/>
        </w:rPr>
        <w:t xml:space="preserve">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7791C7BC"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 xml:space="preserve">information disclosed by the Provider to HEE is materially inaccurate or </w:t>
      </w:r>
      <w:proofErr w:type="gramStart"/>
      <w:r w:rsidRPr="00431991">
        <w:rPr>
          <w:szCs w:val="24"/>
        </w:rPr>
        <w:t>misleading;</w:t>
      </w:r>
      <w:proofErr w:type="gramEnd"/>
    </w:p>
    <w:p w14:paraId="6A65C61F" w14:textId="77777777" w:rsidR="00E4296F" w:rsidRPr="00431991" w:rsidRDefault="00237B58" w:rsidP="00314BBC">
      <w:pPr>
        <w:pStyle w:val="Untitledsubclause2"/>
        <w:jc w:val="both"/>
        <w:rPr>
          <w:szCs w:val="24"/>
        </w:rPr>
      </w:pPr>
      <w:r w:rsidRPr="00431991">
        <w:rPr>
          <w:szCs w:val="24"/>
        </w:rPr>
        <w:t xml:space="preserve">HEE reasonably considers that delivery of the Services falls short of the standards required under this contract including in respect of the HEE Quality Framework and/or any </w:t>
      </w:r>
      <w:proofErr w:type="gramStart"/>
      <w:r w:rsidRPr="00431991">
        <w:rPr>
          <w:szCs w:val="24"/>
        </w:rPr>
        <w:t>Milestones;</w:t>
      </w:r>
      <w:proofErr w:type="gramEnd"/>
    </w:p>
    <w:p w14:paraId="5D6E87EC" w14:textId="77777777" w:rsidR="00E4296F" w:rsidRPr="00431991" w:rsidRDefault="00237B58" w:rsidP="00314BBC">
      <w:pPr>
        <w:pStyle w:val="Untitledsubclause2"/>
        <w:jc w:val="both"/>
        <w:rPr>
          <w:szCs w:val="24"/>
        </w:rPr>
      </w:pPr>
      <w:r w:rsidRPr="00431991">
        <w:rPr>
          <w:szCs w:val="24"/>
        </w:rPr>
        <w:t xml:space="preserve">the Provider (or any of its Staff) acts dishonestly or negligently in connection with the Services or breaches any of its or their legal obligations in a way that could lead to reputational damage for HEE or the </w:t>
      </w:r>
      <w:proofErr w:type="gramStart"/>
      <w:r w:rsidRPr="00431991">
        <w:rPr>
          <w:szCs w:val="24"/>
        </w:rPr>
        <w:t>NHS;</w:t>
      </w:r>
      <w:proofErr w:type="gramEnd"/>
    </w:p>
    <w:p w14:paraId="746161D1" w14:textId="77777777" w:rsidR="00E4296F" w:rsidRPr="00431991" w:rsidRDefault="00237B58" w:rsidP="00314BBC">
      <w:pPr>
        <w:pStyle w:val="Untitledsubclause2"/>
        <w:jc w:val="both"/>
        <w:rPr>
          <w:szCs w:val="24"/>
        </w:rPr>
      </w:pPr>
      <w:r w:rsidRPr="00431991">
        <w:rPr>
          <w:szCs w:val="24"/>
        </w:rPr>
        <w:t xml:space="preserve">the Provider (or any of its Staff) commits a Prohibited </w:t>
      </w:r>
      <w:proofErr w:type="gramStart"/>
      <w:r w:rsidRPr="00431991">
        <w:rPr>
          <w:szCs w:val="24"/>
        </w:rPr>
        <w:t>Act;</w:t>
      </w:r>
      <w:proofErr w:type="gramEnd"/>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roofErr w:type="gramStart"/>
      <w:r w:rsidRPr="00431991">
        <w:rPr>
          <w:szCs w:val="24"/>
        </w:rPr>
        <w:t>);</w:t>
      </w:r>
      <w:proofErr w:type="gramEnd"/>
    </w:p>
    <w:p w14:paraId="2FB7D5C6" w14:textId="77777777" w:rsidR="00E4296F" w:rsidRPr="00431991" w:rsidRDefault="00237B58" w:rsidP="00314BBC">
      <w:pPr>
        <w:pStyle w:val="Untitledsubclause2"/>
        <w:jc w:val="both"/>
        <w:rPr>
          <w:szCs w:val="24"/>
        </w:rPr>
      </w:pPr>
      <w:r w:rsidRPr="00431991">
        <w:rPr>
          <w:szCs w:val="24"/>
        </w:rPr>
        <w:t xml:space="preserve">the Provider applies any of the Funding in a manner not permitted under this </w:t>
      </w:r>
      <w:proofErr w:type="gramStart"/>
      <w:r w:rsidRPr="00431991">
        <w:rPr>
          <w:szCs w:val="24"/>
        </w:rPr>
        <w:t>contract;</w:t>
      </w:r>
      <w:proofErr w:type="gramEnd"/>
    </w:p>
    <w:p w14:paraId="3A90E4E5" w14:textId="0F3CA3D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or HEE reasonably considers that this shall be the </w:t>
      </w:r>
      <w:proofErr w:type="gramStart"/>
      <w:r w:rsidRPr="00431991">
        <w:rPr>
          <w:szCs w:val="24"/>
        </w:rPr>
        <w:t>case;</w:t>
      </w:r>
      <w:proofErr w:type="gramEnd"/>
    </w:p>
    <w:p w14:paraId="63AA0878" w14:textId="77777777" w:rsidR="00E4296F" w:rsidRPr="00431991" w:rsidRDefault="00237B58" w:rsidP="00314BBC">
      <w:pPr>
        <w:pStyle w:val="Untitledsubclause2"/>
        <w:jc w:val="both"/>
        <w:rPr>
          <w:szCs w:val="24"/>
        </w:rPr>
      </w:pPr>
      <w:r w:rsidRPr="00431991">
        <w:rPr>
          <w:szCs w:val="24"/>
        </w:rPr>
        <w:t xml:space="preserve">the Provider is subject to adverse findings, warning notices, interventions or other action from any </w:t>
      </w:r>
      <w:proofErr w:type="gramStart"/>
      <w:r w:rsidRPr="00431991">
        <w:rPr>
          <w:szCs w:val="24"/>
        </w:rPr>
        <w:t>Regulator;</w:t>
      </w:r>
      <w:proofErr w:type="gramEnd"/>
    </w:p>
    <w:p w14:paraId="0D13D749" w14:textId="7E5A9383" w:rsidR="00E4296F" w:rsidRPr="00431991" w:rsidRDefault="00237B58" w:rsidP="00314BBC">
      <w:pPr>
        <w:pStyle w:val="Untitledsubclause2"/>
        <w:jc w:val="both"/>
        <w:rPr>
          <w:szCs w:val="24"/>
        </w:rPr>
      </w:pPr>
      <w:r w:rsidRPr="00431991">
        <w:rPr>
          <w:szCs w:val="24"/>
        </w:rPr>
        <w:t xml:space="preserve">the Provider fails to commence, </w:t>
      </w:r>
      <w:proofErr w:type="gramStart"/>
      <w:r w:rsidRPr="00431991">
        <w:rPr>
          <w:szCs w:val="24"/>
        </w:rPr>
        <w:t>progress</w:t>
      </w:r>
      <w:proofErr w:type="gramEnd"/>
      <w:r w:rsidRPr="00431991">
        <w:rPr>
          <w:szCs w:val="24"/>
        </w:rPr>
        <w:t xml:space="preserve">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6905A0">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w:t>
      </w:r>
      <w:proofErr w:type="gramStart"/>
      <w:r w:rsidRPr="00431991">
        <w:rPr>
          <w:szCs w:val="24"/>
        </w:rPr>
        <w:t>Services;</w:t>
      </w:r>
      <w:proofErr w:type="gramEnd"/>
      <w:r w:rsidRPr="00431991">
        <w:rPr>
          <w:szCs w:val="24"/>
        </w:rPr>
        <w:t xml:space="preserve">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proofErr w:type="gramEnd"/>
      <w:r w:rsidRPr="00431991">
        <w:rPr>
          <w:szCs w:val="24"/>
        </w:rPr>
        <w:t xml:space="preserve"> </w:t>
      </w:r>
    </w:p>
    <w:p w14:paraId="4BE3BCB9" w14:textId="458B18EE"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26</w:t>
      </w:r>
      <w:r w:rsidR="006A0041" w:rsidRPr="00431991">
        <w:rPr>
          <w:szCs w:val="24"/>
        </w:rPr>
        <w:fldChar w:fldCharType="end"/>
      </w:r>
      <w:r w:rsidRPr="00431991">
        <w:rPr>
          <w:szCs w:val="24"/>
        </w:rPr>
        <w:t>); or</w:t>
      </w:r>
    </w:p>
    <w:p w14:paraId="7ACBDD9F" w14:textId="60A03A44"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6905A0">
        <w:rPr>
          <w:szCs w:val="24"/>
        </w:rPr>
        <w:t>16.6</w:t>
      </w:r>
      <w:r w:rsidR="006A0041" w:rsidRPr="00431991">
        <w:rPr>
          <w:szCs w:val="24"/>
        </w:rPr>
        <w:fldChar w:fldCharType="end"/>
      </w:r>
      <w:r w:rsidRPr="00431991">
        <w:rPr>
          <w:szCs w:val="24"/>
        </w:rPr>
        <w:t>.</w:t>
      </w:r>
    </w:p>
    <w:p w14:paraId="7A02037C" w14:textId="4F3C73E8"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3054B1C3"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41279DCC"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18.3</w:t>
      </w:r>
      <w:r w:rsidR="006A0041" w:rsidRPr="00431991">
        <w:rPr>
          <w:rFonts w:cs="Arial"/>
          <w:szCs w:val="24"/>
        </w:rPr>
        <w:fldChar w:fldCharType="end"/>
      </w:r>
      <w:r w:rsidRPr="00431991">
        <w:rPr>
          <w:rFonts w:cs="Arial"/>
          <w:szCs w:val="24"/>
        </w:rPr>
        <w:t xml:space="preserve">, before the Provider 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 xml:space="preserve">other checks as required by the </w:t>
      </w:r>
      <w:proofErr w:type="gramStart"/>
      <w:r w:rsidRPr="00431991">
        <w:rPr>
          <w:szCs w:val="24"/>
        </w:rPr>
        <w:t>DBS</w:t>
      </w:r>
      <w:proofErr w:type="gramEnd"/>
      <w:r w:rsidRPr="00431991">
        <w:rPr>
          <w:szCs w:val="24"/>
        </w:rPr>
        <w:t xml:space="preserve"> or which are to be undertaken in accordance with current and future national guidelines and policies.</w:t>
      </w:r>
    </w:p>
    <w:p w14:paraId="055B7221" w14:textId="739D79D0"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6905A0">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w:t>
      </w:r>
      <w:proofErr w:type="spellStart"/>
      <w:r w:rsidRPr="00431991">
        <w:rPr>
          <w:rFonts w:cs="Arial"/>
          <w:szCs w:val="24"/>
        </w:rPr>
        <w:t>Programme</w:t>
      </w:r>
      <w:proofErr w:type="spellEnd"/>
      <w:r w:rsidRPr="00431991">
        <w:rPr>
          <w:rFonts w:cs="Arial"/>
          <w:szCs w:val="24"/>
        </w:rPr>
        <w:t xml:space="preserv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5588B3DE"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w:t>
      </w:r>
      <w:proofErr w:type="spellStart"/>
      <w:r w:rsidRPr="00431991">
        <w:rPr>
          <w:rFonts w:cs="Arial"/>
          <w:szCs w:val="24"/>
        </w:rPr>
        <w:t>Programme</w:t>
      </w:r>
      <w:proofErr w:type="spellEnd"/>
      <w:r w:rsidRPr="00431991">
        <w:rPr>
          <w:rFonts w:cs="Arial"/>
          <w:szCs w:val="24"/>
        </w:rPr>
        <w:t xml:space="preserv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Employed Learners by the Placement Provider is the responsibility of the Placement Provider, unless agreed as part of a </w:t>
      </w:r>
      <w:proofErr w:type="spellStart"/>
      <w:r w:rsidRPr="00431991">
        <w:rPr>
          <w:rFonts w:cs="Arial"/>
          <w:szCs w:val="24"/>
        </w:rPr>
        <w:t>Programme</w:t>
      </w:r>
      <w:proofErr w:type="spellEnd"/>
      <w:r w:rsidRPr="00431991">
        <w:rPr>
          <w:rFonts w:cs="Arial"/>
          <w:szCs w:val="24"/>
        </w:rPr>
        <w:t xml:space="preserv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must align local induction with the requirements outlined by Regulators and if </w:t>
      </w:r>
      <w:proofErr w:type="gramStart"/>
      <w:r w:rsidRPr="00431991">
        <w:rPr>
          <w:rFonts w:cs="Arial"/>
          <w:szCs w:val="24"/>
        </w:rPr>
        <w:t>necessary</w:t>
      </w:r>
      <w:proofErr w:type="gramEnd"/>
      <w:r w:rsidRPr="00431991">
        <w:rPr>
          <w:rFonts w:cs="Arial"/>
          <w:szCs w:val="24"/>
        </w:rPr>
        <w:t xml:space="preserve">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75D2B271" w:rsidR="00E4296F" w:rsidRPr="00431991" w:rsidRDefault="00237B58" w:rsidP="00314BBC">
      <w:pPr>
        <w:pStyle w:val="Untitledsubclause1"/>
        <w:jc w:val="both"/>
        <w:rPr>
          <w:rFonts w:cs="Arial"/>
          <w:b/>
          <w:szCs w:val="24"/>
        </w:rPr>
      </w:pPr>
      <w:proofErr w:type="gramStart"/>
      <w:r w:rsidRPr="00431991">
        <w:rPr>
          <w:rFonts w:cs="Arial"/>
          <w:szCs w:val="24"/>
        </w:rPr>
        <w:t>In the event that</w:t>
      </w:r>
      <w:proofErr w:type="gramEnd"/>
      <w:r w:rsidRPr="00431991">
        <w:rPr>
          <w:rFonts w:cs="Arial"/>
          <w:szCs w:val="24"/>
        </w:rPr>
        <w:t xml:space="preserve">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w:t>
      </w:r>
      <w:proofErr w:type="spellStart"/>
      <w:r w:rsidRPr="00431991">
        <w:rPr>
          <w:rFonts w:cs="Arial"/>
          <w:szCs w:val="24"/>
        </w:rPr>
        <w:t>Programmes</w:t>
      </w:r>
      <w:proofErr w:type="spellEnd"/>
      <w:r w:rsidRPr="00431991">
        <w:rPr>
          <w:rFonts w:cs="Arial"/>
          <w:szCs w:val="24"/>
        </w:rPr>
        <w:t xml:space="preserve">.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sidRPr="00431991">
        <w:rPr>
          <w:szCs w:val="24"/>
        </w:rPr>
        <w:t>);</w:t>
      </w:r>
      <w:proofErr w:type="gramEnd"/>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t>
      </w:r>
      <w:proofErr w:type="gramStart"/>
      <w:r w:rsidR="00237B58" w:rsidRPr="00431991">
        <w:rPr>
          <w:szCs w:val="24"/>
        </w:rPr>
        <w:t>website;</w:t>
      </w:r>
      <w:proofErr w:type="gramEnd"/>
      <w:r w:rsidR="00237B58" w:rsidRPr="00431991">
        <w:rPr>
          <w:szCs w:val="24"/>
        </w:rPr>
        <w:t xml:space="preserv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 xml:space="preserve">take all necessary steps, and inform HEE of the steps taken, to prevent unlawful discrimination designated as such by any court or tribunal, or the Equality and Human Rights Commission or (any successor </w:t>
      </w:r>
      <w:proofErr w:type="spellStart"/>
      <w:r w:rsidRPr="00431991">
        <w:rPr>
          <w:szCs w:val="24"/>
        </w:rPr>
        <w:t>organisation</w:t>
      </w:r>
      <w:proofErr w:type="spellEnd"/>
      <w:r w:rsidRPr="00431991">
        <w:rPr>
          <w:szCs w:val="24"/>
        </w:rPr>
        <w:t>).</w:t>
      </w:r>
    </w:p>
    <w:p w14:paraId="416794E1" w14:textId="77777777" w:rsidR="00E4296F" w:rsidRPr="00431991" w:rsidRDefault="00237B58" w:rsidP="00445D4B">
      <w:pPr>
        <w:pStyle w:val="Untitledsubclause1"/>
        <w:jc w:val="both"/>
        <w:rPr>
          <w:rFonts w:cs="Arial"/>
          <w:szCs w:val="24"/>
        </w:rPr>
      </w:pPr>
      <w:r w:rsidRPr="00431991">
        <w:rPr>
          <w:rFonts w:cs="Arial"/>
          <w:szCs w:val="24"/>
        </w:rPr>
        <w:t xml:space="preserve">The Provider shall (and shall use its reasonable </w:t>
      </w:r>
      <w:proofErr w:type="spellStart"/>
      <w:r w:rsidRPr="00431991">
        <w:rPr>
          <w:rFonts w:cs="Arial"/>
          <w:szCs w:val="24"/>
        </w:rPr>
        <w:t>endeavours</w:t>
      </w:r>
      <w:proofErr w:type="spellEnd"/>
      <w:r w:rsidRPr="00431991">
        <w:rPr>
          <w:rFonts w:cs="Arial"/>
          <w:szCs w:val="24"/>
        </w:rPr>
        <w:t xml:space="preserve"> to procure that its Staff shall) </w:t>
      </w:r>
      <w:proofErr w:type="gramStart"/>
      <w:r w:rsidRPr="00431991">
        <w:rPr>
          <w:rFonts w:cs="Arial"/>
          <w:szCs w:val="24"/>
        </w:rPr>
        <w:t>at all times</w:t>
      </w:r>
      <w:proofErr w:type="gramEnd"/>
      <w:r w:rsidRPr="00431991">
        <w:rPr>
          <w:rFonts w:cs="Arial"/>
          <w:szCs w:val="24"/>
        </w:rPr>
        <w:t xml:space="preserve">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or refrain from undertaking, such acts as HEE requests </w:t>
      </w:r>
      <w:proofErr w:type="gramStart"/>
      <w:r w:rsidRPr="00431991">
        <w:rPr>
          <w:rFonts w:cs="Arial"/>
          <w:szCs w:val="24"/>
        </w:rPr>
        <w:t>so as to</w:t>
      </w:r>
      <w:proofErr w:type="gramEnd"/>
      <w:r w:rsidRPr="00431991">
        <w:rPr>
          <w:rFonts w:cs="Arial"/>
          <w:szCs w:val="24"/>
        </w:rPr>
        <w:t xml:space="preserve"> enable HEE to comply with its obligations under the HRA.</w:t>
      </w:r>
    </w:p>
    <w:p w14:paraId="22AC6621" w14:textId="405FD15E"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 xml:space="preserve">s </w:t>
      </w:r>
      <w:proofErr w:type="spellStart"/>
      <w:r w:rsidRPr="00431991">
        <w:rPr>
          <w:rFonts w:cs="Arial"/>
          <w:szCs w:val="24"/>
        </w:rPr>
        <w:t>Programme</w:t>
      </w:r>
      <w:proofErr w:type="spellEnd"/>
      <w:r w:rsidRPr="00431991">
        <w:rPr>
          <w:rFonts w:cs="Arial"/>
          <w:szCs w:val="24"/>
        </w:rPr>
        <w:t>,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w:t>
      </w:r>
      <w:proofErr w:type="gramStart"/>
      <w:r w:rsidRPr="00431991">
        <w:rPr>
          <w:rFonts w:cs="Arial"/>
          <w:szCs w:val="24"/>
        </w:rPr>
        <w:t>general public</w:t>
      </w:r>
      <w:proofErr w:type="gramEnd"/>
      <w:r w:rsidRPr="00431991">
        <w:rPr>
          <w:rFonts w:cs="Arial"/>
          <w:szCs w:val="24"/>
        </w:rPr>
        <w:t xml:space="preserve">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w:t>
      </w:r>
      <w:proofErr w:type="gramStart"/>
      <w:r w:rsidRPr="00431991">
        <w:rPr>
          <w:rFonts w:cs="Arial"/>
          <w:szCs w:val="24"/>
        </w:rPr>
        <w:t>at all times</w:t>
      </w:r>
      <w:proofErr w:type="gramEnd"/>
      <w:r w:rsidRPr="00431991">
        <w:rPr>
          <w:rFonts w:cs="Arial"/>
          <w:szCs w:val="24"/>
        </w:rPr>
        <w:t xml:space="preserve">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proofErr w:type="gramStart"/>
      <w:r w:rsidRPr="00431991">
        <w:rPr>
          <w:rFonts w:cs="Arial"/>
          <w:szCs w:val="24"/>
        </w:rPr>
        <w:t>shall at all times</w:t>
      </w:r>
      <w:proofErr w:type="gramEnd"/>
      <w:r w:rsidRPr="00431991">
        <w:rPr>
          <w:rFonts w:cs="Arial"/>
          <w:szCs w:val="24"/>
        </w:rPr>
        <w:t>:</w:t>
      </w:r>
    </w:p>
    <w:p w14:paraId="55EF4302" w14:textId="77777777" w:rsidR="00E4296F" w:rsidRPr="00431991" w:rsidRDefault="00237B58" w:rsidP="00314BBC">
      <w:pPr>
        <w:pStyle w:val="Untitledsubclause2"/>
        <w:jc w:val="both"/>
        <w:rPr>
          <w:szCs w:val="24"/>
        </w:rPr>
      </w:pPr>
      <w:r w:rsidRPr="00431991">
        <w:rPr>
          <w:szCs w:val="24"/>
        </w:rPr>
        <w:t xml:space="preserve">ensure that all Staff and Learners are subject to a valid enhanced disclosure check for regulated activity undertaken through </w:t>
      </w:r>
      <w:proofErr w:type="gramStart"/>
      <w:r w:rsidRPr="00431991">
        <w:rPr>
          <w:szCs w:val="24"/>
        </w:rPr>
        <w:t>DBS;</w:t>
      </w:r>
      <w:proofErr w:type="gramEnd"/>
    </w:p>
    <w:p w14:paraId="56EA7998" w14:textId="286B6533"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5AC5761B"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w:t>
      </w:r>
      <w:proofErr w:type="spellStart"/>
      <w:r w:rsidRPr="00431991">
        <w:rPr>
          <w:rFonts w:cs="Arial"/>
          <w:szCs w:val="24"/>
        </w:rPr>
        <w:t>Programme</w:t>
      </w:r>
      <w:proofErr w:type="spellEnd"/>
      <w:r w:rsidRPr="00431991">
        <w:rPr>
          <w:rFonts w:cs="Arial"/>
          <w:szCs w:val="24"/>
        </w:rPr>
        <w:t xml:space="preserve"> for a temporary or permanent </w:t>
      </w:r>
      <w:proofErr w:type="gramStart"/>
      <w:r w:rsidRPr="00431991">
        <w:rPr>
          <w:rFonts w:cs="Arial"/>
          <w:szCs w:val="24"/>
        </w:rPr>
        <w:t>period of time</w:t>
      </w:r>
      <w:proofErr w:type="gramEnd"/>
      <w:r w:rsidRPr="00431991">
        <w:rPr>
          <w:rFonts w:cs="Arial"/>
          <w:szCs w:val="24"/>
        </w:rPr>
        <w:t xml:space="preserv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proofErr w:type="spellStart"/>
      <w:r w:rsidRPr="00431991">
        <w:rPr>
          <w:rFonts w:cs="Arial"/>
          <w:szCs w:val="24"/>
        </w:rPr>
        <w:t>Authorised</w:t>
      </w:r>
      <w:proofErr w:type="spellEnd"/>
      <w:r w:rsidRPr="00431991">
        <w:rPr>
          <w:rFonts w:cs="Arial"/>
          <w:szCs w:val="24"/>
        </w:rPr>
        <w:t xml:space="preserve"> representatives</w:t>
      </w:r>
      <w:bookmarkEnd w:id="189"/>
      <w:bookmarkEnd w:id="190"/>
      <w:bookmarkEnd w:id="191"/>
      <w:bookmarkEnd w:id="192"/>
    </w:p>
    <w:p w14:paraId="1CA38168" w14:textId="0D317DA8"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3F49B1C5"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provide the </w:t>
      </w:r>
      <w:proofErr w:type="gramStart"/>
      <w:r w:rsidRPr="00431991">
        <w:rPr>
          <w:rFonts w:cs="Arial"/>
          <w:szCs w:val="24"/>
        </w:rPr>
        <w:t>Services, and</w:t>
      </w:r>
      <w:proofErr w:type="gramEnd"/>
      <w:r w:rsidRPr="00431991">
        <w:rPr>
          <w:rFonts w:cs="Arial"/>
          <w:szCs w:val="24"/>
        </w:rPr>
        <w:t xml:space="preserve">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6A748B57"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w:t>
      </w:r>
    </w:p>
    <w:p w14:paraId="5333E87F" w14:textId="2373BD44"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24FAFFFF"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w:t>
      </w:r>
      <w:proofErr w:type="gramStart"/>
      <w:r w:rsidRPr="00431991">
        <w:rPr>
          <w:szCs w:val="24"/>
        </w:rPr>
        <w:t>completed;</w:t>
      </w:r>
      <w:proofErr w:type="gramEnd"/>
      <w:r w:rsidRPr="00431991">
        <w:rPr>
          <w:szCs w:val="24"/>
        </w:rPr>
        <w:t xml:space="preserve">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w:t>
      </w:r>
      <w:proofErr w:type="gramStart"/>
      <w:r w:rsidRPr="00431991">
        <w:rPr>
          <w:szCs w:val="24"/>
        </w:rPr>
        <w:t>relates;</w:t>
      </w:r>
      <w:proofErr w:type="gramEnd"/>
      <w:r w:rsidRPr="00431991">
        <w:rPr>
          <w:szCs w:val="24"/>
        </w:rPr>
        <w:t xml:space="preserve"> or  </w:t>
      </w:r>
    </w:p>
    <w:p w14:paraId="22CA690F" w14:textId="24CF35A1"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26.9</w:t>
      </w:r>
      <w:r w:rsidR="00E93196" w:rsidRPr="00431991">
        <w:rPr>
          <w:szCs w:val="24"/>
        </w:rPr>
        <w:fldChar w:fldCharType="end"/>
      </w:r>
      <w:r w:rsidRPr="00431991">
        <w:rPr>
          <w:szCs w:val="24"/>
        </w:rPr>
        <w:t xml:space="preserve">; or </w:t>
      </w:r>
    </w:p>
    <w:p w14:paraId="4A2D2A48" w14:textId="5EC98A75"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 xml:space="preserve"> before the next Review Meeting; or </w:t>
      </w:r>
    </w:p>
    <w:p w14:paraId="41BBF116" w14:textId="24C65608"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566DA208"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3074D6A7"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w:t>
      </w:r>
      <w:proofErr w:type="gramStart"/>
      <w:r w:rsidRPr="00431991">
        <w:rPr>
          <w:szCs w:val="24"/>
        </w:rPr>
        <w:t>if</w:t>
      </w:r>
      <w:proofErr w:type="gramEnd"/>
      <w:r w:rsidRPr="00431991">
        <w:rPr>
          <w:szCs w:val="24"/>
        </w:rPr>
        <w:t xml:space="preserve">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0EE5528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1B23F43A"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BA7667"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30F1E098" w:rsidR="00E4296F" w:rsidRPr="00431991" w:rsidRDefault="00237B58" w:rsidP="00314BBC">
      <w:pPr>
        <w:pStyle w:val="Untitledsubclause2"/>
        <w:jc w:val="both"/>
        <w:rPr>
          <w:szCs w:val="24"/>
        </w:rPr>
      </w:pPr>
      <w:r w:rsidRPr="00431991">
        <w:rPr>
          <w:szCs w:val="24"/>
        </w:rPr>
        <w:t xml:space="preserve">within 6 months following the expiry of the relevant </w:t>
      </w:r>
      <w:proofErr w:type="gramStart"/>
      <w:r w:rsidRPr="00431991">
        <w:rPr>
          <w:szCs w:val="24"/>
        </w:rPr>
        <w:t>time period</w:t>
      </w:r>
      <w:proofErr w:type="gramEnd"/>
      <w:r w:rsidRPr="00431991">
        <w:rPr>
          <w:szCs w:val="24"/>
        </w:rPr>
        <w:t xml:space="preserve">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5E720DAD"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26.18</w:t>
      </w:r>
      <w:r w:rsidR="00E93196" w:rsidRPr="00431991">
        <w:rPr>
          <w:szCs w:val="24"/>
        </w:rPr>
        <w:fldChar w:fldCharType="end"/>
      </w:r>
      <w:r w:rsidRPr="00431991">
        <w:rPr>
          <w:szCs w:val="24"/>
        </w:rPr>
        <w:t xml:space="preserve"> is to be retained permanently by HEE. </w:t>
      </w:r>
    </w:p>
    <w:p w14:paraId="733E3AF7" w14:textId="48EB876B"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1AF82EB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27.1</w:t>
      </w:r>
      <w:r w:rsidR="00E93196" w:rsidRPr="00431991">
        <w:rPr>
          <w:rFonts w:cs="Arial"/>
          <w:szCs w:val="24"/>
        </w:rPr>
        <w:fldChar w:fldCharType="end"/>
      </w:r>
      <w:r w:rsidRPr="00431991">
        <w:rPr>
          <w:rFonts w:cs="Arial"/>
          <w:szCs w:val="24"/>
        </w:rPr>
        <w:t xml:space="preserve"> </w:t>
      </w:r>
      <w:proofErr w:type="gramStart"/>
      <w:r w:rsidRPr="00431991">
        <w:rPr>
          <w:rFonts w:cs="Arial"/>
          <w:szCs w:val="24"/>
        </w:rPr>
        <w:t>are considered to be</w:t>
      </w:r>
      <w:proofErr w:type="gramEnd"/>
      <w:r w:rsidRPr="00431991">
        <w:rPr>
          <w:rFonts w:cs="Arial"/>
          <w:szCs w:val="24"/>
        </w:rPr>
        <w:t xml:space="preserv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w:t>
      </w:r>
      <w:proofErr w:type="gramStart"/>
      <w:r w:rsidRPr="00431991">
        <w:rPr>
          <w:rFonts w:cs="Arial"/>
          <w:szCs w:val="24"/>
        </w:rPr>
        <w:t>reconfiguration</w:t>
      </w:r>
      <w:proofErr w:type="gramEnd"/>
      <w:r w:rsidRPr="00431991">
        <w:rPr>
          <w:rFonts w:cs="Arial"/>
          <w:szCs w:val="24"/>
        </w:rPr>
        <w:t xml:space="preserve"> or workforce requirement alterations by submitting to the Provider a notice of variation which shall take unilateral effect on the date specified in the variation. This notice will </w:t>
      </w:r>
      <w:proofErr w:type="gramStart"/>
      <w:r w:rsidRPr="00431991">
        <w:rPr>
          <w:rFonts w:cs="Arial"/>
          <w:szCs w:val="24"/>
        </w:rPr>
        <w:t>take into account</w:t>
      </w:r>
      <w:proofErr w:type="gramEnd"/>
      <w:r w:rsidRPr="00431991">
        <w:rPr>
          <w:rFonts w:cs="Arial"/>
          <w:szCs w:val="24"/>
        </w:rPr>
        <w:t xml:space="preserve">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w:t>
      </w:r>
      <w:proofErr w:type="gramStart"/>
      <w:r w:rsidRPr="00431991">
        <w:rPr>
          <w:rFonts w:cs="Arial"/>
          <w:szCs w:val="24"/>
        </w:rPr>
        <w:t>materials</w:t>
      </w:r>
      <w:proofErr w:type="gramEnd"/>
      <w:r w:rsidRPr="00431991">
        <w:rPr>
          <w:rFonts w:cs="Arial"/>
          <w:szCs w:val="24"/>
        </w:rPr>
        <w:t xml:space="preserve">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 xml:space="preserve">he Provider is not granted permission to use any Intellectual Property Rights </w:t>
      </w:r>
      <w:proofErr w:type="spellStart"/>
      <w:r w:rsidR="00D11AAA" w:rsidRPr="00431991">
        <w:rPr>
          <w:rFonts w:cs="Arial"/>
          <w:szCs w:val="24"/>
        </w:rPr>
        <w:t>licenced</w:t>
      </w:r>
      <w:proofErr w:type="spellEnd"/>
      <w:r w:rsidR="00D11AAA" w:rsidRPr="00431991">
        <w:rPr>
          <w:rFonts w:cs="Arial"/>
          <w:szCs w:val="24"/>
        </w:rPr>
        <w:t xml:space="preserve">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 xml:space="preserve">Each Party grants to the other a royalty-free, non-exclusive </w:t>
      </w:r>
      <w:proofErr w:type="spellStart"/>
      <w:r w:rsidRPr="00431991">
        <w:rPr>
          <w:rFonts w:cs="Arial"/>
          <w:szCs w:val="24"/>
        </w:rPr>
        <w:t>licence</w:t>
      </w:r>
      <w:proofErr w:type="spellEnd"/>
      <w:r w:rsidRPr="00431991">
        <w:rPr>
          <w:rFonts w:cs="Arial"/>
          <w:szCs w:val="24"/>
        </w:rPr>
        <w:t xml:space="preserve"> to use its Background IP for the sole purpose of developing and delivering the </w:t>
      </w:r>
      <w:proofErr w:type="spellStart"/>
      <w:r w:rsidRPr="00431991">
        <w:rPr>
          <w:rFonts w:cs="Arial"/>
          <w:szCs w:val="24"/>
        </w:rPr>
        <w:t>Programmes</w:t>
      </w:r>
      <w:proofErr w:type="spellEnd"/>
      <w:r w:rsidRPr="00431991">
        <w:rPr>
          <w:rFonts w:cs="Arial"/>
          <w:szCs w:val="24"/>
        </w:rPr>
        <w:t>, but for no other purpose. Neither Party shall be entitled to grant any sub-</w:t>
      </w:r>
      <w:proofErr w:type="spellStart"/>
      <w:r w:rsidRPr="00431991">
        <w:rPr>
          <w:rFonts w:cs="Arial"/>
          <w:szCs w:val="24"/>
        </w:rPr>
        <w:t>licence</w:t>
      </w:r>
      <w:proofErr w:type="spellEnd"/>
      <w:r w:rsidRPr="00431991">
        <w:rPr>
          <w:rFonts w:cs="Arial"/>
          <w:szCs w:val="24"/>
        </w:rPr>
        <w:t xml:space="preserv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proofErr w:type="gramStart"/>
      <w:r w:rsidR="002A27B6" w:rsidRPr="00431991">
        <w:rPr>
          <w:szCs w:val="24"/>
        </w:rPr>
        <w:t>party</w:t>
      </w:r>
      <w:r w:rsidRPr="00431991">
        <w:rPr>
          <w:szCs w:val="24"/>
        </w:rPr>
        <w:t>;</w:t>
      </w:r>
      <w:bookmarkEnd w:id="289"/>
      <w:proofErr w:type="gramEnd"/>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6E90CA1F"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 xml:space="preserve">the use of HEE Materials in the development of, or the inclusion of HEE Materials in any Provider </w:t>
      </w:r>
      <w:proofErr w:type="gramStart"/>
      <w:r w:rsidRPr="00431991">
        <w:rPr>
          <w:szCs w:val="24"/>
        </w:rPr>
        <w:t>Output;</w:t>
      </w:r>
      <w:bookmarkEnd w:id="293"/>
      <w:proofErr w:type="gramEnd"/>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w:t>
      </w:r>
      <w:proofErr w:type="gramStart"/>
      <w:r w:rsidRPr="00431991">
        <w:rPr>
          <w:szCs w:val="24"/>
        </w:rPr>
        <w:t>subcontractors</w:t>
      </w:r>
      <w:proofErr w:type="gramEnd"/>
      <w:r w:rsidRPr="00431991">
        <w:rPr>
          <w:szCs w:val="24"/>
        </w:rPr>
        <w:t xml:space="preserve">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755585E9"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6905A0">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73FDD71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 xml:space="preserve">Indemnified Party's prior approval of any settlement terms, such approval not to be unreasonably </w:t>
      </w:r>
      <w:proofErr w:type="gramStart"/>
      <w:r w:rsidRPr="00431991">
        <w:rPr>
          <w:szCs w:val="24"/>
        </w:rPr>
        <w:t>withheld;</w:t>
      </w:r>
      <w:bookmarkEnd w:id="302"/>
      <w:proofErr w:type="gramEnd"/>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w:t>
      </w:r>
      <w:proofErr w:type="gramStart"/>
      <w:r w:rsidRPr="00431991">
        <w:rPr>
          <w:szCs w:val="24"/>
        </w:rPr>
        <w:t>Laws;</w:t>
      </w:r>
      <w:proofErr w:type="gramEnd"/>
      <w:r w:rsidRPr="00431991">
        <w:rPr>
          <w:szCs w:val="24"/>
        </w:rPr>
        <w:t xml:space="preserve">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2F9B2454" w:rsidR="00E4296F" w:rsidRPr="00431991" w:rsidRDefault="00237B58" w:rsidP="00314BBC">
      <w:pPr>
        <w:pStyle w:val="Untitledsubclause1"/>
        <w:jc w:val="both"/>
        <w:rPr>
          <w:rFonts w:cs="Arial"/>
          <w:szCs w:val="24"/>
        </w:rPr>
      </w:pPr>
      <w:bookmarkStart w:id="312" w:name="a565408"/>
      <w:r w:rsidRPr="00431991">
        <w:rPr>
          <w:rFonts w:cs="Arial"/>
          <w:szCs w:val="24"/>
        </w:rPr>
        <w:t xml:space="preserve">Changes to the Services required </w:t>
      </w:r>
      <w:proofErr w:type="gramStart"/>
      <w:r w:rsidRPr="00431991">
        <w:rPr>
          <w:rFonts w:cs="Arial"/>
          <w:szCs w:val="24"/>
        </w:rPr>
        <w:t>as a result of</w:t>
      </w:r>
      <w:proofErr w:type="gramEnd"/>
      <w:r w:rsidRPr="00431991">
        <w:rPr>
          <w:rFonts w:cs="Arial"/>
          <w:szCs w:val="24"/>
        </w:rPr>
        <w:t xml:space="preserve">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w:t>
      </w:r>
      <w:proofErr w:type="gramStart"/>
      <w:r w:rsidRPr="00431991">
        <w:rPr>
          <w:rFonts w:cs="Arial"/>
          <w:szCs w:val="24"/>
        </w:rPr>
        <w:t>so as to</w:t>
      </w:r>
      <w:proofErr w:type="gramEnd"/>
      <w:r w:rsidRPr="00431991">
        <w:rPr>
          <w:rFonts w:cs="Arial"/>
          <w:szCs w:val="24"/>
        </w:rPr>
        <w:t xml:space="preserve">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w:t>
      </w:r>
      <w:proofErr w:type="gramStart"/>
      <w:r w:rsidRPr="00431991">
        <w:rPr>
          <w:rFonts w:cs="Arial"/>
          <w:szCs w:val="24"/>
        </w:rPr>
        <w:t>time-scale</w:t>
      </w:r>
      <w:proofErr w:type="gramEnd"/>
      <w:r w:rsidRPr="00431991">
        <w:rPr>
          <w:rFonts w:cs="Arial"/>
          <w:szCs w:val="24"/>
        </w:rPr>
        <w:t xml:space="preserve"> to enable the Disclosing Party to comply with the request for information within the timescales required by FOIA and/or the EIRs. </w:t>
      </w:r>
    </w:p>
    <w:p w14:paraId="61952DB6" w14:textId="2B609E32"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32.2(f)</w:t>
      </w:r>
      <w:r w:rsidR="00E93196" w:rsidRPr="00431991">
        <w:rPr>
          <w:rFonts w:cs="Arial"/>
          <w:szCs w:val="24"/>
        </w:rPr>
        <w:fldChar w:fldCharType="end"/>
      </w:r>
      <w:r w:rsidRPr="00431991">
        <w:rPr>
          <w:rFonts w:cs="Arial"/>
          <w:szCs w:val="24"/>
        </w:rPr>
        <w:t>:</w:t>
      </w:r>
      <w:bookmarkEnd w:id="324"/>
    </w:p>
    <w:p w14:paraId="3307865F" w14:textId="7FC02FB6"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3EE9B97"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w:t>
      </w:r>
      <w:proofErr w:type="gramStart"/>
      <w:r w:rsidRPr="00431991">
        <w:rPr>
          <w:szCs w:val="24"/>
        </w:rPr>
        <w:t>Party;</w:t>
      </w:r>
      <w:bookmarkEnd w:id="326"/>
      <w:proofErr w:type="gramEnd"/>
    </w:p>
    <w:p w14:paraId="0E0670AB" w14:textId="11A2442C"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sidRPr="00431991">
        <w:rPr>
          <w:szCs w:val="24"/>
        </w:rPr>
        <w:t>disclosure;</w:t>
      </w:r>
      <w:proofErr w:type="gramEnd"/>
    </w:p>
    <w:p w14:paraId="281D14AF" w14:textId="01CD6340"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2A4F717B"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43CD7776"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w:t>
      </w:r>
      <w:r w:rsidR="00E93196" w:rsidRPr="00431991">
        <w:rPr>
          <w:rFonts w:cs="Arial"/>
          <w:szCs w:val="24"/>
        </w:rPr>
        <w:fldChar w:fldCharType="end"/>
      </w:r>
      <w:r w:rsidRPr="00431991">
        <w:rPr>
          <w:rFonts w:cs="Arial"/>
          <w:szCs w:val="24"/>
        </w:rPr>
        <w:t xml:space="preserve"> is in addition to, and does not relieve, </w:t>
      </w:r>
      <w:proofErr w:type="gramStart"/>
      <w:r w:rsidRPr="00431991">
        <w:rPr>
          <w:rFonts w:cs="Arial"/>
          <w:szCs w:val="24"/>
        </w:rPr>
        <w:t>remove</w:t>
      </w:r>
      <w:proofErr w:type="gramEnd"/>
      <w:r w:rsidRPr="00431991">
        <w:rPr>
          <w:rFonts w:cs="Arial"/>
          <w:szCs w:val="24"/>
        </w:rPr>
        <w:t xml:space="preser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w:t>
      </w:r>
      <w:proofErr w:type="gramStart"/>
      <w:r w:rsidRPr="00431991">
        <w:rPr>
          <w:rFonts w:cs="Arial"/>
          <w:szCs w:val="24"/>
        </w:rPr>
        <w:t>nature</w:t>
      </w:r>
      <w:proofErr w:type="gramEnd"/>
      <w:r w:rsidRPr="00431991">
        <w:rPr>
          <w:rFonts w:cs="Arial"/>
          <w:szCs w:val="24"/>
        </w:rPr>
        <w:t xml:space="preserv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w:t>
      </w:r>
      <w:proofErr w:type="gramStart"/>
      <w:r w:rsidRPr="00431991">
        <w:rPr>
          <w:szCs w:val="24"/>
        </w:rPr>
        <w:t>HEE;</w:t>
      </w:r>
      <w:bookmarkEnd w:id="340"/>
      <w:proofErr w:type="gramEnd"/>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33520BCA"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71A150DC"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D6F03D2"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w:t>
      </w:r>
      <w:proofErr w:type="spellStart"/>
      <w:r w:rsidRPr="00431991">
        <w:rPr>
          <w:szCs w:val="24"/>
        </w:rPr>
        <w:t>organisational</w:t>
      </w:r>
      <w:proofErr w:type="spellEnd"/>
      <w:r w:rsidRPr="00431991">
        <w:rPr>
          <w:szCs w:val="24"/>
        </w:rPr>
        <w:t xml:space="preserve"> measures, reviewed and approved by HEE, to protect against </w:t>
      </w:r>
      <w:proofErr w:type="spellStart"/>
      <w:r w:rsidRPr="00431991">
        <w:rPr>
          <w:szCs w:val="24"/>
        </w:rPr>
        <w:t>unauthorised</w:t>
      </w:r>
      <w:proofErr w:type="spellEnd"/>
      <w:r w:rsidRPr="00431991">
        <w:rPr>
          <w:szCs w:val="24"/>
        </w:rPr>
        <w:t xml:space="preserve"> or unlawful processing of personal data and against accidental loss or destruction of, or damage to, personal data, appropriate to the harm that might result from the </w:t>
      </w:r>
      <w:proofErr w:type="spellStart"/>
      <w:r w:rsidRPr="00431991">
        <w:rPr>
          <w:szCs w:val="24"/>
        </w:rPr>
        <w:t>unauthorised</w:t>
      </w:r>
      <w:proofErr w:type="spellEnd"/>
      <w:r w:rsidRPr="00431991">
        <w:rPr>
          <w:szCs w:val="24"/>
        </w:rPr>
        <w:t xml:space="preserve">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 xml:space="preserve">measures may include, where appropriate, </w:t>
      </w:r>
      <w:proofErr w:type="spellStart"/>
      <w:r w:rsidRPr="00431991">
        <w:rPr>
          <w:szCs w:val="24"/>
        </w:rPr>
        <w:t>pseudonymising</w:t>
      </w:r>
      <w:proofErr w:type="spellEnd"/>
      <w:r w:rsidRPr="00431991">
        <w:rPr>
          <w:szCs w:val="24"/>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sidRPr="00431991">
        <w:rPr>
          <w:szCs w:val="24"/>
        </w:rPr>
        <w:t>organisational</w:t>
      </w:r>
      <w:proofErr w:type="spellEnd"/>
      <w:r w:rsidRPr="00431991">
        <w:rPr>
          <w:szCs w:val="24"/>
        </w:rPr>
        <w:t xml:space="preserve"> measures adopted by it);</w:t>
      </w:r>
      <w:bookmarkEnd w:id="343"/>
    </w:p>
    <w:p w14:paraId="7894242C" w14:textId="0C08908D"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 xml:space="preserve">HEE or the Provider has provided appropriate safeguards in relation to the </w:t>
      </w:r>
      <w:proofErr w:type="gramStart"/>
      <w:r w:rsidRPr="00431991">
        <w:rPr>
          <w:szCs w:val="24"/>
        </w:rPr>
        <w:t>transfer;</w:t>
      </w:r>
      <w:bookmarkEnd w:id="346"/>
      <w:proofErr w:type="gramEnd"/>
    </w:p>
    <w:p w14:paraId="4AF6BDC1" w14:textId="77777777" w:rsidR="00E4296F" w:rsidRPr="00431991" w:rsidRDefault="00237B58" w:rsidP="00314BBC">
      <w:pPr>
        <w:pStyle w:val="Untitledsubclause3"/>
        <w:jc w:val="both"/>
        <w:rPr>
          <w:szCs w:val="24"/>
        </w:rPr>
      </w:pPr>
      <w:bookmarkStart w:id="347" w:name="a248485"/>
      <w:r w:rsidRPr="00431991">
        <w:rPr>
          <w:szCs w:val="24"/>
        </w:rPr>
        <w:t xml:space="preserve">the data subject has enforceable rights and effective legal </w:t>
      </w:r>
      <w:proofErr w:type="gramStart"/>
      <w:r w:rsidRPr="00431991">
        <w:rPr>
          <w:szCs w:val="24"/>
        </w:rPr>
        <w:t>remedies;</w:t>
      </w:r>
      <w:bookmarkEnd w:id="347"/>
      <w:proofErr w:type="gramEnd"/>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2107C7CE"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 xml:space="preserve">to use the disclosing Party’s Confidential Information only in connection with the receiving Party’s performance under this </w:t>
      </w:r>
      <w:proofErr w:type="gramStart"/>
      <w:r w:rsidRPr="00431991">
        <w:rPr>
          <w:szCs w:val="24"/>
        </w:rPr>
        <w:t>Contract</w:t>
      </w:r>
      <w:bookmarkEnd w:id="360"/>
      <w:bookmarkEnd w:id="361"/>
      <w:bookmarkEnd w:id="362"/>
      <w:bookmarkEnd w:id="363"/>
      <w:bookmarkEnd w:id="364"/>
      <w:bookmarkEnd w:id="365"/>
      <w:r w:rsidRPr="00431991">
        <w:rPr>
          <w:szCs w:val="24"/>
        </w:rPr>
        <w:t>;</w:t>
      </w:r>
      <w:proofErr w:type="gramEnd"/>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w:t>
      </w:r>
      <w:proofErr w:type="gramStart"/>
      <w:r w:rsidRPr="00431991">
        <w:rPr>
          <w:szCs w:val="24"/>
        </w:rPr>
        <w:t>Dispute;</w:t>
      </w:r>
      <w:proofErr w:type="gramEnd"/>
      <w:r w:rsidRPr="00431991">
        <w:rPr>
          <w:szCs w:val="24"/>
        </w:rPr>
        <w:t xml:space="preserv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w:t>
      </w:r>
      <w:proofErr w:type="gramStart"/>
      <w:r w:rsidRPr="00431991">
        <w:rPr>
          <w:szCs w:val="24"/>
        </w:rPr>
        <w:t>Parties;</w:t>
      </w:r>
      <w:proofErr w:type="gramEnd"/>
      <w:r w:rsidRPr="00431991">
        <w:rPr>
          <w:szCs w:val="24"/>
        </w:rPr>
        <w:t xml:space="preserve">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w:t>
      </w:r>
      <w:proofErr w:type="gramStart"/>
      <w:r w:rsidRPr="00431991">
        <w:rPr>
          <w:szCs w:val="24"/>
        </w:rPr>
        <w:t>Guidance;</w:t>
      </w:r>
      <w:proofErr w:type="gramEnd"/>
      <w:r w:rsidRPr="00431991">
        <w:rPr>
          <w:szCs w:val="24"/>
        </w:rPr>
        <w:t xml:space="preserve"> </w:t>
      </w:r>
    </w:p>
    <w:p w14:paraId="344237EA" w14:textId="77777777" w:rsidR="00E4296F" w:rsidRPr="00431991" w:rsidRDefault="00237B58" w:rsidP="00314BBC">
      <w:pPr>
        <w:pStyle w:val="Untitledsubclause2"/>
        <w:jc w:val="both"/>
        <w:rPr>
          <w:szCs w:val="24"/>
        </w:rPr>
      </w:pPr>
      <w:r w:rsidRPr="00431991">
        <w:rPr>
          <w:szCs w:val="24"/>
        </w:rPr>
        <w:t xml:space="preserve">to any appropriate </w:t>
      </w:r>
      <w:proofErr w:type="gramStart"/>
      <w:r w:rsidRPr="00431991">
        <w:rPr>
          <w:szCs w:val="24"/>
        </w:rPr>
        <w:t>Regulator;</w:t>
      </w:r>
      <w:proofErr w:type="gramEnd"/>
      <w:r w:rsidRPr="00431991">
        <w:rPr>
          <w:szCs w:val="24"/>
        </w:rPr>
        <w:t xml:space="preserve"> </w:t>
      </w:r>
    </w:p>
    <w:p w14:paraId="6B67E6F8" w14:textId="1BB288CB"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w:t>
      </w:r>
      <w:proofErr w:type="gramStart"/>
      <w:r w:rsidRPr="00431991">
        <w:rPr>
          <w:szCs w:val="24"/>
        </w:rPr>
        <w:t>duties;</w:t>
      </w:r>
      <w:proofErr w:type="gramEnd"/>
      <w:r w:rsidRPr="00431991">
        <w:rPr>
          <w:szCs w:val="24"/>
        </w:rPr>
        <w:t xml:space="preserve">  </w:t>
      </w:r>
    </w:p>
    <w:p w14:paraId="0F206DB1" w14:textId="65E5C7C4"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5DF8771B"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w:t>
      </w:r>
      <w:proofErr w:type="gramStart"/>
      <w:r w:rsidRPr="00431991">
        <w:rPr>
          <w:szCs w:val="24"/>
        </w:rPr>
        <w:t>contract;</w:t>
      </w:r>
      <w:proofErr w:type="gramEnd"/>
      <w:r w:rsidRPr="00431991">
        <w:rPr>
          <w:szCs w:val="24"/>
        </w:rPr>
        <w:t xml:space="preserve">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 xml:space="preserve">The receiving Party must indemnify the disclosing Party and keep the disclosing Party indemnified against Losses and indirect losses suffered or incurred by the disclosing Party </w:t>
      </w:r>
      <w:proofErr w:type="gramStart"/>
      <w:r w:rsidRPr="00431991">
        <w:rPr>
          <w:rFonts w:cs="Arial"/>
          <w:szCs w:val="24"/>
        </w:rPr>
        <w:t>as a result of</w:t>
      </w:r>
      <w:proofErr w:type="gramEnd"/>
      <w:r w:rsidRPr="00431991">
        <w:rPr>
          <w:rFonts w:cs="Arial"/>
          <w:szCs w:val="24"/>
        </w:rPr>
        <w:t xml:space="preserve">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w:t>
      </w:r>
      <w:proofErr w:type="gramStart"/>
      <w:r w:rsidRPr="00431991">
        <w:rPr>
          <w:rFonts w:cs="Arial"/>
          <w:szCs w:val="24"/>
        </w:rPr>
        <w:t>performance</w:t>
      </w:r>
      <w:proofErr w:type="gramEnd"/>
      <w:r w:rsidRPr="00431991">
        <w:rPr>
          <w:rFonts w:cs="Arial"/>
          <w:szCs w:val="24"/>
        </w:rPr>
        <w:t xml:space="preserv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 xml:space="preserve">public liability insurance with a limit of at least £2,000,000 a </w:t>
      </w:r>
      <w:proofErr w:type="gramStart"/>
      <w:r w:rsidRPr="00431991">
        <w:rPr>
          <w:szCs w:val="24"/>
        </w:rPr>
        <w:t>claim;</w:t>
      </w:r>
      <w:proofErr w:type="gramEnd"/>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 xml:space="preserve">with a limit of at least £5,000,000 for claims arising from a single event or series of related events in a single calendar </w:t>
      </w:r>
      <w:proofErr w:type="gramStart"/>
      <w:r w:rsidRPr="00431991">
        <w:rPr>
          <w:szCs w:val="24"/>
        </w:rPr>
        <w:t>year;</w:t>
      </w:r>
      <w:proofErr w:type="gramEnd"/>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 xml:space="preserve">adequate insurance cover for any loss, injury and damage caused by or to any Learners (whilst on the Premises or not) </w:t>
      </w:r>
      <w:proofErr w:type="gramStart"/>
      <w:r w:rsidRPr="00431991">
        <w:rPr>
          <w:szCs w:val="24"/>
        </w:rPr>
        <w:t>in the course of</w:t>
      </w:r>
      <w:proofErr w:type="gramEnd"/>
      <w:r w:rsidRPr="00431991">
        <w:rPr>
          <w:szCs w:val="24"/>
        </w:rPr>
        <w:t xml:space="preserve"> providing the Services with a limit of at least £10,000,000 for claims arising from a single event or series of related events in a single calendar year.</w:t>
      </w:r>
    </w:p>
    <w:p w14:paraId="7175FE85" w14:textId="72B0380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 xml:space="preserve">During the Term, the Provider shall fulfil all duties relating to the Learners’ health, </w:t>
      </w:r>
      <w:proofErr w:type="gramStart"/>
      <w:r w:rsidRPr="00431991">
        <w:rPr>
          <w:rFonts w:cs="Arial"/>
          <w:szCs w:val="24"/>
        </w:rPr>
        <w:t>safety</w:t>
      </w:r>
      <w:proofErr w:type="gramEnd"/>
      <w:r w:rsidRPr="00431991">
        <w:rPr>
          <w:rFonts w:cs="Arial"/>
          <w:szCs w:val="24"/>
        </w:rPr>
        <w:t xml:space="preserve">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w:t>
      </w:r>
      <w:proofErr w:type="spellStart"/>
      <w:r w:rsidRPr="00431991">
        <w:rPr>
          <w:rFonts w:cs="Arial"/>
          <w:szCs w:val="24"/>
        </w:rPr>
        <w:t>Programme</w:t>
      </w:r>
      <w:proofErr w:type="spellEnd"/>
      <w:r w:rsidRPr="00431991">
        <w:rPr>
          <w:rFonts w:cs="Arial"/>
          <w:szCs w:val="24"/>
        </w:rPr>
        <w:t>(s)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w:t>
      </w:r>
      <w:proofErr w:type="spellStart"/>
      <w:r w:rsidRPr="00431991">
        <w:rPr>
          <w:rStyle w:val="body0020textchar"/>
          <w:rFonts w:eastAsia="Times New Roman" w:cs="Arial"/>
          <w:szCs w:val="24"/>
        </w:rPr>
        <w:t>Programme</w:t>
      </w:r>
      <w:proofErr w:type="spellEnd"/>
      <w:r w:rsidRPr="00431991">
        <w:rPr>
          <w:rStyle w:val="body0020textchar"/>
          <w:rFonts w:eastAsia="Times New Roman" w:cs="Arial"/>
          <w:szCs w:val="24"/>
        </w:rPr>
        <w:t xml:space="preserv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w:t>
      </w:r>
      <w:proofErr w:type="spellStart"/>
      <w:r w:rsidR="008F6C1E" w:rsidRPr="00431991">
        <w:rPr>
          <w:rStyle w:val="body0020textchar"/>
          <w:rFonts w:eastAsia="Times New Roman" w:cs="Arial"/>
          <w:szCs w:val="24"/>
        </w:rPr>
        <w:t>endeavours</w:t>
      </w:r>
      <w:proofErr w:type="spellEnd"/>
      <w:r w:rsidR="008F6C1E" w:rsidRPr="00431991">
        <w:rPr>
          <w:rStyle w:val="body0020textchar"/>
          <w:rFonts w:eastAsia="Times New Roman" w:cs="Arial"/>
          <w:szCs w:val="24"/>
        </w:rPr>
        <w:t xml:space="preserve">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w:t>
      </w:r>
      <w:proofErr w:type="gramStart"/>
      <w:r w:rsidR="00844A82" w:rsidRPr="00431991">
        <w:rPr>
          <w:rStyle w:val="body0020textchar"/>
          <w:rFonts w:eastAsia="Times New Roman" w:cs="Arial"/>
          <w:szCs w:val="24"/>
        </w:rPr>
        <w:t>parliament</w:t>
      </w:r>
      <w:proofErr w:type="gramEnd"/>
      <w:r w:rsidR="00844A82" w:rsidRPr="00431991">
        <w:rPr>
          <w:rStyle w:val="body0020textchar"/>
          <w:rFonts w:eastAsia="Times New Roman" w:cs="Arial"/>
          <w:szCs w:val="24"/>
        </w:rPr>
        <w:t xml:space="preserve">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 xml:space="preserve">agree to comply with any such national agreement, </w:t>
      </w:r>
      <w:proofErr w:type="gramStart"/>
      <w:r w:rsidR="008F6C1E" w:rsidRPr="00431991">
        <w:rPr>
          <w:rStyle w:val="body0020textchar"/>
          <w:rFonts w:eastAsia="Times New Roman" w:cs="Arial"/>
          <w:szCs w:val="24"/>
        </w:rPr>
        <w:t>policy</w:t>
      </w:r>
      <w:proofErr w:type="gramEnd"/>
      <w:r w:rsidR="008F6C1E" w:rsidRPr="00431991">
        <w:rPr>
          <w:rStyle w:val="body0020textchar"/>
          <w:rFonts w:eastAsia="Times New Roman" w:cs="Arial"/>
          <w:szCs w:val="24"/>
        </w:rPr>
        <w:t xml:space="preserve">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 xml:space="preserve">HEE together with the Provider shall arrange that any employees, servants or agents of HEE who shall work alongside and supervise Learners during a </w:t>
      </w:r>
      <w:proofErr w:type="spellStart"/>
      <w:r w:rsidRPr="00431991">
        <w:rPr>
          <w:rStyle w:val="body0020textchar"/>
          <w:rFonts w:cs="Arial"/>
          <w:szCs w:val="24"/>
        </w:rPr>
        <w:t>Programme</w:t>
      </w:r>
      <w:proofErr w:type="spellEnd"/>
      <w:r w:rsidRPr="00431991">
        <w:rPr>
          <w:rStyle w:val="body0020textchar"/>
          <w:rFonts w:cs="Arial"/>
          <w:szCs w:val="24"/>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any loss of or damage to property (whether real or personal</w:t>
      </w:r>
      <w:proofErr w:type="gramStart"/>
      <w:r w:rsidRPr="00431991">
        <w:rPr>
          <w:rStyle w:val="body0020textchar"/>
          <w:szCs w:val="24"/>
        </w:rPr>
        <w:t>);</w:t>
      </w:r>
      <w:proofErr w:type="gramEnd"/>
      <w:r w:rsidRPr="00431991">
        <w:rPr>
          <w:rStyle w:val="body0020textchar"/>
          <w:szCs w:val="24"/>
        </w:rPr>
        <w:t xml:space="preserve">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 xml:space="preserve">their </w:t>
      </w:r>
      <w:proofErr w:type="gramStart"/>
      <w:r w:rsidRPr="00431991">
        <w:rPr>
          <w:rStyle w:val="body0020textchar"/>
          <w:szCs w:val="24"/>
        </w:rPr>
        <w:t>Staff</w:t>
      </w:r>
      <w:proofErr w:type="gramEnd"/>
      <w:r w:rsidRPr="00431991">
        <w:rPr>
          <w:rStyle w:val="body0020textchar"/>
          <w:szCs w:val="24"/>
        </w:rPr>
        <w:t xml:space="preserve">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material or non-material damage to any person </w:t>
      </w:r>
      <w:proofErr w:type="gramStart"/>
      <w:r w:rsidRPr="00431991">
        <w:rPr>
          <w:rStyle w:val="body0020textchar"/>
          <w:szCs w:val="24"/>
        </w:rPr>
        <w:t>as a result of</w:t>
      </w:r>
      <w:proofErr w:type="gramEnd"/>
      <w:r w:rsidRPr="00431991">
        <w:rPr>
          <w:rStyle w:val="body0020textchar"/>
          <w:szCs w:val="24"/>
        </w:rPr>
        <w:t xml:space="preserve">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1574D577"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roofErr w:type="gramStart"/>
      <w:r w:rsidRPr="00431991">
        <w:rPr>
          <w:szCs w:val="24"/>
        </w:rPr>
        <w:t>);</w:t>
      </w:r>
      <w:proofErr w:type="gramEnd"/>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roofErr w:type="gramStart"/>
      <w:r w:rsidRPr="00431991">
        <w:rPr>
          <w:szCs w:val="24"/>
        </w:rPr>
        <w:t>);</w:t>
      </w:r>
      <w:proofErr w:type="gramEnd"/>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043781BD"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37.4</w:t>
      </w:r>
      <w:r w:rsidR="00E93196" w:rsidRPr="00431991">
        <w:rPr>
          <w:rFonts w:cs="Arial"/>
          <w:szCs w:val="24"/>
        </w:rPr>
        <w:fldChar w:fldCharType="end"/>
      </w:r>
      <w:r w:rsidRPr="00431991">
        <w:rPr>
          <w:rFonts w:cs="Arial"/>
          <w:szCs w:val="24"/>
        </w:rPr>
        <w:t xml:space="preserve">, HEE's total liability to the Provider for </w:t>
      </w:r>
      <w:proofErr w:type="gramStart"/>
      <w:r w:rsidRPr="00431991">
        <w:rPr>
          <w:rFonts w:cs="Arial"/>
          <w:szCs w:val="24"/>
        </w:rPr>
        <w:t>any and all</w:t>
      </w:r>
      <w:proofErr w:type="gramEnd"/>
      <w:r w:rsidRPr="00431991">
        <w:rPr>
          <w:rFonts w:cs="Arial"/>
          <w:szCs w:val="24"/>
        </w:rPr>
        <w:t xml:space="preserve">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w:t>
      </w:r>
      <w:proofErr w:type="spellStart"/>
      <w:r w:rsidRPr="00431991">
        <w:rPr>
          <w:rFonts w:cs="Arial"/>
          <w:szCs w:val="24"/>
        </w:rPr>
        <w:t>Programme</w:t>
      </w:r>
      <w:proofErr w:type="spellEnd"/>
      <w:r w:rsidRPr="00431991">
        <w:rPr>
          <w:rFonts w:cs="Arial"/>
          <w:szCs w:val="24"/>
        </w:rPr>
        <w:t xml:space="preserv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w:t>
      </w:r>
      <w:proofErr w:type="spellStart"/>
      <w:r w:rsidRPr="00431991">
        <w:rPr>
          <w:rFonts w:cs="Arial"/>
          <w:szCs w:val="24"/>
        </w:rPr>
        <w:t>Programme</w:t>
      </w:r>
      <w:proofErr w:type="spellEnd"/>
      <w:r w:rsidRPr="00431991">
        <w:rPr>
          <w:rFonts w:cs="Arial"/>
          <w:szCs w:val="24"/>
        </w:rPr>
        <w:t xml:space="preserv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336E0E9A"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HEE may terminate this contract or any part of the Services at any time on six 6 months’ written </w:t>
      </w:r>
      <w:proofErr w:type="gramStart"/>
      <w:r w:rsidRPr="00431991">
        <w:rPr>
          <w:rFonts w:cs="Arial"/>
          <w:szCs w:val="24"/>
        </w:rPr>
        <w:t>notice, but</w:t>
      </w:r>
      <w:proofErr w:type="gramEnd"/>
      <w:r w:rsidRPr="00431991">
        <w:rPr>
          <w:rFonts w:cs="Arial"/>
          <w:szCs w:val="24"/>
        </w:rPr>
        <w:t xml:space="preserve">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w:t>
      </w:r>
      <w:proofErr w:type="gramStart"/>
      <w:r w:rsidRPr="00431991">
        <w:rPr>
          <w:rFonts w:cs="Arial"/>
          <w:szCs w:val="24"/>
        </w:rPr>
        <w:t>months, and</w:t>
      </w:r>
      <w:proofErr w:type="gramEnd"/>
      <w:r w:rsidRPr="00431991">
        <w:rPr>
          <w:rFonts w:cs="Arial"/>
          <w:szCs w:val="24"/>
        </w:rPr>
        <w:t xml:space="preserve">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 xml:space="preserve">the other Party commits a material breach of any term of this contract and (if such breach is remediable) fails to remedy that breach within a period of 20 Business Days after being notified in writing to do </w:t>
      </w:r>
      <w:proofErr w:type="gramStart"/>
      <w:r w:rsidRPr="00431991">
        <w:rPr>
          <w:szCs w:val="24"/>
        </w:rPr>
        <w:t>so;</w:t>
      </w:r>
      <w:bookmarkEnd w:id="400"/>
      <w:proofErr w:type="gramEnd"/>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sidRPr="00431991">
        <w:rPr>
          <w:szCs w:val="24"/>
        </w:rPr>
        <w:t>contract;</w:t>
      </w:r>
      <w:bookmarkEnd w:id="401"/>
      <w:proofErr w:type="gramEnd"/>
    </w:p>
    <w:p w14:paraId="50AD0CBF" w14:textId="5E365CC4"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w:t>
      </w:r>
      <w:proofErr w:type="gramStart"/>
      <w:r w:rsidRPr="00431991">
        <w:rPr>
          <w:szCs w:val="24"/>
        </w:rPr>
        <w:t>2006</w:t>
      </w:r>
      <w:r w:rsidR="00BF6CFB" w:rsidRPr="00431991">
        <w:rPr>
          <w:szCs w:val="24"/>
        </w:rPr>
        <w:t>;</w:t>
      </w:r>
      <w:proofErr w:type="gramEnd"/>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w:t>
      </w:r>
      <w:proofErr w:type="gramStart"/>
      <w:r w:rsidRPr="00431991">
        <w:rPr>
          <w:szCs w:val="24"/>
        </w:rPr>
        <w:t>enforced;</w:t>
      </w:r>
      <w:proofErr w:type="gramEnd"/>
      <w:r w:rsidRPr="00431991">
        <w:rPr>
          <w:szCs w:val="24"/>
        </w:rPr>
        <w:t xml:space="preserve">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 xml:space="preserve">the Secretary of State for Health and Social Care no longer </w:t>
      </w:r>
      <w:proofErr w:type="spellStart"/>
      <w:r w:rsidRPr="00431991">
        <w:rPr>
          <w:szCs w:val="24"/>
        </w:rPr>
        <w:t>authorises</w:t>
      </w:r>
      <w:proofErr w:type="spellEnd"/>
      <w:r w:rsidRPr="00431991">
        <w:rPr>
          <w:szCs w:val="24"/>
        </w:rPr>
        <w:t xml:space="preserve"> and/or funds HEE to </w:t>
      </w:r>
      <w:proofErr w:type="gramStart"/>
      <w:r w:rsidRPr="00431991">
        <w:rPr>
          <w:szCs w:val="24"/>
        </w:rPr>
        <w:t>commission, and</w:t>
      </w:r>
      <w:proofErr w:type="gramEnd"/>
      <w:r w:rsidRPr="00431991">
        <w:rPr>
          <w:szCs w:val="24"/>
        </w:rPr>
        <w:t xml:space="preserve"> manage the provision of Funding in a manner as envisaged by this contract.</w:t>
      </w:r>
    </w:p>
    <w:p w14:paraId="010917BF" w14:textId="601F47F3"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17895495"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6905A0">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w:t>
      </w:r>
      <w:proofErr w:type="spellStart"/>
      <w:r w:rsidRPr="00431991">
        <w:rPr>
          <w:rStyle w:val="normaltextrun"/>
          <w:rFonts w:cs="Arial"/>
          <w:szCs w:val="24"/>
        </w:rPr>
        <w:t>Programmes</w:t>
      </w:r>
      <w:proofErr w:type="spellEnd"/>
      <w:r w:rsidRPr="00431991">
        <w:rPr>
          <w:rStyle w:val="normaltextrun"/>
          <w:rFonts w:cs="Arial"/>
          <w:szCs w:val="24"/>
        </w:rPr>
        <w:t xml:space="preserve"> only until such </w:t>
      </w:r>
      <w:proofErr w:type="spellStart"/>
      <w:r w:rsidRPr="00431991">
        <w:rPr>
          <w:rStyle w:val="normaltextrun"/>
          <w:rFonts w:cs="Arial"/>
          <w:szCs w:val="24"/>
        </w:rPr>
        <w:t>Programmes</w:t>
      </w:r>
      <w:proofErr w:type="spellEnd"/>
      <w:r w:rsidRPr="00431991">
        <w:rPr>
          <w:rStyle w:val="normaltextrun"/>
          <w:rFonts w:cs="Arial"/>
          <w:szCs w:val="24"/>
        </w:rPr>
        <w:t xml:space="preserve">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w:t>
      </w:r>
      <w:proofErr w:type="gramStart"/>
      <w:r w:rsidRPr="00431991">
        <w:rPr>
          <w:szCs w:val="24"/>
        </w:rPr>
        <w:t>all of</w:t>
      </w:r>
      <w:proofErr w:type="gramEnd"/>
      <w:r w:rsidRPr="00431991">
        <w:rPr>
          <w:szCs w:val="24"/>
        </w:rPr>
        <w:t xml:space="preserve">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2E2F8C46"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6DDD9BD1"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6905A0"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w:t>
      </w:r>
      <w:proofErr w:type="gramStart"/>
      <w:r w:rsidRPr="00431991">
        <w:rPr>
          <w:szCs w:val="24"/>
        </w:rPr>
        <w:t>obligations</w:t>
      </w:r>
      <w:proofErr w:type="gramEnd"/>
      <w:r w:rsidRPr="00431991">
        <w:rPr>
          <w:szCs w:val="24"/>
        </w:rPr>
        <w:t xml:space="preserve">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431991">
        <w:rPr>
          <w:rFonts w:cs="Arial"/>
          <w:szCs w:val="24"/>
        </w:rPr>
        <w:t>to allow</w:t>
      </w:r>
      <w:proofErr w:type="gramEnd"/>
      <w:r w:rsidRPr="00431991">
        <w:rPr>
          <w:rFonts w:cs="Arial"/>
          <w:szCs w:val="24"/>
        </w:rPr>
        <w:t xml:space="preserve">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 xml:space="preserve">acts of God, flood, drought, earthquake or other natural </w:t>
      </w:r>
      <w:proofErr w:type="gramStart"/>
      <w:r w:rsidRPr="00431991">
        <w:rPr>
          <w:szCs w:val="24"/>
        </w:rPr>
        <w:t>disaster;</w:t>
      </w:r>
      <w:bookmarkEnd w:id="440"/>
      <w:proofErr w:type="gramEnd"/>
    </w:p>
    <w:p w14:paraId="3FC63C46" w14:textId="77777777" w:rsidR="00E4296F" w:rsidRPr="00431991" w:rsidRDefault="00237B58" w:rsidP="00314BBC">
      <w:pPr>
        <w:pStyle w:val="Untitledsubclause2"/>
        <w:jc w:val="both"/>
        <w:rPr>
          <w:szCs w:val="24"/>
        </w:rPr>
      </w:pPr>
      <w:bookmarkStart w:id="441" w:name="a924953"/>
      <w:r w:rsidRPr="00431991">
        <w:rPr>
          <w:szCs w:val="24"/>
        </w:rPr>
        <w:t xml:space="preserve">terrorist attack, civil war, civil commotion or riots, war, threat of or preparation for war, armed conflict, imposition of sanctions, embargo, or breaking off of diplomatic </w:t>
      </w:r>
      <w:proofErr w:type="gramStart"/>
      <w:r w:rsidRPr="00431991">
        <w:rPr>
          <w:szCs w:val="24"/>
        </w:rPr>
        <w:t>relations;</w:t>
      </w:r>
      <w:bookmarkEnd w:id="441"/>
      <w:proofErr w:type="gramEnd"/>
    </w:p>
    <w:p w14:paraId="33031E1A" w14:textId="77777777" w:rsidR="00E4296F" w:rsidRPr="00431991" w:rsidRDefault="00237B58" w:rsidP="00314BBC">
      <w:pPr>
        <w:pStyle w:val="Untitledsubclause2"/>
        <w:jc w:val="both"/>
        <w:rPr>
          <w:szCs w:val="24"/>
        </w:rPr>
      </w:pPr>
      <w:bookmarkStart w:id="442" w:name="a422931"/>
      <w:r w:rsidRPr="00431991">
        <w:rPr>
          <w:szCs w:val="24"/>
        </w:rPr>
        <w:t xml:space="preserve">nuclear, chemical or biological contamination or sonic </w:t>
      </w:r>
      <w:proofErr w:type="gramStart"/>
      <w:r w:rsidRPr="00431991">
        <w:rPr>
          <w:szCs w:val="24"/>
        </w:rPr>
        <w:t>boom;</w:t>
      </w:r>
      <w:bookmarkEnd w:id="442"/>
      <w:proofErr w:type="gramEnd"/>
    </w:p>
    <w:p w14:paraId="19A688AA" w14:textId="77777777" w:rsidR="00E4296F" w:rsidRPr="00431991" w:rsidRDefault="00237B58" w:rsidP="00314BBC">
      <w:pPr>
        <w:pStyle w:val="Untitledsubclause2"/>
        <w:jc w:val="both"/>
        <w:rPr>
          <w:szCs w:val="24"/>
        </w:rPr>
      </w:pPr>
      <w:bookmarkStart w:id="443" w:name="a194578"/>
      <w:r w:rsidRPr="00431991">
        <w:rPr>
          <w:szCs w:val="24"/>
        </w:rPr>
        <w:t xml:space="preserve">any law or any action taken by a government or public authority, including imposing an export or import restriction, quota or prohibition, or failing to provide a necessary </w:t>
      </w:r>
      <w:proofErr w:type="spellStart"/>
      <w:r w:rsidRPr="00431991">
        <w:rPr>
          <w:szCs w:val="24"/>
        </w:rPr>
        <w:t>licence</w:t>
      </w:r>
      <w:proofErr w:type="spellEnd"/>
      <w:r w:rsidRPr="00431991">
        <w:rPr>
          <w:szCs w:val="24"/>
        </w:rPr>
        <w:t xml:space="preserve"> or </w:t>
      </w:r>
      <w:proofErr w:type="gramStart"/>
      <w:r w:rsidRPr="00431991">
        <w:rPr>
          <w:szCs w:val="24"/>
        </w:rPr>
        <w:t>consent;</w:t>
      </w:r>
      <w:bookmarkEnd w:id="443"/>
      <w:proofErr w:type="gramEnd"/>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w:t>
      </w:r>
      <w:proofErr w:type="gramStart"/>
      <w:r w:rsidRPr="00431991">
        <w:rPr>
          <w:szCs w:val="24"/>
        </w:rPr>
        <w:t>accident;</w:t>
      </w:r>
      <w:proofErr w:type="gramEnd"/>
      <w:r w:rsidRPr="00431991">
        <w:rPr>
          <w:szCs w:val="24"/>
        </w:rPr>
        <w:t xml:space="preserve">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w:t>
      </w:r>
      <w:proofErr w:type="spellStart"/>
      <w:r w:rsidRPr="00431991">
        <w:rPr>
          <w:szCs w:val="24"/>
        </w:rPr>
        <w:t>labour</w:t>
      </w:r>
      <w:proofErr w:type="spellEnd"/>
      <w:r w:rsidRPr="00431991">
        <w:rPr>
          <w:szCs w:val="24"/>
        </w:rPr>
        <w:t xml:space="preserve"> or trade dispute, strikes, industrial action or </w:t>
      </w:r>
      <w:proofErr w:type="gramStart"/>
      <w:r w:rsidRPr="00431991">
        <w:rPr>
          <w:szCs w:val="24"/>
        </w:rPr>
        <w:t>lockouts;</w:t>
      </w:r>
      <w:proofErr w:type="gramEnd"/>
      <w:r w:rsidRPr="00431991">
        <w:rPr>
          <w:szCs w:val="24"/>
        </w:rPr>
        <w:t xml:space="preserve">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0E166B28"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 xml:space="preserve">The corresponding obligations of the other Party shall be suspended, and </w:t>
      </w:r>
      <w:proofErr w:type="spellStart"/>
      <w:r w:rsidRPr="00431991">
        <w:rPr>
          <w:rFonts w:cs="Arial"/>
          <w:szCs w:val="24"/>
        </w:rPr>
        <w:t>its</w:t>
      </w:r>
      <w:proofErr w:type="spellEnd"/>
      <w:r w:rsidRPr="00431991">
        <w:rPr>
          <w:rFonts w:cs="Arial"/>
          <w:szCs w:val="24"/>
        </w:rPr>
        <w:t xml:space="preserve">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 xml:space="preserve">use all reasonable </w:t>
      </w:r>
      <w:proofErr w:type="spellStart"/>
      <w:r w:rsidRPr="00431991">
        <w:rPr>
          <w:szCs w:val="24"/>
        </w:rPr>
        <w:t>endeavours</w:t>
      </w:r>
      <w:proofErr w:type="spellEnd"/>
      <w:r w:rsidRPr="00431991">
        <w:rPr>
          <w:szCs w:val="24"/>
        </w:rPr>
        <w:t xml:space="preserve">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 xml:space="preserve">If the Force Majeure Event prevents, </w:t>
      </w:r>
      <w:proofErr w:type="gramStart"/>
      <w:r w:rsidRPr="00431991">
        <w:rPr>
          <w:rFonts w:cs="Arial"/>
          <w:szCs w:val="24"/>
        </w:rPr>
        <w:t>hinders</w:t>
      </w:r>
      <w:proofErr w:type="gramEnd"/>
      <w:r w:rsidRPr="00431991">
        <w:rPr>
          <w:rFonts w:cs="Arial"/>
          <w:szCs w:val="24"/>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w:t>
      </w:r>
      <w:proofErr w:type="gramStart"/>
      <w:r w:rsidRPr="00431991">
        <w:rPr>
          <w:rFonts w:cs="Arial"/>
          <w:szCs w:val="24"/>
        </w:rPr>
        <w:t>all of</w:t>
      </w:r>
      <w:proofErr w:type="gramEnd"/>
      <w:r w:rsidRPr="00431991">
        <w:rPr>
          <w:rFonts w:cs="Arial"/>
          <w:szCs w:val="24"/>
        </w:rPr>
        <w:t xml:space="preserve">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w:t>
      </w:r>
      <w:proofErr w:type="gramStart"/>
      <w:r w:rsidRPr="00431991">
        <w:rPr>
          <w:rFonts w:cs="Arial"/>
          <w:szCs w:val="24"/>
        </w:rPr>
        <w:t>all of</w:t>
      </w:r>
      <w:proofErr w:type="gramEnd"/>
      <w:r w:rsidRPr="00431991">
        <w:rPr>
          <w:rFonts w:cs="Arial"/>
          <w:szCs w:val="24"/>
        </w:rPr>
        <w:t xml:space="preserve">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w:t>
      </w:r>
      <w:proofErr w:type="gramStart"/>
      <w:r w:rsidRPr="00431991">
        <w:rPr>
          <w:rFonts w:cs="Arial"/>
          <w:szCs w:val="24"/>
        </w:rPr>
        <w:t>enter into</w:t>
      </w:r>
      <w:proofErr w:type="gramEnd"/>
      <w:r w:rsidRPr="00431991">
        <w:rPr>
          <w:rFonts w:cs="Arial"/>
          <w:szCs w:val="24"/>
        </w:rPr>
        <w:t xml:space="preserve">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w:t>
      </w:r>
      <w:proofErr w:type="gramStart"/>
      <w:r w:rsidR="009D2560" w:rsidRPr="00431991">
        <w:rPr>
          <w:rFonts w:cs="Arial"/>
          <w:szCs w:val="24"/>
        </w:rPr>
        <w:t>Contract</w:t>
      </w:r>
      <w:proofErr w:type="gramEnd"/>
      <w:r w:rsidR="009D2560" w:rsidRPr="00431991">
        <w:rPr>
          <w:rFonts w:cs="Arial"/>
          <w:szCs w:val="24"/>
        </w:rPr>
        <w:t xml:space="preserve">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w:t>
      </w:r>
      <w:proofErr w:type="gramStart"/>
      <w:r w:rsidRPr="00431991">
        <w:rPr>
          <w:rFonts w:cs="Arial"/>
          <w:szCs w:val="24"/>
        </w:rPr>
        <w:t>as a result of</w:t>
      </w:r>
      <w:proofErr w:type="gramEnd"/>
      <w:r w:rsidRPr="00431991">
        <w:rPr>
          <w:rFonts w:cs="Arial"/>
          <w:szCs w:val="24"/>
        </w:rPr>
        <w:t xml:space="preserve">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whatever period may be reasonably specified by HEE (</w:t>
      </w:r>
      <w:proofErr w:type="gramStart"/>
      <w:r w:rsidRPr="00431991">
        <w:rPr>
          <w:szCs w:val="24"/>
        </w:rPr>
        <w:t>taking into account</w:t>
      </w:r>
      <w:proofErr w:type="gramEnd"/>
      <w:r w:rsidRPr="00431991">
        <w:rPr>
          <w:szCs w:val="24"/>
        </w:rPr>
        <w:t xml:space="preserve">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 xml:space="preserve">The Provider must comply with all reasonable written requests made by any relevant Regulator (or its </w:t>
      </w:r>
      <w:proofErr w:type="spellStart"/>
      <w:r w:rsidRPr="00431991">
        <w:rPr>
          <w:rFonts w:cs="Arial"/>
          <w:szCs w:val="24"/>
        </w:rPr>
        <w:t>authorised</w:t>
      </w:r>
      <w:proofErr w:type="spellEnd"/>
      <w:r w:rsidRPr="00431991">
        <w:rPr>
          <w:rFonts w:cs="Arial"/>
          <w:szCs w:val="24"/>
        </w:rPr>
        <w:t xml:space="preserve">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w:t>
      </w:r>
      <w:proofErr w:type="gramStart"/>
      <w:r w:rsidRPr="00431991">
        <w:rPr>
          <w:rFonts w:cs="Arial"/>
          <w:szCs w:val="24"/>
        </w:rPr>
        <w:t>observing</w:t>
      </w:r>
      <w:proofErr w:type="gramEnd"/>
      <w:r w:rsidRPr="00431991">
        <w:rPr>
          <w:rFonts w:cs="Arial"/>
          <w:szCs w:val="24"/>
        </w:rPr>
        <w:t xml:space="preserve">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w:t>
      </w:r>
      <w:proofErr w:type="gramStart"/>
      <w:r w:rsidRPr="00431991">
        <w:rPr>
          <w:rFonts w:cs="Arial"/>
          <w:szCs w:val="24"/>
        </w:rPr>
        <w:t>investigation</w:t>
      </w:r>
      <w:proofErr w:type="gramEnd"/>
      <w:r w:rsidRPr="00431991">
        <w:rPr>
          <w:rFonts w:cs="Arial"/>
          <w:szCs w:val="24"/>
        </w:rPr>
        <w:t xml:space="preserve">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proofErr w:type="gramStart"/>
      <w:r w:rsidRPr="00431991">
        <w:rPr>
          <w:rFonts w:cs="Arial"/>
          <w:szCs w:val="24"/>
        </w:rPr>
        <w:t>If and when</w:t>
      </w:r>
      <w:proofErr w:type="gramEnd"/>
      <w:r w:rsidRPr="00431991">
        <w:rPr>
          <w:rFonts w:cs="Arial"/>
          <w:szCs w:val="24"/>
        </w:rPr>
        <w:t xml:space="preserve"> HEE is reasonably satisfied that the Provider is able to and shall provide the suspended Service to the required standard, it must by written notice require the Provider to restore the provision of the suspended Service. </w:t>
      </w:r>
    </w:p>
    <w:p w14:paraId="3C92F78C" w14:textId="2B2FD0A1" w:rsidR="00E4296F" w:rsidRPr="00431991" w:rsidRDefault="00237B58" w:rsidP="00314BBC">
      <w:pPr>
        <w:pStyle w:val="Untitledsubclause1"/>
        <w:jc w:val="both"/>
        <w:rPr>
          <w:rFonts w:cs="Arial"/>
          <w:szCs w:val="24"/>
        </w:rPr>
      </w:pPr>
      <w:r w:rsidRPr="00431991">
        <w:rPr>
          <w:rFonts w:cs="Arial"/>
          <w:szCs w:val="24"/>
        </w:rPr>
        <w:t xml:space="preserve">The Provider must continue to comply with any steps that HEE may reasonably specify </w:t>
      </w:r>
      <w:proofErr w:type="gramStart"/>
      <w:r w:rsidRPr="00431991">
        <w:rPr>
          <w:rFonts w:cs="Arial"/>
          <w:szCs w:val="24"/>
        </w:rPr>
        <w:t>in order to</w:t>
      </w:r>
      <w:proofErr w:type="gramEnd"/>
      <w:r w:rsidRPr="00431991">
        <w:rPr>
          <w:rFonts w:cs="Arial"/>
          <w:szCs w:val="24"/>
        </w:rPr>
        <w:t xml:space="preserve">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58517A9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6090C57D"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and/or </w:t>
      </w:r>
    </w:p>
    <w:p w14:paraId="13DA039C" w14:textId="557583A7"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w:t>
      </w:r>
      <w:proofErr w:type="gramStart"/>
      <w:r w:rsidRPr="00431991">
        <w:rPr>
          <w:rFonts w:cs="Arial"/>
          <w:szCs w:val="24"/>
        </w:rPr>
        <w:t>as a result of</w:t>
      </w:r>
      <w:proofErr w:type="gramEnd"/>
      <w:r w:rsidRPr="00431991">
        <w:rPr>
          <w:rFonts w:cs="Arial"/>
          <w:szCs w:val="24"/>
        </w:rPr>
        <w:t xml:space="preserve">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w:t>
      </w:r>
      <w:proofErr w:type="spellStart"/>
      <w:r w:rsidRPr="00431991">
        <w:rPr>
          <w:rFonts w:cs="Arial"/>
          <w:szCs w:val="24"/>
        </w:rPr>
        <w:t>endeavours</w:t>
      </w:r>
      <w:proofErr w:type="spellEnd"/>
      <w:r w:rsidRPr="00431991">
        <w:rPr>
          <w:rFonts w:cs="Arial"/>
          <w:szCs w:val="24"/>
        </w:rPr>
        <w:t xml:space="preserve"> to </w:t>
      </w:r>
      <w:proofErr w:type="spellStart"/>
      <w:r w:rsidRPr="00431991">
        <w:rPr>
          <w:rFonts w:cs="Arial"/>
          <w:szCs w:val="24"/>
        </w:rPr>
        <w:t>minimise</w:t>
      </w:r>
      <w:proofErr w:type="spellEnd"/>
      <w:r w:rsidRPr="00431991">
        <w:rPr>
          <w:rFonts w:cs="Arial"/>
          <w:szCs w:val="24"/>
        </w:rPr>
        <w:t xml:space="preserve"> any inconvenience to Learners </w:t>
      </w:r>
      <w:proofErr w:type="gramStart"/>
      <w:r w:rsidRPr="00431991">
        <w:rPr>
          <w:rFonts w:cs="Arial"/>
          <w:szCs w:val="24"/>
        </w:rPr>
        <w:t>as a result of</w:t>
      </w:r>
      <w:proofErr w:type="gramEnd"/>
      <w:r w:rsidRPr="00431991">
        <w:rPr>
          <w:rFonts w:cs="Arial"/>
          <w:szCs w:val="24"/>
        </w:rPr>
        <w:t xml:space="preserve">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w:t>
      </w:r>
      <w:proofErr w:type="gramStart"/>
      <w:r w:rsidRPr="00431991">
        <w:rPr>
          <w:szCs w:val="24"/>
        </w:rPr>
        <w:t>Service;</w:t>
      </w:r>
      <w:proofErr w:type="gramEnd"/>
      <w:r w:rsidRPr="00431991">
        <w:rPr>
          <w:szCs w:val="24"/>
        </w:rPr>
        <w:t xml:space="preserve">  </w:t>
      </w:r>
    </w:p>
    <w:p w14:paraId="045CF15E" w14:textId="77777777" w:rsidR="00E4296F" w:rsidRPr="00431991" w:rsidRDefault="00237B58" w:rsidP="00314BBC">
      <w:pPr>
        <w:pStyle w:val="Untitledsubclause2"/>
        <w:jc w:val="both"/>
        <w:rPr>
          <w:szCs w:val="24"/>
        </w:rPr>
      </w:pPr>
      <w:r w:rsidRPr="00431991">
        <w:rPr>
          <w:szCs w:val="24"/>
        </w:rPr>
        <w:t xml:space="preserve">at its own cost co-operate fully with HEE and any interim or successor provider of that Service </w:t>
      </w:r>
      <w:proofErr w:type="gramStart"/>
      <w:r w:rsidRPr="00431991">
        <w:rPr>
          <w:szCs w:val="24"/>
        </w:rPr>
        <w:t>in order to</w:t>
      </w:r>
      <w:proofErr w:type="gramEnd"/>
      <w:r w:rsidRPr="00431991">
        <w:rPr>
          <w:szCs w:val="24"/>
        </w:rPr>
        <w:t xml:space="preserve">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w:t>
      </w:r>
      <w:proofErr w:type="gramStart"/>
      <w:r w:rsidRPr="00431991">
        <w:rPr>
          <w:szCs w:val="24"/>
        </w:rPr>
        <w:t>effect</w:t>
      </w:r>
      <w:proofErr w:type="gramEnd"/>
      <w:r w:rsidRPr="00431991">
        <w:rPr>
          <w:szCs w:val="24"/>
        </w:rPr>
        <w:t xml:space="preserve">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w:t>
      </w:r>
      <w:proofErr w:type="gramStart"/>
      <w:r w:rsidRPr="00431991">
        <w:rPr>
          <w:szCs w:val="24"/>
        </w:rPr>
        <w:t>documents</w:t>
      </w:r>
      <w:proofErr w:type="gramEnd"/>
      <w:r w:rsidRPr="00431991">
        <w:rPr>
          <w:szCs w:val="24"/>
        </w:rPr>
        <w:t xml:space="preserve"> and operating manuals owned by HEE and used by the Provider in the provision of that Service. </w:t>
      </w:r>
    </w:p>
    <w:p w14:paraId="5454B786" w14:textId="2F03A910"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w:t>
      </w:r>
      <w:proofErr w:type="gramStart"/>
      <w:r w:rsidRPr="00431991">
        <w:rPr>
          <w:rFonts w:cs="Arial"/>
          <w:szCs w:val="24"/>
        </w:rPr>
        <w:t>Guidance</w:t>
      </w:r>
      <w:proofErr w:type="gramEnd"/>
      <w:r w:rsidRPr="00431991">
        <w:rPr>
          <w:rFonts w:cs="Arial"/>
          <w:szCs w:val="24"/>
        </w:rPr>
        <w:t xml:space="preserv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Services;</w:t>
      </w:r>
      <w:proofErr w:type="gramEnd"/>
    </w:p>
    <w:p w14:paraId="357F1FE9" w14:textId="77777777" w:rsidR="00E4296F" w:rsidRPr="00431991" w:rsidRDefault="00237B58" w:rsidP="00314BBC">
      <w:pPr>
        <w:pStyle w:val="Untitledsubclause2"/>
        <w:jc w:val="both"/>
        <w:rPr>
          <w:szCs w:val="24"/>
        </w:rPr>
      </w:pPr>
      <w:r w:rsidRPr="00431991">
        <w:rPr>
          <w:szCs w:val="24"/>
        </w:rPr>
        <w:t xml:space="preserve">the </w:t>
      </w:r>
      <w:proofErr w:type="gramStart"/>
      <w:r w:rsidRPr="00431991">
        <w:rPr>
          <w:szCs w:val="24"/>
        </w:rPr>
        <w:t>Funding;</w:t>
      </w:r>
      <w:proofErr w:type="gramEnd"/>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676C4F50"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40F9B633"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243604C4"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w:t>
      </w:r>
      <w:proofErr w:type="gramStart"/>
      <w:r w:rsidRPr="00431991">
        <w:rPr>
          <w:rFonts w:cs="Arial"/>
          <w:szCs w:val="24"/>
        </w:rPr>
        <w:t>publishing</w:t>
      </w:r>
      <w:proofErr w:type="gramEnd"/>
      <w:r w:rsidRPr="00431991">
        <w:rPr>
          <w:rFonts w:cs="Arial"/>
          <w:szCs w:val="24"/>
        </w:rPr>
        <w:t xml:space="preserve">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 xml:space="preserve">A Party that waives a right or remedy provided under this contract or by law in relation to one </w:t>
      </w:r>
      <w:proofErr w:type="gramStart"/>
      <w:r w:rsidRPr="00431991">
        <w:rPr>
          <w:rFonts w:cs="Arial"/>
          <w:szCs w:val="24"/>
        </w:rPr>
        <w:t>Party, or</w:t>
      </w:r>
      <w:proofErr w:type="gramEnd"/>
      <w:r w:rsidRPr="00431991">
        <w:rPr>
          <w:rFonts w:cs="Arial"/>
          <w:szCs w:val="24"/>
        </w:rPr>
        <w:t xml:space="preserve">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 xml:space="preserve">If any provision or part-provision of this contract is or becomes invalid, </w:t>
      </w:r>
      <w:proofErr w:type="gramStart"/>
      <w:r w:rsidRPr="00431991">
        <w:rPr>
          <w:rFonts w:cs="Arial"/>
          <w:szCs w:val="24"/>
        </w:rPr>
        <w:t>illegal</w:t>
      </w:r>
      <w:proofErr w:type="gramEnd"/>
      <w:r w:rsidRPr="00431991">
        <w:rPr>
          <w:rFonts w:cs="Arial"/>
          <w:szCs w:val="24"/>
        </w:rPr>
        <w:t xml:space="preserve"> or unenforceable, it shall be deemed deleted, but that shall not affect the validity and enforceability of the rest of this contract.</w:t>
      </w:r>
      <w:bookmarkEnd w:id="516"/>
    </w:p>
    <w:p w14:paraId="29303869" w14:textId="03D1AEE1"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 xml:space="preserve">This contract constitutes the entire agreement between the Parties and supersedes and extinguishes all previous agreements, promises, assurances, warranties, </w:t>
      </w:r>
      <w:proofErr w:type="gramStart"/>
      <w:r w:rsidRPr="00431991">
        <w:rPr>
          <w:rFonts w:cs="Arial"/>
          <w:szCs w:val="24"/>
        </w:rPr>
        <w:t>representations</w:t>
      </w:r>
      <w:proofErr w:type="gramEnd"/>
      <w:r w:rsidRPr="00431991">
        <w:rPr>
          <w:rFonts w:cs="Arial"/>
          <w:szCs w:val="24"/>
        </w:rPr>
        <w:t xml:space="preserve">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 xml:space="preserve">Each Party agrees that it shall have no remedies in respect of any statement, representation, </w:t>
      </w:r>
      <w:proofErr w:type="gramStart"/>
      <w:r w:rsidRPr="00431991">
        <w:rPr>
          <w:rFonts w:cs="Arial"/>
          <w:szCs w:val="24"/>
        </w:rPr>
        <w:t>assurance</w:t>
      </w:r>
      <w:proofErr w:type="gramEnd"/>
      <w:r w:rsidRPr="00431991">
        <w:rPr>
          <w:rFonts w:cs="Arial"/>
          <w:szCs w:val="24"/>
        </w:rPr>
        <w:t xml:space="preserv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 xml:space="preserve">Nothing in this contract is intended to, or shall be deemed to, establish any partnership or joint venture between any of the Parties, constitute any Party the agent of another Party, or </w:t>
      </w:r>
      <w:proofErr w:type="spellStart"/>
      <w:r w:rsidRPr="00431991">
        <w:rPr>
          <w:rFonts w:cs="Arial"/>
          <w:szCs w:val="24"/>
        </w:rPr>
        <w:t>authorise</w:t>
      </w:r>
      <w:proofErr w:type="spellEnd"/>
      <w:r w:rsidRPr="00431991">
        <w:rPr>
          <w:rFonts w:cs="Arial"/>
          <w:szCs w:val="24"/>
        </w:rPr>
        <w:t xml:space="preserve"> any Party to make or </w:t>
      </w:r>
      <w:proofErr w:type="gramStart"/>
      <w:r w:rsidRPr="00431991">
        <w:rPr>
          <w:rFonts w:cs="Arial"/>
          <w:szCs w:val="24"/>
        </w:rPr>
        <w:t>enter into</w:t>
      </w:r>
      <w:proofErr w:type="gramEnd"/>
      <w:r w:rsidRPr="00431991">
        <w:rPr>
          <w:rFonts w:cs="Arial"/>
          <w:szCs w:val="24"/>
        </w:rPr>
        <w:t xml:space="preserve">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 xml:space="preserve">if delivered by hand, at the time the notice is left at the proper </w:t>
      </w:r>
      <w:proofErr w:type="gramStart"/>
      <w:r w:rsidRPr="00431991">
        <w:rPr>
          <w:szCs w:val="24"/>
        </w:rPr>
        <w:t>address;</w:t>
      </w:r>
      <w:bookmarkEnd w:id="558"/>
      <w:proofErr w:type="gramEnd"/>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7BF48348"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w:t>
      </w:r>
      <w:proofErr w:type="spellStart"/>
      <w:r w:rsidR="0045225F" w:rsidRPr="00431991">
        <w:rPr>
          <w:rFonts w:cs="Arial"/>
          <w:szCs w:val="24"/>
        </w:rPr>
        <w:t>endeavours</w:t>
      </w:r>
      <w:proofErr w:type="spellEnd"/>
      <w:r w:rsidR="0045225F" w:rsidRPr="00431991">
        <w:rPr>
          <w:rFonts w:cs="Arial"/>
          <w:szCs w:val="24"/>
        </w:rPr>
        <w:t xml:space="preserve">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w:t>
      </w:r>
      <w:proofErr w:type="spellStart"/>
      <w:r w:rsidRPr="00431991">
        <w:rPr>
          <w:rFonts w:cs="Arial"/>
          <w:szCs w:val="24"/>
        </w:rPr>
        <w:t>endeavours</w:t>
      </w:r>
      <w:proofErr w:type="spellEnd"/>
      <w:r w:rsidRPr="00431991">
        <w:rPr>
          <w:rFonts w:cs="Arial"/>
          <w:szCs w:val="24"/>
        </w:rPr>
        <w:t xml:space="preserve">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w:t>
      </w:r>
      <w:proofErr w:type="gramStart"/>
      <w:r w:rsidRPr="00431991">
        <w:rPr>
          <w:szCs w:val="24"/>
        </w:rPr>
        <w:t>taking into account</w:t>
      </w:r>
      <w:proofErr w:type="gramEnd"/>
      <w:r w:rsidRPr="00431991">
        <w:rPr>
          <w:szCs w:val="24"/>
        </w:rPr>
        <w:t xml:space="preserve">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0E338658"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75F58FF2"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6905A0">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w:t>
      </w:r>
      <w:proofErr w:type="gramStart"/>
      <w:r w:rsidRPr="00431991">
        <w:rPr>
          <w:rFonts w:cs="Arial"/>
          <w:szCs w:val="24"/>
        </w:rPr>
        <w:t>potential</w:t>
      </w:r>
      <w:proofErr w:type="gramEnd"/>
      <w:r w:rsidRPr="00431991">
        <w:rPr>
          <w:rFonts w:cs="Arial"/>
          <w:szCs w:val="24"/>
        </w:rPr>
        <w:t xml:space="preserve">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 xml:space="preserve">Transmission of an executed counterpart of this contract (but for the avoidance of doubt not just a signature page) by email (in PDF, </w:t>
      </w:r>
      <w:proofErr w:type="gramStart"/>
      <w:r w:rsidRPr="00431991">
        <w:rPr>
          <w:rFonts w:cs="Arial"/>
          <w:szCs w:val="24"/>
        </w:rPr>
        <w:t>JPEG</w:t>
      </w:r>
      <w:proofErr w:type="gramEnd"/>
      <w:r w:rsidRPr="00431991">
        <w:rPr>
          <w:rFonts w:cs="Arial"/>
          <w:szCs w:val="24"/>
        </w:rPr>
        <w:t xml:space="preserve">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 xml:space="preserve">Each Party is responsible for paying its own costs and expenses incurred in connection with the negotiation, </w:t>
      </w:r>
      <w:proofErr w:type="gramStart"/>
      <w:r w:rsidRPr="00431991">
        <w:rPr>
          <w:rFonts w:cs="Arial"/>
          <w:szCs w:val="24"/>
        </w:rPr>
        <w:t>preparation</w:t>
      </w:r>
      <w:proofErr w:type="gramEnd"/>
      <w:r w:rsidRPr="00431991">
        <w:rPr>
          <w:rFonts w:cs="Arial"/>
          <w:szCs w:val="24"/>
        </w:rPr>
        <w:t xml:space="preserve">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 xml:space="preserve">If a dispute arises out of or in connection with this contract or the performance, </w:t>
      </w:r>
      <w:proofErr w:type="gramStart"/>
      <w:r w:rsidRPr="00431991">
        <w:rPr>
          <w:rFonts w:cs="Arial"/>
          <w:szCs w:val="24"/>
        </w:rPr>
        <w:t>validity</w:t>
      </w:r>
      <w:proofErr w:type="gramEnd"/>
      <w:r w:rsidRPr="00431991">
        <w:rPr>
          <w:rFonts w:cs="Arial"/>
          <w:szCs w:val="24"/>
        </w:rPr>
        <w:t xml:space="preserve">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 xml:space="preserve">shall attempt in good faith to resolve the </w:t>
      </w:r>
      <w:proofErr w:type="gramStart"/>
      <w:r w:rsidRPr="00431991">
        <w:rPr>
          <w:szCs w:val="24"/>
        </w:rPr>
        <w:t>Dispute;</w:t>
      </w:r>
      <w:bookmarkEnd w:id="599"/>
      <w:proofErr w:type="gramEnd"/>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 xml:space="preserve">of the Provider who shall attempt in good faith to resolve </w:t>
      </w:r>
      <w:proofErr w:type="gramStart"/>
      <w:r w:rsidRPr="00431991">
        <w:rPr>
          <w:szCs w:val="24"/>
        </w:rPr>
        <w:t>it;</w:t>
      </w:r>
      <w:proofErr w:type="gramEnd"/>
      <w:r w:rsidRPr="00431991">
        <w:rPr>
          <w:szCs w:val="24"/>
        </w:rPr>
        <w:t xml:space="preserve">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2D93186"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72353534"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6905A0"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0240F92A"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6905A0">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4839B259"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31CF3C4"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4E7DFAFA"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1F1004D1"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366A8A10"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A8F3579"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190D4BA9"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1DBBDB5"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25B60C2F"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99D5EBE"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4A09542B"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01C72EF2"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028A224B"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97F1C11"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3CD70FDC" w:rsidR="00E76EE7" w:rsidRPr="003F0EAD" w:rsidRDefault="002E421D"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6905A0">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01DA1480" w:rsidR="00E76EE7" w:rsidRPr="003F0EAD" w:rsidRDefault="002E421D"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91</w:t>
            </w:r>
            <w:r w:rsidR="00E76EE7" w:rsidRPr="003F0EAD">
              <w:rPr>
                <w:rFonts w:cstheme="minorHAnsi"/>
                <w:noProof/>
                <w:webHidden/>
              </w:rPr>
              <w:fldChar w:fldCharType="end"/>
            </w:r>
          </w:hyperlink>
        </w:p>
        <w:p w14:paraId="1DC56F72" w14:textId="139AA8F2" w:rsidR="00E76EE7" w:rsidRPr="003F0EAD" w:rsidRDefault="002E421D"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6905A0">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 xml:space="preserve">Regional Education Management Programme Lead </w:t>
      </w:r>
      <w:proofErr w:type="gramStart"/>
      <w:r>
        <w:rPr>
          <w:rFonts w:asciiTheme="minorHAnsi" w:hAnsiTheme="minorHAnsi" w:cstheme="minorHAnsi"/>
          <w:sz w:val="22"/>
          <w:szCs w:val="22"/>
        </w:rPr>
        <w:t>North East</w:t>
      </w:r>
      <w:proofErr w:type="gramEnd"/>
      <w:r>
        <w:rPr>
          <w:rFonts w:asciiTheme="minorHAnsi" w:hAnsiTheme="minorHAnsi" w:cstheme="minorHAnsi"/>
          <w:sz w:val="22"/>
          <w:szCs w:val="22"/>
        </w:rPr>
        <w:t xml:space="preserve"> &amp; Yorkshire</w:t>
      </w:r>
    </w:p>
    <w:p w14:paraId="135F96EE" w14:textId="48224D86"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00720529" w:rsidRPr="002E421D">
        <w:rPr>
          <w:rFonts w:asciiTheme="minorHAnsi" w:hAnsiTheme="minorHAnsi" w:cstheme="minorHAnsi"/>
          <w:sz w:val="22"/>
          <w:szCs w:val="22"/>
          <w:highlight w:val="black"/>
        </w:rPr>
        <w:t>XXXXXXXXXX</w:t>
      </w:r>
    </w:p>
    <w:p w14:paraId="552DD125" w14:textId="4004E42D"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00720529" w:rsidRPr="00720529">
        <w:rPr>
          <w:rFonts w:asciiTheme="minorHAnsi" w:hAnsiTheme="minorHAnsi" w:cstheme="minorHAnsi"/>
          <w:sz w:val="22"/>
          <w:szCs w:val="22"/>
          <w:highlight w:val="black"/>
        </w:rPr>
        <w:t>XXXXXXXXX</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Placement Providers should make available suitable Staff to participate in the moderation of the Placement assessments </w:t>
      </w:r>
      <w:proofErr w:type="gramStart"/>
      <w:r w:rsidRPr="003F0EAD">
        <w:rPr>
          <w:rFonts w:asciiTheme="minorHAnsi" w:hAnsiTheme="minorHAnsi" w:cstheme="minorHAnsi"/>
          <w:sz w:val="22"/>
          <w:szCs w:val="22"/>
        </w:rPr>
        <w:t>where</w:t>
      </w:r>
      <w:proofErr w:type="gramEnd"/>
      <w:r w:rsidRPr="003F0EAD">
        <w:rPr>
          <w:rFonts w:asciiTheme="minorHAnsi" w:hAnsiTheme="minorHAnsi" w:cstheme="minorHAnsi"/>
          <w:sz w:val="22"/>
          <w:szCs w:val="22"/>
        </w:rPr>
        <w:t xml:space="preserv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 xml:space="preserve">Placement Providers should ensure that all Learners have access to appropriately qualified and up to date educators/supervisors in line with professional body and Education Provider requirements who can provide an appropriate level of support, </w:t>
      </w:r>
      <w:proofErr w:type="gramStart"/>
      <w:r w:rsidRPr="003F0EAD">
        <w:rPr>
          <w:rFonts w:asciiTheme="minorHAnsi" w:hAnsiTheme="minorHAnsi" w:cstheme="minorHAnsi"/>
          <w:sz w:val="22"/>
          <w:szCs w:val="22"/>
          <w:lang w:val="en-US"/>
        </w:rPr>
        <w:t>supervision</w:t>
      </w:r>
      <w:proofErr w:type="gramEnd"/>
      <w:r w:rsidRPr="003F0EAD">
        <w:rPr>
          <w:rFonts w:asciiTheme="minorHAnsi" w:hAnsiTheme="minorHAnsi" w:cstheme="minorHAnsi"/>
          <w:sz w:val="22"/>
          <w:szCs w:val="22"/>
          <w:lang w:val="en-US"/>
        </w:rPr>
        <w:t xml:space="preserve">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w:t>
      </w:r>
      <w:proofErr w:type="gramStart"/>
      <w:r w:rsidRPr="003F0EAD">
        <w:rPr>
          <w:rFonts w:asciiTheme="minorHAnsi" w:hAnsiTheme="minorHAnsi" w:cstheme="minorHAnsi"/>
          <w:sz w:val="22"/>
          <w:szCs w:val="22"/>
        </w:rPr>
        <w:t>immediately</w:t>
      </w:r>
      <w:proofErr w:type="gramEnd"/>
      <w:r w:rsidRPr="003F0EAD">
        <w:rPr>
          <w:rFonts w:asciiTheme="minorHAnsi" w:hAnsiTheme="minorHAnsi" w:cstheme="minorHAnsi"/>
          <w:sz w:val="22"/>
          <w:szCs w:val="22"/>
        </w:rPr>
        <w:t xml:space="preserve">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w:t>
      </w:r>
      <w:proofErr w:type="gramStart"/>
      <w:r w:rsidRPr="003F0EAD">
        <w:rPr>
          <w:rFonts w:asciiTheme="minorHAnsi" w:hAnsiTheme="minorHAnsi" w:cstheme="minorHAnsi"/>
          <w:sz w:val="22"/>
          <w:szCs w:val="22"/>
        </w:rPr>
        <w:t>all of</w:t>
      </w:r>
      <w:proofErr w:type="gramEnd"/>
      <w:r w:rsidRPr="003F0EAD">
        <w:rPr>
          <w:rFonts w:asciiTheme="minorHAnsi" w:hAnsiTheme="minorHAnsi" w:cstheme="minorHAnsi"/>
          <w:sz w:val="22"/>
          <w:szCs w:val="22"/>
        </w:rPr>
        <w:t xml:space="preserve">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meet the minimum selection criteria laid down by the Education </w:t>
      </w:r>
      <w:proofErr w:type="gramStart"/>
      <w:r w:rsidRPr="003F0EAD">
        <w:rPr>
          <w:rFonts w:asciiTheme="minorHAnsi" w:hAnsiTheme="minorHAnsi" w:cstheme="minorHAnsi"/>
          <w:sz w:val="22"/>
          <w:szCs w:val="22"/>
        </w:rPr>
        <w:t>Provider;</w:t>
      </w:r>
      <w:proofErr w:type="gramEnd"/>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meet the minimum employment criteria laid down by the employing Placement </w:t>
      </w:r>
      <w:proofErr w:type="gramStart"/>
      <w:r w:rsidRPr="003F0EAD">
        <w:rPr>
          <w:rFonts w:asciiTheme="minorHAnsi" w:hAnsiTheme="minorHAnsi" w:cstheme="minorHAnsi"/>
          <w:sz w:val="22"/>
          <w:szCs w:val="22"/>
        </w:rPr>
        <w:t>Provider;</w:t>
      </w:r>
      <w:proofErr w:type="gramEnd"/>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are not subject to any restrictions in their length of stay in the </w:t>
      </w:r>
      <w:proofErr w:type="gramStart"/>
      <w:r w:rsidRPr="003F0EAD">
        <w:rPr>
          <w:rFonts w:asciiTheme="minorHAnsi" w:hAnsiTheme="minorHAnsi" w:cstheme="minorHAnsi"/>
          <w:sz w:val="22"/>
          <w:szCs w:val="22"/>
        </w:rPr>
        <w:t>UK;</w:t>
      </w:r>
      <w:proofErr w:type="gramEnd"/>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name of each of the relevant Staff members for whom salary support is provided by HEE pursuant to this </w:t>
      </w:r>
      <w:proofErr w:type="gramStart"/>
      <w:r w:rsidRPr="003F0EAD">
        <w:rPr>
          <w:rFonts w:asciiTheme="minorHAnsi" w:hAnsiTheme="minorHAnsi" w:cstheme="minorHAnsi"/>
          <w:sz w:val="22"/>
          <w:szCs w:val="22"/>
        </w:rPr>
        <w:t>contract;</w:t>
      </w:r>
      <w:bookmarkEnd w:id="703"/>
      <w:bookmarkEnd w:id="704"/>
      <w:bookmarkEnd w:id="705"/>
      <w:bookmarkEnd w:id="706"/>
      <w:bookmarkEnd w:id="707"/>
      <w:bookmarkEnd w:id="708"/>
      <w:bookmarkEnd w:id="709"/>
      <w:bookmarkEnd w:id="710"/>
      <w:proofErr w:type="gramEnd"/>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 xml:space="preserve">the name of each of the Education Providers at which the relevant education/training is taking </w:t>
      </w:r>
      <w:proofErr w:type="gramStart"/>
      <w:r w:rsidRPr="003F0EAD">
        <w:rPr>
          <w:rFonts w:asciiTheme="minorHAnsi" w:hAnsiTheme="minorHAnsi" w:cstheme="minorHAnsi"/>
          <w:sz w:val="22"/>
          <w:szCs w:val="22"/>
        </w:rPr>
        <w:t>place;</w:t>
      </w:r>
      <w:bookmarkEnd w:id="711"/>
      <w:bookmarkEnd w:id="712"/>
      <w:bookmarkEnd w:id="713"/>
      <w:bookmarkEnd w:id="714"/>
      <w:bookmarkEnd w:id="715"/>
      <w:bookmarkEnd w:id="716"/>
      <w:bookmarkEnd w:id="717"/>
      <w:bookmarkEnd w:id="718"/>
      <w:proofErr w:type="gramEnd"/>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 xml:space="preserve">the name of each of the education/training Programmes being undertaken by the relevant Staff </w:t>
      </w:r>
      <w:proofErr w:type="gramStart"/>
      <w:r w:rsidRPr="003F0EAD">
        <w:rPr>
          <w:rFonts w:asciiTheme="minorHAnsi" w:hAnsiTheme="minorHAnsi" w:cstheme="minorHAnsi"/>
          <w:sz w:val="22"/>
          <w:szCs w:val="22"/>
        </w:rPr>
        <w:t>members;</w:t>
      </w:r>
      <w:bookmarkEnd w:id="719"/>
      <w:bookmarkEnd w:id="720"/>
      <w:bookmarkEnd w:id="721"/>
      <w:bookmarkEnd w:id="722"/>
      <w:bookmarkEnd w:id="723"/>
      <w:bookmarkEnd w:id="724"/>
      <w:bookmarkEnd w:id="725"/>
      <w:bookmarkEnd w:id="726"/>
      <w:proofErr w:type="gramEnd"/>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 xml:space="preserve">when the Staff member or Employed Learner started the relevant education/training and when they are due to </w:t>
      </w:r>
      <w:proofErr w:type="gramStart"/>
      <w:r w:rsidRPr="003F0EAD">
        <w:rPr>
          <w:rFonts w:asciiTheme="minorHAnsi" w:hAnsiTheme="minorHAnsi" w:cstheme="minorHAnsi"/>
          <w:sz w:val="22"/>
          <w:szCs w:val="22"/>
        </w:rPr>
        <w:t>complete;</w:t>
      </w:r>
      <w:bookmarkEnd w:id="727"/>
      <w:bookmarkEnd w:id="728"/>
      <w:bookmarkEnd w:id="729"/>
      <w:bookmarkEnd w:id="730"/>
      <w:bookmarkEnd w:id="731"/>
      <w:bookmarkEnd w:id="732"/>
      <w:bookmarkEnd w:id="733"/>
      <w:bookmarkEnd w:id="734"/>
      <w:proofErr w:type="gramEnd"/>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sidRPr="003F0EAD">
        <w:rPr>
          <w:rFonts w:asciiTheme="minorHAnsi" w:hAnsiTheme="minorHAnsi" w:cstheme="minorHAnsi"/>
          <w:sz w:val="22"/>
          <w:szCs w:val="22"/>
        </w:rPr>
        <w:t>Schedule, or</w:t>
      </w:r>
      <w:proofErr w:type="gramEnd"/>
      <w:r w:rsidRPr="003F0EAD">
        <w:rPr>
          <w:rFonts w:asciiTheme="minorHAnsi" w:hAnsiTheme="minorHAnsi" w:cstheme="minorHAnsi"/>
          <w:sz w:val="22"/>
          <w:szCs w:val="22"/>
        </w:rPr>
        <w:t xml:space="preserve">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 xml:space="preserve">The agreed commencement date for new Employed Learners recruited to the training Programme will be as notified by HEE in a separate letter and will complete on the date specified in the same </w:t>
      </w:r>
      <w:proofErr w:type="gramStart"/>
      <w:r w:rsidRPr="003F0EAD">
        <w:rPr>
          <w:rFonts w:asciiTheme="minorHAnsi" w:hAnsiTheme="minorHAnsi" w:cstheme="minorHAnsi"/>
          <w:sz w:val="22"/>
          <w:szCs w:val="22"/>
        </w:rPr>
        <w:t>letter, unless</w:t>
      </w:r>
      <w:proofErr w:type="gramEnd"/>
      <w:r w:rsidRPr="003F0EAD">
        <w:rPr>
          <w:rFonts w:asciiTheme="minorHAnsi" w:hAnsiTheme="minorHAnsi" w:cstheme="minorHAnsi"/>
          <w:sz w:val="22"/>
          <w:szCs w:val="22"/>
        </w:rPr>
        <w:t xml:space="preserve">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 xml:space="preserve">Pay Employed Learners excess travel expenses based on the following, </w:t>
      </w:r>
      <w:proofErr w:type="gramStart"/>
      <w:r w:rsidRPr="003F0EAD">
        <w:rPr>
          <w:rFonts w:asciiTheme="minorHAnsi" w:hAnsiTheme="minorHAnsi" w:cstheme="minorHAnsi"/>
          <w:sz w:val="22"/>
          <w:szCs w:val="22"/>
        </w:rPr>
        <w:t>with the exception of</w:t>
      </w:r>
      <w:proofErr w:type="gramEnd"/>
      <w:r w:rsidRPr="003F0EAD">
        <w:rPr>
          <w:rFonts w:asciiTheme="minorHAnsi" w:hAnsiTheme="minorHAnsi" w:cstheme="minorHAnsi"/>
          <w:sz w:val="22"/>
          <w:szCs w:val="22"/>
        </w:rPr>
        <w:t xml:space="preserve">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w:t>
      </w:r>
      <w:proofErr w:type="gramStart"/>
      <w:r w:rsidRPr="003F0EAD">
        <w:rPr>
          <w:rFonts w:asciiTheme="minorHAnsi" w:hAnsiTheme="minorHAnsi" w:cstheme="minorHAnsi"/>
          <w:sz w:val="22"/>
          <w:szCs w:val="22"/>
        </w:rPr>
        <w:t>simulation based</w:t>
      </w:r>
      <w:proofErr w:type="gramEnd"/>
      <w:r w:rsidRPr="003F0EAD">
        <w:rPr>
          <w:rFonts w:asciiTheme="minorHAnsi" w:hAnsiTheme="minorHAnsi" w:cstheme="minorHAnsi"/>
          <w:sz w:val="22"/>
          <w:szCs w:val="22"/>
        </w:rPr>
        <w:t xml:space="preserve">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medical Learners have access to personal computing facilities on the Placement Provider’s Placement Premises.  These facilities should </w:t>
      </w:r>
      <w:proofErr w:type="gramStart"/>
      <w:r w:rsidRPr="003F0EAD">
        <w:rPr>
          <w:rFonts w:asciiTheme="minorHAnsi" w:hAnsiTheme="minorHAnsi" w:cstheme="minorHAnsi"/>
          <w:sz w:val="22"/>
          <w:szCs w:val="22"/>
        </w:rPr>
        <w:t>include:</w:t>
      </w:r>
      <w:proofErr w:type="gramEnd"/>
      <w:r w:rsidRPr="003F0EAD">
        <w:rPr>
          <w:rFonts w:asciiTheme="minorHAnsi" w:hAnsiTheme="minorHAnsi" w:cstheme="minorHAnsi"/>
          <w:sz w:val="22"/>
          <w:szCs w:val="22"/>
        </w:rPr>
        <w:t xml:space="preserv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w:t>
      </w:r>
      <w:proofErr w:type="gramStart"/>
      <w:r w:rsidRPr="003F0EAD">
        <w:rPr>
          <w:rFonts w:asciiTheme="minorHAnsi" w:hAnsiTheme="minorHAnsi" w:cstheme="minorHAnsi"/>
          <w:sz w:val="22"/>
          <w:szCs w:val="22"/>
        </w:rPr>
        <w:t>Commission;</w:t>
      </w:r>
      <w:proofErr w:type="gramEnd"/>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full range of clinical activities necessary to complete the education requirements of the General Dental Council’s curriculum through the development of a suitable case </w:t>
      </w:r>
      <w:proofErr w:type="gramStart"/>
      <w:r w:rsidRPr="003F0EAD">
        <w:rPr>
          <w:rFonts w:asciiTheme="minorHAnsi" w:hAnsiTheme="minorHAnsi" w:cstheme="minorHAnsi"/>
          <w:sz w:val="22"/>
          <w:szCs w:val="22"/>
        </w:rPr>
        <w:t>mix;</w:t>
      </w:r>
      <w:proofErr w:type="gramEnd"/>
    </w:p>
    <w:p w14:paraId="3725B52A" w14:textId="2A16DBB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w:t>
      </w:r>
      <w:proofErr w:type="gramStart"/>
      <w:r w:rsidRPr="003F0EAD">
        <w:rPr>
          <w:rFonts w:asciiTheme="minorHAnsi" w:hAnsiTheme="minorHAnsi" w:cstheme="minorHAnsi"/>
          <w:sz w:val="22"/>
          <w:szCs w:val="22"/>
        </w:rPr>
        <w:t>support;</w:t>
      </w:r>
      <w:proofErr w:type="gramEnd"/>
      <w:r w:rsidRPr="003F0EAD">
        <w:rPr>
          <w:rFonts w:asciiTheme="minorHAnsi" w:hAnsiTheme="minorHAnsi" w:cstheme="minorHAnsi"/>
          <w:sz w:val="22"/>
          <w:szCs w:val="22"/>
        </w:rPr>
        <w:t xml:space="preserve">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roofErr w:type="gramStart"/>
      <w:r w:rsidRPr="003F0EAD">
        <w:rPr>
          <w:rFonts w:asciiTheme="minorHAnsi" w:hAnsiTheme="minorHAnsi" w:cstheme="minorHAnsi"/>
          <w:sz w:val="22"/>
          <w:szCs w:val="22"/>
        </w:rPr>
        <w:t>);</w:t>
      </w:r>
      <w:proofErr w:type="gramEnd"/>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make available clerical and administration Staff to ensure that the Placement Provider performs and meets its obligations of this Schedule and any applicable related agreement and towards the dental schools and dental Learners in its provision of the undergraduate dental </w:t>
      </w:r>
      <w:proofErr w:type="gramStart"/>
      <w:r w:rsidRPr="003F0EAD">
        <w:rPr>
          <w:rFonts w:asciiTheme="minorHAnsi" w:hAnsiTheme="minorHAnsi" w:cstheme="minorHAnsi"/>
          <w:sz w:val="22"/>
          <w:szCs w:val="22"/>
        </w:rPr>
        <w:t>education;</w:t>
      </w:r>
      <w:proofErr w:type="gramEnd"/>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Premises are safe, well maintained and fully compliant with all health and safety </w:t>
      </w:r>
      <w:proofErr w:type="gramStart"/>
      <w:r w:rsidRPr="003F0EAD">
        <w:rPr>
          <w:rFonts w:asciiTheme="minorHAnsi" w:hAnsiTheme="minorHAnsi" w:cstheme="minorHAnsi"/>
          <w:sz w:val="22"/>
          <w:szCs w:val="22"/>
        </w:rPr>
        <w:t>requirements;</w:t>
      </w:r>
      <w:proofErr w:type="gramEnd"/>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w:t>
      </w:r>
      <w:proofErr w:type="gramStart"/>
      <w:r w:rsidRPr="003F0EAD">
        <w:rPr>
          <w:rFonts w:asciiTheme="minorHAnsi" w:hAnsiTheme="minorHAnsi" w:cstheme="minorHAnsi"/>
          <w:sz w:val="22"/>
          <w:szCs w:val="22"/>
        </w:rPr>
        <w:t>contract;</w:t>
      </w:r>
      <w:proofErr w:type="gramEnd"/>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Provide, maintain and rectify as soon as practical the instruments, dental materials, uniform, consumables and equipment required by the dental Learners in the normal course of their clinical dental </w:t>
      </w:r>
      <w:proofErr w:type="gramStart"/>
      <w:r w:rsidRPr="003F0EAD">
        <w:rPr>
          <w:rFonts w:asciiTheme="minorHAnsi" w:hAnsiTheme="minorHAnsi" w:cstheme="minorHAnsi"/>
          <w:sz w:val="22"/>
          <w:szCs w:val="22"/>
        </w:rPr>
        <w:t>training;</w:t>
      </w:r>
      <w:proofErr w:type="gramEnd"/>
    </w:p>
    <w:p w14:paraId="00DC7693" w14:textId="5FF157B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w:t>
      </w:r>
      <w:proofErr w:type="gramStart"/>
      <w:r w:rsidRPr="003F0EAD">
        <w:rPr>
          <w:rFonts w:asciiTheme="minorHAnsi" w:hAnsiTheme="minorHAnsi" w:cstheme="minorHAnsi"/>
          <w:sz w:val="22"/>
          <w:szCs w:val="22"/>
        </w:rPr>
        <w:t>school;</w:t>
      </w:r>
      <w:proofErr w:type="gramEnd"/>
      <w:r w:rsidRPr="003F0EAD">
        <w:rPr>
          <w:rFonts w:asciiTheme="minorHAnsi" w:hAnsiTheme="minorHAnsi" w:cstheme="minorHAnsi"/>
          <w:sz w:val="22"/>
          <w:szCs w:val="22"/>
        </w:rPr>
        <w:t xml:space="preserve">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w:t>
      </w:r>
      <w:proofErr w:type="gramStart"/>
      <w:r w:rsidRPr="003F0EAD">
        <w:rPr>
          <w:rFonts w:asciiTheme="minorHAnsi" w:hAnsiTheme="minorHAnsi" w:cstheme="minorHAnsi"/>
          <w:sz w:val="22"/>
          <w:szCs w:val="22"/>
        </w:rPr>
        <w:t>training;</w:t>
      </w:r>
      <w:proofErr w:type="gramEnd"/>
      <w:r w:rsidRPr="003F0EAD">
        <w:rPr>
          <w:rFonts w:asciiTheme="minorHAnsi" w:hAnsiTheme="minorHAnsi" w:cstheme="minorHAnsi"/>
          <w:sz w:val="22"/>
          <w:szCs w:val="22"/>
        </w:rPr>
        <w:t xml:space="preserve">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w:t>
      </w:r>
      <w:proofErr w:type="spellStart"/>
      <w:proofErr w:type="gramStart"/>
      <w:r w:rsidRPr="003F0EAD">
        <w:rPr>
          <w:rFonts w:asciiTheme="minorHAnsi" w:hAnsiTheme="minorHAnsi" w:cstheme="minorHAnsi"/>
          <w:sz w:val="22"/>
          <w:szCs w:val="22"/>
        </w:rPr>
        <w:t>eg</w:t>
      </w:r>
      <w:proofErr w:type="spellEnd"/>
      <w:proofErr w:type="gramEnd"/>
      <w:r w:rsidRPr="003F0EAD">
        <w:rPr>
          <w:rFonts w:asciiTheme="minorHAnsi" w:hAnsiTheme="minorHAnsi" w:cstheme="minorHAnsi"/>
          <w:sz w:val="22"/>
          <w:szCs w:val="22"/>
        </w:rPr>
        <w:t xml:space="preserve">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advise HEE and the dental schools within five Business Days of any developments which are likely to have an impact on the clinical dental training and will accommodate any reasonable requests from HEE for changes to be made to the delivery of the clinical dental </w:t>
      </w:r>
      <w:proofErr w:type="gramStart"/>
      <w:r w:rsidRPr="003F0EAD">
        <w:rPr>
          <w:rFonts w:asciiTheme="minorHAnsi" w:hAnsiTheme="minorHAnsi" w:cstheme="minorHAnsi"/>
          <w:sz w:val="22"/>
          <w:szCs w:val="22"/>
        </w:rPr>
        <w:t>training;</w:t>
      </w:r>
      <w:proofErr w:type="gramEnd"/>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w:t>
      </w:r>
      <w:proofErr w:type="gramStart"/>
      <w:r w:rsidRPr="003F0EAD">
        <w:rPr>
          <w:rFonts w:asciiTheme="minorHAnsi" w:hAnsiTheme="minorHAnsi" w:cstheme="minorHAnsi"/>
          <w:sz w:val="22"/>
          <w:szCs w:val="22"/>
        </w:rPr>
        <w:t>Placement;</w:t>
      </w:r>
      <w:proofErr w:type="gramEnd"/>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keep HEE and the dental schools informed of any plans that may impact on the cost of providing the undergraduate dental </w:t>
      </w:r>
      <w:proofErr w:type="gramStart"/>
      <w:r w:rsidRPr="003F0EAD">
        <w:rPr>
          <w:rFonts w:asciiTheme="minorHAnsi" w:hAnsiTheme="minorHAnsi" w:cstheme="minorHAnsi"/>
          <w:sz w:val="22"/>
          <w:szCs w:val="22"/>
        </w:rPr>
        <w:t>education;</w:t>
      </w:r>
      <w:proofErr w:type="gramEnd"/>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and HEE on the proposed introduction of new activities or significant variations to its existing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all dental Learners participate in an induction process to inform them of their health and safety obligations while on the Premises any clinical governance issues and a summary of all relevant Placement Provider policies,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6AC92359"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w:t>
      </w:r>
      <w:proofErr w:type="gramStart"/>
      <w:r w:rsidRPr="003F0EAD">
        <w:rPr>
          <w:rFonts w:asciiTheme="minorHAnsi" w:hAnsiTheme="minorHAnsi" w:cstheme="minorHAnsi"/>
          <w:sz w:val="22"/>
          <w:szCs w:val="22"/>
        </w:rPr>
        <w:t>Provider</w:t>
      </w:r>
      <w:proofErr w:type="gramEnd"/>
      <w:r w:rsidRPr="003F0EAD">
        <w:rPr>
          <w:rFonts w:asciiTheme="minorHAnsi" w:hAnsiTheme="minorHAnsi" w:cstheme="minorHAnsi"/>
          <w:sz w:val="22"/>
          <w:szCs w:val="22"/>
        </w:rPr>
        <w:t xml:space="preserve">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w:t>
      </w:r>
      <w:proofErr w:type="gramStart"/>
      <w:r w:rsidRPr="003F0EAD">
        <w:rPr>
          <w:rFonts w:asciiTheme="minorHAnsi" w:hAnsiTheme="minorHAnsi" w:cstheme="minorHAnsi"/>
          <w:sz w:val="22"/>
          <w:szCs w:val="22"/>
        </w:rPr>
        <w:t>time period</w:t>
      </w:r>
      <w:proofErr w:type="gramEnd"/>
      <w:r w:rsidRPr="003F0EAD">
        <w:rPr>
          <w:rFonts w:asciiTheme="minorHAnsi" w:hAnsiTheme="minorHAnsi" w:cstheme="minorHAnsi"/>
          <w:sz w:val="22"/>
          <w:szCs w:val="22"/>
        </w:rPr>
        <w:t xml:space="preserve">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w:t>
      </w:r>
      <w:proofErr w:type="gramStart"/>
      <w:r w:rsidRPr="003F0EAD">
        <w:rPr>
          <w:rFonts w:asciiTheme="minorHAnsi" w:hAnsiTheme="minorHAnsi" w:cstheme="minorHAnsi"/>
          <w:sz w:val="22"/>
          <w:szCs w:val="22"/>
        </w:rPr>
        <w:t>HEE</w:t>
      </w:r>
      <w:proofErr w:type="gramEnd"/>
      <w:r w:rsidRPr="003F0EAD">
        <w:rPr>
          <w:rFonts w:asciiTheme="minorHAnsi" w:hAnsiTheme="minorHAnsi" w:cstheme="minorHAnsi"/>
          <w:sz w:val="22"/>
          <w:szCs w:val="22"/>
        </w:rPr>
        <w:t xml:space="preserv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all reasonable efforts to enable postgraduate Learners to achieve the standards/qualifications/accreditations that are expected from their </w:t>
      </w:r>
      <w:proofErr w:type="gramStart"/>
      <w:r w:rsidRPr="003F0EAD">
        <w:rPr>
          <w:rFonts w:asciiTheme="minorHAnsi" w:hAnsiTheme="minorHAnsi" w:cstheme="minorHAnsi"/>
          <w:sz w:val="22"/>
          <w:szCs w:val="22"/>
        </w:rPr>
        <w:t>Programme;</w:t>
      </w:r>
      <w:proofErr w:type="gramEnd"/>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w:t>
      </w:r>
      <w:proofErr w:type="gramStart"/>
      <w:r w:rsidRPr="003F0EAD">
        <w:rPr>
          <w:rFonts w:asciiTheme="minorHAnsi" w:hAnsiTheme="minorHAnsi" w:cstheme="minorHAnsi"/>
          <w:sz w:val="22"/>
          <w:szCs w:val="22"/>
        </w:rPr>
        <w:t>deputy;</w:t>
      </w:r>
      <w:proofErr w:type="gramEnd"/>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w:t>
      </w:r>
      <w:proofErr w:type="gramStart"/>
      <w:r w:rsidRPr="003F0EAD">
        <w:rPr>
          <w:rFonts w:asciiTheme="minorHAnsi" w:hAnsiTheme="minorHAnsi" w:cstheme="minorHAnsi"/>
          <w:sz w:val="22"/>
          <w:szCs w:val="22"/>
        </w:rPr>
        <w:t>bodies;</w:t>
      </w:r>
      <w:proofErr w:type="gramEnd"/>
      <w:r w:rsidRPr="003F0EAD">
        <w:rPr>
          <w:rFonts w:asciiTheme="minorHAnsi" w:hAnsiTheme="minorHAnsi" w:cstheme="minorHAnsi"/>
          <w:sz w:val="22"/>
          <w:szCs w:val="22"/>
        </w:rPr>
        <w:t xml:space="preserve">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to ensure that the HEE National Education Training Survey (NETS), and any Regulator surveys, are </w:t>
      </w:r>
      <w:proofErr w:type="gramStart"/>
      <w:r w:rsidRPr="003F0EAD">
        <w:rPr>
          <w:rFonts w:asciiTheme="minorHAnsi" w:hAnsiTheme="minorHAnsi" w:cstheme="minorHAnsi"/>
          <w:sz w:val="22"/>
          <w:szCs w:val="22"/>
        </w:rPr>
        <w:t>promoted;</w:t>
      </w:r>
      <w:proofErr w:type="gramEnd"/>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have local quality control processes in place in accordance with the HEE Quality Framework, and the requirements of relevant </w:t>
      </w:r>
      <w:proofErr w:type="gramStart"/>
      <w:r w:rsidRPr="003F0EAD">
        <w:rPr>
          <w:rFonts w:asciiTheme="minorHAnsi" w:hAnsiTheme="minorHAnsi" w:cstheme="minorHAnsi"/>
          <w:sz w:val="22"/>
          <w:szCs w:val="22"/>
        </w:rPr>
        <w:t>Regulators;</w:t>
      </w:r>
      <w:proofErr w:type="gramEnd"/>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allocate appropriate time for all relevant aspects of training that are within an individual </w:t>
      </w:r>
      <w:proofErr w:type="gramStart"/>
      <w:r w:rsidRPr="003F0EAD">
        <w:rPr>
          <w:rFonts w:asciiTheme="minorHAnsi" w:hAnsiTheme="minorHAnsi" w:cstheme="minorHAnsi"/>
          <w:sz w:val="22"/>
          <w:szCs w:val="22"/>
        </w:rPr>
        <w:t>consultant’s</w:t>
      </w:r>
      <w:proofErr w:type="gramEnd"/>
      <w:r w:rsidRPr="003F0EAD">
        <w:rPr>
          <w:rFonts w:asciiTheme="minorHAnsi" w:hAnsiTheme="minorHAnsi" w:cstheme="minorHAnsi"/>
          <w:sz w:val="22"/>
          <w:szCs w:val="22"/>
        </w:rPr>
        <w:t>,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receives Funding from the DHSC, which is for specific education and training activities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8"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w:t>
      </w: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is responsible for ensuring that postgraduate Learners receive education and training that meets local, </w:t>
      </w:r>
      <w:proofErr w:type="gramStart"/>
      <w:r w:rsidRPr="003F0EAD">
        <w:rPr>
          <w:rFonts w:asciiTheme="minorHAnsi" w:hAnsiTheme="minorHAnsi" w:cstheme="minorHAnsi"/>
          <w:sz w:val="22"/>
          <w:szCs w:val="22"/>
        </w:rPr>
        <w:t>national</w:t>
      </w:r>
      <w:proofErr w:type="gramEnd"/>
      <w:r w:rsidRPr="003F0EAD">
        <w:rPr>
          <w:rFonts w:asciiTheme="minorHAnsi" w:hAnsiTheme="minorHAnsi" w:cstheme="minorHAnsi"/>
          <w:sz w:val="22"/>
          <w:szCs w:val="22"/>
        </w:rPr>
        <w:t xml:space="preserve">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9">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xml:space="preserve">), and any future standards that Regulators should implement from time to </w:t>
      </w:r>
      <w:proofErr w:type="gramStart"/>
      <w:r w:rsidRPr="003F0EAD">
        <w:rPr>
          <w:rFonts w:asciiTheme="minorHAnsi" w:hAnsiTheme="minorHAnsi" w:cstheme="minorHAnsi"/>
          <w:sz w:val="22"/>
          <w:szCs w:val="22"/>
        </w:rPr>
        <w:t>time;</w:t>
      </w:r>
      <w:proofErr w:type="gramEnd"/>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100"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101">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postgraduate Learners of their responsibility to comply with any quality management processes such as completion of the </w:t>
      </w:r>
      <w:proofErr w:type="gramStart"/>
      <w:r w:rsidRPr="003F0EAD">
        <w:rPr>
          <w:rFonts w:asciiTheme="minorHAnsi" w:hAnsiTheme="minorHAnsi" w:cstheme="minorHAnsi"/>
          <w:sz w:val="22"/>
          <w:szCs w:val="22"/>
        </w:rPr>
        <w:t>GMC  National</w:t>
      </w:r>
      <w:proofErr w:type="gramEnd"/>
      <w:r w:rsidRPr="003F0EAD">
        <w:rPr>
          <w:rFonts w:asciiTheme="minorHAnsi" w:hAnsiTheme="minorHAnsi" w:cstheme="minorHAnsi"/>
          <w:sz w:val="22"/>
          <w:szCs w:val="22"/>
        </w:rPr>
        <w:t xml:space="preserve">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proofErr w:type="spellStart"/>
      <w:r w:rsidRPr="003F0EAD">
        <w:rPr>
          <w:rFonts w:cstheme="minorHAnsi"/>
          <w:b/>
        </w:rPr>
        <w:t>Authorised</w:t>
      </w:r>
      <w:proofErr w:type="spellEnd"/>
      <w:r w:rsidRPr="003F0EAD">
        <w:rPr>
          <w:rFonts w:cstheme="minorHAnsi"/>
          <w:b/>
        </w:rPr>
        <w:t xml:space="preserve">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Medical Director or nominated </w:t>
      </w:r>
      <w:proofErr w:type="gramStart"/>
      <w:r w:rsidRPr="003F0EAD">
        <w:rPr>
          <w:rFonts w:asciiTheme="minorHAnsi" w:hAnsiTheme="minorHAnsi" w:cstheme="minorHAnsi"/>
          <w:sz w:val="22"/>
          <w:szCs w:val="22"/>
        </w:rPr>
        <w:t>representative  will</w:t>
      </w:r>
      <w:proofErr w:type="gramEnd"/>
      <w:r w:rsidRPr="003F0EAD">
        <w:rPr>
          <w:rFonts w:asciiTheme="minorHAnsi" w:hAnsiTheme="minorHAnsi" w:cstheme="minorHAnsi"/>
          <w:sz w:val="22"/>
          <w:szCs w:val="22"/>
        </w:rPr>
        <w:t xml:space="preserve">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Recruitment and selection will follow the relevant HEE agreed processes and any local HEE </w:t>
      </w:r>
      <w:proofErr w:type="gramStart"/>
      <w:r w:rsidRPr="003F0EAD">
        <w:rPr>
          <w:rFonts w:asciiTheme="minorHAnsi" w:hAnsiTheme="minorHAnsi" w:cstheme="minorHAnsi"/>
          <w:sz w:val="22"/>
          <w:szCs w:val="22"/>
        </w:rPr>
        <w:t>administrative  processes</w:t>
      </w:r>
      <w:proofErr w:type="gramEnd"/>
      <w:r w:rsidRPr="003F0EAD">
        <w:rPr>
          <w:rFonts w:asciiTheme="minorHAnsi" w:hAnsiTheme="minorHAnsi" w:cstheme="minorHAnsi"/>
          <w:sz w:val="22"/>
          <w:szCs w:val="22"/>
        </w:rPr>
        <w:t>.</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workplace based assessment and feedback are fundamental and constructive aspects of training Programmes. Assessment must provide evidence of performance, be based upon objective criteria and be handled in an appropriate </w:t>
      </w:r>
      <w:proofErr w:type="gramStart"/>
      <w:r w:rsidRPr="003F0EAD">
        <w:rPr>
          <w:rFonts w:asciiTheme="minorHAnsi" w:hAnsiTheme="minorHAnsi" w:cstheme="minorHAnsi"/>
          <w:sz w:val="22"/>
          <w:szCs w:val="22"/>
        </w:rPr>
        <w:t>manner;</w:t>
      </w:r>
      <w:proofErr w:type="gramEnd"/>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assessment procedures must comply with guidance contained in relevant publications from </w:t>
      </w:r>
      <w:proofErr w:type="gramStart"/>
      <w:r w:rsidRPr="003F0EAD">
        <w:rPr>
          <w:rFonts w:asciiTheme="minorHAnsi" w:hAnsiTheme="minorHAnsi" w:cstheme="minorHAnsi"/>
          <w:sz w:val="22"/>
          <w:szCs w:val="22"/>
        </w:rPr>
        <w:t>Regulators;</w:t>
      </w:r>
      <w:proofErr w:type="gramEnd"/>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w:t>
      </w:r>
      <w:proofErr w:type="gramStart"/>
      <w:r w:rsidRPr="003F0EAD">
        <w:rPr>
          <w:rFonts w:asciiTheme="minorHAnsi" w:hAnsiTheme="minorHAnsi" w:cstheme="minorHAnsi"/>
          <w:sz w:val="22"/>
          <w:szCs w:val="22"/>
        </w:rPr>
        <w:t>maintained at all times</w:t>
      </w:r>
      <w:proofErr w:type="gramEnd"/>
      <w:r w:rsidRPr="003F0EAD">
        <w:rPr>
          <w:rFonts w:asciiTheme="minorHAnsi" w:hAnsiTheme="minorHAnsi" w:cstheme="minorHAnsi"/>
          <w:sz w:val="22"/>
          <w:szCs w:val="22"/>
        </w:rPr>
        <w:t>.</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 xml:space="preserve">will gain the same experience, on a pro-rata basis, as full-time Postgraduate </w:t>
      </w:r>
      <w:proofErr w:type="gramStart"/>
      <w:r w:rsidRPr="003F0EAD">
        <w:rPr>
          <w:rFonts w:asciiTheme="minorHAnsi" w:hAnsiTheme="minorHAnsi" w:cstheme="minorHAnsi"/>
          <w:sz w:val="22"/>
          <w:szCs w:val="22"/>
        </w:rPr>
        <w:t>Trainees;</w:t>
      </w:r>
      <w:proofErr w:type="gramEnd"/>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 xml:space="preserve">Additional Standards for Training </w:t>
      </w:r>
      <w:proofErr w:type="spellStart"/>
      <w:r w:rsidRPr="003F0EAD">
        <w:rPr>
          <w:rFonts w:cstheme="minorHAnsi"/>
          <w:b/>
          <w:bCs/>
        </w:rPr>
        <w:t>Programmes</w:t>
      </w:r>
      <w:proofErr w:type="spellEnd"/>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regulatory framework that is introduced by relevant </w:t>
      </w:r>
      <w:proofErr w:type="gramStart"/>
      <w:r w:rsidRPr="003F0EAD">
        <w:rPr>
          <w:rFonts w:asciiTheme="minorHAnsi" w:hAnsiTheme="minorHAnsi" w:cstheme="minorHAnsi"/>
          <w:sz w:val="22"/>
          <w:szCs w:val="22"/>
        </w:rPr>
        <w:t>Regulators;</w:t>
      </w:r>
      <w:proofErr w:type="gramEnd"/>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provisions of the Dental Gold Guide or such document(s) that may replace </w:t>
      </w:r>
      <w:proofErr w:type="gramStart"/>
      <w:r w:rsidRPr="003F0EAD">
        <w:rPr>
          <w:rFonts w:asciiTheme="minorHAnsi" w:hAnsiTheme="minorHAnsi" w:cstheme="minorHAnsi"/>
          <w:sz w:val="22"/>
          <w:szCs w:val="22"/>
        </w:rPr>
        <w:t>them;</w:t>
      </w:r>
      <w:proofErr w:type="gramEnd"/>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w:t>
      </w:r>
      <w:proofErr w:type="gramStart"/>
      <w:r w:rsidRPr="003F0EAD">
        <w:rPr>
          <w:rFonts w:asciiTheme="minorHAnsi" w:hAnsiTheme="minorHAnsi" w:cstheme="minorHAnsi"/>
          <w:sz w:val="22"/>
          <w:szCs w:val="22"/>
        </w:rPr>
        <w:t>Council;</w:t>
      </w:r>
      <w:proofErr w:type="gramEnd"/>
      <w:r w:rsidRPr="003F0EAD">
        <w:rPr>
          <w:rFonts w:asciiTheme="minorHAnsi" w:hAnsiTheme="minorHAnsi" w:cstheme="minorHAnsi"/>
          <w:sz w:val="22"/>
          <w:szCs w:val="22"/>
        </w:rPr>
        <w:t xml:space="preserve">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In order to</w:t>
      </w:r>
      <w:proofErr w:type="gramEnd"/>
      <w:r w:rsidRPr="003F0EAD">
        <w:rPr>
          <w:rFonts w:asciiTheme="minorHAnsi" w:hAnsiTheme="minorHAnsi" w:cstheme="minorHAnsi"/>
          <w:sz w:val="22"/>
          <w:szCs w:val="22"/>
        </w:rPr>
        <w:t xml:space="preserve">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t>
      </w:r>
      <w:proofErr w:type="gramStart"/>
      <w:r w:rsidRPr="003F0EAD">
        <w:rPr>
          <w:rFonts w:asciiTheme="minorHAnsi" w:hAnsiTheme="minorHAnsi" w:cstheme="minorHAnsi"/>
          <w:sz w:val="22"/>
          <w:szCs w:val="22"/>
        </w:rPr>
        <w:t>with regard to</w:t>
      </w:r>
      <w:proofErr w:type="gramEnd"/>
      <w:r w:rsidRPr="003F0EAD">
        <w:rPr>
          <w:rFonts w:asciiTheme="minorHAnsi" w:hAnsiTheme="minorHAnsi" w:cstheme="minorHAnsi"/>
          <w:sz w:val="22"/>
          <w:szCs w:val="22"/>
        </w:rPr>
        <w:t xml:space="preserve">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developmental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process will be linked to a review of results from the GMC trainee survey and HEE NETS, and other quality </w:t>
      </w:r>
      <w:proofErr w:type="gramStart"/>
      <w:r w:rsidRPr="003F0EAD">
        <w:rPr>
          <w:rFonts w:asciiTheme="minorHAnsi" w:hAnsiTheme="minorHAnsi" w:cstheme="minorHAnsi"/>
          <w:sz w:val="22"/>
          <w:szCs w:val="22"/>
        </w:rPr>
        <w:t>data;</w:t>
      </w:r>
      <w:proofErr w:type="gramEnd"/>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 xml:space="preserve">will be required to demonstrate that an effective process is in place for the accreditation and reaccreditation of Clinical Educators as part of the quality management processes set out in this Schedule as required by </w:t>
      </w:r>
      <w:proofErr w:type="gramStart"/>
      <w:r w:rsidRPr="003F0EAD">
        <w:rPr>
          <w:rFonts w:asciiTheme="minorHAnsi" w:hAnsiTheme="minorHAnsi" w:cstheme="minorHAnsi"/>
          <w:sz w:val="22"/>
          <w:szCs w:val="22"/>
        </w:rPr>
        <w:t>HEE;</w:t>
      </w:r>
      <w:proofErr w:type="gramEnd"/>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Provider’s Director of Medical Education (or nominated equivalent) will make formal recommendations on the numbers of programmed activities and/or sessions to be addressed in consultants’ and/or GP job plans as a minimum of 0.25 PA per </w:t>
      </w:r>
      <w:proofErr w:type="gramStart"/>
      <w:r w:rsidRPr="003F0EAD">
        <w:rPr>
          <w:rFonts w:asciiTheme="minorHAnsi" w:hAnsiTheme="minorHAnsi" w:cstheme="minorHAnsi"/>
          <w:sz w:val="22"/>
          <w:szCs w:val="22"/>
        </w:rPr>
        <w:t>Learner  supervised</w:t>
      </w:r>
      <w:proofErr w:type="gramEnd"/>
      <w:r w:rsidRPr="003F0EAD">
        <w:rPr>
          <w:rFonts w:asciiTheme="minorHAnsi" w:hAnsiTheme="minorHAnsi" w:cstheme="minorHAnsi"/>
          <w:sz w:val="22"/>
          <w:szCs w:val="22"/>
        </w:rPr>
        <w:t>.</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acknowledges and agrees that it shall provide information to the relevant foundation school(s) and/or head(s) of specialty, and/or Lead Employer and/or other HEE representatives on request.  The Placement Provider will provide an annual return listing all Clinical </w:t>
      </w:r>
      <w:proofErr w:type="gramStart"/>
      <w:r w:rsidRPr="003F0EAD">
        <w:rPr>
          <w:rFonts w:asciiTheme="minorHAnsi" w:hAnsiTheme="minorHAnsi" w:cstheme="minorHAnsi"/>
          <w:sz w:val="22"/>
          <w:szCs w:val="22"/>
        </w:rPr>
        <w:t>Educators ,</w:t>
      </w:r>
      <w:proofErr w:type="gramEnd"/>
      <w:r w:rsidRPr="003F0EAD">
        <w:rPr>
          <w:rFonts w:asciiTheme="minorHAnsi" w:hAnsiTheme="minorHAnsi" w:cstheme="minorHAnsi"/>
          <w:sz w:val="22"/>
          <w:szCs w:val="22"/>
        </w:rPr>
        <w:t xml:space="preserve">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if,</w:t>
      </w:r>
      <w:proofErr w:type="gramEnd"/>
      <w:r w:rsidRPr="003F0EAD">
        <w:rPr>
          <w:rFonts w:asciiTheme="minorHAnsi" w:hAnsiTheme="minorHAnsi" w:cstheme="minorHAnsi"/>
          <w:sz w:val="22"/>
          <w:szCs w:val="22"/>
        </w:rPr>
        <w:t xml:space="preserve">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may utilise resources funded via the educational and training contract for the purposes of providing HEE Learners for </w:t>
      </w:r>
      <w:proofErr w:type="gramStart"/>
      <w:r w:rsidRPr="003F0EAD">
        <w:rPr>
          <w:rFonts w:asciiTheme="minorHAnsi" w:hAnsiTheme="minorHAnsi" w:cstheme="minorHAnsi"/>
          <w:sz w:val="22"/>
          <w:szCs w:val="22"/>
        </w:rPr>
        <w:t>a number of</w:t>
      </w:r>
      <w:proofErr w:type="gramEnd"/>
      <w:r w:rsidRPr="003F0EAD">
        <w:rPr>
          <w:rFonts w:asciiTheme="minorHAnsi" w:hAnsiTheme="minorHAnsi" w:cstheme="minorHAnsi"/>
          <w:sz w:val="22"/>
          <w:szCs w:val="22"/>
        </w:rPr>
        <w:t xml:space="preserve">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xml:space="preserve">”) Funding is to be used to deliver workforce transformation priorities, as described by STP/ICS </w:t>
      </w:r>
      <w:proofErr w:type="gramStart"/>
      <w:r w:rsidRPr="003F0EAD">
        <w:rPr>
          <w:rFonts w:asciiTheme="minorHAnsi" w:hAnsiTheme="minorHAnsi" w:cstheme="minorHAnsi"/>
          <w:sz w:val="22"/>
          <w:szCs w:val="22"/>
        </w:rPr>
        <w:t>5 year</w:t>
      </w:r>
      <w:proofErr w:type="gramEnd"/>
      <w:r w:rsidRPr="003F0EAD">
        <w:rPr>
          <w:rFonts w:asciiTheme="minorHAnsi" w:hAnsiTheme="minorHAnsi" w:cstheme="minorHAnsi"/>
          <w:sz w:val="22"/>
          <w:szCs w:val="22"/>
        </w:rPr>
        <w:t xml:space="preserve">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Workforce transformation priorities must support both service transformation and sustainability requirements and be aligned to delivery of the commitments made in the </w:t>
      </w:r>
      <w:proofErr w:type="gramStart"/>
      <w:r w:rsidRPr="003F0EAD">
        <w:rPr>
          <w:rFonts w:asciiTheme="minorHAnsi" w:hAnsiTheme="minorHAnsi" w:cstheme="minorHAnsi"/>
          <w:sz w:val="22"/>
          <w:szCs w:val="22"/>
        </w:rPr>
        <w:t>Long Term</w:t>
      </w:r>
      <w:proofErr w:type="gramEnd"/>
      <w:r w:rsidRPr="003F0EAD">
        <w:rPr>
          <w:rFonts w:asciiTheme="minorHAnsi" w:hAnsiTheme="minorHAnsi" w:cstheme="minorHAnsi"/>
          <w:sz w:val="22"/>
          <w:szCs w:val="22"/>
        </w:rPr>
        <w:t xml:space="preserve">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Deployment decisions must take account of any pre-existing commitments, including contracts, </w:t>
      </w:r>
      <w:proofErr w:type="gramStart"/>
      <w:r w:rsidRPr="003F0EAD">
        <w:rPr>
          <w:rFonts w:asciiTheme="minorHAnsi" w:hAnsiTheme="minorHAnsi" w:cstheme="minorHAnsi"/>
          <w:sz w:val="22"/>
          <w:szCs w:val="22"/>
        </w:rPr>
        <w:t>infrastructure</w:t>
      </w:r>
      <w:proofErr w:type="gramEnd"/>
      <w:r w:rsidRPr="003F0EAD">
        <w:rPr>
          <w:rFonts w:asciiTheme="minorHAnsi" w:hAnsiTheme="minorHAnsi" w:cstheme="minorHAnsi"/>
          <w:sz w:val="22"/>
          <w:szCs w:val="22"/>
        </w:rPr>
        <w:t xml:space="preserv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102">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Hotels, catering, </w:t>
      </w:r>
      <w:proofErr w:type="gramStart"/>
      <w:r w:rsidRPr="003F0EAD">
        <w:rPr>
          <w:rFonts w:asciiTheme="minorHAnsi" w:hAnsiTheme="minorHAnsi" w:cstheme="minorHAnsi"/>
          <w:sz w:val="22"/>
          <w:szCs w:val="22"/>
        </w:rPr>
        <w:t>travel</w:t>
      </w:r>
      <w:proofErr w:type="gramEnd"/>
      <w:r w:rsidRPr="003F0EAD">
        <w:rPr>
          <w:rFonts w:asciiTheme="minorHAnsi" w:hAnsiTheme="minorHAnsi" w:cstheme="minorHAnsi"/>
          <w:sz w:val="22"/>
          <w:szCs w:val="22"/>
        </w:rPr>
        <w:t xml:space="preserve">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Facilities, accommodation, catering and venue hire – unless solely for the purpose of education and training events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xml:space="preserve">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Activities supporting the recruitment, </w:t>
      </w:r>
      <w:proofErr w:type="gramStart"/>
      <w:r w:rsidRPr="003F0EAD">
        <w:rPr>
          <w:rFonts w:asciiTheme="minorHAnsi" w:hAnsiTheme="minorHAnsi" w:cstheme="minorHAnsi"/>
          <w:sz w:val="22"/>
          <w:szCs w:val="22"/>
        </w:rPr>
        <w:t>retention</w:t>
      </w:r>
      <w:proofErr w:type="gramEnd"/>
      <w:r w:rsidRPr="003F0EAD">
        <w:rPr>
          <w:rFonts w:asciiTheme="minorHAnsi" w:hAnsiTheme="minorHAnsi" w:cstheme="minorHAnsi"/>
          <w:sz w:val="22"/>
          <w:szCs w:val="22"/>
        </w:rPr>
        <w:t xml:space="preserve">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Allocations will be deployed in 2 tranches; the first, direct payment to systems (subject to an endorsed plan) in Q1; the second, at the beginning of Q3 (at the latest) – subject to Regional Director guidance and performance reporting requirements </w:t>
      </w:r>
      <w:proofErr w:type="gramStart"/>
      <w:r w:rsidRPr="003F0EAD">
        <w:rPr>
          <w:rFonts w:asciiTheme="minorHAnsi" w:hAnsiTheme="minorHAnsi" w:cstheme="minorHAnsi"/>
          <w:sz w:val="22"/>
          <w:szCs w:val="22"/>
        </w:rPr>
        <w:t>i.e.</w:t>
      </w:r>
      <w:proofErr w:type="gramEnd"/>
      <w:r w:rsidRPr="003F0EAD">
        <w:rPr>
          <w:rFonts w:asciiTheme="minorHAnsi" w:hAnsiTheme="minorHAnsi" w:cstheme="minorHAnsi"/>
          <w:sz w:val="22"/>
          <w:szCs w:val="22"/>
        </w:rPr>
        <w:t xml:space="preserv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will be subject to triannual reporting at the end of July, </w:t>
      </w:r>
      <w:proofErr w:type="gramStart"/>
      <w:r w:rsidRPr="003F0EAD">
        <w:rPr>
          <w:rFonts w:asciiTheme="minorHAnsi" w:hAnsiTheme="minorHAnsi" w:cstheme="minorHAnsi"/>
          <w:sz w:val="22"/>
          <w:szCs w:val="22"/>
        </w:rPr>
        <w:t>October</w:t>
      </w:r>
      <w:proofErr w:type="gramEnd"/>
      <w:r w:rsidRPr="003F0EAD">
        <w:rPr>
          <w:rFonts w:asciiTheme="minorHAnsi" w:hAnsiTheme="minorHAnsi" w:cstheme="minorHAnsi"/>
          <w:sz w:val="22"/>
          <w:szCs w:val="22"/>
        </w:rPr>
        <w:t xml:space="preserve">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w:t>
      </w:r>
      <w:proofErr w:type="gramStart"/>
      <w:r w:rsidRPr="003F0EAD">
        <w:rPr>
          <w:rFonts w:asciiTheme="minorHAnsi" w:hAnsiTheme="minorHAnsi" w:cstheme="minorHAnsi"/>
          <w:sz w:val="22"/>
          <w:szCs w:val="22"/>
        </w:rPr>
        <w:t>e.g.</w:t>
      </w:r>
      <w:proofErr w:type="gramEnd"/>
      <w:r w:rsidRPr="003F0EAD">
        <w:rPr>
          <w:rFonts w:asciiTheme="minorHAnsi" w:hAnsiTheme="minorHAnsi" w:cstheme="minorHAnsi"/>
          <w:sz w:val="22"/>
          <w:szCs w:val="22"/>
        </w:rPr>
        <w:t> using the </w:t>
      </w:r>
      <w:proofErr w:type="spellStart"/>
      <w:r w:rsidRPr="003F0EAD">
        <w:rPr>
          <w:rFonts w:asciiTheme="minorHAnsi" w:hAnsiTheme="minorHAnsi" w:cstheme="minorHAnsi"/>
          <w:sz w:val="22"/>
          <w:szCs w:val="22"/>
        </w:rPr>
        <w:t>LeaDER</w:t>
      </w:r>
      <w:proofErr w:type="spellEnd"/>
      <w:r w:rsidRPr="003F0EAD">
        <w:rPr>
          <w:rFonts w:asciiTheme="minorHAnsi" w:hAnsiTheme="minorHAnsi" w:cstheme="minorHAnsi"/>
          <w:sz w:val="22"/>
          <w:szCs w:val="22"/>
        </w:rPr>
        <w:t>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103">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104">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5">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6">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7">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8">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9">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w:t>
      </w:r>
      <w:proofErr w:type="gramStart"/>
      <w:r w:rsidRPr="003F0EAD">
        <w:rPr>
          <w:rFonts w:asciiTheme="minorHAnsi" w:hAnsiTheme="minorHAnsi" w:cstheme="minorHAnsi"/>
          <w:sz w:val="22"/>
          <w:szCs w:val="22"/>
        </w:rPr>
        <w:t>particular education</w:t>
      </w:r>
      <w:proofErr w:type="gramEnd"/>
      <w:r w:rsidRPr="003F0EAD">
        <w:rPr>
          <w:rFonts w:asciiTheme="minorHAnsi" w:hAnsiTheme="minorHAnsi" w:cstheme="minorHAnsi"/>
          <w:sz w:val="22"/>
          <w:szCs w:val="22"/>
        </w:rPr>
        <w:t xml:space="preserve">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4B3AEC24" w:rsidR="00E76EE7" w:rsidRPr="003F0EAD" w:rsidRDefault="00E76EE7" w:rsidP="00DB7429">
      <w:pPr>
        <w:pStyle w:val="Sch2Number"/>
        <w:numPr>
          <w:ilvl w:val="3"/>
          <w:numId w:val="50"/>
        </w:numPr>
        <w:rPr>
          <w:rFonts w:asciiTheme="minorHAnsi" w:hAnsiTheme="minorHAnsi" w:cstheme="minorHAnsi"/>
          <w:sz w:val="22"/>
          <w:szCs w:val="22"/>
        </w:rPr>
      </w:pPr>
      <w:proofErr w:type="gramStart"/>
      <w:r w:rsidRPr="003F0EAD">
        <w:rPr>
          <w:rFonts w:asciiTheme="minorHAnsi" w:hAnsiTheme="minorHAnsi" w:cstheme="minorHAnsi"/>
          <w:sz w:val="22"/>
          <w:szCs w:val="22"/>
        </w:rPr>
        <w:t>For the purpose of</w:t>
      </w:r>
      <w:proofErr w:type="gramEnd"/>
      <w:r w:rsidRPr="003F0EAD">
        <w:rPr>
          <w:rFonts w:asciiTheme="minorHAnsi" w:hAnsiTheme="minorHAnsi" w:cstheme="minorHAnsi"/>
          <w:sz w:val="22"/>
          <w:szCs w:val="22"/>
        </w:rPr>
        <w:t xml:space="preserve">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6905A0">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xml:space="preserve">: a suitable qualified, </w:t>
      </w:r>
      <w:proofErr w:type="gramStart"/>
      <w:r w:rsidRPr="003F0EAD">
        <w:rPr>
          <w:rFonts w:asciiTheme="minorHAnsi" w:hAnsiTheme="minorHAnsi" w:cstheme="minorHAnsi"/>
          <w:sz w:val="22"/>
          <w:szCs w:val="22"/>
        </w:rPr>
        <w:t>trained</w:t>
      </w:r>
      <w:proofErr w:type="gramEnd"/>
      <w:r w:rsidRPr="003F0EAD">
        <w:rPr>
          <w:rFonts w:asciiTheme="minorHAnsi" w:hAnsiTheme="minorHAnsi" w:cstheme="minorHAnsi"/>
          <w:sz w:val="22"/>
          <w:szCs w:val="22"/>
        </w:rPr>
        <w:t xml:space="preserve">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w:t>
      </w:r>
      <w:proofErr w:type="gramStart"/>
      <w:r w:rsidRPr="003F0EAD">
        <w:rPr>
          <w:rFonts w:asciiTheme="minorHAnsi" w:hAnsiTheme="minorHAnsi" w:cstheme="minorHAnsi"/>
          <w:sz w:val="22"/>
          <w:szCs w:val="22"/>
        </w:rPr>
        <w:t>Agreement</w:t>
      </w:r>
      <w:proofErr w:type="gramEnd"/>
      <w:r w:rsidRPr="003F0EAD">
        <w:rPr>
          <w:rFonts w:asciiTheme="minorHAnsi" w:hAnsiTheme="minorHAnsi" w:cstheme="minorHAnsi"/>
          <w:sz w:val="22"/>
          <w:szCs w:val="22"/>
        </w:rPr>
        <w:t xml:space="preserve">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procure that </w:t>
      </w:r>
      <w:proofErr w:type="gramStart"/>
      <w:r w:rsidRPr="003F0EAD">
        <w:rPr>
          <w:rFonts w:asciiTheme="minorHAnsi" w:hAnsiTheme="minorHAnsi" w:cstheme="minorHAnsi"/>
          <w:sz w:val="22"/>
          <w:szCs w:val="22"/>
        </w:rPr>
        <w:t>each Individual</w:t>
      </w:r>
      <w:proofErr w:type="gramEnd"/>
      <w:r w:rsidRPr="003F0EAD">
        <w:rPr>
          <w:rFonts w:asciiTheme="minorHAnsi" w:hAnsiTheme="minorHAnsi" w:cstheme="minorHAnsi"/>
          <w:sz w:val="22"/>
          <w:szCs w:val="22"/>
        </w:rPr>
        <w:t xml:space="preserve">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one or more Secondment Agreements are </w:t>
      </w:r>
      <w:proofErr w:type="gramStart"/>
      <w:r w:rsidRPr="003F0EAD">
        <w:rPr>
          <w:rFonts w:asciiTheme="minorHAnsi" w:hAnsiTheme="minorHAnsi" w:cstheme="minorHAnsi"/>
          <w:sz w:val="22"/>
          <w:szCs w:val="22"/>
        </w:rPr>
        <w:t>entered into</w:t>
      </w:r>
      <w:proofErr w:type="gramEnd"/>
      <w:r w:rsidRPr="003F0EAD">
        <w:rPr>
          <w:rFonts w:asciiTheme="minorHAnsi" w:hAnsiTheme="minorHAnsi" w:cstheme="minorHAnsi"/>
          <w:sz w:val="22"/>
          <w:szCs w:val="22"/>
        </w:rPr>
        <w:t>,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any such services provided by an Individual are factored into their job plan as </w:t>
      </w:r>
      <w:proofErr w:type="gramStart"/>
      <w:r w:rsidRPr="003F0EAD">
        <w:rPr>
          <w:rFonts w:asciiTheme="minorHAnsi" w:hAnsiTheme="minorHAnsi" w:cstheme="minorHAnsi"/>
          <w:sz w:val="22"/>
          <w:szCs w:val="22"/>
        </w:rPr>
        <w:t>appropriate;</w:t>
      </w:r>
      <w:proofErr w:type="gramEnd"/>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make the necessary changes to the terms of the Individuals’ contract of employment with the Placement Provider so that they can provide the secondary care faculty support services in accordance with the terms of this </w:t>
      </w:r>
      <w:proofErr w:type="gramStart"/>
      <w:r w:rsidRPr="003F0EAD">
        <w:rPr>
          <w:rFonts w:asciiTheme="minorHAnsi" w:hAnsiTheme="minorHAnsi" w:cstheme="minorHAnsi"/>
          <w:sz w:val="22"/>
          <w:szCs w:val="22"/>
        </w:rPr>
        <w:t>agreement;</w:t>
      </w:r>
      <w:proofErr w:type="gramEnd"/>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continue to pay the Individual’s salary and benefits, make any payments to third parties in relation to the Individual and make any deductions that it is required to make from the Individual's salary and other </w:t>
      </w:r>
      <w:proofErr w:type="gramStart"/>
      <w:r w:rsidRPr="003F0EAD">
        <w:rPr>
          <w:rFonts w:asciiTheme="minorHAnsi" w:hAnsiTheme="minorHAnsi" w:cstheme="minorHAnsi"/>
          <w:sz w:val="22"/>
          <w:szCs w:val="22"/>
        </w:rPr>
        <w:t>payments;</w:t>
      </w:r>
      <w:proofErr w:type="gramEnd"/>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retain agreed overall management obligations and deal with any Management Issues concerning the Individuals and liability for the Individuals in providing these </w:t>
      </w:r>
      <w:proofErr w:type="gramStart"/>
      <w:r w:rsidRPr="003F0EAD">
        <w:rPr>
          <w:rFonts w:asciiTheme="minorHAnsi" w:hAnsiTheme="minorHAnsi" w:cstheme="minorHAnsi"/>
          <w:sz w:val="22"/>
          <w:szCs w:val="22"/>
        </w:rPr>
        <w:t>services;</w:t>
      </w:r>
      <w:proofErr w:type="gramEnd"/>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w:t>
      </w:r>
      <w:proofErr w:type="gramStart"/>
      <w:r w:rsidRPr="003F0EAD">
        <w:rPr>
          <w:rFonts w:asciiTheme="minorHAnsi" w:hAnsiTheme="minorHAnsi" w:cstheme="minorHAnsi"/>
          <w:sz w:val="22"/>
          <w:szCs w:val="22"/>
        </w:rPr>
        <w:t>procedures;</w:t>
      </w:r>
      <w:proofErr w:type="gramEnd"/>
      <w:r w:rsidRPr="003F0EAD">
        <w:rPr>
          <w:rFonts w:asciiTheme="minorHAnsi" w:hAnsiTheme="minorHAnsi" w:cstheme="minorHAnsi"/>
          <w:sz w:val="22"/>
          <w:szCs w:val="22"/>
        </w:rPr>
        <w:t xml:space="preserve">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HEE before approving any holiday request made by the individuals that materially affect the provision of the secondary care faculty support </w:t>
      </w:r>
      <w:proofErr w:type="gramStart"/>
      <w:r w:rsidRPr="003F0EAD">
        <w:rPr>
          <w:rFonts w:asciiTheme="minorHAnsi" w:hAnsiTheme="minorHAnsi" w:cstheme="minorHAnsi"/>
          <w:sz w:val="22"/>
          <w:szCs w:val="22"/>
        </w:rPr>
        <w:t>services;</w:t>
      </w:r>
      <w:proofErr w:type="gramEnd"/>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sidRPr="003F0EAD">
        <w:rPr>
          <w:rFonts w:asciiTheme="minorHAnsi" w:hAnsiTheme="minorHAnsi" w:cstheme="minorHAnsi"/>
          <w:sz w:val="22"/>
          <w:szCs w:val="22"/>
        </w:rPr>
        <w:t>);</w:t>
      </w:r>
      <w:proofErr w:type="gramEnd"/>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 has the right to work in the United Kingdom and that identity and right to work checks have been completed for the </w:t>
      </w:r>
      <w:proofErr w:type="gramStart"/>
      <w:r w:rsidRPr="003F0EAD">
        <w:rPr>
          <w:rFonts w:asciiTheme="minorHAnsi" w:hAnsiTheme="minorHAnsi" w:cstheme="minorHAnsi"/>
          <w:sz w:val="22"/>
          <w:szCs w:val="22"/>
        </w:rPr>
        <w:t>Individual;</w:t>
      </w:r>
      <w:proofErr w:type="gramEnd"/>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w:t>
      </w:r>
      <w:proofErr w:type="gramStart"/>
      <w:r w:rsidRPr="003F0EAD">
        <w:rPr>
          <w:rFonts w:asciiTheme="minorHAnsi" w:hAnsiTheme="minorHAnsi" w:cstheme="minorHAnsi"/>
          <w:sz w:val="22"/>
          <w:szCs w:val="22"/>
        </w:rPr>
        <w:t>UK;</w:t>
      </w:r>
      <w:proofErr w:type="gramEnd"/>
      <w:r w:rsidRPr="003F0EAD">
        <w:rPr>
          <w:rFonts w:asciiTheme="minorHAnsi" w:hAnsiTheme="minorHAnsi" w:cstheme="minorHAnsi"/>
          <w:sz w:val="22"/>
          <w:szCs w:val="22"/>
        </w:rPr>
        <w:t xml:space="preserve">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 xml:space="preserve">[Name of </w:t>
            </w:r>
            <w:proofErr w:type="spellStart"/>
            <w:r w:rsidRPr="00CB470B">
              <w:rPr>
                <w:rFonts w:cs="Arial"/>
                <w:sz w:val="24"/>
                <w:szCs w:val="24"/>
              </w:rPr>
              <w:t>organisation</w:t>
            </w:r>
            <w:proofErr w:type="spellEnd"/>
            <w:r w:rsidRPr="00CB470B">
              <w:rPr>
                <w:rFonts w:cs="Arial"/>
                <w:sz w:val="24"/>
                <w:szCs w:val="24"/>
              </w:rPr>
              <w:t>]</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Health Education England, (‘</w:t>
      </w:r>
      <w:r w:rsidRPr="00313C32">
        <w:rPr>
          <w:rFonts w:cstheme="minorHAnsi"/>
          <w:b/>
          <w:color w:val="000000"/>
        </w:rPr>
        <w:t>HEE</w:t>
      </w:r>
      <w:r w:rsidRPr="00313C32">
        <w:rPr>
          <w:rFonts w:cstheme="minorHAnsi"/>
          <w:color w:val="000000"/>
        </w:rPr>
        <w:t>’); and</w:t>
      </w:r>
    </w:p>
    <w:p w14:paraId="3F39BE28" w14:textId="77777777" w:rsidR="00E76EE7" w:rsidRPr="00313C32" w:rsidRDefault="00E76EE7" w:rsidP="00DB7429">
      <w:pPr>
        <w:pStyle w:val="ListParagraph"/>
        <w:numPr>
          <w:ilvl w:val="0"/>
          <w:numId w:val="52"/>
        </w:numPr>
        <w:spacing w:before="100" w:beforeAutospacing="1" w:after="100" w:afterAutospacing="1" w:line="240" w:lineRule="auto"/>
        <w:rPr>
          <w:rFonts w:cstheme="minorHAnsi"/>
          <w:color w:val="000000"/>
        </w:rPr>
      </w:pPr>
      <w:r w:rsidRPr="00313C32">
        <w:rPr>
          <w:rFonts w:cstheme="minorHAnsi"/>
          <w:color w:val="000000"/>
        </w:rPr>
        <w:t>The Secondee as detailed above (the ‘</w:t>
      </w:r>
      <w:r w:rsidRPr="00313C32">
        <w:rPr>
          <w:rFonts w:cstheme="minorHAnsi"/>
          <w:b/>
          <w:color w:val="000000"/>
        </w:rPr>
        <w:t>Secondee’</w:t>
      </w:r>
      <w:r w:rsidRPr="00313C32">
        <w:rPr>
          <w:rFonts w:cstheme="minorHAnsi"/>
          <w:color w:val="000000"/>
        </w:rPr>
        <w:t>)</w:t>
      </w:r>
    </w:p>
    <w:p w14:paraId="2540E903" w14:textId="77777777" w:rsidR="00E76EE7" w:rsidRPr="00313C32" w:rsidRDefault="00E76EE7" w:rsidP="00E76EE7">
      <w:pPr>
        <w:spacing w:before="100" w:beforeAutospacing="1" w:after="100" w:afterAutospacing="1"/>
        <w:rPr>
          <w:rFonts w:cstheme="minorHAnsi"/>
          <w:color w:val="000000"/>
        </w:rPr>
      </w:pPr>
      <w:r w:rsidRPr="00313C32">
        <w:rPr>
          <w:rFonts w:cstheme="minorHAnsi"/>
          <w:color w:val="000000"/>
        </w:rPr>
        <w:t>A copy of this agreement has been or will be provided to the Secondee’s Substantive Employer by HEE.</w:t>
      </w:r>
    </w:p>
    <w:p w14:paraId="4637E1D2" w14:textId="77777777" w:rsidR="00E76EE7" w:rsidRPr="00313C32" w:rsidRDefault="00E76EE7" w:rsidP="00E76EE7">
      <w:pPr>
        <w:pStyle w:val="ListParagraph"/>
        <w:spacing w:before="100" w:beforeAutospacing="1" w:after="100" w:afterAutospacing="1"/>
        <w:ind w:left="735"/>
        <w:rPr>
          <w:rFonts w:cstheme="minorHAnsi"/>
          <w:color w:val="000000"/>
        </w:rPr>
      </w:pPr>
    </w:p>
    <w:p w14:paraId="68DF04F0" w14:textId="77777777" w:rsidR="00E76EE7" w:rsidRPr="00313C32" w:rsidRDefault="00E76EE7" w:rsidP="00DB7429">
      <w:pPr>
        <w:pStyle w:val="ListParagraph"/>
        <w:numPr>
          <w:ilvl w:val="0"/>
          <w:numId w:val="51"/>
        </w:numPr>
        <w:spacing w:line="240" w:lineRule="auto"/>
        <w:rPr>
          <w:rStyle w:val="Strong"/>
          <w:rFonts w:asciiTheme="minorHAnsi" w:hAnsiTheme="minorHAnsi" w:cstheme="minorHAnsi"/>
          <w:bCs w:val="0"/>
        </w:rPr>
      </w:pPr>
      <w:r w:rsidRPr="00313C32">
        <w:rPr>
          <w:rStyle w:val="Strong"/>
          <w:rFonts w:asciiTheme="minorHAnsi" w:hAnsiTheme="minorHAnsi" w:cstheme="minorHAnsi"/>
        </w:rPr>
        <w:t>Definitions</w:t>
      </w:r>
    </w:p>
    <w:p w14:paraId="4ECD483F" w14:textId="77777777" w:rsidR="00E76EE7" w:rsidRPr="00313C32" w:rsidRDefault="00E76EE7" w:rsidP="00E76EE7">
      <w:pPr>
        <w:pStyle w:val="ListParagraph"/>
        <w:ind w:left="735"/>
        <w:rPr>
          <w:rStyle w:val="Strong"/>
          <w:rFonts w:asciiTheme="minorHAnsi" w:hAnsiTheme="minorHAnsi" w:cstheme="minorHAnsi"/>
          <w:b w:val="0"/>
          <w:bCs w:val="0"/>
        </w:rPr>
      </w:pPr>
    </w:p>
    <w:p w14:paraId="345989A8"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‘Start Date’ means the start date of the Secondment set out in the above </w:t>
      </w:r>
      <w:proofErr w:type="gramStart"/>
      <w:r w:rsidRPr="00313C32">
        <w:rPr>
          <w:rStyle w:val="Strong"/>
          <w:rFonts w:asciiTheme="minorHAnsi" w:hAnsiTheme="minorHAnsi" w:cstheme="minorHAnsi"/>
        </w:rPr>
        <w:t>table;</w:t>
      </w:r>
      <w:proofErr w:type="gramEnd"/>
    </w:p>
    <w:p w14:paraId="6A02B3AB"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‘End Date’ means the end date of the Secondment set out in the above </w:t>
      </w:r>
      <w:proofErr w:type="gramStart"/>
      <w:r w:rsidRPr="00313C32">
        <w:rPr>
          <w:rStyle w:val="Strong"/>
          <w:rFonts w:asciiTheme="minorHAnsi" w:hAnsiTheme="minorHAnsi" w:cstheme="minorHAnsi"/>
        </w:rPr>
        <w:t>table;</w:t>
      </w:r>
      <w:proofErr w:type="gramEnd"/>
    </w:p>
    <w:p w14:paraId="04B385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‘Secondment” means the secondment of the Secondee by the Substantive Employer to HEE on the terms of this Agreement</w:t>
      </w:r>
    </w:p>
    <w:p w14:paraId="7613A747"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‘Employment Contract’ means the contract of employment between the Substantive Employer and the Secondee.</w:t>
      </w:r>
    </w:p>
    <w:p w14:paraId="4313BCA5"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lastRenderedPageBreak/>
        <w:t>‘Confidential Information’ shall include, but is not limited to, commercially sensitive information and personal information about HEE’s staff or others.</w:t>
      </w:r>
    </w:p>
    <w:p w14:paraId="6738EB9E"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‘Data Protection Legislation’ means the General Data Protection Regulation (EU) 2016/679 (“GDPR”), Data Protection Act 2018 (“DPA”), the Data Protection, Privacy and Electronic Communications (Amendments </w:t>
      </w:r>
      <w:proofErr w:type="spellStart"/>
      <w:r w:rsidRPr="00313C32">
        <w:rPr>
          <w:rStyle w:val="Strong"/>
          <w:rFonts w:asciiTheme="minorHAnsi" w:hAnsiTheme="minorHAnsi" w:cstheme="minorHAnsi"/>
        </w:rPr>
        <w:t>etc</w:t>
      </w:r>
      <w:proofErr w:type="spellEnd"/>
      <w:r w:rsidRPr="00313C32">
        <w:rPr>
          <w:rStyle w:val="Strong"/>
          <w:rFonts w:asciiTheme="minorHAnsi" w:hAnsiTheme="minorHAnsi" w:cstheme="minorHAnsi"/>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‘Services’ means the services to be provided by the Secondee as described in the job description provided, or as amended from time to time following engagement with the secondee</w:t>
      </w:r>
    </w:p>
    <w:p w14:paraId="4C6043A1"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‘Supervisor’ means the person named as Supervisor in the above table or any person substituted by HEE during the Secondment Period.</w:t>
      </w:r>
    </w:p>
    <w:p w14:paraId="240F5A8C" w14:textId="77777777" w:rsidR="00E76EE7" w:rsidRPr="00313C32" w:rsidRDefault="00E76EE7" w:rsidP="00DB7429">
      <w:pPr>
        <w:pStyle w:val="ListParagraph"/>
        <w:numPr>
          <w:ilvl w:val="1"/>
          <w:numId w:val="51"/>
        </w:numPr>
        <w:spacing w:line="240" w:lineRule="auto"/>
        <w:rPr>
          <w:rStyle w:val="Strong"/>
          <w:rFonts w:asciiTheme="minorHAnsi" w:hAnsiTheme="minorHAnsi" w:cstheme="minorHAnsi"/>
          <w:b w:val="0"/>
          <w:bCs w:val="0"/>
        </w:rPr>
      </w:pPr>
      <w:r w:rsidRPr="00313C32">
        <w:rPr>
          <w:rStyle w:val="Strong"/>
          <w:rFonts w:asciiTheme="minorHAnsi" w:hAnsiTheme="minorHAnsi" w:cstheme="minorHAnsi"/>
        </w:rPr>
        <w:t xml:space="preserve">‘NHS Education Contract’ the agreement between HEE and the Substantive Employer that includes the provision of the Secondment. </w:t>
      </w:r>
    </w:p>
    <w:p w14:paraId="7C116547" w14:textId="77777777" w:rsidR="00E76EE7" w:rsidRPr="00313C32" w:rsidRDefault="00E76EE7" w:rsidP="00E76EE7">
      <w:pPr>
        <w:pStyle w:val="ListParagraph"/>
        <w:ind w:left="735"/>
        <w:rPr>
          <w:rStyle w:val="Strong"/>
          <w:rFonts w:asciiTheme="minorHAnsi" w:hAnsiTheme="minorHAnsi" w:cstheme="minorHAnsi"/>
          <w:b w:val="0"/>
          <w:bCs w:val="0"/>
        </w:rPr>
      </w:pPr>
    </w:p>
    <w:p w14:paraId="42674C61" w14:textId="77777777" w:rsidR="00E76EE7" w:rsidRPr="00313C32" w:rsidRDefault="00E76EE7" w:rsidP="00DB7429">
      <w:pPr>
        <w:pStyle w:val="ListParagraph"/>
        <w:numPr>
          <w:ilvl w:val="0"/>
          <w:numId w:val="51"/>
        </w:numPr>
        <w:spacing w:line="240" w:lineRule="auto"/>
        <w:rPr>
          <w:rFonts w:cstheme="minorHAnsi"/>
        </w:rPr>
      </w:pPr>
      <w:r w:rsidRPr="00313C32">
        <w:rPr>
          <w:rStyle w:val="Strong"/>
          <w:rFonts w:asciiTheme="minorHAnsi" w:eastAsiaTheme="majorEastAsia" w:hAnsiTheme="minorHAnsi" w:cstheme="minorHAnsi"/>
        </w:rPr>
        <w:t>Secondment</w:t>
      </w:r>
    </w:p>
    <w:p w14:paraId="0FE9FB2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Duration of Secondment</w:t>
      </w:r>
    </w:p>
    <w:p w14:paraId="77028C72"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Secondment will commence on the Start Date above and shall continue until:</w:t>
      </w:r>
    </w:p>
    <w:p w14:paraId="37D2DAD7"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End Date; or</w:t>
      </w:r>
    </w:p>
    <w:p w14:paraId="2F223376"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date that the Secondment is terminated in accordance with clause 9, if earlier.</w:t>
      </w:r>
    </w:p>
    <w:p w14:paraId="4E1D090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Start Date is subject to:</w:t>
      </w:r>
    </w:p>
    <w:p w14:paraId="4AF08FEF"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 xml:space="preserve">the Secondment Agreement being signed by the Secondee and HEE; and </w:t>
      </w:r>
    </w:p>
    <w:p w14:paraId="09CEB2B9" w14:textId="77777777" w:rsidR="00E76EE7" w:rsidRPr="00313C32" w:rsidRDefault="00E76EE7" w:rsidP="00DB7429">
      <w:pPr>
        <w:pStyle w:val="NormalWeb"/>
        <w:numPr>
          <w:ilvl w:val="2"/>
          <w:numId w:val="51"/>
        </w:numPr>
        <w:spacing w:before="240" w:after="0"/>
        <w:ind w:left="1418"/>
        <w:rPr>
          <w:rFonts w:asciiTheme="minorHAnsi" w:hAnsiTheme="minorHAnsi" w:cstheme="minorHAnsi"/>
          <w:color w:val="000000"/>
          <w:szCs w:val="22"/>
        </w:rPr>
      </w:pPr>
      <w:r w:rsidRPr="00313C32">
        <w:rPr>
          <w:rFonts w:asciiTheme="minorHAnsi" w:hAnsiTheme="minorHAnsi" w:cstheme="minorHAnsi"/>
          <w:color w:val="000000"/>
          <w:szCs w:val="22"/>
        </w:rPr>
        <w:t>The Secondee ensuring that the Hours or PAs to be provided under this Agreement are factored into their job plan and/or contractual arrangements with their Substantive Employer.</w:t>
      </w:r>
    </w:p>
    <w:p w14:paraId="59AB1016"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129514A1" w14:textId="77777777" w:rsidR="00E76EE7" w:rsidRPr="00313C32" w:rsidRDefault="00E76EE7" w:rsidP="00E76EE7">
      <w:pPr>
        <w:pStyle w:val="NormalWeb"/>
        <w:spacing w:before="240"/>
        <w:ind w:left="1418"/>
        <w:rPr>
          <w:rFonts w:asciiTheme="minorHAnsi" w:hAnsiTheme="minorHAnsi" w:cstheme="minorHAnsi"/>
          <w:color w:val="000000"/>
          <w:szCs w:val="22"/>
        </w:rPr>
      </w:pPr>
    </w:p>
    <w:p w14:paraId="7C4528E5"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lastRenderedPageBreak/>
        <w:t xml:space="preserve">Services </w:t>
      </w:r>
    </w:p>
    <w:p w14:paraId="043ED32E"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313C32"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b/>
          <w:szCs w:val="22"/>
        </w:rPr>
        <w:t>Location</w:t>
      </w:r>
    </w:p>
    <w:p w14:paraId="7C33793F"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 xml:space="preserve">The Secondee will work in the region indicated in the above table </w:t>
      </w:r>
      <w:r w:rsidRPr="00313C32">
        <w:rPr>
          <w:rFonts w:asciiTheme="minorHAnsi" w:hAnsiTheme="minorHAnsi" w:cstheme="minorHAnsi"/>
          <w:color w:val="000000"/>
          <w:szCs w:val="22"/>
        </w:rPr>
        <w:t xml:space="preserve">or </w:t>
      </w:r>
      <w:r w:rsidRPr="00313C32">
        <w:rPr>
          <w:rFonts w:asciiTheme="minorHAnsi" w:hAnsiTheme="minorHAnsi" w:cstheme="minorHAnsi"/>
          <w:szCs w:val="22"/>
        </w:rPr>
        <w:t>such locations as may be reasonably agreed or required by HEE.</w:t>
      </w:r>
    </w:p>
    <w:p w14:paraId="5DBF61E4" w14:textId="77777777" w:rsidR="00E76EE7" w:rsidRPr="00313C32"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asciiTheme="minorHAnsi" w:hAnsiTheme="minorHAnsi" w:cstheme="minorHAnsi"/>
          <w:szCs w:val="22"/>
        </w:rPr>
      </w:pPr>
      <w:r w:rsidRPr="00313C32">
        <w:rPr>
          <w:rFonts w:asciiTheme="minorHAnsi" w:hAnsiTheme="minorHAnsi" w:cstheme="minorHAnsi"/>
          <w:szCs w:val="22"/>
        </w:rPr>
        <w:t>The Secondee shall not be required to work outside the United Kingdom.</w:t>
      </w:r>
    </w:p>
    <w:p w14:paraId="121B5959"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color w:val="000000"/>
          <w:szCs w:val="22"/>
        </w:rPr>
        <w:t>Secondee’s Employment</w:t>
      </w:r>
    </w:p>
    <w:p w14:paraId="622AFE6D" w14:textId="77777777" w:rsidR="00972D84" w:rsidRDefault="00972D84" w:rsidP="00972D84">
      <w:pPr>
        <w:pStyle w:val="ListParagraph"/>
        <w:spacing w:line="240" w:lineRule="auto"/>
        <w:ind w:left="735"/>
        <w:rPr>
          <w:rFonts w:eastAsia="Times New Roman" w:cstheme="minorHAnsi"/>
          <w:color w:val="000000"/>
          <w:lang w:eastAsia="en-GB"/>
        </w:rPr>
      </w:pPr>
    </w:p>
    <w:p w14:paraId="21361096" w14:textId="52109B84" w:rsidR="00E76EE7" w:rsidRPr="00313C32" w:rsidRDefault="00E76EE7" w:rsidP="00DB7429">
      <w:pPr>
        <w:pStyle w:val="ListParagraph"/>
        <w:numPr>
          <w:ilvl w:val="1"/>
          <w:numId w:val="51"/>
        </w:numPr>
        <w:spacing w:line="240" w:lineRule="auto"/>
        <w:rPr>
          <w:rFonts w:eastAsia="Times New Roman" w:cstheme="minorHAnsi"/>
          <w:color w:val="000000"/>
          <w:lang w:eastAsia="en-GB"/>
        </w:rPr>
      </w:pPr>
      <w:r w:rsidRPr="00313C32">
        <w:rPr>
          <w:rFonts w:eastAsia="Times New Roman" w:cstheme="minorHAnsi"/>
          <w:color w:val="000000"/>
          <w:lang w:eastAsia="en-GB"/>
        </w:rPr>
        <w:t xml:space="preserve">During the Secondment, the Substantive Employer remains the Secondee’s </w:t>
      </w:r>
      <w:proofErr w:type="gramStart"/>
      <w:r w:rsidRPr="00313C32">
        <w:rPr>
          <w:rFonts w:eastAsia="Times New Roman" w:cstheme="minorHAnsi"/>
          <w:color w:val="000000"/>
          <w:lang w:eastAsia="en-GB"/>
        </w:rPr>
        <w:t>employer</w:t>
      </w:r>
      <w:proofErr w:type="gramEnd"/>
      <w:r w:rsidRPr="00313C32">
        <w:rPr>
          <w:rFonts w:eastAsia="Times New Roman" w:cstheme="minorHAnsi"/>
          <w:color w:val="000000"/>
          <w:lang w:eastAsia="en-GB"/>
        </w:rPr>
        <w:t xml:space="preserve"> and</w:t>
      </w:r>
      <w:r w:rsidRPr="00313C32">
        <w:rPr>
          <w:rFonts w:cstheme="minorHAnsi"/>
        </w:rPr>
        <w:t xml:space="preserve"> their </w:t>
      </w:r>
      <w:r w:rsidRPr="00313C32">
        <w:rPr>
          <w:rFonts w:eastAsia="Times New Roman" w:cstheme="minorHAnsi"/>
          <w:color w:val="000000"/>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212121"/>
          <w:szCs w:val="22"/>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At the end of the Secondment, the Secondee will remain employed by the Substantive Employer.</w:t>
      </w:r>
      <w:r w:rsidRPr="00313C32">
        <w:rPr>
          <w:rFonts w:asciiTheme="minorHAnsi" w:hAnsiTheme="minorHAnsi" w:cstheme="minorHAnsi"/>
          <w:szCs w:val="22"/>
        </w:rPr>
        <w:t xml:space="preserve"> </w:t>
      </w:r>
      <w:r w:rsidRPr="00313C32">
        <w:rPr>
          <w:rFonts w:asciiTheme="minorHAnsi" w:hAnsiTheme="minorHAnsi" w:cstheme="minorHAnsi"/>
          <w:color w:val="000000"/>
          <w:szCs w:val="22"/>
        </w:rPr>
        <w:t xml:space="preserve">Any consequential adjustments needed to the Secondee’s Employment Contract and/or job plan would remain the responsibility of the Substantive Employer and the Secondee.  </w:t>
      </w:r>
    </w:p>
    <w:p w14:paraId="1045EAC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Cs w:val="0"/>
          <w:szCs w:val="22"/>
        </w:rPr>
      </w:pPr>
      <w:r w:rsidRPr="00313C32">
        <w:rPr>
          <w:rStyle w:val="Strong"/>
          <w:rFonts w:asciiTheme="minorHAnsi" w:hAnsiTheme="minorHAnsi" w:cstheme="minorHAnsi"/>
          <w:szCs w:val="22"/>
        </w:rPr>
        <w:t>Management during the Secondment</w:t>
      </w:r>
    </w:p>
    <w:p w14:paraId="654B92C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During the Secondment Period, the Secondee will remain subject to the Substantive Employer’s policies and procedures including but not limited to disciplinary, grievance, </w:t>
      </w:r>
      <w:proofErr w:type="gramStart"/>
      <w:r w:rsidRPr="00313C32">
        <w:rPr>
          <w:rFonts w:asciiTheme="minorHAnsi" w:hAnsiTheme="minorHAnsi" w:cstheme="minorHAnsi"/>
          <w:color w:val="000000"/>
          <w:szCs w:val="22"/>
        </w:rPr>
        <w:t>capability</w:t>
      </w:r>
      <w:proofErr w:type="gramEnd"/>
      <w:r w:rsidRPr="00313C32">
        <w:rPr>
          <w:rFonts w:asciiTheme="minorHAnsi" w:hAnsiTheme="minorHAnsi" w:cstheme="minorHAnsi"/>
          <w:color w:val="000000"/>
          <w:szCs w:val="22"/>
        </w:rPr>
        <w:t xml:space="preserve"> and absence.</w:t>
      </w:r>
    </w:p>
    <w:p w14:paraId="6CB601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color w:val="000000"/>
          <w:szCs w:val="22"/>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313C32">
        <w:rPr>
          <w:rFonts w:asciiTheme="minorHAnsi" w:hAnsiTheme="minorHAnsi" w:cstheme="minorHAnsi"/>
          <w:szCs w:val="22"/>
        </w:rPr>
        <w:t>dates from HEE and the Substantive Employer.</w:t>
      </w:r>
    </w:p>
    <w:p w14:paraId="47106910"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r w:rsidRPr="00313C32">
        <w:rPr>
          <w:rFonts w:asciiTheme="minorHAnsi" w:hAnsiTheme="minorHAnsi" w:cstheme="minorHAnsi"/>
          <w:szCs w:val="22"/>
        </w:rPr>
        <w:lastRenderedPageBreak/>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313C32" w:rsidRDefault="00E76EE7" w:rsidP="00DB7429">
      <w:pPr>
        <w:pStyle w:val="NormalWeb"/>
        <w:numPr>
          <w:ilvl w:val="1"/>
          <w:numId w:val="51"/>
        </w:numPr>
        <w:spacing w:before="240" w:after="0"/>
        <w:rPr>
          <w:rStyle w:val="Strong"/>
          <w:rFonts w:asciiTheme="minorHAnsi" w:hAnsiTheme="minorHAnsi" w:cstheme="minorHAnsi"/>
          <w:b w:val="0"/>
          <w:bCs w:val="0"/>
          <w:szCs w:val="22"/>
        </w:rPr>
      </w:pPr>
      <w:r w:rsidRPr="00313C32">
        <w:rPr>
          <w:rFonts w:asciiTheme="minorHAnsi" w:hAnsiTheme="minorHAnsi" w:cstheme="minorHAnsi"/>
          <w:szCs w:val="22"/>
          <w:shd w:val="clear" w:color="auto" w:fill="FFFFFF"/>
        </w:rPr>
        <w:t xml:space="preserve">All documents, manuals, </w:t>
      </w:r>
      <w:proofErr w:type="gramStart"/>
      <w:r w:rsidRPr="00313C32">
        <w:rPr>
          <w:rFonts w:asciiTheme="minorHAnsi" w:hAnsiTheme="minorHAnsi" w:cstheme="minorHAnsi"/>
          <w:szCs w:val="22"/>
          <w:shd w:val="clear" w:color="auto" w:fill="FFFFFF"/>
        </w:rPr>
        <w:t>hardware</w:t>
      </w:r>
      <w:proofErr w:type="gramEnd"/>
      <w:r w:rsidRPr="00313C32">
        <w:rPr>
          <w:rFonts w:asciiTheme="minorHAnsi" w:hAnsiTheme="minorHAnsi" w:cstheme="minorHAnsi"/>
          <w:szCs w:val="22"/>
          <w:shd w:val="clear" w:color="auto" w:fill="FFFFFF"/>
        </w:rPr>
        <w:t xml:space="preserv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 xml:space="preserve">Remuneration </w:t>
      </w:r>
    </w:p>
    <w:p w14:paraId="72FAE96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During the Secondment, the Substantive Employer shall continue to pay the Secondee’s Salary and any other contractual benefits, expenses and make any deductions required by an employer.</w:t>
      </w:r>
    </w:p>
    <w:p w14:paraId="1ED9BF2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Substantive Employer will receive funding for the Secondment directly from HEE under the NHS Education Contract.  All such payments are subject to the terms of that agreement. </w:t>
      </w:r>
    </w:p>
    <w:p w14:paraId="2287432A"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No direct payments will be made by HEE to the Secondee for remuneration, travel, </w:t>
      </w:r>
      <w:proofErr w:type="gramStart"/>
      <w:r w:rsidRPr="00313C32">
        <w:rPr>
          <w:rFonts w:asciiTheme="minorHAnsi" w:hAnsiTheme="minorHAnsi" w:cstheme="minorHAnsi"/>
          <w:color w:val="000000"/>
          <w:szCs w:val="22"/>
        </w:rPr>
        <w:t>subsistence</w:t>
      </w:r>
      <w:proofErr w:type="gramEnd"/>
      <w:r w:rsidRPr="00313C32">
        <w:rPr>
          <w:rFonts w:asciiTheme="minorHAnsi" w:hAnsiTheme="minorHAnsi" w:cstheme="minorHAnsi"/>
          <w:color w:val="000000"/>
          <w:szCs w:val="22"/>
        </w:rPr>
        <w:t xml:space="preserve"> or other expenses incurred in performing the Services. </w:t>
      </w:r>
    </w:p>
    <w:p w14:paraId="3A286FBC"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Identity and Right to Work checks</w:t>
      </w:r>
    </w:p>
    <w:p w14:paraId="6381318B" w14:textId="2197E1F3"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Contract, </w:t>
      </w:r>
      <w:r w:rsidR="00F6593C" w:rsidRPr="00313C32">
        <w:rPr>
          <w:rFonts w:asciiTheme="minorHAnsi" w:hAnsiTheme="minorHAnsi" w:cstheme="minorHAnsi"/>
          <w:color w:val="000000"/>
          <w:szCs w:val="22"/>
        </w:rPr>
        <w:t>t</w:t>
      </w:r>
      <w:r w:rsidRPr="00313C32">
        <w:rPr>
          <w:rFonts w:asciiTheme="minorHAnsi" w:hAnsiTheme="minorHAnsi" w:cstheme="minorHAnsi"/>
          <w:color w:val="000000"/>
          <w:szCs w:val="22"/>
        </w:rPr>
        <w:t>he Substantive Employer has warranted that:</w:t>
      </w:r>
    </w:p>
    <w:p w14:paraId="6E567EA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has the right to work in the United </w:t>
      </w:r>
      <w:proofErr w:type="gramStart"/>
      <w:r w:rsidRPr="00313C32">
        <w:rPr>
          <w:rFonts w:asciiTheme="minorHAnsi" w:hAnsiTheme="minorHAnsi" w:cstheme="minorHAnsi"/>
          <w:color w:val="000000"/>
          <w:szCs w:val="22"/>
        </w:rPr>
        <w:t>Kingdom;</w:t>
      </w:r>
      <w:proofErr w:type="gramEnd"/>
    </w:p>
    <w:p w14:paraId="0744DE3A"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Identity and right to work checks have been completed for the </w:t>
      </w:r>
      <w:proofErr w:type="gramStart"/>
      <w:r w:rsidRPr="00313C32">
        <w:rPr>
          <w:rFonts w:asciiTheme="minorHAnsi" w:hAnsiTheme="minorHAnsi" w:cstheme="minorHAnsi"/>
          <w:color w:val="000000"/>
          <w:szCs w:val="22"/>
        </w:rPr>
        <w:t>Secondee;</w:t>
      </w:r>
      <w:proofErr w:type="gramEnd"/>
      <w:r w:rsidRPr="00313C32">
        <w:rPr>
          <w:rFonts w:asciiTheme="minorHAnsi" w:hAnsiTheme="minorHAnsi" w:cstheme="minorHAnsi"/>
          <w:color w:val="000000"/>
          <w:szCs w:val="22"/>
        </w:rPr>
        <w:t xml:space="preserve"> </w:t>
      </w:r>
    </w:p>
    <w:p w14:paraId="780E14BC"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holds evidence of the completion of identity and right to work checks in respect of the Secondee; and</w:t>
      </w:r>
    </w:p>
    <w:p w14:paraId="4F3E5CF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If, during the Secondment Period, the Substantive Employer or the Secondee becomes aware that the Secondee does not or may not have the right to work in the UK, they must inform HEE immediately.</w:t>
      </w:r>
    </w:p>
    <w:p w14:paraId="28A52BA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lastRenderedPageBreak/>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proofErr w:type="gramStart"/>
      <w:r w:rsidRPr="00313C32">
        <w:rPr>
          <w:rFonts w:asciiTheme="minorHAnsi" w:hAnsiTheme="minorHAnsi" w:cstheme="minorHAnsi"/>
          <w:color w:val="000000"/>
          <w:szCs w:val="22"/>
        </w:rPr>
        <w:t>In the event that</w:t>
      </w:r>
      <w:proofErr w:type="gramEnd"/>
      <w:r w:rsidRPr="00313C32">
        <w:rPr>
          <w:rFonts w:asciiTheme="minorHAnsi" w:hAnsiTheme="minorHAnsi" w:cstheme="minorHAnsi"/>
          <w:color w:val="000000"/>
          <w:szCs w:val="22"/>
        </w:rPr>
        <w:t xml:space="preserve"> the Secondee is no longer legally entitled to work or remain in the UK, the Secondment will automatically terminate without notice.</w:t>
      </w:r>
    </w:p>
    <w:p w14:paraId="062EB44D" w14:textId="77777777" w:rsidR="00E76EE7" w:rsidRPr="00313C32" w:rsidRDefault="00E76EE7" w:rsidP="00DB7429">
      <w:pPr>
        <w:pStyle w:val="NormalWeb"/>
        <w:numPr>
          <w:ilvl w:val="0"/>
          <w:numId w:val="51"/>
        </w:numPr>
        <w:spacing w:before="240" w:after="0"/>
        <w:rPr>
          <w:rFonts w:asciiTheme="minorHAnsi" w:hAnsiTheme="minorHAnsi" w:cstheme="minorHAnsi"/>
          <w:b/>
          <w:color w:val="000000"/>
          <w:szCs w:val="22"/>
        </w:rPr>
      </w:pPr>
      <w:r w:rsidRPr="00313C32">
        <w:rPr>
          <w:rFonts w:asciiTheme="minorHAnsi" w:hAnsiTheme="minorHAnsi" w:cstheme="minorHAnsi"/>
          <w:b/>
          <w:color w:val="000000"/>
          <w:szCs w:val="22"/>
        </w:rPr>
        <w:t>Professional Registration</w:t>
      </w:r>
    </w:p>
    <w:p w14:paraId="48C793A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Professional registration is required to carry out the Services, and the Secondee warrants that the Secondee holds the required professional registration. </w:t>
      </w:r>
    </w:p>
    <w:p w14:paraId="2B78A23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ensure that registration is up to date and to provide evidence on HEE’s request. Failure to maintain registration could lead to termination of this Agreement. </w:t>
      </w:r>
    </w:p>
    <w:p w14:paraId="4DF51B49"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bookmarkStart w:id="887" w:name="_Ref44686533"/>
      <w:r w:rsidRPr="00313C32">
        <w:rPr>
          <w:rStyle w:val="Strong"/>
          <w:rFonts w:asciiTheme="minorHAnsi" w:eastAsiaTheme="majorEastAsia" w:hAnsiTheme="minorHAnsi" w:cstheme="minorHAnsi"/>
          <w:szCs w:val="22"/>
        </w:rPr>
        <w:t>Termination</w:t>
      </w:r>
      <w:bookmarkEnd w:id="887"/>
    </w:p>
    <w:p w14:paraId="498996B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bookmarkStart w:id="888" w:name="_Ref44670600"/>
      <w:r w:rsidRPr="00313C32">
        <w:rPr>
          <w:rFonts w:asciiTheme="minorHAnsi" w:hAnsiTheme="minorHAnsi" w:cstheme="minorHAnsi"/>
          <w:color w:val="000000"/>
          <w:szCs w:val="22"/>
        </w:rPr>
        <w:t>The HEE may terminate this Agreement at any time by giving 1 months’ notice in writing.</w:t>
      </w:r>
    </w:p>
    <w:bookmarkEnd w:id="888"/>
    <w:p w14:paraId="3E66C9AF"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may terminate the Secondment immediately and without further liability if:</w:t>
      </w:r>
    </w:p>
    <w:p w14:paraId="0854200F"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persistently fails to efficiently and diligently carry out the reasonable instructions of </w:t>
      </w:r>
      <w:proofErr w:type="gramStart"/>
      <w:r w:rsidRPr="00313C32">
        <w:rPr>
          <w:rFonts w:asciiTheme="minorHAnsi" w:hAnsiTheme="minorHAnsi" w:cstheme="minorHAnsi"/>
          <w:color w:val="000000"/>
          <w:szCs w:val="22"/>
        </w:rPr>
        <w:t>HEE;</w:t>
      </w:r>
      <w:proofErr w:type="gramEnd"/>
    </w:p>
    <w:p w14:paraId="1E5E9EFE"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is guilty of any gross or serious </w:t>
      </w:r>
      <w:proofErr w:type="gramStart"/>
      <w:r w:rsidRPr="00313C32">
        <w:rPr>
          <w:rFonts w:asciiTheme="minorHAnsi" w:hAnsiTheme="minorHAnsi" w:cstheme="minorHAnsi"/>
          <w:color w:val="000000"/>
          <w:szCs w:val="22"/>
        </w:rPr>
        <w:t>misconduct;</w:t>
      </w:r>
      <w:proofErr w:type="gramEnd"/>
    </w:p>
    <w:p w14:paraId="2F062AF3"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Secondee’s professional registration has lapsed or is subject to warnings or </w:t>
      </w:r>
      <w:proofErr w:type="gramStart"/>
      <w:r w:rsidRPr="00313C32">
        <w:rPr>
          <w:rFonts w:asciiTheme="minorHAnsi" w:hAnsiTheme="minorHAnsi" w:cstheme="minorHAnsi"/>
          <w:color w:val="000000"/>
          <w:szCs w:val="22"/>
        </w:rPr>
        <w:t>conditions;</w:t>
      </w:r>
      <w:proofErr w:type="gramEnd"/>
    </w:p>
    <w:p w14:paraId="1AAA7A5B"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bookmarkStart w:id="889" w:name="_Ref45194436"/>
      <w:r w:rsidRPr="00313C32">
        <w:rPr>
          <w:rFonts w:asciiTheme="minorHAnsi" w:hAnsiTheme="minorHAnsi" w:cstheme="minorHAnsi"/>
          <w:color w:val="000000"/>
          <w:szCs w:val="22"/>
        </w:rPr>
        <w:t xml:space="preserve">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w:t>
      </w:r>
      <w:proofErr w:type="gramStart"/>
      <w:r w:rsidRPr="00313C32">
        <w:rPr>
          <w:rFonts w:asciiTheme="minorHAnsi" w:hAnsiTheme="minorHAnsi" w:cstheme="minorHAnsi"/>
          <w:color w:val="000000"/>
          <w:szCs w:val="22"/>
        </w:rPr>
        <w:t>employer;</w:t>
      </w:r>
      <w:bookmarkEnd w:id="889"/>
      <w:proofErr w:type="gramEnd"/>
    </w:p>
    <w:p w14:paraId="1924B2E1"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Employment Contract ends; or</w:t>
      </w:r>
    </w:p>
    <w:p w14:paraId="2FEF0F99" w14:textId="77777777" w:rsidR="00E76EE7" w:rsidRPr="00313C32" w:rsidRDefault="00E76EE7" w:rsidP="00DB7429">
      <w:pPr>
        <w:pStyle w:val="NormalWeb"/>
        <w:numPr>
          <w:ilvl w:val="2"/>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Secondee no longer has eligibility to work within the UK.</w:t>
      </w:r>
    </w:p>
    <w:p w14:paraId="01361A5B" w14:textId="67273DA6"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Upon the termination or expiry of this Agreement, the Secondee shall deliver to HEE all the documents (including correspondence, notes, memoranda, plans, drawings, other documents or property or goods or products of whatsoever nature) made or complied </w:t>
      </w:r>
      <w:proofErr w:type="gramStart"/>
      <w:r w:rsidRPr="00313C32">
        <w:rPr>
          <w:rFonts w:asciiTheme="minorHAnsi" w:hAnsiTheme="minorHAnsi" w:cstheme="minorHAnsi"/>
          <w:color w:val="000000"/>
          <w:szCs w:val="22"/>
        </w:rPr>
        <w:t>by</w:t>
      </w:r>
      <w:r w:rsidR="001508DB" w:rsidRPr="00313C32">
        <w:rPr>
          <w:rFonts w:asciiTheme="minorHAnsi" w:hAnsiTheme="minorHAnsi" w:cstheme="minorHAnsi"/>
          <w:color w:val="000000"/>
          <w:szCs w:val="22"/>
        </w:rPr>
        <w:t xml:space="preserve">, </w:t>
      </w:r>
      <w:r w:rsidRPr="00313C32">
        <w:rPr>
          <w:rFonts w:asciiTheme="minorHAnsi" w:hAnsiTheme="minorHAnsi" w:cstheme="minorHAnsi"/>
          <w:color w:val="000000"/>
          <w:szCs w:val="22"/>
        </w:rPr>
        <w:t>or</w:t>
      </w:r>
      <w:proofErr w:type="gramEnd"/>
      <w:r w:rsidRPr="00313C32">
        <w:rPr>
          <w:rFonts w:asciiTheme="minorHAnsi" w:hAnsiTheme="minorHAnsi" w:cstheme="minorHAnsi"/>
          <w:color w:val="000000"/>
          <w:szCs w:val="22"/>
        </w:rPr>
        <w:t xml:space="preserve"> delivered to the Secondee during the Secondment Period and concerning the business, finances, or affairs of HEE.  For the avoidance of doubt, it is hereby declared that all property and rights in all such documents, property, </w:t>
      </w:r>
      <w:proofErr w:type="gramStart"/>
      <w:r w:rsidRPr="00313C32">
        <w:rPr>
          <w:rFonts w:asciiTheme="minorHAnsi" w:hAnsiTheme="minorHAnsi" w:cstheme="minorHAnsi"/>
          <w:color w:val="000000"/>
          <w:szCs w:val="22"/>
        </w:rPr>
        <w:t>goods</w:t>
      </w:r>
      <w:proofErr w:type="gramEnd"/>
      <w:r w:rsidRPr="00313C32">
        <w:rPr>
          <w:rFonts w:asciiTheme="minorHAnsi" w:hAnsiTheme="minorHAnsi" w:cstheme="minorHAnsi"/>
          <w:color w:val="000000"/>
          <w:szCs w:val="22"/>
        </w:rPr>
        <w:t xml:space="preserve"> or products shall at all times be vested in HEE.</w:t>
      </w:r>
    </w:p>
    <w:p w14:paraId="139DCA43"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Liability and Indemnity</w:t>
      </w:r>
    </w:p>
    <w:p w14:paraId="27651E78"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HEE has Public Liability Insurance which will cover the Secondee while they are on the HEE’s premises, on HEE’s business or working for the benefit of HEE against accidental injury.</w:t>
      </w:r>
    </w:p>
    <w:p w14:paraId="7F6C9F16" w14:textId="77777777" w:rsidR="00E76EE7" w:rsidRPr="00313C32" w:rsidRDefault="00E76EE7" w:rsidP="00DB7429">
      <w:pPr>
        <w:pStyle w:val="NormalWeb"/>
        <w:numPr>
          <w:ilvl w:val="1"/>
          <w:numId w:val="51"/>
        </w:numPr>
        <w:spacing w:before="240" w:after="0"/>
        <w:rPr>
          <w:rFonts w:asciiTheme="minorHAnsi" w:hAnsiTheme="minorHAnsi" w:cstheme="minorHAnsi"/>
          <w:szCs w:val="22"/>
        </w:rPr>
      </w:pPr>
      <w:bookmarkStart w:id="890" w:name="_Ref44659797"/>
      <w:r w:rsidRPr="00313C32">
        <w:rPr>
          <w:rFonts w:asciiTheme="minorHAnsi" w:hAnsiTheme="minorHAnsi" w:cstheme="minorHAnsi"/>
          <w:color w:val="000000"/>
          <w:szCs w:val="22"/>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Inventions and Intellectual Properties</w:t>
      </w:r>
    </w:p>
    <w:p w14:paraId="5212D30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Parties foresee that the Secondee may make inventions or create other intellectual property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providing the Services to HEE.</w:t>
      </w:r>
    </w:p>
    <w:p w14:paraId="3736713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In this respect, the Parties agree that the rights to inventions or other intellectual property made or created by the Secondee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t>Data Protection</w:t>
      </w:r>
    </w:p>
    <w:p w14:paraId="64BD61EE"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agrees to comply with any policy of HEE in relation to the treatment of personal data.</w:t>
      </w:r>
    </w:p>
    <w:p w14:paraId="5062C24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acknowledges that it acts as an independent data controller in respect of any personal data processed </w:t>
      </w:r>
      <w:proofErr w:type="gramStart"/>
      <w:r w:rsidRPr="00313C32">
        <w:rPr>
          <w:rFonts w:asciiTheme="minorHAnsi" w:hAnsiTheme="minorHAnsi" w:cstheme="minorHAnsi"/>
          <w:color w:val="000000"/>
          <w:szCs w:val="22"/>
        </w:rPr>
        <w:t>in the course of</w:t>
      </w:r>
      <w:proofErr w:type="gramEnd"/>
      <w:r w:rsidRPr="00313C32">
        <w:rPr>
          <w:rFonts w:asciiTheme="minorHAnsi" w:hAnsiTheme="minorHAnsi" w:cstheme="minorHAnsi"/>
          <w:color w:val="000000"/>
          <w:szCs w:val="22"/>
        </w:rPr>
        <w:t xml:space="preserve"> the Secondment.  Data subjects may include the Secondee and employees or agents of the Substantive Employer or HEE (“</w:t>
      </w:r>
      <w:r w:rsidRPr="00313C32">
        <w:rPr>
          <w:rFonts w:asciiTheme="minorHAnsi" w:hAnsiTheme="minorHAnsi" w:cstheme="minorHAnsi"/>
          <w:b/>
          <w:color w:val="000000"/>
          <w:szCs w:val="22"/>
        </w:rPr>
        <w:t>Data Subjects</w:t>
      </w:r>
      <w:r w:rsidRPr="00313C32">
        <w:rPr>
          <w:rFonts w:asciiTheme="minorHAnsi" w:hAnsiTheme="minorHAnsi" w:cstheme="minorHAnsi"/>
          <w:color w:val="000000"/>
          <w:szCs w:val="22"/>
        </w:rPr>
        <w:t>”).  Data categories may include, amongst other items, name and contact details for the purposes of facilitating the Secondment.</w:t>
      </w:r>
    </w:p>
    <w:p w14:paraId="77C3D6F6"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HEE will process personal data relating to Data Subjects in accordance with and to the extent permitted by Data Protection Legislation </w:t>
      </w:r>
      <w:proofErr w:type="gramStart"/>
      <w:r w:rsidRPr="00313C32">
        <w:rPr>
          <w:rFonts w:asciiTheme="minorHAnsi" w:hAnsiTheme="minorHAnsi" w:cstheme="minorHAnsi"/>
          <w:color w:val="000000"/>
          <w:szCs w:val="22"/>
        </w:rPr>
        <w:t>in order for</w:t>
      </w:r>
      <w:proofErr w:type="gramEnd"/>
      <w:r w:rsidRPr="00313C32">
        <w:rPr>
          <w:rFonts w:asciiTheme="minorHAnsi" w:hAnsiTheme="minorHAnsi" w:cstheme="minorHAnsi"/>
          <w:color w:val="000000"/>
          <w:szCs w:val="22"/>
        </w:rPr>
        <w:t xml:space="preserve"> HEE to perform its obligations under this Agreement or to pursue its legitimate interests.  Personal data relating to the Data Subjects may be kept by HEE electronically or in hard copy format. HEE will process personal data in accordance with its Privacy </w:t>
      </w:r>
      <w:r w:rsidRPr="00313C32">
        <w:rPr>
          <w:rFonts w:asciiTheme="minorHAnsi" w:hAnsiTheme="minorHAnsi" w:cstheme="minorHAnsi"/>
          <w:szCs w:val="22"/>
        </w:rPr>
        <w:t>Policy</w:t>
      </w:r>
    </w:p>
    <w:p w14:paraId="2F1A8BE9" w14:textId="77777777" w:rsidR="00E76EE7" w:rsidRPr="00313C32" w:rsidRDefault="00E76EE7" w:rsidP="00DB7429">
      <w:pPr>
        <w:pStyle w:val="NormalWeb"/>
        <w:numPr>
          <w:ilvl w:val="0"/>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HEE agrees to comply with the Data Protection Legislation in the processing of personal data and, with reasonable notice, provide on request to the other party evidence of such compliance.</w:t>
      </w:r>
    </w:p>
    <w:p w14:paraId="28763CE4" w14:textId="77777777" w:rsidR="00E76EE7" w:rsidRPr="00313C32" w:rsidRDefault="00E76EE7" w:rsidP="00DB7429">
      <w:pPr>
        <w:pStyle w:val="NormalWeb"/>
        <w:numPr>
          <w:ilvl w:val="0"/>
          <w:numId w:val="51"/>
        </w:numPr>
        <w:spacing w:before="240" w:after="0"/>
        <w:rPr>
          <w:rStyle w:val="Strong"/>
          <w:rFonts w:asciiTheme="minorHAnsi" w:hAnsiTheme="minorHAnsi" w:cstheme="minorHAnsi"/>
          <w:b w:val="0"/>
          <w:bCs w:val="0"/>
          <w:szCs w:val="22"/>
        </w:rPr>
      </w:pPr>
      <w:r w:rsidRPr="00313C32">
        <w:rPr>
          <w:rStyle w:val="Strong"/>
          <w:rFonts w:asciiTheme="minorHAnsi" w:eastAsiaTheme="majorEastAsia" w:hAnsiTheme="minorHAnsi" w:cstheme="minorHAnsi"/>
          <w:szCs w:val="22"/>
        </w:rPr>
        <w:lastRenderedPageBreak/>
        <w:t>Confidentiality</w:t>
      </w:r>
    </w:p>
    <w:p w14:paraId="5B0AC919"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Under the NHS Education </w:t>
      </w:r>
      <w:proofErr w:type="gramStart"/>
      <w:r w:rsidRPr="00313C32">
        <w:rPr>
          <w:rFonts w:asciiTheme="minorHAnsi" w:hAnsiTheme="minorHAnsi" w:cstheme="minorHAnsi"/>
          <w:color w:val="000000"/>
          <w:szCs w:val="22"/>
        </w:rPr>
        <w:t>Contract</w:t>
      </w:r>
      <w:proofErr w:type="gramEnd"/>
      <w:r w:rsidRPr="00313C32">
        <w:rPr>
          <w:rFonts w:asciiTheme="minorHAnsi" w:hAnsiTheme="minorHAnsi" w:cstheme="minorHAnsi"/>
          <w:color w:val="000000"/>
          <w:szCs w:val="22"/>
        </w:rPr>
        <w:t xml:space="preserve"> the Substantive Employer has agreed with HEE to ensure that Confidential Information is held securely.  A copy of the NHS Educational Contract can be provided on request from HEE. </w:t>
      </w:r>
    </w:p>
    <w:p w14:paraId="47D1AEDB" w14:textId="77777777" w:rsidR="00E76EE7" w:rsidRPr="00313C32" w:rsidRDefault="00E76EE7" w:rsidP="00DB7429">
      <w:pPr>
        <w:pStyle w:val="NormalWeb"/>
        <w:numPr>
          <w:ilvl w:val="1"/>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The Secondee shall:</w:t>
      </w:r>
    </w:p>
    <w:p w14:paraId="522DDB2E"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keep any Confidential Information relating to the Substantive Employer or HEE that the Secondee obtains as a result of the Secondment </w:t>
      </w:r>
      <w:proofErr w:type="gramStart"/>
      <w:r w:rsidRPr="00313C32">
        <w:rPr>
          <w:rFonts w:asciiTheme="minorHAnsi" w:hAnsiTheme="minorHAnsi" w:cstheme="minorHAnsi"/>
          <w:color w:val="000000"/>
          <w:szCs w:val="22"/>
        </w:rPr>
        <w:t>secret;</w:t>
      </w:r>
      <w:proofErr w:type="gramEnd"/>
    </w:p>
    <w:p w14:paraId="443E4276"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not use or directly or indirectly disclose any such Confidential Information (or allow it to be used or disclosed), in whole or in part, to any person without the prior written consent of the Substantive Employer or </w:t>
      </w:r>
      <w:proofErr w:type="gramStart"/>
      <w:r w:rsidRPr="00313C32">
        <w:rPr>
          <w:rFonts w:asciiTheme="minorHAnsi" w:hAnsiTheme="minorHAnsi" w:cstheme="minorHAnsi"/>
          <w:color w:val="000000"/>
          <w:szCs w:val="22"/>
        </w:rPr>
        <w:t>HEE;</w:t>
      </w:r>
      <w:proofErr w:type="gramEnd"/>
    </w:p>
    <w:p w14:paraId="23887F09"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use their best </w:t>
      </w:r>
      <w:proofErr w:type="spellStart"/>
      <w:r w:rsidRPr="00313C32">
        <w:rPr>
          <w:rFonts w:asciiTheme="minorHAnsi" w:hAnsiTheme="minorHAnsi" w:cstheme="minorHAnsi"/>
          <w:color w:val="000000"/>
          <w:szCs w:val="22"/>
        </w:rPr>
        <w:t>endeavours</w:t>
      </w:r>
      <w:proofErr w:type="spellEnd"/>
      <w:r w:rsidRPr="00313C32">
        <w:rPr>
          <w:rFonts w:asciiTheme="minorHAnsi" w:hAnsiTheme="minorHAnsi" w:cstheme="minorHAnsi"/>
          <w:color w:val="000000"/>
          <w:szCs w:val="22"/>
        </w:rPr>
        <w:t xml:space="preserve"> to ensure that no person gets access to such Confidential Information from the Secondee; and</w:t>
      </w:r>
    </w:p>
    <w:p w14:paraId="467E51C3" w14:textId="77777777" w:rsidR="00E76EE7" w:rsidRPr="00313C32" w:rsidRDefault="00E76EE7" w:rsidP="00DB7429">
      <w:pPr>
        <w:pStyle w:val="NormalWeb"/>
        <w:numPr>
          <w:ilvl w:val="2"/>
          <w:numId w:val="51"/>
        </w:numPr>
        <w:spacing w:before="240" w:after="0" w:afterAutospacing="1"/>
        <w:rPr>
          <w:rFonts w:asciiTheme="minorHAnsi" w:hAnsiTheme="minorHAnsi" w:cstheme="minorHAnsi"/>
          <w:color w:val="000000"/>
          <w:szCs w:val="22"/>
        </w:rPr>
      </w:pPr>
      <w:r w:rsidRPr="00313C32">
        <w:rPr>
          <w:rFonts w:asciiTheme="minorHAnsi" w:hAnsiTheme="minorHAnsi" w:cstheme="minorHAnsi"/>
          <w:color w:val="000000"/>
          <w:szCs w:val="22"/>
        </w:rPr>
        <w:t xml:space="preserve">inform the Substantive Employer or HEE immediately upon becoming aware, or suspecting, that an </w:t>
      </w:r>
      <w:proofErr w:type="spellStart"/>
      <w:r w:rsidRPr="00313C32">
        <w:rPr>
          <w:rFonts w:asciiTheme="minorHAnsi" w:hAnsiTheme="minorHAnsi" w:cstheme="minorHAnsi"/>
          <w:color w:val="000000"/>
          <w:szCs w:val="22"/>
        </w:rPr>
        <w:t>unauthorised</w:t>
      </w:r>
      <w:proofErr w:type="spellEnd"/>
      <w:r w:rsidRPr="00313C32">
        <w:rPr>
          <w:rFonts w:asciiTheme="minorHAnsi" w:hAnsiTheme="minorHAnsi" w:cstheme="minorHAnsi"/>
          <w:color w:val="000000"/>
          <w:szCs w:val="22"/>
        </w:rPr>
        <w:t xml:space="preserve"> person has become aware of such Confidential Information.</w:t>
      </w:r>
    </w:p>
    <w:p w14:paraId="77138957"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HEE reserves the right to monitor telephone calls, </w:t>
      </w:r>
      <w:proofErr w:type="gramStart"/>
      <w:r w:rsidRPr="00313C32">
        <w:rPr>
          <w:rFonts w:asciiTheme="minorHAnsi" w:hAnsiTheme="minorHAnsi" w:cstheme="minorHAnsi"/>
          <w:color w:val="000000"/>
          <w:szCs w:val="22"/>
        </w:rPr>
        <w:t>emails</w:t>
      </w:r>
      <w:proofErr w:type="gramEnd"/>
      <w:r w:rsidRPr="00313C32">
        <w:rPr>
          <w:rFonts w:asciiTheme="minorHAnsi" w:hAnsiTheme="minorHAnsi" w:cstheme="minorHAnsi"/>
          <w:color w:val="000000"/>
          <w:szCs w:val="22"/>
        </w:rPr>
        <w:t xml:space="preserve"> and the use of social media in circumstances that may warrant such action.</w:t>
      </w:r>
    </w:p>
    <w:p w14:paraId="4388D733"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Raising Concerns</w:t>
      </w:r>
    </w:p>
    <w:p w14:paraId="73B49E75"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During the Secondment, if the Secondee has serious concerns relating to the activities or the functions of HEE where, due to malpractice, fraud, abuse or other inappropriate acts/omissions, the interest of others or the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itself is at risk, then they should report this matter under HEE’s Raising Concerns Policy.  A copy of this policy is available from HEE’s intranet or can be provided on request.</w:t>
      </w:r>
    </w:p>
    <w:p w14:paraId="614AB80A" w14:textId="77777777" w:rsidR="00E76EE7" w:rsidRPr="00313C32" w:rsidRDefault="00E76EE7" w:rsidP="00DB7429">
      <w:pPr>
        <w:pStyle w:val="NormalWeb"/>
        <w:numPr>
          <w:ilvl w:val="0"/>
          <w:numId w:val="51"/>
        </w:numPr>
        <w:spacing w:before="240" w:after="0"/>
        <w:rPr>
          <w:rFonts w:asciiTheme="minorHAnsi" w:hAnsiTheme="minorHAnsi" w:cstheme="minorHAnsi"/>
          <w:color w:val="000000"/>
          <w:szCs w:val="22"/>
        </w:rPr>
      </w:pPr>
      <w:r w:rsidRPr="00313C32">
        <w:rPr>
          <w:rFonts w:asciiTheme="minorHAnsi" w:hAnsiTheme="minorHAnsi" w:cstheme="minorHAnsi"/>
          <w:b/>
          <w:bCs/>
          <w:color w:val="000000"/>
          <w:szCs w:val="22"/>
        </w:rPr>
        <w:t>Conflict of Interest</w:t>
      </w:r>
    </w:p>
    <w:p w14:paraId="0A833F30"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declare any controlling or significant financial interest held by them or any close relative or associate of them in any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w:t>
      </w:r>
      <w:proofErr w:type="gramStart"/>
      <w:r w:rsidRPr="00313C32">
        <w:rPr>
          <w:rFonts w:asciiTheme="minorHAnsi" w:hAnsiTheme="minorHAnsi" w:cstheme="minorHAnsi"/>
          <w:color w:val="000000"/>
          <w:szCs w:val="22"/>
        </w:rPr>
        <w:t>e.g.</w:t>
      </w:r>
      <w:proofErr w:type="gramEnd"/>
      <w:r w:rsidRPr="00313C32">
        <w:rPr>
          <w:rFonts w:asciiTheme="minorHAnsi" w:hAnsiTheme="minorHAnsi" w:cstheme="minorHAnsi"/>
          <w:color w:val="000000"/>
          <w:szCs w:val="22"/>
        </w:rPr>
        <w:t xml:space="preserve"> private company, public sector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voluntary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which may compete for a contract to and/or supply either goods or services to HEE during the Secondment Period. The interest that gives rise to a conflict may be direct or indirect and</w:t>
      </w:r>
      <w:proofErr w:type="gramStart"/>
      <w:r w:rsidRPr="00313C32">
        <w:rPr>
          <w:rFonts w:asciiTheme="minorHAnsi" w:hAnsiTheme="minorHAnsi" w:cstheme="minorHAnsi"/>
          <w:color w:val="000000"/>
          <w:szCs w:val="22"/>
        </w:rPr>
        <w:t>, in particular, a</w:t>
      </w:r>
      <w:proofErr w:type="gramEnd"/>
      <w:r w:rsidRPr="00313C32">
        <w:rPr>
          <w:rFonts w:asciiTheme="minorHAnsi" w:hAnsiTheme="minorHAnsi" w:cstheme="minorHAnsi"/>
          <w:color w:val="000000"/>
          <w:szCs w:val="22"/>
        </w:rPr>
        <w:t xml:space="preserve">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313C32" w:rsidRDefault="00E76EE7" w:rsidP="00DB7429">
      <w:pPr>
        <w:pStyle w:val="NormalWeb"/>
        <w:numPr>
          <w:ilvl w:val="1"/>
          <w:numId w:val="51"/>
        </w:numPr>
        <w:spacing w:before="240" w:after="0"/>
        <w:rPr>
          <w:rFonts w:asciiTheme="minorHAnsi" w:hAnsiTheme="minorHAnsi" w:cstheme="minorHAnsi"/>
          <w:color w:val="000000"/>
          <w:szCs w:val="22"/>
        </w:rPr>
      </w:pPr>
      <w:r w:rsidRPr="00313C32">
        <w:rPr>
          <w:rFonts w:asciiTheme="minorHAnsi" w:hAnsiTheme="minorHAnsi" w:cstheme="minorHAnsi"/>
          <w:color w:val="000000"/>
          <w:szCs w:val="22"/>
        </w:rPr>
        <w:t xml:space="preserve">The Secondee must declare any role with HEE that involves the oversight of a training placement in which they have any such commercial or other </w:t>
      </w:r>
      <w:proofErr w:type="gramStart"/>
      <w:r w:rsidRPr="00313C32">
        <w:rPr>
          <w:rFonts w:asciiTheme="minorHAnsi" w:hAnsiTheme="minorHAnsi" w:cstheme="minorHAnsi"/>
          <w:color w:val="000000"/>
          <w:szCs w:val="22"/>
        </w:rPr>
        <w:t>interest..</w:t>
      </w:r>
      <w:proofErr w:type="gramEnd"/>
      <w:r w:rsidRPr="00313C32">
        <w:rPr>
          <w:rFonts w:asciiTheme="minorHAnsi" w:hAnsiTheme="minorHAnsi" w:cstheme="minorHAnsi"/>
          <w:color w:val="000000"/>
          <w:szCs w:val="22"/>
        </w:rPr>
        <w:t xml:space="preserve"> The restriction applies to the Secondee in a personal or professional capacity and also to any </w:t>
      </w:r>
      <w:proofErr w:type="spellStart"/>
      <w:r w:rsidRPr="00313C32">
        <w:rPr>
          <w:rFonts w:asciiTheme="minorHAnsi" w:hAnsiTheme="minorHAnsi" w:cstheme="minorHAnsi"/>
          <w:color w:val="000000"/>
          <w:szCs w:val="22"/>
        </w:rPr>
        <w:t>organisation</w:t>
      </w:r>
      <w:proofErr w:type="spellEnd"/>
      <w:r w:rsidRPr="00313C32">
        <w:rPr>
          <w:rFonts w:asciiTheme="minorHAnsi" w:hAnsiTheme="minorHAnsi" w:cstheme="minorHAnsi"/>
          <w:color w:val="000000"/>
          <w:szCs w:val="22"/>
        </w:rPr>
        <w:t xml:space="preserve"> in which the Secondee holds a controlling or significant financial interest (</w:t>
      </w:r>
      <w:proofErr w:type="gramStart"/>
      <w:r w:rsidRPr="00313C32">
        <w:rPr>
          <w:rFonts w:asciiTheme="minorHAnsi" w:hAnsiTheme="minorHAnsi" w:cstheme="minorHAnsi"/>
          <w:color w:val="000000"/>
          <w:szCs w:val="22"/>
        </w:rPr>
        <w:t>e.g.</w:t>
      </w:r>
      <w:proofErr w:type="gramEnd"/>
      <w:r w:rsidRPr="00313C32">
        <w:rPr>
          <w:rFonts w:asciiTheme="minorHAnsi" w:hAnsiTheme="minorHAnsi" w:cstheme="minorHAnsi"/>
          <w:color w:val="000000"/>
          <w:szCs w:val="22"/>
        </w:rPr>
        <w:t xml:space="preserve"> private company, partnership).</w:t>
      </w:r>
    </w:p>
    <w:p w14:paraId="0CF96BDF" w14:textId="77777777" w:rsidR="00E76EE7" w:rsidRPr="00313C32" w:rsidRDefault="00E76EE7" w:rsidP="00E76EE7">
      <w:pPr>
        <w:pStyle w:val="NormalWeb"/>
        <w:rPr>
          <w:rFonts w:asciiTheme="minorHAnsi" w:hAnsiTheme="minorHAnsi" w:cstheme="minorHAnsi"/>
          <w:color w:val="000000"/>
          <w:szCs w:val="22"/>
        </w:rPr>
      </w:pPr>
    </w:p>
    <w:p w14:paraId="57AC1012"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lastRenderedPageBreak/>
        <w:t>Signatories to this agreement:</w:t>
      </w:r>
    </w:p>
    <w:p w14:paraId="7EF15601" w14:textId="77777777" w:rsidR="00E76EE7" w:rsidRPr="00313C32" w:rsidRDefault="00E76EE7" w:rsidP="00E76EE7">
      <w:pPr>
        <w:pStyle w:val="NormalWeb"/>
        <w:rPr>
          <w:rFonts w:asciiTheme="minorHAnsi" w:hAnsiTheme="minorHAnsi" w:cstheme="minorHAnsi"/>
          <w:color w:val="000000"/>
          <w:szCs w:val="22"/>
        </w:rPr>
      </w:pPr>
    </w:p>
    <w:p w14:paraId="0B7D71E8" w14:textId="77777777" w:rsidR="00E76EE7" w:rsidRPr="00313C32" w:rsidRDefault="00E76EE7" w:rsidP="00E76EE7">
      <w:pPr>
        <w:pStyle w:val="NoSpacing"/>
        <w:rPr>
          <w:rFonts w:cstheme="minorHAnsi"/>
        </w:rPr>
      </w:pPr>
      <w:r w:rsidRPr="00313C32">
        <w:rPr>
          <w:rFonts w:cstheme="minorHAnsi"/>
        </w:rPr>
        <w:t>Lisa Wilson</w:t>
      </w:r>
    </w:p>
    <w:p w14:paraId="66878967" w14:textId="77777777" w:rsidR="00E76EE7" w:rsidRPr="00313C32" w:rsidRDefault="00E76EE7" w:rsidP="00E76EE7">
      <w:pPr>
        <w:pStyle w:val="NoSpacing"/>
        <w:rPr>
          <w:rFonts w:cstheme="minorHAnsi"/>
        </w:rPr>
      </w:pPr>
      <w:r w:rsidRPr="00313C32">
        <w:rPr>
          <w:rFonts w:cstheme="minorHAnsi"/>
        </w:rPr>
        <w:t>Director of HR&amp;OD</w:t>
      </w:r>
    </w:p>
    <w:p w14:paraId="78AF1021" w14:textId="77777777" w:rsidR="00E76EE7" w:rsidRPr="00313C32" w:rsidRDefault="00E76EE7" w:rsidP="00E76EE7">
      <w:pPr>
        <w:pStyle w:val="NoSpacing"/>
        <w:rPr>
          <w:rFonts w:cstheme="minorHAnsi"/>
          <w:b/>
        </w:rPr>
      </w:pPr>
      <w:r w:rsidRPr="00313C32">
        <w:rPr>
          <w:rFonts w:cstheme="minorHAnsi"/>
          <w:b/>
        </w:rPr>
        <w:t>Health Education England</w:t>
      </w:r>
    </w:p>
    <w:p w14:paraId="6F0AA86A" w14:textId="77777777" w:rsidR="00E76EE7" w:rsidRPr="00313C32" w:rsidRDefault="00E76EE7" w:rsidP="00E76EE7">
      <w:pPr>
        <w:pStyle w:val="NoSpacing"/>
        <w:rPr>
          <w:rFonts w:cstheme="minorHAnsi"/>
        </w:rPr>
      </w:pPr>
      <w:r w:rsidRPr="00313C32">
        <w:rPr>
          <w:rFonts w:cstheme="minorHAnsi"/>
        </w:rPr>
        <w:t>Date: {</w:t>
      </w:r>
      <w:proofErr w:type="spellStart"/>
      <w:r w:rsidRPr="00313C32">
        <w:rPr>
          <w:rFonts w:cstheme="minorHAnsi"/>
        </w:rPr>
        <w:t>current_date</w:t>
      </w:r>
      <w:proofErr w:type="spellEnd"/>
      <w:r w:rsidRPr="00313C32">
        <w:rPr>
          <w:rFonts w:cstheme="minorHAnsi"/>
        </w:rPr>
        <w:t>}</w:t>
      </w:r>
    </w:p>
    <w:p w14:paraId="06EBD00A"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b/>
          <w:bCs/>
          <w:color w:val="000000"/>
          <w:szCs w:val="22"/>
        </w:rPr>
        <w:t>On behalf of HEE (Health Education England)</w:t>
      </w:r>
      <w:r w:rsidRPr="00313C32">
        <w:rPr>
          <w:rFonts w:asciiTheme="minorHAnsi" w:hAnsiTheme="minorHAnsi" w:cstheme="minorHAnsi"/>
          <w:color w:val="000000"/>
          <w:szCs w:val="22"/>
        </w:rPr>
        <w:t> </w:t>
      </w:r>
    </w:p>
    <w:p w14:paraId="1F98C7E8" w14:textId="77777777" w:rsidR="00E76EE7" w:rsidRPr="00313C32" w:rsidRDefault="002E421D" w:rsidP="00E76EE7">
      <w:pPr>
        <w:pStyle w:val="NormalWeb"/>
        <w:rPr>
          <w:rFonts w:asciiTheme="minorHAnsi" w:hAnsiTheme="minorHAnsi" w:cstheme="minorHAnsi"/>
          <w:color w:val="000000"/>
          <w:szCs w:val="22"/>
        </w:rPr>
      </w:pPr>
      <w:r>
        <w:rPr>
          <w:rFonts w:asciiTheme="minorHAnsi" w:hAnsiTheme="minorHAnsi" w:cstheme="minorHAnsi"/>
          <w:color w:val="000000"/>
          <w:szCs w:val="22"/>
        </w:rPr>
        <w:pict w14:anchorId="7432DF65">
          <v:rect id="_x0000_i1025" style="width:0;height:1.5pt" o:hralign="center" o:hrstd="t" o:hr="t" fillcolor="#a0a0a0" stroked="f"/>
        </w:pict>
      </w:r>
    </w:p>
    <w:p w14:paraId="4339D291" w14:textId="77777777" w:rsidR="00E76EE7" w:rsidRPr="00313C32" w:rsidRDefault="00E76EE7" w:rsidP="00E76EE7">
      <w:pPr>
        <w:pStyle w:val="NormalWeb"/>
        <w:rPr>
          <w:rFonts w:asciiTheme="minorHAnsi" w:hAnsiTheme="minorHAnsi" w:cstheme="minorHAnsi"/>
          <w:color w:val="000000"/>
          <w:szCs w:val="22"/>
        </w:rPr>
      </w:pPr>
      <w:r w:rsidRPr="00313C32">
        <w:rPr>
          <w:rFonts w:asciiTheme="minorHAnsi" w:hAnsiTheme="minorHAnsi" w:cstheme="minorHAnsi"/>
          <w:color w:val="000000"/>
          <w:szCs w:val="22"/>
        </w:rPr>
        <w:t xml:space="preserve">I acknowledge receipt of my terms of secondment and accept the terms and conditions set out therein. I confirm that I have agreement from my substantive employer to </w:t>
      </w:r>
      <w:proofErr w:type="gramStart"/>
      <w:r w:rsidRPr="00313C32">
        <w:rPr>
          <w:rFonts w:asciiTheme="minorHAnsi" w:hAnsiTheme="minorHAnsi" w:cstheme="minorHAnsi"/>
          <w:color w:val="000000"/>
          <w:szCs w:val="22"/>
        </w:rPr>
        <w:t>enter into</w:t>
      </w:r>
      <w:proofErr w:type="gramEnd"/>
      <w:r w:rsidRPr="00313C32">
        <w:rPr>
          <w:rFonts w:asciiTheme="minorHAnsi" w:hAnsiTheme="minorHAnsi" w:cstheme="minorHAnsi"/>
          <w:color w:val="000000"/>
          <w:szCs w:val="22"/>
        </w:rPr>
        <w:t xml:space="preserve">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313C32" w14:paraId="1C41B42D" w14:textId="77777777" w:rsidTr="00AF2200">
        <w:trPr>
          <w:trHeight w:val="351"/>
        </w:trPr>
        <w:tc>
          <w:tcPr>
            <w:tcW w:w="4541" w:type="dxa"/>
            <w:vAlign w:val="center"/>
          </w:tcPr>
          <w:p w14:paraId="1C4FE2DD"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Signed:</w:t>
            </w:r>
          </w:p>
        </w:tc>
        <w:tc>
          <w:tcPr>
            <w:tcW w:w="4541" w:type="dxa"/>
            <w:vAlign w:val="center"/>
          </w:tcPr>
          <w:p w14:paraId="3FBEF820"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63990DC8" w14:textId="77777777" w:rsidTr="00AF2200">
        <w:trPr>
          <w:trHeight w:val="330"/>
        </w:trPr>
        <w:tc>
          <w:tcPr>
            <w:tcW w:w="4541" w:type="dxa"/>
            <w:vAlign w:val="center"/>
          </w:tcPr>
          <w:p w14:paraId="1FA9DFF1"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Print Name:</w:t>
            </w:r>
          </w:p>
        </w:tc>
        <w:tc>
          <w:tcPr>
            <w:tcW w:w="4541" w:type="dxa"/>
            <w:vAlign w:val="center"/>
          </w:tcPr>
          <w:p w14:paraId="5300DFDD" w14:textId="77777777" w:rsidR="00E76EE7" w:rsidRPr="00313C32" w:rsidRDefault="00E76EE7" w:rsidP="00AF2200">
            <w:pPr>
              <w:pStyle w:val="NormalWeb"/>
              <w:rPr>
                <w:rFonts w:asciiTheme="minorHAnsi" w:hAnsiTheme="minorHAnsi" w:cstheme="minorHAnsi"/>
                <w:color w:val="000000"/>
                <w:szCs w:val="22"/>
              </w:rPr>
            </w:pPr>
          </w:p>
        </w:tc>
      </w:tr>
      <w:tr w:rsidR="00E76EE7" w:rsidRPr="00313C32" w14:paraId="7CF525B7" w14:textId="77777777" w:rsidTr="00AF2200">
        <w:trPr>
          <w:trHeight w:val="330"/>
        </w:trPr>
        <w:tc>
          <w:tcPr>
            <w:tcW w:w="4541" w:type="dxa"/>
            <w:vAlign w:val="center"/>
          </w:tcPr>
          <w:p w14:paraId="01B28C19" w14:textId="77777777" w:rsidR="00E76EE7" w:rsidRPr="00313C32" w:rsidRDefault="00E76EE7" w:rsidP="00AF2200">
            <w:pPr>
              <w:pStyle w:val="NormalWeb"/>
              <w:rPr>
                <w:rFonts w:asciiTheme="minorHAnsi" w:hAnsiTheme="minorHAnsi" w:cstheme="minorHAnsi"/>
                <w:color w:val="000000"/>
                <w:szCs w:val="22"/>
              </w:rPr>
            </w:pPr>
            <w:r w:rsidRPr="00313C32">
              <w:rPr>
                <w:rFonts w:asciiTheme="minorHAnsi" w:hAnsiTheme="minorHAnsi" w:cstheme="minorHAnsi"/>
                <w:color w:val="000000"/>
                <w:szCs w:val="22"/>
              </w:rPr>
              <w:t>Date:</w:t>
            </w:r>
          </w:p>
        </w:tc>
        <w:tc>
          <w:tcPr>
            <w:tcW w:w="4541" w:type="dxa"/>
            <w:vAlign w:val="center"/>
          </w:tcPr>
          <w:p w14:paraId="39B557C6" w14:textId="77777777" w:rsidR="00E76EE7" w:rsidRPr="00313C32" w:rsidRDefault="00E76EE7" w:rsidP="00AF2200">
            <w:pPr>
              <w:pStyle w:val="NormalWeb"/>
              <w:rPr>
                <w:rFonts w:asciiTheme="minorHAnsi" w:hAnsiTheme="minorHAnsi" w:cstheme="minorHAnsi"/>
                <w:color w:val="000000"/>
                <w:szCs w:val="22"/>
              </w:rPr>
            </w:pPr>
          </w:p>
        </w:tc>
      </w:tr>
    </w:tbl>
    <w:p w14:paraId="63B4C5B4" w14:textId="77777777" w:rsidR="00E76EE7" w:rsidRPr="00313C32" w:rsidRDefault="00E76EE7" w:rsidP="00E76EE7">
      <w:pPr>
        <w:rPr>
          <w:rFonts w:cstheme="minorHAnsi"/>
          <w:color w:val="000000"/>
        </w:rPr>
      </w:pPr>
    </w:p>
    <w:p w14:paraId="29117DB5" w14:textId="77777777" w:rsidR="00E76EE7" w:rsidRPr="00313C32" w:rsidRDefault="00E76EE7" w:rsidP="00E76EE7">
      <w:pPr>
        <w:rPr>
          <w:rFonts w:cstheme="minorHAnsi"/>
          <w:b/>
          <w:color w:val="000000"/>
        </w:rPr>
      </w:pPr>
      <w:r w:rsidRPr="00313C32">
        <w:rPr>
          <w:rFonts w:cstheme="minorHAnsi"/>
          <w:b/>
          <w:color w:val="000000"/>
        </w:rPr>
        <w:t>Secondee</w:t>
      </w:r>
    </w:p>
    <w:p w14:paraId="1F105123" w14:textId="77777777" w:rsidR="00E76EE7" w:rsidRPr="00313C32" w:rsidRDefault="002E421D" w:rsidP="00E76EE7">
      <w:pPr>
        <w:rPr>
          <w:rFonts w:cstheme="minorHAnsi"/>
          <w:color w:val="000000"/>
        </w:rPr>
      </w:pPr>
      <w:r>
        <w:rPr>
          <w:rFonts w:cstheme="minorHAnsi"/>
          <w:color w:val="000000"/>
        </w:rPr>
        <w:pict w14:anchorId="5EB118A1">
          <v:rect id="_x0000_i1026" style="width:0;height:1.5pt" o:hralign="center" o:hrstd="t" o:hr="t" fillcolor="#a0a0a0" stroked="f"/>
        </w:pict>
      </w:r>
    </w:p>
    <w:p w14:paraId="50057106" w14:textId="77777777" w:rsidR="00E76EE7" w:rsidRPr="00313C32" w:rsidRDefault="00E76EE7" w:rsidP="00E76EE7">
      <w:pPr>
        <w:rPr>
          <w:rFonts w:cstheme="minorHAnsi"/>
          <w:b/>
          <w:bCs/>
        </w:rPr>
      </w:pPr>
    </w:p>
    <w:p w14:paraId="0A0A7497" w14:textId="77777777" w:rsidR="00BB76DE" w:rsidRPr="00BB76DE" w:rsidRDefault="00F66E28" w:rsidP="00BB76DE">
      <w:pPr>
        <w:pStyle w:val="BodyText1"/>
        <w:rPr>
          <w:rFonts w:ascii="Calibri" w:eastAsia="Arial" w:hAnsi="Calibri" w:cs="Calibri"/>
          <w:b/>
          <w:bCs/>
          <w:szCs w:val="22"/>
        </w:rPr>
      </w:pPr>
      <w:r w:rsidRPr="00313C32">
        <w:rPr>
          <w:rFonts w:asciiTheme="minorHAnsi" w:hAnsiTheme="minorHAnsi" w:cstheme="minorHAnsi"/>
          <w:sz w:val="22"/>
          <w:szCs w:val="22"/>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 xml:space="preserve">The Education and Training Tariff, as issued by the Department of Health and Social Care and </w:t>
      </w:r>
      <w:proofErr w:type="gramStart"/>
      <w:r w:rsidR="00BB76DE" w:rsidRPr="00B14FFC">
        <w:rPr>
          <w:rFonts w:eastAsia="Arial" w:cs="Calibri"/>
        </w:rPr>
        <w:t>HEE;</w:t>
      </w:r>
      <w:proofErr w:type="gramEnd"/>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w:t>
      </w:r>
      <w:proofErr w:type="gramStart"/>
      <w:r w:rsidR="00BB76DE" w:rsidRPr="00BB76DE">
        <w:rPr>
          <w:rFonts w:ascii="Calibri" w:eastAsia="Arial" w:hAnsi="Calibri" w:cs="Calibri"/>
          <w:lang w:val="en-GB" w:eastAsia="en-GB"/>
        </w:rPr>
        <w:t>Guide;</w:t>
      </w:r>
      <w:proofErr w:type="gramEnd"/>
      <w:r w:rsidR="00BB76DE" w:rsidRPr="00BB76DE">
        <w:rPr>
          <w:rFonts w:ascii="Calibri" w:eastAsia="Arial" w:hAnsi="Calibri" w:cs="Calibri"/>
          <w:lang w:val="en-GB" w:eastAsia="en-GB"/>
        </w:rPr>
        <w:t xml:space="preserv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 xml:space="preserve">The HEE Quality Framework is a risk </w:t>
      </w:r>
      <w:proofErr w:type="gramStart"/>
      <w:r w:rsidRPr="005C16A6">
        <w:rPr>
          <w:rFonts w:ascii="Calibri" w:eastAsia="Arial" w:hAnsi="Calibri" w:cs="Calibri"/>
          <w:lang w:val="en-GB" w:eastAsia="en-GB"/>
        </w:rPr>
        <w:t>based-process</w:t>
      </w:r>
      <w:proofErr w:type="gramEnd"/>
      <w:r w:rsidRPr="005C16A6">
        <w:rPr>
          <w:rFonts w:ascii="Calibri" w:eastAsia="Arial" w:hAnsi="Calibri" w:cs="Calibri"/>
          <w:lang w:val="en-GB" w:eastAsia="en-GB"/>
        </w:rPr>
        <w:t xml:space="preserve">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proofErr w:type="gramStart"/>
      <w:r w:rsidRPr="005C16A6">
        <w:rPr>
          <w:rFonts w:ascii="Calibri" w:eastAsia="Arial" w:hAnsi="Calibri" w:cs="Calibri"/>
          <w:b/>
          <w:bCs/>
          <w:lang w:val="en-GB" w:eastAsia="en-GB"/>
        </w:rPr>
        <w:t>QUALITY</w:t>
      </w:r>
      <w:proofErr w:type="gramEnd"/>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roofErr w:type="gramStart"/>
      <w:r w:rsidRPr="005C16A6">
        <w:rPr>
          <w:rFonts w:ascii="Calibri" w:eastAsia="Arial" w:hAnsi="Calibri" w:cs="Calibri"/>
          <w:lang w:val="en-GB" w:eastAsia="en-GB"/>
        </w:rPr>
        <w:t>);</w:t>
      </w:r>
      <w:proofErr w:type="gramEnd"/>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roofErr w:type="gramStart"/>
      <w:r w:rsidRPr="005C16A6">
        <w:rPr>
          <w:rFonts w:ascii="Calibri" w:eastAsia="Arial" w:hAnsi="Calibri" w:cs="Calibri"/>
          <w:lang w:val="en-GB" w:eastAsia="en-GB"/>
        </w:rPr>
        <w:t>);</w:t>
      </w:r>
      <w:proofErr w:type="gramEnd"/>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roofErr w:type="gramStart"/>
      <w:r w:rsidRPr="005C16A6">
        <w:rPr>
          <w:rFonts w:ascii="Calibri" w:eastAsia="Arial" w:hAnsi="Calibri" w:cs="Calibri"/>
          <w:lang w:val="en-GB" w:eastAsia="en-GB"/>
        </w:rPr>
        <w:t>);</w:t>
      </w:r>
      <w:proofErr w:type="gramEnd"/>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 xml:space="preserve">This contract will enable all parties to ensure that the quality monitoring processes within the framework provide assurance of a high quality learning environment within the following </w:t>
      </w:r>
      <w:proofErr w:type="gramStart"/>
      <w:r w:rsidRPr="005C16A6">
        <w:rPr>
          <w:rFonts w:ascii="Calibri" w:eastAsia="Arial" w:hAnsi="Calibri" w:cs="Calibri"/>
          <w:lang w:val="en-GB" w:eastAsia="en-GB"/>
        </w:rPr>
        <w:t>principles:-</w:t>
      </w:r>
      <w:proofErr w:type="gramEnd"/>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 xml:space="preserve">Learner and trainer safety and wellbeing must be </w:t>
      </w:r>
      <w:proofErr w:type="gramStart"/>
      <w:r w:rsidRPr="005C16A6">
        <w:rPr>
          <w:rFonts w:ascii="Calibri" w:eastAsia="Arial" w:hAnsi="Calibri" w:cs="Calibri"/>
          <w:lang w:val="en-GB" w:eastAsia="en-GB"/>
        </w:rPr>
        <w:t>maintained at all times</w:t>
      </w:r>
      <w:proofErr w:type="gramEnd"/>
      <w:r w:rsidRPr="005C16A6">
        <w:rPr>
          <w:rFonts w:ascii="Calibri" w:eastAsia="Arial" w:hAnsi="Calibri" w:cs="Calibri"/>
          <w:lang w:val="en-GB" w:eastAsia="en-GB"/>
        </w:rPr>
        <w:t>.</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 xml:space="preserve">This should include as a </w:t>
      </w:r>
      <w:proofErr w:type="gramStart"/>
      <w:r w:rsidRPr="005C16A6">
        <w:rPr>
          <w:rFonts w:ascii="Calibri" w:eastAsia="Arial" w:hAnsi="Calibri" w:cs="Calibri"/>
          <w:lang w:val="en-GB" w:eastAsia="en-GB"/>
        </w:rPr>
        <w:t>minimum:-</w:t>
      </w:r>
      <w:proofErr w:type="gramEnd"/>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 xml:space="preserve">Assurance that where there are specific quality issues or concerns identified, the Provider is actively engaging and cooperating with HEE in remedial and quality improvement </w:t>
      </w:r>
      <w:proofErr w:type="gramStart"/>
      <w:r w:rsidRPr="005C16A6">
        <w:rPr>
          <w:rFonts w:ascii="Calibri" w:eastAsia="Arial" w:hAnsi="Calibri" w:cs="Calibri"/>
          <w:lang w:val="en-GB" w:eastAsia="en-GB"/>
        </w:rPr>
        <w:t>activities;</w:t>
      </w:r>
      <w:proofErr w:type="gramEnd"/>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roofErr w:type="gramStart"/>
      <w:r w:rsidRPr="005C16A6">
        <w:rPr>
          <w:rFonts w:ascii="Calibri" w:eastAsia="Arial" w:hAnsi="Calibri" w:cs="Calibri"/>
          <w:lang w:val="en-GB" w:eastAsia="en-GB"/>
        </w:rPr>
        <w:t>);</w:t>
      </w:r>
      <w:proofErr w:type="gramEnd"/>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 xml:space="preserve">Assurance that regular communication is taking place between the Provider and HEE and any other stakeholders (for example between HEIs and placement providers) as are necessary to deliver agreed </w:t>
      </w:r>
      <w:proofErr w:type="gramStart"/>
      <w:r w:rsidRPr="005C16A6">
        <w:rPr>
          <w:rFonts w:ascii="Calibri" w:eastAsia="Arial" w:hAnsi="Calibri" w:cs="Calibri"/>
          <w:lang w:val="en-GB" w:eastAsia="en-GB"/>
        </w:rPr>
        <w:t>Services;</w:t>
      </w:r>
      <w:proofErr w:type="gramEnd"/>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 xml:space="preserve">Assurance that HEE are notified of any issues in relation to Learners, including identification of any risks or concerns through, for example, internal audits, </w:t>
      </w:r>
      <w:proofErr w:type="gramStart"/>
      <w:r w:rsidRPr="005C16A6">
        <w:rPr>
          <w:rFonts w:ascii="Calibri" w:eastAsia="Arial" w:hAnsi="Calibri" w:cs="Calibri"/>
          <w:lang w:val="en-GB" w:eastAsia="en-GB"/>
        </w:rPr>
        <w:t>surveys</w:t>
      </w:r>
      <w:proofErr w:type="gramEnd"/>
      <w:r w:rsidRPr="005C16A6">
        <w:rPr>
          <w:rFonts w:ascii="Calibri" w:eastAsia="Arial" w:hAnsi="Calibri" w:cs="Calibri"/>
          <w:lang w:val="en-GB" w:eastAsia="en-GB"/>
        </w:rPr>
        <w:t xml:space="preserve">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 xml:space="preserve">HEE may agree to formally note that conditions are </w:t>
      </w:r>
      <w:proofErr w:type="gramStart"/>
      <w:r w:rsidRPr="005C16A6">
        <w:rPr>
          <w:rFonts w:ascii="Calibri" w:eastAsia="Arial" w:hAnsi="Calibri" w:cs="Calibri"/>
          <w:lang w:val="en-GB" w:eastAsia="en-GB"/>
        </w:rPr>
        <w:t>met</w:t>
      </w:r>
      <w:proofErr w:type="gramEnd"/>
      <w:r w:rsidRPr="005C16A6">
        <w:rPr>
          <w:rFonts w:ascii="Calibri" w:eastAsia="Arial" w:hAnsi="Calibri" w:cs="Calibri"/>
          <w:lang w:val="en-GB" w:eastAsia="en-GB"/>
        </w:rPr>
        <w:t xml:space="preserve">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 xml:space="preserve">Provided learning experiences in partnership with other providers in regard to the provision of all Funded education and training and </w:t>
            </w:r>
            <w:proofErr w:type="gramStart"/>
            <w:r w:rsidRPr="00C67C58">
              <w:rPr>
                <w:rFonts w:asciiTheme="minorHAnsi" w:hAnsiTheme="minorHAnsi" w:cstheme="minorHAnsi"/>
                <w:sz w:val="22"/>
                <w:szCs w:val="22"/>
              </w:rPr>
              <w:t>where</w:t>
            </w:r>
            <w:proofErr w:type="gramEnd"/>
            <w:r w:rsidRPr="00C67C58">
              <w:rPr>
                <w:rFonts w:asciiTheme="minorHAnsi" w:hAnsiTheme="minorHAnsi" w:cstheme="minorHAnsi"/>
                <w:sz w:val="22"/>
                <w:szCs w:val="22"/>
              </w:rPr>
              <w:t xml:space="preserv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w:t>
            </w:r>
            <w:proofErr w:type="gramStart"/>
            <w:r w:rsidRPr="00C67C58">
              <w:rPr>
                <w:rFonts w:asciiTheme="minorHAnsi" w:hAnsiTheme="minorHAnsi" w:cstheme="minorHAnsi"/>
                <w:sz w:val="22"/>
                <w:szCs w:val="22"/>
              </w:rPr>
              <w:t>instruction;</w:t>
            </w:r>
            <w:proofErr w:type="gramEnd"/>
            <w:r w:rsidRPr="00C67C58">
              <w:rPr>
                <w:rFonts w:asciiTheme="minorHAnsi" w:hAnsiTheme="minorHAnsi" w:cstheme="minorHAnsi"/>
                <w:sz w:val="22"/>
                <w:szCs w:val="22"/>
              </w:rPr>
              <w:t>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w:t>
            </w:r>
            <w:proofErr w:type="gramStart"/>
            <w:r w:rsidRPr="00C67C58">
              <w:rPr>
                <w:rFonts w:asciiTheme="minorHAnsi" w:hAnsiTheme="minorHAnsi" w:cstheme="minorHAnsi"/>
                <w:sz w:val="22"/>
                <w:szCs w:val="22"/>
              </w:rPr>
              <w:t>Programme.</w:t>
            </w:r>
            <w:proofErr w:type="gramEnd"/>
            <w:r w:rsidRPr="00C67C58">
              <w:rPr>
                <w:rFonts w:asciiTheme="minorHAnsi" w:hAnsiTheme="minorHAnsi" w:cstheme="minorHAnsi"/>
                <w:sz w:val="22"/>
                <w:szCs w:val="22"/>
              </w:rPr>
              <w:t>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w:t>
            </w:r>
            <w:proofErr w:type="gramStart"/>
            <w:r w:rsidRPr="00C67C58">
              <w:rPr>
                <w:rFonts w:asciiTheme="minorHAnsi" w:hAnsiTheme="minorHAnsi" w:cstheme="minorHAnsi"/>
                <w:sz w:val="22"/>
                <w:szCs w:val="22"/>
              </w:rPr>
              <w:t>services.</w:t>
            </w:r>
            <w:proofErr w:type="gramEnd"/>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w:t>
            </w:r>
            <w:proofErr w:type="gramStart"/>
            <w:r w:rsidRPr="00C67C58">
              <w:rPr>
                <w:rFonts w:asciiTheme="minorHAnsi" w:hAnsiTheme="minorHAnsi" w:cstheme="minorHAnsi"/>
                <w:sz w:val="22"/>
                <w:szCs w:val="22"/>
              </w:rPr>
              <w:t>training.</w:t>
            </w:r>
            <w:proofErr w:type="gramEnd"/>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 xml:space="preserve">demonstrate to HEE the comparison with the local demographic of the population in which the Provider </w:t>
            </w:r>
            <w:proofErr w:type="gramStart"/>
            <w:r w:rsidRPr="00C67C58">
              <w:rPr>
                <w:rFonts w:asciiTheme="minorHAnsi" w:hAnsiTheme="minorHAnsi" w:cstheme="minorHAnsi"/>
                <w:sz w:val="22"/>
                <w:szCs w:val="22"/>
              </w:rPr>
              <w:t>serves.</w:t>
            </w:r>
            <w:proofErr w:type="gramEnd"/>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Is the Provider meeting all the conditions </w:t>
            </w:r>
            <w:proofErr w:type="gramStart"/>
            <w:r w:rsidRPr="00C67C58">
              <w:rPr>
                <w:rFonts w:asciiTheme="minorHAnsi" w:hAnsiTheme="minorHAnsi" w:cstheme="minorHAnsi"/>
                <w:sz w:val="22"/>
                <w:szCs w:val="22"/>
              </w:rPr>
              <w:t>of:</w:t>
            </w:r>
            <w:proofErr w:type="gramEnd"/>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w:t>
            </w:r>
            <w:proofErr w:type="gramStart"/>
            <w:r w:rsidRPr="00C67C58">
              <w:rPr>
                <w:rFonts w:cstheme="minorHAnsi"/>
              </w:rPr>
              <w:t>contractor.</w:t>
            </w:r>
            <w:proofErr w:type="gramEnd"/>
            <w:r w:rsidRPr="00C67C58">
              <w:rPr>
                <w:rFonts w:cstheme="minorHAnsi"/>
              </w:rPr>
              <w:t>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w:t>
            </w:r>
            <w:proofErr w:type="gramStart"/>
            <w:r w:rsidRPr="00C67C58">
              <w:rPr>
                <w:rFonts w:asciiTheme="minorHAnsi" w:hAnsiTheme="minorHAnsi" w:cstheme="minorHAnsi"/>
                <w:sz w:val="22"/>
                <w:szCs w:val="22"/>
              </w:rPr>
              <w:t>qualified</w:t>
            </w:r>
            <w:proofErr w:type="gramEnd"/>
            <w:r w:rsidRPr="00C67C58">
              <w:rPr>
                <w:rFonts w:asciiTheme="minorHAnsi" w:hAnsiTheme="minorHAnsi" w:cstheme="minorHAnsi"/>
                <w:sz w:val="22"/>
                <w:szCs w:val="22"/>
              </w:rPr>
              <w:t>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 xml:space="preserve">Have you got </w:t>
      </w:r>
      <w:proofErr w:type="gramStart"/>
      <w:r w:rsidRPr="005C16A6">
        <w:rPr>
          <w:rFonts w:ascii="Calibri" w:eastAsia="Arial" w:hAnsi="Calibri" w:cs="Calibri"/>
          <w:lang w:val="en-GB" w:eastAsia="en-GB"/>
        </w:rPr>
        <w:t>sufficient numbers of</w:t>
      </w:r>
      <w:proofErr w:type="gramEnd"/>
      <w:r w:rsidRPr="005C16A6">
        <w:rPr>
          <w:rFonts w:ascii="Calibri" w:eastAsia="Arial" w:hAnsi="Calibri" w:cs="Calibri"/>
          <w:lang w:val="en-GB" w:eastAsia="en-GB"/>
        </w:rPr>
        <w:t xml:space="preserve">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 xml:space="preserve">Is </w:t>
      </w:r>
      <w:proofErr w:type="gramStart"/>
      <w:r w:rsidRPr="005C16A6">
        <w:rPr>
          <w:rFonts w:ascii="Calibri" w:eastAsia="Arial" w:hAnsi="Calibri" w:cs="Calibri"/>
          <w:lang w:val="en-GB" w:eastAsia="en-GB"/>
        </w:rPr>
        <w:t>there</w:t>
      </w:r>
      <w:proofErr w:type="gramEnd"/>
      <w:r w:rsidRPr="005C16A6">
        <w:rPr>
          <w:rFonts w:ascii="Calibri" w:eastAsia="Arial" w:hAnsi="Calibri" w:cs="Calibri"/>
          <w:lang w:val="en-GB" w:eastAsia="en-GB"/>
        </w:rPr>
        <w:t xml:space="preserv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 xml:space="preserve">Have you provided learning experiences in partnership with other providers in regard to the provision of all Funded education and training and </w:t>
      </w:r>
      <w:proofErr w:type="gramStart"/>
      <w:r w:rsidRPr="005C16A6">
        <w:rPr>
          <w:rFonts w:ascii="Calibri" w:eastAsia="Arial" w:hAnsi="Calibri" w:cs="Calibri"/>
          <w:lang w:val="en-GB" w:eastAsia="en-GB"/>
        </w:rPr>
        <w:t>where</w:t>
      </w:r>
      <w:proofErr w:type="gramEnd"/>
      <w:r w:rsidRPr="005C16A6">
        <w:rPr>
          <w:rFonts w:ascii="Calibri" w:eastAsia="Arial" w:hAnsi="Calibri" w:cs="Calibri"/>
          <w:lang w:val="en-GB" w:eastAsia="en-GB"/>
        </w:rPr>
        <w:t xml:space="preserv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2E421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xml:space="preserve">). A TPA shall be formed by HEE, the Provider and (as the case may be) Placement Provider and Education Provider </w:t>
      </w:r>
      <w:proofErr w:type="gramStart"/>
      <w:r w:rsidRPr="00971750">
        <w:rPr>
          <w:rFonts w:eastAsia="Times New Roman" w:cstheme="minorHAnsi"/>
          <w:sz w:val="24"/>
          <w:szCs w:val="24"/>
          <w:lang w:val="en-GB"/>
        </w:rPr>
        <w:t>entering into</w:t>
      </w:r>
      <w:proofErr w:type="gramEnd"/>
      <w:r w:rsidRPr="00971750">
        <w:rPr>
          <w:rFonts w:eastAsia="Times New Roman" w:cstheme="minorHAnsi"/>
          <w:sz w:val="24"/>
          <w:szCs w:val="24"/>
          <w:lang w:val="en-GB"/>
        </w:rPr>
        <w:t xml:space="preserve">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4C66F0D3"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 xml:space="preserve">Commencement, </w:t>
      </w:r>
      <w:proofErr w:type="gramStart"/>
      <w:r w:rsidRPr="00971750">
        <w:rPr>
          <w:rFonts w:eastAsia="Times New Roman" w:cstheme="minorHAnsi"/>
          <w:b/>
          <w:sz w:val="24"/>
          <w:szCs w:val="24"/>
          <w:lang w:val="en-GB"/>
        </w:rPr>
        <w:t>duration</w:t>
      </w:r>
      <w:proofErr w:type="gramEnd"/>
      <w:r w:rsidRPr="00971750">
        <w:rPr>
          <w:rFonts w:eastAsia="Times New Roman" w:cstheme="minorHAnsi"/>
          <w:b/>
          <w:sz w:val="24"/>
          <w:szCs w:val="24"/>
          <w:lang w:val="en-GB"/>
        </w:rPr>
        <w:t xml:space="preserve">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w:t>
      </w:r>
      <w:proofErr w:type="gramStart"/>
      <w:r w:rsidRPr="00971750">
        <w:rPr>
          <w:rFonts w:eastAsia="Times New Roman" w:cstheme="minorHAnsi"/>
          <w:sz w:val="24"/>
          <w:szCs w:val="24"/>
          <w:lang w:val="en-GB"/>
        </w:rPr>
        <w:t>entered into</w:t>
      </w:r>
      <w:proofErr w:type="gramEnd"/>
      <w:r w:rsidRPr="00971750">
        <w:rPr>
          <w:rFonts w:eastAsia="Times New Roman" w:cstheme="minorHAnsi"/>
          <w:sz w:val="24"/>
          <w:szCs w:val="24"/>
          <w:lang w:val="en-GB"/>
        </w:rPr>
        <w:t xml:space="preserve">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 xml:space="preserve">If there is a national variation to the NHS Education Contract, the Parties agree that this TPA will, to the extent necessary, be read and construed by the Parties as including </w:t>
      </w:r>
      <w:proofErr w:type="gramStart"/>
      <w:r w:rsidRPr="00971750">
        <w:rPr>
          <w:rFonts w:eastAsia="Times New Roman" w:cstheme="minorHAnsi"/>
          <w:sz w:val="24"/>
          <w:szCs w:val="24"/>
          <w:lang w:val="en-GB"/>
        </w:rPr>
        <w:t>any and all</w:t>
      </w:r>
      <w:proofErr w:type="gramEnd"/>
      <w:r w:rsidRPr="00971750">
        <w:rPr>
          <w:rFonts w:eastAsia="Times New Roman" w:cstheme="minorHAnsi"/>
          <w:sz w:val="24"/>
          <w:szCs w:val="24"/>
          <w:lang w:val="en-GB"/>
        </w:rPr>
        <w:t xml:space="preserve">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 xml:space="preserve">at all times work collaboratively with </w:t>
      </w:r>
      <w:proofErr w:type="gramStart"/>
      <w:r w:rsidRPr="00971750">
        <w:rPr>
          <w:rFonts w:eastAsia="Times New Roman" w:cstheme="minorHAnsi"/>
          <w:sz w:val="24"/>
          <w:szCs w:val="24"/>
          <w:lang w:val="en-GB"/>
        </w:rPr>
        <w:t>each other;</w:t>
      </w:r>
      <w:bookmarkEnd w:id="970"/>
      <w:proofErr w:type="gramEnd"/>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 xml:space="preserve">act in a timely </w:t>
      </w:r>
      <w:proofErr w:type="gramStart"/>
      <w:r w:rsidRPr="00971750">
        <w:rPr>
          <w:rFonts w:eastAsia="Times New Roman" w:cstheme="minorHAnsi"/>
          <w:sz w:val="24"/>
          <w:szCs w:val="24"/>
          <w:lang w:val="en-GB"/>
        </w:rPr>
        <w:t>manner;</w:t>
      </w:r>
      <w:bookmarkEnd w:id="971"/>
      <w:proofErr w:type="gramEnd"/>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 xml:space="preserve">share information and best practice, and work collaboratively to identify solutions, eliminate duplication of effort, mitigate risk and reduce </w:t>
      </w:r>
      <w:proofErr w:type="gramStart"/>
      <w:r w:rsidRPr="00971750">
        <w:rPr>
          <w:rFonts w:eastAsia="Times New Roman" w:cstheme="minorHAnsi"/>
          <w:sz w:val="24"/>
          <w:szCs w:val="24"/>
          <w:lang w:val="en-GB"/>
        </w:rPr>
        <w:t>cost;</w:t>
      </w:r>
      <w:bookmarkEnd w:id="972"/>
      <w:proofErr w:type="gramEnd"/>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 xml:space="preserve">have regard to the needs and views of </w:t>
      </w:r>
      <w:proofErr w:type="gramStart"/>
      <w:r w:rsidRPr="00971750">
        <w:rPr>
          <w:rFonts w:eastAsia="Times New Roman" w:cstheme="minorHAnsi"/>
          <w:sz w:val="24"/>
          <w:szCs w:val="24"/>
          <w:lang w:val="en-GB"/>
        </w:rPr>
        <w:t>all of</w:t>
      </w:r>
      <w:proofErr w:type="gramEnd"/>
      <w:r w:rsidRPr="00971750">
        <w:rPr>
          <w:rFonts w:eastAsia="Times New Roman" w:cstheme="minorHAnsi"/>
          <w:sz w:val="24"/>
          <w:szCs w:val="24"/>
          <w:lang w:val="en-GB"/>
        </w:rPr>
        <w:t xml:space="preserve">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 xml:space="preserve">The function of this TPA is to ensure the Parties act collaboratively in the planning, </w:t>
      </w:r>
      <w:proofErr w:type="gramStart"/>
      <w:r w:rsidRPr="00971750">
        <w:rPr>
          <w:rFonts w:eastAsia="Times New Roman" w:cstheme="minorHAnsi"/>
          <w:sz w:val="24"/>
          <w:szCs w:val="24"/>
          <w:lang w:val="en-GB"/>
        </w:rPr>
        <w:t>securing</w:t>
      </w:r>
      <w:proofErr w:type="gramEnd"/>
      <w:r w:rsidRPr="00971750">
        <w:rPr>
          <w:rFonts w:eastAsia="Times New Roman" w:cstheme="minorHAnsi"/>
          <w:sz w:val="24"/>
          <w:szCs w:val="24"/>
          <w:lang w:val="en-GB"/>
        </w:rPr>
        <w:t xml:space="preserve">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 xml:space="preserve">HEE will be responsible for identifying and implementing the most appropriate Funding routes for payments to the Placement Provider and/or the Education Provider, in line with the Guidance, </w:t>
      </w:r>
      <w:proofErr w:type="gramStart"/>
      <w:r w:rsidRPr="00971750">
        <w:rPr>
          <w:rFonts w:eastAsia="Times New Roman" w:cstheme="minorHAnsi"/>
          <w:sz w:val="24"/>
          <w:szCs w:val="24"/>
          <w:lang w:val="en-GB"/>
        </w:rPr>
        <w:t>provided that</w:t>
      </w:r>
      <w:proofErr w:type="gramEnd"/>
      <w:r w:rsidRPr="00971750">
        <w:rPr>
          <w:rFonts w:eastAsia="Times New Roman" w:cstheme="minorHAnsi"/>
          <w:sz w:val="24"/>
          <w:szCs w:val="24"/>
          <w:lang w:val="en-GB"/>
        </w:rPr>
        <w:t xml:space="preserve">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w:t>
      </w:r>
      <w:proofErr w:type="gramStart"/>
      <w:r w:rsidRPr="00971750">
        <w:rPr>
          <w:rFonts w:eastAsia="Times New Roman" w:cstheme="minorHAnsi"/>
          <w:sz w:val="24"/>
          <w:szCs w:val="24"/>
          <w:lang w:val="en-GB"/>
        </w:rPr>
        <w:t>Contract, and</w:t>
      </w:r>
      <w:proofErr w:type="gramEnd"/>
      <w:r w:rsidRPr="00971750">
        <w:rPr>
          <w:rFonts w:eastAsia="Times New Roman" w:cstheme="minorHAnsi"/>
          <w:sz w:val="24"/>
          <w:szCs w:val="24"/>
          <w:lang w:val="en-GB"/>
        </w:rPr>
        <w:t xml:space="preserve">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proofErr w:type="gramStart"/>
      <w:r w:rsidRPr="00971750">
        <w:rPr>
          <w:rFonts w:cstheme="minorHAnsi"/>
          <w:sz w:val="24"/>
          <w:szCs w:val="24"/>
          <w:lang w:val="en-GB"/>
        </w:rPr>
        <w:t>);</w:t>
      </w:r>
      <w:bookmarkEnd w:id="1000"/>
      <w:proofErr w:type="gramEnd"/>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 xml:space="preserve">ensuring that it meets all </w:t>
      </w:r>
      <w:proofErr w:type="spellStart"/>
      <w:r w:rsidRPr="00971750">
        <w:rPr>
          <w:rFonts w:cstheme="minorHAnsi"/>
          <w:sz w:val="24"/>
          <w:szCs w:val="24"/>
          <w:lang w:val="en-GB"/>
        </w:rPr>
        <w:t>Regulator</w:t>
      </w:r>
      <w:proofErr w:type="spellEnd"/>
      <w:r w:rsidRPr="00971750">
        <w:rPr>
          <w:rFonts w:cstheme="minorHAnsi"/>
          <w:sz w:val="24"/>
          <w:szCs w:val="24"/>
          <w:lang w:val="en-GB"/>
        </w:rPr>
        <w:t xml:space="preserve"> requirements at all </w:t>
      </w:r>
      <w:proofErr w:type="gramStart"/>
      <w:r w:rsidRPr="00971750">
        <w:rPr>
          <w:rFonts w:cstheme="minorHAnsi"/>
          <w:sz w:val="24"/>
          <w:szCs w:val="24"/>
          <w:lang w:val="en-GB"/>
        </w:rPr>
        <w:t>times;</w:t>
      </w:r>
      <w:bookmarkEnd w:id="1001"/>
      <w:proofErr w:type="gramEnd"/>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 xml:space="preserve">Regulator standards, guidance and </w:t>
      </w:r>
      <w:proofErr w:type="gramStart"/>
      <w:r w:rsidRPr="00971750">
        <w:rPr>
          <w:rFonts w:cstheme="minorHAnsi"/>
          <w:sz w:val="24"/>
          <w:szCs w:val="24"/>
          <w:lang w:val="en-GB"/>
        </w:rPr>
        <w:t>conditions;</w:t>
      </w:r>
      <w:bookmarkEnd w:id="1003"/>
      <w:proofErr w:type="gramEnd"/>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 xml:space="preserve">Professional body guidance, where </w:t>
      </w:r>
      <w:proofErr w:type="gramStart"/>
      <w:r w:rsidRPr="00971750">
        <w:rPr>
          <w:rFonts w:cstheme="minorHAnsi"/>
          <w:sz w:val="24"/>
          <w:szCs w:val="24"/>
          <w:lang w:val="en-GB"/>
        </w:rPr>
        <w:t>appropriate;</w:t>
      </w:r>
      <w:bookmarkEnd w:id="1004"/>
      <w:proofErr w:type="gramEnd"/>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xml:space="preserve">”) standards and quality in higher education published by the QAA and as may be updated or superseded from time to </w:t>
      </w:r>
      <w:proofErr w:type="gramStart"/>
      <w:r w:rsidRPr="00971750">
        <w:rPr>
          <w:rFonts w:cstheme="minorHAnsi"/>
          <w:sz w:val="24"/>
          <w:szCs w:val="24"/>
          <w:lang w:val="en-GB"/>
        </w:rPr>
        <w:t>time;</w:t>
      </w:r>
      <w:bookmarkEnd w:id="1005"/>
      <w:proofErr w:type="gramEnd"/>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 xml:space="preserve">managing the delivery of the approved curricula including specifying defined learning outcomes and assessment </w:t>
      </w:r>
      <w:proofErr w:type="gramStart"/>
      <w:r w:rsidRPr="00971750">
        <w:rPr>
          <w:rFonts w:cstheme="minorHAnsi"/>
          <w:sz w:val="24"/>
          <w:szCs w:val="24"/>
          <w:lang w:val="en-GB"/>
        </w:rPr>
        <w:t>criteria;</w:t>
      </w:r>
      <w:bookmarkEnd w:id="1006"/>
      <w:proofErr w:type="gramEnd"/>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proofErr w:type="gramStart"/>
      <w:r w:rsidRPr="00971750">
        <w:rPr>
          <w:rFonts w:eastAsia="Times New Roman" w:cstheme="minorHAnsi"/>
          <w:sz w:val="24"/>
          <w:szCs w:val="24"/>
          <w:lang w:val="en-GB"/>
        </w:rPr>
        <w:t>requirements</w:t>
      </w:r>
      <w:r w:rsidRPr="00971750">
        <w:rPr>
          <w:rFonts w:cstheme="minorHAnsi"/>
          <w:sz w:val="24"/>
          <w:szCs w:val="24"/>
          <w:lang w:val="en-GB"/>
        </w:rPr>
        <w:t>;</w:t>
      </w:r>
      <w:bookmarkEnd w:id="1007"/>
      <w:proofErr w:type="gramEnd"/>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w:t>
      </w:r>
      <w:proofErr w:type="gramStart"/>
      <w:r w:rsidRPr="00971750">
        <w:rPr>
          <w:rFonts w:cstheme="minorHAnsi"/>
          <w:sz w:val="24"/>
          <w:szCs w:val="24"/>
          <w:lang w:val="en-GB"/>
        </w:rPr>
        <w:t>Learners;</w:t>
      </w:r>
      <w:bookmarkEnd w:id="1008"/>
      <w:proofErr w:type="gramEnd"/>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w:t>
      </w:r>
      <w:proofErr w:type="gramStart"/>
      <w:r w:rsidRPr="00971750">
        <w:rPr>
          <w:rFonts w:cstheme="minorHAnsi"/>
          <w:sz w:val="24"/>
          <w:szCs w:val="24"/>
          <w:lang w:val="en-GB"/>
        </w:rPr>
        <w:t>Programmes;</w:t>
      </w:r>
      <w:bookmarkEnd w:id="1009"/>
      <w:proofErr w:type="gramEnd"/>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w:t>
      </w:r>
      <w:proofErr w:type="gramStart"/>
      <w:r w:rsidRPr="00971750">
        <w:rPr>
          <w:rFonts w:cstheme="minorHAnsi"/>
          <w:sz w:val="24"/>
          <w:szCs w:val="24"/>
          <w:lang w:val="en-GB"/>
        </w:rPr>
        <w:t>visits;</w:t>
      </w:r>
      <w:bookmarkEnd w:id="1010"/>
      <w:proofErr w:type="gramEnd"/>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 xml:space="preserve">academic </w:t>
      </w:r>
      <w:proofErr w:type="gramStart"/>
      <w:r w:rsidRPr="00971750">
        <w:rPr>
          <w:rFonts w:cstheme="minorHAnsi"/>
          <w:sz w:val="24"/>
          <w:szCs w:val="24"/>
          <w:lang w:val="en-GB"/>
        </w:rPr>
        <w:t>support;</w:t>
      </w:r>
      <w:bookmarkEnd w:id="1012"/>
      <w:proofErr w:type="gramEnd"/>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 xml:space="preserve">information on who to contact during Placements should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w:t>
      </w:r>
      <w:proofErr w:type="gramStart"/>
      <w:r w:rsidRPr="00971750">
        <w:rPr>
          <w:rFonts w:cstheme="minorHAnsi"/>
          <w:sz w:val="24"/>
          <w:szCs w:val="24"/>
          <w:lang w:val="en-GB"/>
        </w:rPr>
        <w:t>behaviour;</w:t>
      </w:r>
      <w:bookmarkEnd w:id="1015"/>
      <w:proofErr w:type="gramEnd"/>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xml:space="preserve">, independent and voluntary sectors as appropriate and determined by </w:t>
      </w:r>
      <w:proofErr w:type="gramStart"/>
      <w:r w:rsidRPr="00971750">
        <w:rPr>
          <w:rFonts w:cstheme="minorHAnsi"/>
          <w:sz w:val="24"/>
          <w:szCs w:val="24"/>
          <w:lang w:val="en-GB"/>
        </w:rPr>
        <w:t>HEE;</w:t>
      </w:r>
      <w:bookmarkEnd w:id="1016"/>
      <w:proofErr w:type="gramEnd"/>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w:t>
      </w:r>
      <w:proofErr w:type="gramStart"/>
      <w:r w:rsidRPr="00971750">
        <w:rPr>
          <w:rFonts w:cstheme="minorHAnsi"/>
          <w:sz w:val="24"/>
          <w:szCs w:val="24"/>
          <w:lang w:val="en-GB"/>
        </w:rPr>
        <w:t>purposes;</w:t>
      </w:r>
      <w:proofErr w:type="gramEnd"/>
      <w:r w:rsidRPr="00971750">
        <w:rPr>
          <w:rFonts w:cstheme="minorHAnsi"/>
          <w:sz w:val="24"/>
          <w:szCs w:val="24"/>
          <w:lang w:val="en-GB"/>
        </w:rPr>
        <w:t xml:space="preserve">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 xml:space="preserve">supporting the sharing of research between the Parties, and </w:t>
      </w:r>
      <w:proofErr w:type="gramStart"/>
      <w:r w:rsidRPr="00971750">
        <w:rPr>
          <w:rFonts w:eastAsia="Times New Roman" w:cstheme="minorHAnsi"/>
          <w:sz w:val="24"/>
          <w:szCs w:val="24"/>
          <w:lang w:val="en-GB"/>
        </w:rPr>
        <w:t>enabling  cross</w:t>
      </w:r>
      <w:proofErr w:type="gramEnd"/>
      <w:r w:rsidRPr="00971750">
        <w:rPr>
          <w:rFonts w:eastAsia="Times New Roman" w:cstheme="minorHAnsi"/>
          <w:sz w:val="24"/>
          <w:szCs w:val="24"/>
          <w:lang w:val="en-GB"/>
        </w:rPr>
        <w:t xml:space="preserve">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 xml:space="preserve">making available Staff and practical support needed to deliver the teaching and assessment of appropriate parts of the curriculum in an appropriate environment, in agreement with the Education </w:t>
      </w:r>
      <w:proofErr w:type="gramStart"/>
      <w:r w:rsidRPr="00971750">
        <w:rPr>
          <w:rFonts w:cstheme="minorHAnsi"/>
          <w:sz w:val="24"/>
          <w:szCs w:val="24"/>
          <w:lang w:val="en-GB"/>
        </w:rPr>
        <w:t>Provider;</w:t>
      </w:r>
      <w:bookmarkEnd w:id="1025"/>
      <w:proofErr w:type="gramEnd"/>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w:t>
      </w:r>
      <w:proofErr w:type="gramStart"/>
      <w:r w:rsidRPr="00971750">
        <w:rPr>
          <w:rFonts w:cstheme="minorHAnsi"/>
          <w:sz w:val="24"/>
          <w:szCs w:val="24"/>
          <w:lang w:val="en-GB"/>
        </w:rPr>
        <w:t>Regulators;</w:t>
      </w:r>
      <w:bookmarkEnd w:id="1026"/>
      <w:proofErr w:type="gramEnd"/>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w:t>
      </w:r>
      <w:proofErr w:type="gramStart"/>
      <w:r w:rsidRPr="00971750">
        <w:rPr>
          <w:rFonts w:cstheme="minorHAnsi"/>
          <w:sz w:val="24"/>
          <w:szCs w:val="24"/>
          <w:lang w:val="en-GB"/>
        </w:rPr>
        <w:t>Placements;</w:t>
      </w:r>
      <w:bookmarkEnd w:id="1027"/>
      <w:proofErr w:type="gramEnd"/>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 xml:space="preserve">releasing Staff to complete the training needed to be recognised teachers and to take part in professional development and quality assurance </w:t>
      </w:r>
      <w:proofErr w:type="gramStart"/>
      <w:r w:rsidRPr="00971750">
        <w:rPr>
          <w:rFonts w:cstheme="minorHAnsi"/>
          <w:sz w:val="24"/>
          <w:szCs w:val="24"/>
          <w:lang w:val="en-GB"/>
        </w:rPr>
        <w:t>activities;</w:t>
      </w:r>
      <w:bookmarkEnd w:id="1028"/>
      <w:proofErr w:type="gramEnd"/>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w:t>
      </w:r>
      <w:proofErr w:type="gramStart"/>
      <w:r w:rsidRPr="00971750">
        <w:rPr>
          <w:rFonts w:cstheme="minorHAnsi"/>
          <w:sz w:val="24"/>
          <w:szCs w:val="24"/>
          <w:lang w:val="en-GB"/>
        </w:rPr>
        <w:t>roles;</w:t>
      </w:r>
      <w:bookmarkEnd w:id="1029"/>
      <w:proofErr w:type="gramEnd"/>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 xml:space="preserve">working with the Education Provider to support Learners with disability and/or specific learning needs and implement reasonable adjustments within the bounds of capability and in accordance with current </w:t>
      </w:r>
      <w:proofErr w:type="gramStart"/>
      <w:r w:rsidRPr="00971750">
        <w:rPr>
          <w:rFonts w:cstheme="minorHAnsi"/>
          <w:sz w:val="24"/>
          <w:szCs w:val="24"/>
          <w:lang w:val="en-GB"/>
        </w:rPr>
        <w:t>legislation;</w:t>
      </w:r>
      <w:bookmarkEnd w:id="1031"/>
      <w:proofErr w:type="gramEnd"/>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 xml:space="preserve">providing Learners with information on who to contact during Placements should </w:t>
      </w:r>
      <w:proofErr w:type="gramStart"/>
      <w:r w:rsidRPr="00971750">
        <w:rPr>
          <w:rFonts w:cstheme="minorHAnsi"/>
          <w:sz w:val="24"/>
          <w:szCs w:val="24"/>
          <w:lang w:val="en-GB"/>
        </w:rPr>
        <w:t>Learners</w:t>
      </w:r>
      <w:proofErr w:type="gramEnd"/>
      <w:r w:rsidRPr="00971750">
        <w:rPr>
          <w:rFonts w:cstheme="minorHAnsi"/>
          <w:sz w:val="24"/>
          <w:szCs w:val="24"/>
          <w:lang w:val="en-GB"/>
        </w:rPr>
        <w:t xml:space="preserve">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 xml:space="preserve">supporting the sharing of research between the Parties, </w:t>
      </w:r>
      <w:proofErr w:type="gramStart"/>
      <w:r w:rsidRPr="00971750">
        <w:rPr>
          <w:rFonts w:eastAsia="Times New Roman" w:cstheme="minorHAnsi"/>
          <w:sz w:val="24"/>
          <w:szCs w:val="24"/>
          <w:lang w:val="en-GB"/>
        </w:rPr>
        <w:t>and  enabling</w:t>
      </w:r>
      <w:proofErr w:type="gramEnd"/>
      <w:r w:rsidRPr="00971750">
        <w:rPr>
          <w:rFonts w:eastAsia="Times New Roman" w:cstheme="minorHAnsi"/>
          <w:sz w:val="24"/>
          <w:szCs w:val="24"/>
          <w:lang w:val="en-GB"/>
        </w:rPr>
        <w:t xml:space="preserve">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 xml:space="preserve">encouraging collaboration and partnership working with Education Providers and Placement Providers, and assisting with the facilitating, supporting and enabling of high-quality Programmes and </w:t>
      </w:r>
      <w:proofErr w:type="gramStart"/>
      <w:r w:rsidRPr="00971750">
        <w:rPr>
          <w:rFonts w:cstheme="minorHAnsi"/>
          <w:sz w:val="24"/>
          <w:szCs w:val="24"/>
          <w:lang w:val="en-GB"/>
        </w:rPr>
        <w:t>Placements;</w:t>
      </w:r>
      <w:bookmarkEnd w:id="1039"/>
      <w:proofErr w:type="gramEnd"/>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 xml:space="preserve">ensuring that the NHS workforce has the right skills, behaviours, and training and is available in the right numbers to support the delivery of excellent </w:t>
      </w:r>
      <w:proofErr w:type="gramStart"/>
      <w:r w:rsidRPr="00971750">
        <w:rPr>
          <w:rFonts w:cstheme="minorHAnsi"/>
          <w:sz w:val="24"/>
          <w:szCs w:val="24"/>
          <w:lang w:val="en-GB"/>
        </w:rPr>
        <w:t>healthcare;</w:t>
      </w:r>
      <w:bookmarkEnd w:id="1040"/>
      <w:proofErr w:type="gramEnd"/>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w:t>
      </w:r>
      <w:proofErr w:type="gramStart"/>
      <w:r w:rsidRPr="00971750">
        <w:rPr>
          <w:rFonts w:cstheme="minorHAnsi"/>
          <w:sz w:val="24"/>
          <w:szCs w:val="24"/>
          <w:lang w:val="en-GB"/>
        </w:rPr>
        <w:t>Guidance;</w:t>
      </w:r>
      <w:proofErr w:type="gramEnd"/>
      <w:r w:rsidRPr="00971750">
        <w:rPr>
          <w:rFonts w:cstheme="minorHAnsi"/>
          <w:sz w:val="24"/>
          <w:szCs w:val="24"/>
          <w:lang w:val="en-GB"/>
        </w:rPr>
        <w:t xml:space="preserv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w:t>
      </w:r>
      <w:proofErr w:type="gramStart"/>
      <w:r w:rsidRPr="00971750">
        <w:rPr>
          <w:rFonts w:cstheme="minorHAnsi"/>
          <w:sz w:val="24"/>
          <w:szCs w:val="24"/>
          <w:lang w:val="en-GB"/>
        </w:rPr>
        <w:t>Guidance;</w:t>
      </w:r>
      <w:proofErr w:type="gramEnd"/>
      <w:r w:rsidRPr="00971750">
        <w:rPr>
          <w:rFonts w:cstheme="minorHAnsi"/>
          <w:sz w:val="24"/>
          <w:szCs w:val="24"/>
          <w:lang w:val="en-GB"/>
        </w:rPr>
        <w:t xml:space="preserv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w:t>
      </w:r>
      <w:proofErr w:type="gramStart"/>
      <w:r w:rsidRPr="00971750">
        <w:rPr>
          <w:rFonts w:cstheme="minorHAnsi"/>
          <w:sz w:val="24"/>
          <w:szCs w:val="24"/>
          <w:lang w:val="en-GB"/>
        </w:rPr>
        <w:t>Framework;</w:t>
      </w:r>
      <w:bookmarkEnd w:id="1043"/>
      <w:proofErr w:type="gramEnd"/>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w:t>
      </w:r>
      <w:proofErr w:type="gramStart"/>
      <w:r w:rsidRPr="00971750">
        <w:rPr>
          <w:rFonts w:cstheme="minorHAnsi"/>
          <w:sz w:val="24"/>
          <w:szCs w:val="24"/>
          <w:lang w:val="en-GB"/>
        </w:rPr>
        <w:t>systems;</w:t>
      </w:r>
      <w:bookmarkEnd w:id="1044"/>
      <w:proofErr w:type="gramEnd"/>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 xml:space="preserve">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w:t>
      </w:r>
      <w:proofErr w:type="gramStart"/>
      <w:r w:rsidRPr="00971750">
        <w:rPr>
          <w:rFonts w:eastAsia="Times New Roman" w:cstheme="minorHAnsi"/>
          <w:sz w:val="24"/>
          <w:szCs w:val="24"/>
          <w:lang w:val="en-GB"/>
        </w:rPr>
        <w:t>provided that</w:t>
      </w:r>
      <w:proofErr w:type="gramEnd"/>
      <w:r w:rsidRPr="00971750">
        <w:rPr>
          <w:rFonts w:eastAsia="Times New Roman" w:cstheme="minorHAnsi"/>
          <w:sz w:val="24"/>
          <w:szCs w:val="24"/>
          <w:lang w:val="en-GB"/>
        </w:rPr>
        <w:t xml:space="preserve">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w:t>
      </w:r>
      <w:proofErr w:type="gramStart"/>
      <w:r w:rsidRPr="00971750">
        <w:rPr>
          <w:rFonts w:eastAsia="Times New Roman" w:cstheme="minorHAnsi"/>
          <w:sz w:val="24"/>
          <w:szCs w:val="24"/>
          <w:lang w:val="en-GB"/>
        </w:rPr>
        <w:t>mailing;</w:t>
      </w:r>
      <w:bookmarkEnd w:id="1073"/>
      <w:proofErr w:type="gramEnd"/>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 xml:space="preserve">by hand will be effective upon </w:t>
      </w:r>
      <w:proofErr w:type="gramStart"/>
      <w:r w:rsidRPr="00971750">
        <w:rPr>
          <w:rFonts w:eastAsia="Times New Roman" w:cstheme="minorHAnsi"/>
          <w:sz w:val="24"/>
          <w:szCs w:val="24"/>
          <w:lang w:val="en-GB"/>
        </w:rPr>
        <w:t>delivery;</w:t>
      </w:r>
      <w:bookmarkEnd w:id="1075"/>
      <w:proofErr w:type="gramEnd"/>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w:t>
      </w:r>
      <w:proofErr w:type="gramStart"/>
      <w:r w:rsidRPr="00971750">
        <w:rPr>
          <w:rFonts w:eastAsia="Times New Roman" w:cstheme="minorHAnsi"/>
          <w:sz w:val="24"/>
          <w:szCs w:val="24"/>
          <w:lang w:val="en-GB"/>
        </w:rPr>
        <w:t>Multi-tiered</w:t>
      </w:r>
      <w:proofErr w:type="gramEnd"/>
      <w:r w:rsidRPr="00971750">
        <w:rPr>
          <w:rFonts w:eastAsia="Times New Roman" w:cstheme="minorHAnsi"/>
          <w:sz w:val="24"/>
          <w:szCs w:val="24"/>
          <w:lang w:val="en-GB"/>
        </w:rPr>
        <w:t xml:space="preserve">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0EDDC453"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2BD057A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 xml:space="preserve">the Parties agree the terms of the relevant Change Control Note, they will sign it and that Change Control Note will amend this </w:t>
      </w:r>
      <w:proofErr w:type="gramStart"/>
      <w:r w:rsidRPr="00971750">
        <w:rPr>
          <w:rFonts w:eastAsia="Times New Roman" w:cstheme="minorHAnsi"/>
          <w:bCs/>
          <w:sz w:val="24"/>
          <w:szCs w:val="24"/>
          <w:lang w:val="en-GB"/>
        </w:rPr>
        <w:t>Agreement;</w:t>
      </w:r>
      <w:bookmarkEnd w:id="1110"/>
      <w:proofErr w:type="gramEnd"/>
      <w:r w:rsidRPr="00971750">
        <w:rPr>
          <w:rFonts w:eastAsia="Times New Roman" w:cstheme="minorHAnsi"/>
          <w:bCs/>
          <w:sz w:val="24"/>
          <w:szCs w:val="24"/>
          <w:lang w:val="en-GB"/>
        </w:rPr>
        <w:t xml:space="preserve"> </w:t>
      </w:r>
    </w:p>
    <w:p w14:paraId="6D4C465D" w14:textId="5783727C"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6905A0">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w:t>
      </w:r>
      <w:proofErr w:type="gramStart"/>
      <w:r w:rsidRPr="00971750">
        <w:rPr>
          <w:rFonts w:eastAsia="Times New Roman" w:cstheme="minorHAnsi"/>
          <w:sz w:val="24"/>
          <w:szCs w:val="24"/>
          <w:lang w:val="en-GB"/>
        </w:rPr>
        <w:t>agreed</w:t>
      </w:r>
      <w:proofErr w:type="gramEnd"/>
      <w:r w:rsidRPr="00971750">
        <w:rPr>
          <w:rFonts w:eastAsia="Times New Roman" w:cstheme="minorHAnsi"/>
          <w:sz w:val="24"/>
          <w:szCs w:val="24"/>
          <w:lang w:val="en-GB"/>
        </w:rPr>
        <w:t xml:space="preserve">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5BF8E7F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4223C3A9"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6905A0">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xml:space="preserve">). A TPA-UGME shall be formed by HEE, the Provider and (as the case may be) Placement Provider and Education Provider </w:t>
      </w:r>
      <w:proofErr w:type="gramStart"/>
      <w:r w:rsidRPr="005B313D">
        <w:rPr>
          <w:rFonts w:eastAsia="Times New Roman" w:cstheme="minorHAnsi"/>
          <w:lang w:val="en-GB"/>
        </w:rPr>
        <w:t>entering into</w:t>
      </w:r>
      <w:proofErr w:type="gramEnd"/>
      <w:r w:rsidRPr="005B313D">
        <w:rPr>
          <w:rFonts w:eastAsia="Times New Roman" w:cstheme="minorHAnsi"/>
          <w:lang w:val="en-GB"/>
        </w:rPr>
        <w:t xml:space="preserve">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w:t>
      </w:r>
      <w:proofErr w:type="gramStart"/>
      <w:r w:rsidRPr="005B313D">
        <w:rPr>
          <w:rFonts w:eastAsia="Times New Roman" w:cstheme="minorHAnsi"/>
          <w:bCs/>
          <w:lang w:val="en-GB" w:eastAsia="en-GB"/>
        </w:rPr>
        <w:t>training, and</w:t>
      </w:r>
      <w:proofErr w:type="gramEnd"/>
      <w:r w:rsidRPr="005B313D">
        <w:rPr>
          <w:rFonts w:eastAsia="Times New Roman" w:cstheme="minorHAnsi"/>
          <w:bCs/>
          <w:lang w:val="en-GB" w:eastAsia="en-GB"/>
        </w:rPr>
        <w:t xml:space="preserve">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w:t>
            </w:r>
            <w:proofErr w:type="gramStart"/>
            <w:r w:rsidRPr="005B313D">
              <w:rPr>
                <w:rFonts w:eastAsia="Times New Roman" w:cstheme="minorHAnsi"/>
                <w:lang w:val="en-GB" w:eastAsia="en-GB"/>
              </w:rPr>
              <w:t>Department;</w:t>
            </w:r>
            <w:proofErr w:type="gramEnd"/>
            <w:r w:rsidRPr="005B313D">
              <w:rPr>
                <w:rFonts w:eastAsia="Times New Roman" w:cstheme="minorHAnsi"/>
                <w:lang w:val="en-GB" w:eastAsia="en-GB"/>
              </w:rPr>
              <w:t xml:space="preserve">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(b) Non-Departmental Public Body or Assembly Sponsored Public Body (advisory, executive, or tribunal</w:t>
            </w:r>
            <w:proofErr w:type="gramStart"/>
            <w:r w:rsidRPr="005B313D">
              <w:rPr>
                <w:rFonts w:eastAsia="Times New Roman" w:cstheme="minorHAnsi"/>
                <w:lang w:val="en-GB" w:eastAsia="en-GB"/>
              </w:rPr>
              <w:t>);</w:t>
            </w:r>
            <w:proofErr w:type="gramEnd"/>
            <w:r w:rsidRPr="005B313D">
              <w:rPr>
                <w:rFonts w:eastAsia="Times New Roman" w:cstheme="minorHAnsi"/>
                <w:lang w:val="en-GB" w:eastAsia="en-GB"/>
              </w:rPr>
              <w:t xml:space="preserve">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w:t>
            </w:r>
            <w:proofErr w:type="gramStart"/>
            <w:r w:rsidRPr="005B313D">
              <w:rPr>
                <w:rFonts w:eastAsia="Calibri" w:cstheme="minorHAnsi"/>
                <w:lang w:val="en-GB"/>
              </w:rPr>
              <w:t>Contract, and</w:t>
            </w:r>
            <w:proofErr w:type="gramEnd"/>
            <w:r w:rsidRPr="005B313D">
              <w:rPr>
                <w:rFonts w:eastAsia="Calibri" w:cstheme="minorHAnsi"/>
                <w:lang w:val="en-GB"/>
              </w:rPr>
              <w:t xml:space="preserve">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 xml:space="preserve">An operational group established in accordance with clause 17 of this TPA-UGME to facilitate collaboration and sharing of best practice between HEE, medical </w:t>
            </w:r>
            <w:proofErr w:type="gramStart"/>
            <w:r w:rsidRPr="005B313D">
              <w:rPr>
                <w:rFonts w:eastAsia="Times New Roman" w:cstheme="minorHAnsi"/>
                <w:bCs/>
                <w:lang w:val="en-GB" w:eastAsia="en-GB"/>
              </w:rPr>
              <w:t>schools</w:t>
            </w:r>
            <w:proofErr w:type="gramEnd"/>
            <w:r w:rsidRPr="005B313D">
              <w:rPr>
                <w:rFonts w:eastAsia="Times New Roman" w:cstheme="minorHAnsi"/>
                <w:bCs/>
                <w:lang w:val="en-GB" w:eastAsia="en-GB"/>
              </w:rPr>
              <w:t xml:space="preserve">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strategic level group within HEE that will seek to ensure consistency, </w:t>
            </w:r>
            <w:proofErr w:type="gramStart"/>
            <w:r w:rsidRPr="005B313D">
              <w:rPr>
                <w:rFonts w:eastAsia="Times New Roman" w:cstheme="minorHAnsi"/>
                <w:lang w:val="en-GB" w:eastAsia="en-GB"/>
              </w:rPr>
              <w:t>transparency</w:t>
            </w:r>
            <w:proofErr w:type="gramEnd"/>
            <w:r w:rsidRPr="005B313D">
              <w:rPr>
                <w:rFonts w:eastAsia="Times New Roman" w:cstheme="minorHAnsi"/>
                <w:lang w:val="en-GB" w:eastAsia="en-GB"/>
              </w:rPr>
              <w:t xml:space="preserve">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organisation that provides practice clinical Placements pursuant to an NHS Education </w:t>
            </w:r>
            <w:proofErr w:type="gramStart"/>
            <w:r w:rsidRPr="005B313D">
              <w:rPr>
                <w:rFonts w:eastAsia="Times New Roman" w:cstheme="minorHAnsi"/>
                <w:lang w:val="en-GB" w:eastAsia="en-GB"/>
              </w:rPr>
              <w:t>Contract, and</w:t>
            </w:r>
            <w:proofErr w:type="gramEnd"/>
            <w:r w:rsidRPr="005B313D">
              <w:rPr>
                <w:rFonts w:eastAsia="Times New Roman" w:cstheme="minorHAnsi"/>
                <w:lang w:val="en-GB" w:eastAsia="en-GB"/>
              </w:rPr>
              <w:t xml:space="preserve">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one or more of the seven (7) HEE geographical regions which are set out as follows: (i) Midlands, (ii) East of England, (iii) London, (iv) </w:t>
            </w:r>
            <w:proofErr w:type="gramStart"/>
            <w:r w:rsidRPr="005B313D">
              <w:rPr>
                <w:rFonts w:eastAsia="Times New Roman" w:cstheme="minorHAnsi"/>
                <w:lang w:val="en-GB" w:eastAsia="en-GB"/>
              </w:rPr>
              <w:t>North East</w:t>
            </w:r>
            <w:proofErr w:type="gramEnd"/>
            <w:r w:rsidRPr="005B313D">
              <w:rPr>
                <w:rFonts w:eastAsia="Times New Roman" w:cstheme="minorHAnsi"/>
                <w:lang w:val="en-GB" w:eastAsia="en-GB"/>
              </w:rPr>
              <w:t xml:space="preserve">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w:t>
            </w:r>
            <w:proofErr w:type="gramStart"/>
            <w:r w:rsidRPr="005B313D">
              <w:rPr>
                <w:rFonts w:eastAsia="Times New Roman" w:cstheme="minorHAnsi"/>
                <w:lang w:val="en-GB" w:eastAsia="en-GB"/>
              </w:rPr>
              <w:t>schools</w:t>
            </w:r>
            <w:proofErr w:type="gramEnd"/>
            <w:r w:rsidRPr="005B313D">
              <w:rPr>
                <w:rFonts w:eastAsia="Times New Roman" w:cstheme="minorHAnsi"/>
                <w:lang w:val="en-GB" w:eastAsia="en-GB"/>
              </w:rPr>
              <w:t xml:space="preserve">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w:t>
            </w:r>
            <w:proofErr w:type="gramStart"/>
            <w:r w:rsidRPr="005B313D">
              <w:rPr>
                <w:rFonts w:eastAsia="Times New Roman" w:cstheme="minorHAnsi"/>
                <w:lang w:val="en-GB" w:eastAsia="en-GB"/>
              </w:rPr>
              <w:t>quality</w:t>
            </w:r>
            <w:proofErr w:type="gramEnd"/>
            <w:r w:rsidRPr="005B313D">
              <w:rPr>
                <w:rFonts w:eastAsia="Times New Roman" w:cstheme="minorHAnsi"/>
                <w:lang w:val="en-GB" w:eastAsia="en-GB"/>
              </w:rPr>
              <w:t xml:space="preserve">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 xml:space="preserve">Commencement, </w:t>
      </w:r>
      <w:proofErr w:type="gramStart"/>
      <w:r w:rsidRPr="005B313D">
        <w:rPr>
          <w:rFonts w:eastAsia="Times New Roman" w:cstheme="minorHAnsi"/>
          <w:b/>
          <w:lang w:val="en-GB"/>
        </w:rPr>
        <w:t>duration</w:t>
      </w:r>
      <w:proofErr w:type="gramEnd"/>
      <w:r w:rsidRPr="005B313D">
        <w:rPr>
          <w:rFonts w:eastAsia="Times New Roman" w:cstheme="minorHAnsi"/>
          <w:b/>
          <w:lang w:val="en-GB"/>
        </w:rPr>
        <w:t xml:space="preserve">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TPA-UGME comes into effect on the date that it is executed by </w:t>
      </w:r>
      <w:proofErr w:type="gramStart"/>
      <w:r w:rsidRPr="005B313D">
        <w:rPr>
          <w:rFonts w:eastAsia="Times New Roman" w:cstheme="minorHAnsi"/>
          <w:lang w:val="en-GB"/>
        </w:rPr>
        <w:t>all of</w:t>
      </w:r>
      <w:proofErr w:type="gramEnd"/>
      <w:r w:rsidRPr="005B313D">
        <w:rPr>
          <w:rFonts w:eastAsia="Times New Roman" w:cstheme="minorHAnsi"/>
          <w:lang w:val="en-GB"/>
        </w:rPr>
        <w:t xml:space="preserve">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there is a National Variation to the NHS Education Contract, the Parties agree that this TPA-UGME will, to the extent necessary, be read and construed by the Parties as including </w:t>
      </w:r>
      <w:proofErr w:type="gramStart"/>
      <w:r w:rsidRPr="005B313D">
        <w:rPr>
          <w:rFonts w:eastAsia="Times New Roman" w:cstheme="minorHAnsi"/>
          <w:lang w:val="en-GB"/>
        </w:rPr>
        <w:t>any and all</w:t>
      </w:r>
      <w:proofErr w:type="gramEnd"/>
      <w:r w:rsidRPr="005B313D">
        <w:rPr>
          <w:rFonts w:eastAsia="Times New Roman" w:cstheme="minorHAnsi"/>
          <w:lang w:val="en-GB"/>
        </w:rPr>
        <w:t xml:space="preserve">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 xml:space="preserve">at all times work collaboratively with </w:t>
      </w:r>
      <w:proofErr w:type="gramStart"/>
      <w:r w:rsidRPr="005B313D">
        <w:rPr>
          <w:rFonts w:eastAsia="Times New Roman" w:cstheme="minorHAnsi"/>
          <w:lang w:val="en-GB"/>
        </w:rPr>
        <w:t>each other;</w:t>
      </w:r>
      <w:proofErr w:type="gramEnd"/>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 xml:space="preserve">act in a timely </w:t>
      </w:r>
      <w:proofErr w:type="gramStart"/>
      <w:r w:rsidRPr="005B313D">
        <w:rPr>
          <w:rFonts w:eastAsia="Times New Roman" w:cstheme="minorHAnsi"/>
          <w:lang w:val="en-GB"/>
        </w:rPr>
        <w:t>manner;</w:t>
      </w:r>
      <w:proofErr w:type="gramEnd"/>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share information and best practice, and work collaboratively to identify solutions, eliminate duplication of effort, mitigate risk and reduce </w:t>
      </w:r>
      <w:proofErr w:type="gramStart"/>
      <w:r w:rsidRPr="005B313D">
        <w:rPr>
          <w:rFonts w:eastAsia="Times New Roman" w:cstheme="minorHAnsi"/>
          <w:lang w:val="en-GB"/>
        </w:rPr>
        <w:t>cost;</w:t>
      </w:r>
      <w:proofErr w:type="gramEnd"/>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regard to the needs and views of </w:t>
      </w:r>
      <w:proofErr w:type="gramStart"/>
      <w:r w:rsidRPr="005B313D">
        <w:rPr>
          <w:rFonts w:eastAsia="Times New Roman" w:cstheme="minorHAnsi"/>
          <w:lang w:val="en-GB"/>
        </w:rPr>
        <w:t>all of</w:t>
      </w:r>
      <w:proofErr w:type="gramEnd"/>
      <w:r w:rsidRPr="005B313D">
        <w:rPr>
          <w:rFonts w:eastAsia="Times New Roman" w:cstheme="minorHAnsi"/>
          <w:lang w:val="en-GB"/>
        </w:rPr>
        <w:t xml:space="preserve">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w:t>
      </w:r>
      <w:proofErr w:type="spellStart"/>
      <w:r w:rsidRPr="005B313D">
        <w:rPr>
          <w:rFonts w:eastAsia="Times New Roman" w:cstheme="minorHAnsi"/>
          <w:lang w:val="en-GB"/>
        </w:rPr>
        <w:t>behalves</w:t>
      </w:r>
      <w:proofErr w:type="spellEnd"/>
      <w:r w:rsidRPr="005B313D">
        <w:rPr>
          <w:rFonts w:eastAsia="Times New Roman" w:cstheme="minorHAnsi"/>
          <w:lang w:val="en-GB"/>
        </w:rPr>
        <w:t xml:space="preserve">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w:t>
      </w:r>
      <w:proofErr w:type="gramStart"/>
      <w:r w:rsidRPr="005B313D">
        <w:rPr>
          <w:rFonts w:eastAsia="Times New Roman" w:cstheme="minorHAnsi"/>
          <w:lang w:val="en-GB"/>
        </w:rPr>
        <w:t>provided in all respects and at all times</w:t>
      </w:r>
      <w:proofErr w:type="gramEnd"/>
      <w:r w:rsidRPr="005B313D">
        <w:rPr>
          <w:rFonts w:eastAsia="Times New Roman" w:cstheme="minorHAnsi"/>
          <w:lang w:val="en-GB"/>
        </w:rPr>
        <w:t xml:space="preserve">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w:t>
      </w:r>
      <w:proofErr w:type="gramStart"/>
      <w:r w:rsidRPr="005B313D">
        <w:rPr>
          <w:rFonts w:eastAsia="Times New Roman" w:cstheme="minorHAnsi"/>
          <w:lang w:val="en-GB"/>
        </w:rPr>
        <w:t>them</w:t>
      </w:r>
      <w:proofErr w:type="gramEnd"/>
      <w:r w:rsidRPr="005B313D">
        <w:rPr>
          <w:rFonts w:eastAsia="Times New Roman" w:cstheme="minorHAnsi"/>
          <w:lang w:val="en-GB"/>
        </w:rPr>
        <w:t xml:space="preserve"> and any such sharing will not be deemed to be a breach of the NHS Education Contract.  </w:t>
      </w:r>
      <w:proofErr w:type="gramStart"/>
      <w:r w:rsidRPr="005B313D">
        <w:rPr>
          <w:rFonts w:eastAsia="Times New Roman" w:cstheme="minorHAnsi"/>
          <w:lang w:val="en-GB"/>
        </w:rPr>
        <w:t>For the purpose of</w:t>
      </w:r>
      <w:proofErr w:type="gramEnd"/>
      <w:r w:rsidRPr="005B313D">
        <w:rPr>
          <w:rFonts w:eastAsia="Times New Roman" w:cstheme="minorHAnsi"/>
          <w:lang w:val="en-GB"/>
        </w:rPr>
        <w:t xml:space="preserve">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function of this TPA-UGME is to ensure the Parties act collaboratively in the planning, </w:t>
      </w:r>
      <w:proofErr w:type="gramStart"/>
      <w:r w:rsidRPr="005B313D">
        <w:rPr>
          <w:rFonts w:eastAsia="Times New Roman" w:cstheme="minorHAnsi"/>
          <w:lang w:val="en-GB"/>
        </w:rPr>
        <w:t>securing</w:t>
      </w:r>
      <w:proofErr w:type="gramEnd"/>
      <w:r w:rsidRPr="005B313D">
        <w:rPr>
          <w:rFonts w:eastAsia="Times New Roman" w:cstheme="minorHAnsi"/>
          <w:lang w:val="en-GB"/>
        </w:rPr>
        <w:t xml:space="preserve">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plan Services to meet Learner needs of the local population in the Region in accordance with the Parties’ respective intentions and </w:t>
      </w:r>
      <w:proofErr w:type="gramStart"/>
      <w:r w:rsidRPr="005B313D">
        <w:rPr>
          <w:rFonts w:eastAsia="Times New Roman" w:cstheme="minorHAnsi"/>
          <w:lang w:val="en-GB"/>
        </w:rPr>
        <w:t>ambitions;</w:t>
      </w:r>
      <w:proofErr w:type="gramEnd"/>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the range of Services as detailed in Schedule 1 of the NHS Education </w:t>
      </w:r>
      <w:proofErr w:type="gramStart"/>
      <w:r w:rsidRPr="005B313D">
        <w:rPr>
          <w:rFonts w:eastAsia="Times New Roman" w:cstheme="minorHAnsi"/>
          <w:lang w:val="en-GB"/>
        </w:rPr>
        <w:t>Contract;</w:t>
      </w:r>
      <w:proofErr w:type="gramEnd"/>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w:t>
      </w:r>
      <w:proofErr w:type="gramStart"/>
      <w:r w:rsidRPr="005B313D">
        <w:rPr>
          <w:rFonts w:eastAsia="Times New Roman" w:cstheme="minorHAnsi"/>
          <w:lang w:val="en-GB"/>
        </w:rPr>
        <w:t>Placements;</w:t>
      </w:r>
      <w:proofErr w:type="gramEnd"/>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w:t>
      </w:r>
      <w:proofErr w:type="gramStart"/>
      <w:r w:rsidRPr="005B313D">
        <w:rPr>
          <w:rFonts w:eastAsia="Times New Roman" w:cstheme="minorHAnsi"/>
          <w:lang w:val="en-GB"/>
        </w:rPr>
        <w:t>Funding</w:t>
      </w:r>
      <w:proofErr w:type="gramEnd"/>
      <w:r w:rsidRPr="005B313D">
        <w:rPr>
          <w:rFonts w:eastAsia="Times New Roman" w:cstheme="minorHAnsi"/>
          <w:lang w:val="en-GB"/>
        </w:rPr>
        <w:t xml:space="preserve">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w:t>
      </w:r>
      <w:proofErr w:type="gramStart"/>
      <w:r w:rsidRPr="005B313D">
        <w:rPr>
          <w:rFonts w:eastAsia="Times New Roman" w:cstheme="minorHAnsi"/>
          <w:lang w:val="en-GB"/>
        </w:rPr>
        <w:t>appropriate;</w:t>
      </w:r>
      <w:proofErr w:type="gramEnd"/>
      <w:r w:rsidRPr="005B313D">
        <w:rPr>
          <w:rFonts w:eastAsia="Times New Roman" w:cstheme="minorHAnsi"/>
          <w:lang w:val="en-GB"/>
        </w:rPr>
        <w:t xml:space="preserv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w:t>
      </w:r>
      <w:proofErr w:type="gramStart"/>
      <w:r w:rsidRPr="005B313D">
        <w:rPr>
          <w:rFonts w:eastAsia="Times New Roman" w:cstheme="minorHAnsi"/>
          <w:lang w:val="en-GB"/>
        </w:rPr>
        <w:t>HEE;</w:t>
      </w:r>
      <w:proofErr w:type="gramEnd"/>
      <w:r w:rsidRPr="005B313D">
        <w:rPr>
          <w:rFonts w:eastAsia="Times New Roman" w:cstheme="minorHAnsi"/>
          <w:lang w:val="en-GB"/>
        </w:rPr>
        <w:t xml:space="preserv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w:t>
      </w:r>
      <w:proofErr w:type="gramStart"/>
      <w:r w:rsidRPr="005B313D">
        <w:rPr>
          <w:rFonts w:eastAsia="Times New Roman" w:cstheme="minorHAnsi"/>
          <w:lang w:val="en-GB"/>
        </w:rPr>
        <w:t>Placement;</w:t>
      </w:r>
      <w:proofErr w:type="gramEnd"/>
      <w:r w:rsidRPr="005B313D">
        <w:rPr>
          <w:rFonts w:eastAsia="Times New Roman" w:cstheme="minorHAnsi"/>
          <w:lang w:val="en-GB"/>
        </w:rPr>
        <w:t xml:space="preserve">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proofErr w:type="spellStart"/>
      <w:r w:rsidRPr="005B313D">
        <w:rPr>
          <w:rFonts w:eastAsia="Times New Roman" w:cstheme="minorHAnsi"/>
          <w:b/>
          <w:lang w:val="en-GB"/>
        </w:rPr>
        <w:t>OfS</w:t>
      </w:r>
      <w:proofErr w:type="spellEnd"/>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w:t>
      </w:r>
      <w:proofErr w:type="gramStart"/>
      <w:r w:rsidRPr="005B313D">
        <w:rPr>
          <w:rFonts w:eastAsia="Times New Roman" w:cstheme="minorHAnsi"/>
          <w:lang w:val="en-GB"/>
        </w:rPr>
        <w:t>provided that</w:t>
      </w:r>
      <w:proofErr w:type="gramEnd"/>
      <w:r w:rsidRPr="005B313D">
        <w:rPr>
          <w:rFonts w:eastAsia="Times New Roman" w:cstheme="minorHAnsi"/>
          <w:lang w:val="en-GB"/>
        </w:rPr>
        <w:t xml:space="preserve">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roofErr w:type="gramStart"/>
      <w:r w:rsidRPr="005B313D">
        <w:rPr>
          <w:rFonts w:cstheme="minorHAnsi"/>
          <w:lang w:val="en-GB"/>
        </w:rPr>
        <w:t>);</w:t>
      </w:r>
      <w:proofErr w:type="gramEnd"/>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w:t>
      </w:r>
      <w:proofErr w:type="gramStart"/>
      <w:r w:rsidRPr="005B313D">
        <w:rPr>
          <w:rFonts w:cstheme="minorHAnsi"/>
          <w:lang w:val="en-GB"/>
        </w:rPr>
        <w:t>above;</w:t>
      </w:r>
      <w:proofErr w:type="gramEnd"/>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ensure that it meets the regulatory requirements of the </w:t>
      </w:r>
      <w:proofErr w:type="spellStart"/>
      <w:r w:rsidRPr="005B313D">
        <w:rPr>
          <w:rFonts w:cstheme="minorHAnsi"/>
          <w:lang w:val="en-GB"/>
        </w:rPr>
        <w:t>OfS</w:t>
      </w:r>
      <w:proofErr w:type="spellEnd"/>
      <w:r w:rsidRPr="005B313D">
        <w:rPr>
          <w:rFonts w:cstheme="minorHAnsi"/>
          <w:lang w:val="en-GB"/>
        </w:rPr>
        <w:t xml:space="preserve"> (</w:t>
      </w:r>
      <w:r w:rsidRPr="005B313D">
        <w:rPr>
          <w:rFonts w:eastAsia="Times New Roman" w:cstheme="minorHAnsi"/>
          <w:lang w:val="en-GB"/>
        </w:rPr>
        <w:t>including</w:t>
      </w:r>
      <w:r w:rsidRPr="005B313D">
        <w:rPr>
          <w:rFonts w:cstheme="minorHAnsi"/>
          <w:lang w:val="en-GB"/>
        </w:rPr>
        <w:t xml:space="preserve"> staying within the </w:t>
      </w:r>
      <w:proofErr w:type="gramStart"/>
      <w:r w:rsidRPr="005B313D">
        <w:rPr>
          <w:rFonts w:cstheme="minorHAnsi"/>
          <w:lang w:val="en-GB"/>
        </w:rPr>
        <w:t>relevant  intake</w:t>
      </w:r>
      <w:proofErr w:type="gramEnd"/>
      <w:r w:rsidRPr="005B313D">
        <w:rPr>
          <w:rFonts w:cstheme="minorHAnsi"/>
          <w:lang w:val="en-GB"/>
        </w:rPr>
        <w:t xml:space="preserv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w:t>
      </w:r>
      <w:proofErr w:type="gramStart"/>
      <w:r w:rsidRPr="005B313D">
        <w:rPr>
          <w:rFonts w:cstheme="minorHAnsi"/>
          <w:lang w:val="en-GB"/>
        </w:rPr>
        <w:t>Law;</w:t>
      </w:r>
      <w:proofErr w:type="gramEnd"/>
      <w:r w:rsidRPr="005B313D">
        <w:rPr>
          <w:rFonts w:cstheme="minorHAnsi"/>
          <w:lang w:val="en-GB"/>
        </w:rPr>
        <w:t xml:space="preserve">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w:t>
      </w:r>
      <w:proofErr w:type="gramStart"/>
      <w:r w:rsidRPr="005B313D">
        <w:rPr>
          <w:rFonts w:cstheme="minorHAnsi"/>
          <w:lang w:val="en-GB"/>
        </w:rPr>
        <w:t>time;</w:t>
      </w:r>
      <w:proofErr w:type="gramEnd"/>
      <w:r w:rsidRPr="005B313D">
        <w:rPr>
          <w:rFonts w:cstheme="minorHAnsi"/>
          <w:lang w:val="en-GB"/>
        </w:rPr>
        <w:t xml:space="preserv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xml:space="preserve">”) standards and quality in higher education published by the QAA and as may be updated or superseded from time to </w:t>
      </w:r>
      <w:proofErr w:type="gramStart"/>
      <w:r w:rsidRPr="005B313D">
        <w:rPr>
          <w:rFonts w:cstheme="minorHAnsi"/>
          <w:lang w:val="en-GB"/>
        </w:rPr>
        <w:t>time;</w:t>
      </w:r>
      <w:proofErr w:type="gramEnd"/>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the delivery of the approved curricula including specifying defined learning outcomes and assessment </w:t>
      </w:r>
      <w:proofErr w:type="gramStart"/>
      <w:r w:rsidRPr="005B313D">
        <w:rPr>
          <w:rFonts w:cstheme="minorHAnsi"/>
          <w:lang w:val="en-GB"/>
        </w:rPr>
        <w:t>criteria;</w:t>
      </w:r>
      <w:proofErr w:type="gramEnd"/>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proofErr w:type="gramStart"/>
      <w:r w:rsidRPr="005B313D">
        <w:rPr>
          <w:rFonts w:eastAsia="Times New Roman" w:cstheme="minorHAnsi"/>
          <w:lang w:val="en-GB"/>
        </w:rPr>
        <w:t>requirements</w:t>
      </w:r>
      <w:r w:rsidRPr="005B313D">
        <w:rPr>
          <w:rFonts w:cstheme="minorHAnsi"/>
          <w:lang w:val="en-GB"/>
        </w:rPr>
        <w:t>;</w:t>
      </w:r>
      <w:proofErr w:type="gramEnd"/>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roofErr w:type="gramStart"/>
      <w:r w:rsidRPr="005B313D">
        <w:rPr>
          <w:rFonts w:cstheme="minorHAnsi"/>
          <w:lang w:val="en-GB"/>
        </w:rPr>
        <w:t>’;</w:t>
      </w:r>
      <w:proofErr w:type="gramEnd"/>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w:t>
      </w:r>
      <w:proofErr w:type="gramStart"/>
      <w:r w:rsidRPr="005B313D">
        <w:rPr>
          <w:rFonts w:cstheme="minorHAnsi"/>
          <w:lang w:val="en-GB"/>
        </w:rPr>
        <w:t>management;</w:t>
      </w:r>
      <w:proofErr w:type="gramEnd"/>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 xml:space="preserve">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sidRPr="005B313D">
        <w:rPr>
          <w:rFonts w:cstheme="minorHAnsi"/>
          <w:lang w:val="en-GB"/>
        </w:rPr>
        <w:t>Provider;</w:t>
      </w:r>
      <w:proofErr w:type="gramEnd"/>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w:t>
      </w:r>
      <w:proofErr w:type="gramStart"/>
      <w:r w:rsidRPr="005B313D">
        <w:rPr>
          <w:rFonts w:cstheme="minorHAnsi"/>
          <w:lang w:val="en-GB"/>
        </w:rPr>
        <w:t>Programmes;</w:t>
      </w:r>
      <w:proofErr w:type="gramEnd"/>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 xml:space="preserve">in accordance with all applicable regulatory and quality requirements including without limitation GMC regulatory requirements and the requirements under their NHS Education </w:t>
      </w:r>
      <w:proofErr w:type="gramStart"/>
      <w:r w:rsidRPr="005B313D">
        <w:rPr>
          <w:rFonts w:cstheme="minorHAnsi"/>
          <w:lang w:val="en-GB"/>
        </w:rPr>
        <w:t>Contract;</w:t>
      </w:r>
      <w:proofErr w:type="gramEnd"/>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10"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welfare and general support (including, for example careers guidance and to provide information on who to contact during clinical Placements should </w:t>
      </w:r>
      <w:proofErr w:type="gramStart"/>
      <w:r w:rsidRPr="005B313D">
        <w:rPr>
          <w:rFonts w:cstheme="minorHAnsi"/>
          <w:lang w:val="en-GB"/>
        </w:rPr>
        <w:t>Learners</w:t>
      </w:r>
      <w:proofErr w:type="gramEnd"/>
      <w:r w:rsidRPr="005B313D">
        <w:rPr>
          <w:rFonts w:cstheme="minorHAnsi"/>
          <w:lang w:val="en-GB"/>
        </w:rPr>
        <w:t xml:space="preserve">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w:t>
      </w:r>
      <w:proofErr w:type="gramStart"/>
      <w:r w:rsidRPr="005B313D">
        <w:rPr>
          <w:rFonts w:cstheme="minorHAnsi"/>
          <w:lang w:val="en-GB"/>
        </w:rPr>
        <w:t>behaviour;</w:t>
      </w:r>
      <w:proofErr w:type="gramEnd"/>
      <w:r w:rsidRPr="005B313D">
        <w:rPr>
          <w:rFonts w:cstheme="minorHAnsi"/>
          <w:lang w:val="en-GB"/>
        </w:rPr>
        <w:t xml:space="preserve">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 xml:space="preserve">at meetings of the Regional Medical School Liaison Committee in accordance with the objectives of the Regional Medical School Liaison Committee set out in clause 14 and via meetings of the Local Medical School Liaison </w:t>
      </w:r>
      <w:proofErr w:type="gramStart"/>
      <w:r w:rsidRPr="005B313D">
        <w:rPr>
          <w:rFonts w:cstheme="minorHAnsi"/>
          <w:lang w:val="en-GB"/>
        </w:rPr>
        <w:t>Committee;</w:t>
      </w:r>
      <w:proofErr w:type="gramEnd"/>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w:t>
      </w:r>
      <w:proofErr w:type="gramStart"/>
      <w:r w:rsidRPr="005B313D">
        <w:rPr>
          <w:rFonts w:cstheme="minorHAnsi"/>
          <w:lang w:val="en-GB"/>
        </w:rPr>
        <w:t>Legislation;</w:t>
      </w:r>
      <w:proofErr w:type="gramEnd"/>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w:t>
      </w:r>
      <w:proofErr w:type="gramStart"/>
      <w:r w:rsidRPr="005B313D">
        <w:rPr>
          <w:rFonts w:cstheme="minorHAnsi"/>
          <w:lang w:val="en-GB"/>
        </w:rPr>
        <w:t>independent</w:t>
      </w:r>
      <w:proofErr w:type="gramEnd"/>
      <w:r w:rsidRPr="005B313D">
        <w:rPr>
          <w:rFonts w:cstheme="minorHAnsi"/>
          <w:lang w:val="en-GB"/>
        </w:rPr>
        <w:t xml:space="preserve">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HEE on the use of any Devolved Funding for delivery of clinical Placements in general practice and the private, independent and voluntary sectors and any Out of Tariff investment for the intended </w:t>
      </w:r>
      <w:proofErr w:type="gramStart"/>
      <w:r w:rsidRPr="005B313D">
        <w:rPr>
          <w:rFonts w:cstheme="minorHAnsi"/>
          <w:lang w:val="en-GB"/>
        </w:rPr>
        <w:t>purposes;</w:t>
      </w:r>
      <w:proofErr w:type="gramEnd"/>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w:t>
      </w:r>
      <w:proofErr w:type="gramStart"/>
      <w:r w:rsidRPr="005B313D">
        <w:rPr>
          <w:rFonts w:cstheme="minorHAnsi"/>
          <w:lang w:val="en-GB"/>
        </w:rPr>
        <w:t>themselves, or</w:t>
      </w:r>
      <w:proofErr w:type="gramEnd"/>
      <w:r w:rsidRPr="005B313D">
        <w:rPr>
          <w:rFonts w:cstheme="minorHAnsi"/>
          <w:lang w:val="en-GB"/>
        </w:rPr>
        <w:t xml:space="preserve">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11"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making available Placement Provider Staff and practical support needed to deliver the teaching and assessment of clinical parts of the curriculum of the Education Provider in an appropriate </w:t>
      </w:r>
      <w:proofErr w:type="gramStart"/>
      <w:r w:rsidRPr="005B313D">
        <w:rPr>
          <w:rFonts w:cstheme="minorHAnsi"/>
          <w:lang w:val="en-GB"/>
        </w:rPr>
        <w:t>environment;</w:t>
      </w:r>
      <w:proofErr w:type="gramEnd"/>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w:t>
      </w:r>
      <w:proofErr w:type="gramStart"/>
      <w:r w:rsidRPr="005B313D">
        <w:rPr>
          <w:rFonts w:cstheme="minorHAnsi"/>
          <w:lang w:val="en-GB"/>
        </w:rPr>
        <w:t>2018;</w:t>
      </w:r>
      <w:proofErr w:type="gramEnd"/>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roofErr w:type="gramStart"/>
      <w:r w:rsidRPr="005B313D">
        <w:rPr>
          <w:rFonts w:cstheme="minorHAnsi"/>
          <w:lang w:val="en-GB"/>
        </w:rPr>
        <w:t>);</w:t>
      </w:r>
      <w:proofErr w:type="gramEnd"/>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undertaking designated undergraduate medical teaching and assessment roles have sufficient protected time in their job plans to carry out teaching and </w:t>
      </w:r>
      <w:proofErr w:type="gramStart"/>
      <w:r w:rsidRPr="005B313D">
        <w:rPr>
          <w:rFonts w:cstheme="minorHAnsi"/>
          <w:lang w:val="en-GB"/>
        </w:rPr>
        <w:t>assessment;</w:t>
      </w:r>
      <w:proofErr w:type="gramEnd"/>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releasing Placement Provider Staff to complete the training needed to be recognised teachers and to take part in professional development and quality assurance </w:t>
      </w:r>
      <w:proofErr w:type="gramStart"/>
      <w:r w:rsidRPr="005B313D">
        <w:rPr>
          <w:rFonts w:cstheme="minorHAnsi"/>
          <w:lang w:val="en-GB"/>
        </w:rPr>
        <w:t>activities;</w:t>
      </w:r>
      <w:proofErr w:type="gramEnd"/>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 xml:space="preserve">undertake equality and diversity training for either the Education Provider or the Placement Provider they will be deemed as having undertaken equality and diversity training for both the Education Provider and the Placement </w:t>
      </w:r>
      <w:proofErr w:type="gramStart"/>
      <w:r w:rsidRPr="005B313D">
        <w:rPr>
          <w:rFonts w:cstheme="minorHAnsi"/>
          <w:lang w:val="en-GB"/>
        </w:rPr>
        <w:t>Provider;</w:t>
      </w:r>
      <w:proofErr w:type="gramEnd"/>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w:t>
      </w:r>
      <w:proofErr w:type="gramStart"/>
      <w:r w:rsidRPr="005B313D">
        <w:rPr>
          <w:rFonts w:cstheme="minorHAnsi"/>
          <w:lang w:val="en-GB"/>
        </w:rPr>
        <w:t>Learners;</w:t>
      </w:r>
      <w:proofErr w:type="gramEnd"/>
      <w:r w:rsidRPr="005B313D">
        <w:rPr>
          <w:rFonts w:cstheme="minorHAnsi"/>
          <w:lang w:val="en-GB"/>
        </w:rPr>
        <w:t xml:space="preserve">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w:t>
      </w:r>
      <w:proofErr w:type="gramStart"/>
      <w:r w:rsidRPr="005B313D">
        <w:rPr>
          <w:rFonts w:cstheme="minorHAnsi"/>
          <w:lang w:val="en-GB"/>
        </w:rPr>
        <w:t>legislation;</w:t>
      </w:r>
      <w:proofErr w:type="gramEnd"/>
      <w:r w:rsidRPr="005B313D">
        <w:rPr>
          <w:rFonts w:cstheme="minorHAnsi"/>
          <w:lang w:val="en-GB"/>
        </w:rPr>
        <w:t xml:space="preserve">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 safe and professional environment in which Learners do not face bias, </w:t>
      </w:r>
      <w:proofErr w:type="gramStart"/>
      <w:r w:rsidRPr="005B313D">
        <w:rPr>
          <w:rFonts w:cstheme="minorHAnsi"/>
          <w:lang w:val="en-GB"/>
        </w:rPr>
        <w:t>discrimination</w:t>
      </w:r>
      <w:proofErr w:type="gramEnd"/>
      <w:r w:rsidRPr="005B313D">
        <w:rPr>
          <w:rFonts w:cstheme="minorHAnsi"/>
          <w:lang w:val="en-GB"/>
        </w:rPr>
        <w:t xml:space="preserve">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the NHS medical workforce has the right skills, behaviours, and training and is available in the right numbers to support the delivery of excellent </w:t>
      </w:r>
      <w:proofErr w:type="gramStart"/>
      <w:r w:rsidRPr="005B313D">
        <w:rPr>
          <w:rFonts w:cstheme="minorHAnsi"/>
          <w:lang w:val="en-GB"/>
        </w:rPr>
        <w:t>healthcare;</w:t>
      </w:r>
      <w:proofErr w:type="gramEnd"/>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roofErr w:type="gramStart"/>
      <w:r w:rsidRPr="005B313D">
        <w:rPr>
          <w:rFonts w:cstheme="minorHAnsi"/>
          <w:lang w:val="en-GB"/>
        </w:rPr>
        <w:t>);</w:t>
      </w:r>
      <w:proofErr w:type="gramEnd"/>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properly following and implementing the medical undergraduate tariff as set out in the Guidance (as may be updated or superseded from time to time</w:t>
      </w:r>
      <w:proofErr w:type="gramStart"/>
      <w:r w:rsidRPr="005B313D">
        <w:rPr>
          <w:rFonts w:cstheme="minorHAnsi"/>
          <w:lang w:val="en-GB"/>
        </w:rPr>
        <w:t>);</w:t>
      </w:r>
      <w:proofErr w:type="gramEnd"/>
      <w:r w:rsidRPr="005B313D">
        <w:rPr>
          <w:rFonts w:cstheme="minorHAnsi"/>
          <w:lang w:val="en-GB"/>
        </w:rPr>
        <w:t xml:space="preserv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w:t>
      </w:r>
      <w:proofErr w:type="gramStart"/>
      <w:r w:rsidRPr="005B313D">
        <w:rPr>
          <w:rFonts w:cstheme="minorHAnsi"/>
          <w:lang w:val="en-GB"/>
        </w:rPr>
        <w:t>Provider;</w:t>
      </w:r>
      <w:proofErr w:type="gramEnd"/>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w:t>
      </w:r>
      <w:proofErr w:type="gramStart"/>
      <w:r w:rsidRPr="005B313D">
        <w:rPr>
          <w:rFonts w:cstheme="minorHAnsi"/>
          <w:lang w:val="en-GB"/>
        </w:rPr>
        <w:t>Contract;</w:t>
      </w:r>
      <w:proofErr w:type="gramEnd"/>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xml:space="preserve">, </w:t>
      </w:r>
      <w:proofErr w:type="gramStart"/>
      <w:r w:rsidRPr="005B313D">
        <w:rPr>
          <w:rFonts w:cstheme="minorHAnsi"/>
          <w:lang w:val="en-GB"/>
        </w:rPr>
        <w:t>issuing</w:t>
      </w:r>
      <w:proofErr w:type="gramEnd"/>
      <w:r w:rsidRPr="005B313D">
        <w:rPr>
          <w:rFonts w:cstheme="minorHAnsi"/>
          <w:lang w:val="en-GB"/>
        </w:rPr>
        <w:t xml:space="preserve">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Quality and Standards of education: internal and external (</w:t>
      </w:r>
      <w:proofErr w:type="gramStart"/>
      <w:r w:rsidRPr="005B313D">
        <w:rPr>
          <w:rFonts w:cstheme="minorHAnsi"/>
          <w:lang w:val="en-GB"/>
        </w:rPr>
        <w:t>i.e.</w:t>
      </w:r>
      <w:proofErr w:type="gramEnd"/>
      <w:r w:rsidRPr="005B313D">
        <w:rPr>
          <w:rFonts w:cstheme="minorHAnsi"/>
          <w:lang w:val="en-GB"/>
        </w:rPr>
        <w:t xml:space="preserve"> GMC/Universities/QAA) quality assurance functions. This function relates to university quality assurance, </w:t>
      </w:r>
      <w:proofErr w:type="gramStart"/>
      <w:r w:rsidRPr="005B313D">
        <w:rPr>
          <w:rFonts w:cstheme="minorHAnsi"/>
          <w:lang w:val="en-GB"/>
        </w:rPr>
        <w:t>and also</w:t>
      </w:r>
      <w:proofErr w:type="gramEnd"/>
      <w:r w:rsidRPr="005B313D">
        <w:rPr>
          <w:rFonts w:cstheme="minorHAnsi"/>
          <w:lang w:val="en-GB"/>
        </w:rPr>
        <w:t xml:space="preserve">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w:t>
      </w:r>
      <w:proofErr w:type="gramStart"/>
      <w:r w:rsidRPr="005B313D">
        <w:rPr>
          <w:rFonts w:cstheme="minorHAnsi"/>
          <w:lang w:val="en-GB"/>
        </w:rPr>
        <w:t>includes</w:t>
      </w:r>
      <w:proofErr w:type="gramEnd"/>
      <w:r w:rsidRPr="005B313D">
        <w:rPr>
          <w:rFonts w:cstheme="minorHAnsi"/>
          <w:lang w:val="en-GB"/>
        </w:rPr>
        <w:t xml:space="preserve">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Student Occupational Health: all Learners working with Service Users are to be vaccinated and checked for blood borne viruses </w:t>
      </w:r>
      <w:proofErr w:type="gramStart"/>
      <w:r w:rsidRPr="005B313D">
        <w:rPr>
          <w:rFonts w:cstheme="minorHAnsi"/>
          <w:lang w:val="en-GB"/>
        </w:rPr>
        <w:t>e.g.</w:t>
      </w:r>
      <w:proofErr w:type="gramEnd"/>
      <w:r w:rsidRPr="005B313D">
        <w:rPr>
          <w:rFonts w:cstheme="minorHAnsi"/>
          <w:lang w:val="en-GB"/>
        </w:rPr>
        <w:t xml:space="preserve">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w:t>
      </w:r>
      <w:proofErr w:type="gramStart"/>
      <w:r w:rsidRPr="005B313D">
        <w:rPr>
          <w:rFonts w:cstheme="minorHAnsi"/>
          <w:lang w:val="en-GB"/>
        </w:rPr>
        <w:t>e.g.</w:t>
      </w:r>
      <w:proofErr w:type="gramEnd"/>
      <w:r w:rsidRPr="005B313D">
        <w:rPr>
          <w:rFonts w:cstheme="minorHAnsi"/>
          <w:lang w:val="en-GB"/>
        </w:rPr>
        <w:t xml:space="preserve">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Objective Structural Clinical Examinations: examiners are largely NHS clinicians. All examiners shall require training beforehand to maintain a fair and reasonable quality standard. Exams may take place in Education Providers, Placement Providers or on neutral territory </w:t>
      </w:r>
      <w:proofErr w:type="gramStart"/>
      <w:r w:rsidRPr="005B313D">
        <w:rPr>
          <w:rFonts w:cstheme="minorHAnsi"/>
          <w:lang w:val="en-GB"/>
        </w:rPr>
        <w:t>e.g.</w:t>
      </w:r>
      <w:proofErr w:type="gramEnd"/>
      <w:r w:rsidRPr="005B313D">
        <w:rPr>
          <w:rFonts w:cstheme="minorHAnsi"/>
          <w:lang w:val="en-GB"/>
        </w:rPr>
        <w:t xml:space="preserve">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w:t>
      </w:r>
      <w:proofErr w:type="gramStart"/>
      <w:r w:rsidRPr="005B313D">
        <w:rPr>
          <w:rFonts w:cstheme="minorHAnsi"/>
          <w:lang w:val="en-GB"/>
        </w:rPr>
        <w:t>the</w:t>
      </w:r>
      <w:proofErr w:type="gramEnd"/>
      <w:r w:rsidRPr="005B313D">
        <w:rPr>
          <w:rFonts w:cstheme="minorHAnsi"/>
          <w:lang w:val="en-GB"/>
        </w:rPr>
        <w:t xml:space="preserv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appoint one of its Representative Members to give and receive notices and other communications for the purposes of the Regional Medical School Liaison </w:t>
      </w:r>
      <w:proofErr w:type="gramStart"/>
      <w:r w:rsidRPr="005B313D">
        <w:rPr>
          <w:rFonts w:eastAsia="Times New Roman" w:cstheme="minorHAnsi"/>
          <w:lang w:val="en-GB"/>
        </w:rPr>
        <w:t>Committee;</w:t>
      </w:r>
      <w:proofErr w:type="gramEnd"/>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roofErr w:type="gramStart"/>
            <w:r w:rsidRPr="005B313D">
              <w:rPr>
                <w:rFonts w:eastAsia="Times New Roman" w:cstheme="minorHAnsi"/>
                <w:lang w:val="en-GB"/>
              </w:rPr>
              <w:t>);</w:t>
            </w:r>
            <w:proofErr w:type="gramEnd"/>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 xml:space="preserve">Senior Education Commissioner Undergraduate Medicine and </w:t>
            </w:r>
            <w:proofErr w:type="gramStart"/>
            <w:r w:rsidRPr="005B313D">
              <w:rPr>
                <w:rFonts w:eastAsia="Times New Roman" w:cstheme="minorHAnsi"/>
                <w:lang w:val="en-GB"/>
              </w:rPr>
              <w:t>Dental;</w:t>
            </w:r>
            <w:proofErr w:type="gramEnd"/>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 xml:space="preserve">Regional Postgraduate </w:t>
            </w:r>
            <w:proofErr w:type="gramStart"/>
            <w:r w:rsidRPr="005B313D">
              <w:rPr>
                <w:rFonts w:eastAsia="Times New Roman" w:cstheme="minorHAnsi"/>
                <w:lang w:val="en-GB"/>
              </w:rPr>
              <w:t>Dean;</w:t>
            </w:r>
            <w:proofErr w:type="gramEnd"/>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 xml:space="preserve">UG Primary Care Head of </w:t>
            </w:r>
            <w:proofErr w:type="gramStart"/>
            <w:r w:rsidRPr="005B313D">
              <w:rPr>
                <w:rFonts w:eastAsia="Times New Roman" w:cstheme="minorHAnsi"/>
                <w:lang w:val="en-GB"/>
              </w:rPr>
              <w:t>Teaching;</w:t>
            </w:r>
            <w:proofErr w:type="gramEnd"/>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 xml:space="preserve">Finance </w:t>
            </w:r>
            <w:proofErr w:type="gramStart"/>
            <w:r w:rsidRPr="005B313D">
              <w:rPr>
                <w:rFonts w:eastAsia="Times New Roman" w:cstheme="minorHAnsi"/>
                <w:lang w:val="en-GB"/>
              </w:rPr>
              <w:t>director;</w:t>
            </w:r>
            <w:proofErr w:type="gramEnd"/>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 xml:space="preserve">Medical </w:t>
            </w:r>
            <w:proofErr w:type="gramStart"/>
            <w:r w:rsidRPr="005B313D">
              <w:rPr>
                <w:rFonts w:eastAsia="Times New Roman" w:cstheme="minorHAnsi"/>
                <w:lang w:val="en-GB"/>
              </w:rPr>
              <w:t>Director;</w:t>
            </w:r>
            <w:proofErr w:type="gramEnd"/>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held twice annually, or as otherwise agreed by the Parties from time to </w:t>
      </w:r>
      <w:proofErr w:type="gramStart"/>
      <w:r w:rsidRPr="005B313D">
        <w:rPr>
          <w:rFonts w:eastAsia="Times New Roman" w:cstheme="minorHAnsi"/>
          <w:lang w:val="en-GB"/>
        </w:rPr>
        <w:t>time;</w:t>
      </w:r>
      <w:proofErr w:type="gramEnd"/>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facilitate collaboration and sharing of best practice between the Representative </w:t>
      </w:r>
      <w:proofErr w:type="gramStart"/>
      <w:r w:rsidRPr="005B313D">
        <w:rPr>
          <w:rFonts w:eastAsia="Times New Roman" w:cstheme="minorHAnsi"/>
          <w:lang w:val="en-GB"/>
        </w:rPr>
        <w:t>Members;</w:t>
      </w:r>
      <w:proofErr w:type="gramEnd"/>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Committees, the objectives of the Regional Medical School Liaison Committee </w:t>
      </w:r>
      <w:proofErr w:type="gramStart"/>
      <w:r w:rsidRPr="005B313D">
        <w:rPr>
          <w:rFonts w:eastAsia="Times New Roman" w:cstheme="minorHAnsi"/>
          <w:lang w:val="en-GB"/>
        </w:rPr>
        <w:t>is</w:t>
      </w:r>
      <w:proofErr w:type="gramEnd"/>
      <w:r w:rsidRPr="005B313D">
        <w:rPr>
          <w:rFonts w:eastAsia="Times New Roman" w:cstheme="minorHAnsi"/>
          <w:lang w:val="en-GB"/>
        </w:rPr>
        <w:t xml:space="preserve">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a partnership forum for the collective discussion and agreement of the financial elements of support for medical undergraduate clinical teaching including tariff and non-tariff </w:t>
      </w:r>
      <w:proofErr w:type="gramStart"/>
      <w:r w:rsidRPr="005B313D">
        <w:rPr>
          <w:rFonts w:eastAsia="Times New Roman" w:cstheme="minorHAnsi"/>
          <w:lang w:val="en-GB"/>
        </w:rPr>
        <w:t>components;</w:t>
      </w:r>
      <w:proofErr w:type="gramEnd"/>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provide a forum for the collective planning and allocation of available funds to support a balance of clinical teaching and activity across the full range of suitable clinical Placements within community and hospital </w:t>
      </w:r>
      <w:proofErr w:type="gramStart"/>
      <w:r w:rsidRPr="005B313D">
        <w:rPr>
          <w:rFonts w:eastAsia="Times New Roman" w:cstheme="minorHAnsi"/>
          <w:lang w:val="en-GB"/>
        </w:rPr>
        <w:t>settings;</w:t>
      </w:r>
      <w:proofErr w:type="gramEnd"/>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review all quality management and related data from undergraduate and postgraduate sources and thus facilitate continued improvement in the delivery of a high- quality Learning Environment and appropriate allocation of </w:t>
      </w:r>
      <w:proofErr w:type="gramStart"/>
      <w:r w:rsidRPr="005B313D">
        <w:rPr>
          <w:rFonts w:eastAsia="Times New Roman" w:cstheme="minorHAnsi"/>
          <w:lang w:val="en-GB"/>
        </w:rPr>
        <w:t>resources;</w:t>
      </w:r>
      <w:proofErr w:type="gramEnd"/>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oversee appropriate implementation of the NHS Education Contact, the </w:t>
      </w:r>
      <w:proofErr w:type="gramStart"/>
      <w:r w:rsidRPr="005B313D">
        <w:rPr>
          <w:rFonts w:eastAsia="Times New Roman" w:cstheme="minorHAnsi"/>
          <w:lang w:val="en-GB"/>
        </w:rPr>
        <w:t>Long Term</w:t>
      </w:r>
      <w:proofErr w:type="gramEnd"/>
      <w:r w:rsidRPr="005B313D">
        <w:rPr>
          <w:rFonts w:eastAsia="Times New Roman" w:cstheme="minorHAnsi"/>
          <w:lang w:val="en-GB"/>
        </w:rPr>
        <w:t xml:space="preserve">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w:t>
      </w:r>
      <w:proofErr w:type="gramStart"/>
      <w:r w:rsidRPr="005B313D">
        <w:rPr>
          <w:rFonts w:eastAsia="Times New Roman" w:cstheme="minorHAnsi"/>
          <w:lang w:val="en-GB"/>
        </w:rPr>
        <w:t>curriculum;</w:t>
      </w:r>
      <w:proofErr w:type="gramEnd"/>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w:t>
      </w:r>
      <w:proofErr w:type="gramStart"/>
      <w:r w:rsidRPr="005B313D">
        <w:rPr>
          <w:rFonts w:eastAsia="Times New Roman" w:cstheme="minorHAnsi"/>
          <w:lang w:val="en-GB"/>
        </w:rPr>
        <w:t>Long Term</w:t>
      </w:r>
      <w:proofErr w:type="gramEnd"/>
      <w:r w:rsidRPr="005B313D">
        <w:rPr>
          <w:rFonts w:eastAsia="Times New Roman" w:cstheme="minorHAnsi"/>
          <w:lang w:val="en-GB"/>
        </w:rPr>
        <w:t xml:space="preserve">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discussing of the Education Provider’s defined Learner outcomes for each clinical Placement and how the Representative Members can facilitate Leaners meeting those objectives, in accordance with paragraph 16 and point 4, paragraph 17 of Annex B of the </w:t>
      </w:r>
      <w:proofErr w:type="gramStart"/>
      <w:r w:rsidRPr="005B313D">
        <w:rPr>
          <w:rFonts w:eastAsia="Times New Roman" w:cstheme="minorHAnsi"/>
          <w:lang w:val="en-GB"/>
        </w:rPr>
        <w:t>Guidance;</w:t>
      </w:r>
      <w:proofErr w:type="gramEnd"/>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w:t>
      </w:r>
      <w:proofErr w:type="gramStart"/>
      <w:r w:rsidRPr="005B313D">
        <w:rPr>
          <w:rFonts w:eastAsia="Times New Roman" w:cstheme="minorHAnsi"/>
          <w:lang w:val="en-GB"/>
        </w:rPr>
        <w:t>Guidance;</w:t>
      </w:r>
      <w:proofErr w:type="gramEnd"/>
      <w:r w:rsidRPr="005B313D">
        <w:rPr>
          <w:rFonts w:eastAsia="Times New Roman" w:cstheme="minorHAnsi"/>
          <w:lang w:val="en-GB"/>
        </w:rPr>
        <w:t xml:space="preserv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ensuring that adequate resources are available to facilitate each clinical Placement, in accordance with point 5, paragraph 17 of Annex B of the </w:t>
      </w:r>
      <w:proofErr w:type="gramStart"/>
      <w:r w:rsidRPr="005B313D">
        <w:rPr>
          <w:rFonts w:eastAsia="Times New Roman" w:cstheme="minorHAnsi"/>
          <w:lang w:val="en-GB"/>
        </w:rPr>
        <w:t>Guidance;</w:t>
      </w:r>
      <w:proofErr w:type="gramEnd"/>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ensuring each Representative Member has access to information on arrangements governed by this TPA-UGME, </w:t>
      </w:r>
      <w:proofErr w:type="gramStart"/>
      <w:r w:rsidRPr="005B313D">
        <w:rPr>
          <w:rFonts w:eastAsia="Times New Roman" w:cstheme="minorHAnsi"/>
          <w:lang w:val="en-GB"/>
        </w:rPr>
        <w:t>and in particular, on</w:t>
      </w:r>
      <w:proofErr w:type="gramEnd"/>
      <w:r w:rsidRPr="005B313D">
        <w:rPr>
          <w:rFonts w:eastAsia="Times New Roman" w:cstheme="minorHAnsi"/>
          <w:lang w:val="en-GB"/>
        </w:rPr>
        <w:t xml:space="preserve">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 xml:space="preserve">respond promptly to all requests for, and promptly offer, appropriate information or proposals relevant to the operation of the Local Medical School Liaison </w:t>
      </w:r>
      <w:proofErr w:type="gramStart"/>
      <w:r w:rsidRPr="005B313D">
        <w:rPr>
          <w:rFonts w:eastAsia="Times New Roman" w:cstheme="minorHAnsi"/>
          <w:lang w:val="en-GB"/>
        </w:rPr>
        <w:t>Committee</w:t>
      </w:r>
      <w:bookmarkEnd w:id="1354"/>
      <w:bookmarkEnd w:id="1355"/>
      <w:r w:rsidRPr="005B313D">
        <w:rPr>
          <w:rFonts w:eastAsia="Times New Roman" w:cstheme="minorHAnsi"/>
          <w:lang w:val="en-GB"/>
        </w:rPr>
        <w:t>;</w:t>
      </w:r>
      <w:bookmarkEnd w:id="1356"/>
      <w:bookmarkEnd w:id="1357"/>
      <w:proofErr w:type="gramEnd"/>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HEE (or, if the Parties agree, another Party) will keep notes of all proceedings and agreements of the Regional Medical School Liaison Committee and must circulate copies to all Parties (</w:t>
      </w:r>
      <w:proofErr w:type="gramStart"/>
      <w:r w:rsidRPr="005B313D">
        <w:rPr>
          <w:rFonts w:eastAsia="Times New Roman" w:cstheme="minorHAnsi"/>
          <w:lang w:val="en-GB"/>
        </w:rPr>
        <w:t>whether or not</w:t>
      </w:r>
      <w:proofErr w:type="gramEnd"/>
      <w:r w:rsidRPr="005B313D">
        <w:rPr>
          <w:rFonts w:eastAsia="Times New Roman" w:cstheme="minorHAnsi"/>
          <w:lang w:val="en-GB"/>
        </w:rPr>
        <w:t xml:space="preserve">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w:t>
      </w:r>
      <w:proofErr w:type="gramStart"/>
      <w:r w:rsidRPr="005B313D">
        <w:rPr>
          <w:rFonts w:eastAsia="Times New Roman" w:cstheme="minorHAnsi"/>
          <w:lang w:val="en-GB"/>
        </w:rPr>
        <w:t>mailing;</w:t>
      </w:r>
      <w:proofErr w:type="gramEnd"/>
      <w:r w:rsidRPr="005B313D">
        <w:rPr>
          <w:rFonts w:eastAsia="Times New Roman" w:cstheme="minorHAnsi"/>
          <w:lang w:val="en-GB"/>
        </w:rPr>
        <w:t xml:space="preserve">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hand will be effective upon </w:t>
      </w:r>
      <w:proofErr w:type="gramStart"/>
      <w:r w:rsidRPr="005B313D">
        <w:rPr>
          <w:rFonts w:eastAsia="Times New Roman" w:cstheme="minorHAnsi"/>
          <w:lang w:val="en-GB"/>
        </w:rPr>
        <w:t>delivery;</w:t>
      </w:r>
      <w:proofErr w:type="gramEnd"/>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w:t>
      </w:r>
      <w:proofErr w:type="gramStart"/>
      <w:r w:rsidRPr="005B313D">
        <w:rPr>
          <w:rFonts w:eastAsia="Times New Roman" w:cstheme="minorHAnsi"/>
          <w:lang w:val="en-GB"/>
        </w:rPr>
        <w:t>Multi-tiered</w:t>
      </w:r>
      <w:proofErr w:type="gramEnd"/>
      <w:r w:rsidRPr="005B313D">
        <w:rPr>
          <w:rFonts w:eastAsia="Times New Roman" w:cstheme="minorHAnsi"/>
          <w:lang w:val="en-GB"/>
        </w:rPr>
        <w:t xml:space="preserve">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title of the </w:t>
      </w:r>
      <w:proofErr w:type="gramStart"/>
      <w:r w:rsidRPr="005B313D">
        <w:rPr>
          <w:rFonts w:eastAsia="Times New Roman" w:cstheme="minorHAnsi"/>
          <w:lang w:val="en-GB"/>
        </w:rPr>
        <w:t>Change;</w:t>
      </w:r>
      <w:proofErr w:type="gramEnd"/>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originator and date of the request or recommendation for the </w:t>
      </w:r>
      <w:proofErr w:type="gramStart"/>
      <w:r w:rsidRPr="005B313D">
        <w:rPr>
          <w:rFonts w:eastAsia="Times New Roman" w:cstheme="minorHAnsi"/>
          <w:lang w:val="en-GB"/>
        </w:rPr>
        <w:t>Change;</w:t>
      </w:r>
      <w:proofErr w:type="gramEnd"/>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reason for the </w:t>
      </w:r>
      <w:proofErr w:type="gramStart"/>
      <w:r w:rsidRPr="005B313D">
        <w:rPr>
          <w:rFonts w:eastAsia="Times New Roman" w:cstheme="minorHAnsi"/>
          <w:lang w:val="en-GB"/>
        </w:rPr>
        <w:t>Change;</w:t>
      </w:r>
      <w:proofErr w:type="gramEnd"/>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full details of the Change, including any </w:t>
      </w:r>
      <w:proofErr w:type="gramStart"/>
      <w:r w:rsidRPr="005B313D">
        <w:rPr>
          <w:rFonts w:eastAsia="Times New Roman" w:cstheme="minorHAnsi"/>
          <w:lang w:val="en-GB"/>
        </w:rPr>
        <w:t>specifications;</w:t>
      </w:r>
      <w:proofErr w:type="gramEnd"/>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the price, if any, of the </w:t>
      </w:r>
      <w:proofErr w:type="gramStart"/>
      <w:r w:rsidRPr="005B313D">
        <w:rPr>
          <w:rFonts w:eastAsia="Times New Roman" w:cstheme="minorHAnsi"/>
          <w:lang w:val="en-GB"/>
        </w:rPr>
        <w:t>Change;</w:t>
      </w:r>
      <w:proofErr w:type="gramEnd"/>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 timetable for implementation, together with any proposals for acceptance of the </w:t>
      </w:r>
      <w:proofErr w:type="gramStart"/>
      <w:r w:rsidRPr="005B313D">
        <w:rPr>
          <w:rFonts w:eastAsia="Times New Roman" w:cstheme="minorHAnsi"/>
          <w:lang w:val="en-GB"/>
        </w:rPr>
        <w:t>Change;</w:t>
      </w:r>
      <w:proofErr w:type="gramEnd"/>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 schedule of Funding if </w:t>
      </w:r>
      <w:proofErr w:type="gramStart"/>
      <w:r w:rsidRPr="005B313D">
        <w:rPr>
          <w:rFonts w:eastAsia="Times New Roman" w:cstheme="minorHAnsi"/>
          <w:lang w:val="en-GB"/>
        </w:rPr>
        <w:t>appropriate;</w:t>
      </w:r>
      <w:proofErr w:type="gramEnd"/>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timetable for the provision of the </w:t>
      </w:r>
      <w:proofErr w:type="gramStart"/>
      <w:r w:rsidRPr="005B313D">
        <w:rPr>
          <w:rFonts w:eastAsia="Times New Roman" w:cstheme="minorHAnsi"/>
          <w:lang w:val="en-GB" w:eastAsia="en-GB"/>
        </w:rPr>
        <w:t>Change;</w:t>
      </w:r>
      <w:proofErr w:type="gramEnd"/>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personnel to be </w:t>
      </w:r>
      <w:proofErr w:type="gramStart"/>
      <w:r w:rsidRPr="005B313D">
        <w:rPr>
          <w:rFonts w:eastAsia="Times New Roman" w:cstheme="minorHAnsi"/>
          <w:lang w:val="en-GB" w:eastAsia="en-GB"/>
        </w:rPr>
        <w:t>provided;</w:t>
      </w:r>
      <w:proofErr w:type="gramEnd"/>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 xml:space="preserve">the </w:t>
      </w:r>
      <w:proofErr w:type="gramStart"/>
      <w:r w:rsidRPr="005B313D">
        <w:rPr>
          <w:rFonts w:eastAsia="Times New Roman" w:cstheme="minorHAnsi"/>
          <w:lang w:val="en-GB" w:eastAsia="en-GB"/>
        </w:rPr>
        <w:t>Funding;</w:t>
      </w:r>
      <w:proofErr w:type="gramEnd"/>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the training to be </w:t>
      </w:r>
      <w:proofErr w:type="gramStart"/>
      <w:r w:rsidRPr="005B313D">
        <w:rPr>
          <w:rFonts w:eastAsia="Times New Roman" w:cstheme="minorHAnsi"/>
          <w:lang w:val="en-GB" w:eastAsia="en-GB"/>
        </w:rPr>
        <w:t>provided;</w:t>
      </w:r>
      <w:proofErr w:type="gramEnd"/>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 xml:space="preserve">other contractual </w:t>
      </w:r>
      <w:proofErr w:type="gramStart"/>
      <w:r w:rsidRPr="005B313D">
        <w:rPr>
          <w:rFonts w:eastAsia="Times New Roman" w:cstheme="minorHAnsi"/>
          <w:lang w:val="en-GB" w:eastAsia="en-GB"/>
        </w:rPr>
        <w:t>issues;</w:t>
      </w:r>
      <w:proofErr w:type="gramEnd"/>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 xml:space="preserve">seek the agreement of the Parties to the Change, and in the event such agreement is provided arrange for three copies of the Change Control Note to be signed by or on behalf of the </w:t>
      </w:r>
      <w:proofErr w:type="gramStart"/>
      <w:r w:rsidRPr="005B313D">
        <w:rPr>
          <w:rFonts w:eastAsia="Times New Roman" w:cstheme="minorHAnsi"/>
          <w:lang w:val="en-GB" w:eastAsia="en-GB"/>
        </w:rPr>
        <w:t>Parties;</w:t>
      </w:r>
      <w:proofErr w:type="gramEnd"/>
      <w:r w:rsidRPr="005B313D">
        <w:rPr>
          <w:rFonts w:eastAsia="Times New Roman" w:cstheme="minorHAnsi"/>
          <w:lang w:val="en-GB" w:eastAsia="en-GB"/>
        </w:rPr>
        <w:t xml:space="preserve">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 xml:space="preserve">Any discussions which may take place between the Parties in connection with a request or recommendation before the </w:t>
      </w:r>
      <w:proofErr w:type="spellStart"/>
      <w:r w:rsidRPr="005B313D">
        <w:rPr>
          <w:rFonts w:eastAsia="Times New Roman" w:cstheme="minorHAnsi"/>
        </w:rPr>
        <w:t>authorisation</w:t>
      </w:r>
      <w:proofErr w:type="spellEnd"/>
      <w:r w:rsidRPr="005B313D">
        <w:rPr>
          <w:rFonts w:eastAsia="Times New Roman" w:cstheme="minorHAnsi"/>
        </w:rPr>
        <w:t xml:space="preserve">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w:t>
      </w:r>
      <w:proofErr w:type="gramStart"/>
      <w:r w:rsidRPr="005B313D">
        <w:rPr>
          <w:rFonts w:eastAsia="Times New Roman" w:cstheme="minorHAnsi"/>
          <w:lang w:val="en-GB"/>
        </w:rPr>
        <w:t>Agreement</w:t>
      </w:r>
      <w:proofErr w:type="gramEnd"/>
      <w:r w:rsidRPr="005B313D">
        <w:rPr>
          <w:rFonts w:eastAsia="Times New Roman" w:cstheme="minorHAnsi"/>
          <w:lang w:val="en-GB"/>
        </w:rPr>
        <w:t xml:space="preserve">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558FCB3B" w:rsidR="00E40052" w:rsidRDefault="00E40052">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55521549" w14:textId="77777777" w:rsidR="00A77730" w:rsidRPr="003559F4" w:rsidRDefault="00A77730" w:rsidP="00A77730">
      <w:pPr>
        <w:rPr>
          <w:rFonts w:cstheme="minorHAnsi"/>
          <w:b/>
        </w:rPr>
      </w:pPr>
      <w:r w:rsidRPr="003559F4">
        <w:rPr>
          <w:rFonts w:cstheme="minorHAnsi"/>
          <w:b/>
        </w:rPr>
        <w:lastRenderedPageBreak/>
        <w:t>SCHEDULE FOUR PART C – STANDARD PLACEMENT AGREEMENT</w:t>
      </w:r>
    </w:p>
    <w:p w14:paraId="49076703" w14:textId="77777777" w:rsidR="00A77730" w:rsidRPr="003559F4" w:rsidRDefault="00A77730" w:rsidP="00A77730">
      <w:pPr>
        <w:rPr>
          <w:rFonts w:cstheme="minorHAnsi"/>
          <w:b/>
        </w:rPr>
      </w:pPr>
    </w:p>
    <w:p w14:paraId="3C07C198" w14:textId="77777777" w:rsidR="00A77730" w:rsidRPr="003559F4" w:rsidRDefault="00A77730" w:rsidP="00A77730">
      <w:pPr>
        <w:rPr>
          <w:rFonts w:cstheme="minorHAnsi"/>
          <w:b/>
        </w:rPr>
      </w:pPr>
    </w:p>
    <w:p w14:paraId="109AC674" w14:textId="77777777" w:rsidR="00A77730" w:rsidRPr="003559F4" w:rsidRDefault="00A77730" w:rsidP="00A77730">
      <w:pPr>
        <w:rPr>
          <w:rFonts w:cstheme="minorHAnsi"/>
          <w:b/>
        </w:rPr>
      </w:pPr>
    </w:p>
    <w:p w14:paraId="1CBC08A4" w14:textId="77777777" w:rsidR="00A77730" w:rsidRPr="003559F4" w:rsidRDefault="00A77730" w:rsidP="00A77730">
      <w:pPr>
        <w:spacing w:line="360" w:lineRule="auto"/>
        <w:jc w:val="center"/>
        <w:rPr>
          <w:rFonts w:cstheme="minorHAnsi"/>
          <w:b/>
        </w:rPr>
      </w:pPr>
      <w:r w:rsidRPr="003559F4">
        <w:rPr>
          <w:rFonts w:cstheme="minorHAnsi"/>
          <w:b/>
        </w:rPr>
        <w:t>Standard Placement Agreement</w:t>
      </w:r>
    </w:p>
    <w:p w14:paraId="74A42D67" w14:textId="77777777" w:rsidR="00A77730" w:rsidRPr="003559F4" w:rsidRDefault="00A77730" w:rsidP="00A77730">
      <w:pPr>
        <w:spacing w:line="360" w:lineRule="auto"/>
        <w:jc w:val="center"/>
        <w:rPr>
          <w:rFonts w:cstheme="minorHAnsi"/>
        </w:rPr>
      </w:pPr>
      <w:r w:rsidRPr="003559F4">
        <w:rPr>
          <w:rFonts w:cstheme="minorHAnsi"/>
        </w:rPr>
        <w:t>between</w:t>
      </w:r>
    </w:p>
    <w:p w14:paraId="596EC09A" w14:textId="77777777" w:rsidR="00A77730" w:rsidRPr="003559F4" w:rsidRDefault="00A77730" w:rsidP="00A77730">
      <w:pPr>
        <w:spacing w:line="360" w:lineRule="auto"/>
        <w:jc w:val="center"/>
        <w:rPr>
          <w:rFonts w:cstheme="minorHAnsi"/>
          <w:b/>
        </w:rPr>
      </w:pPr>
      <w:r w:rsidRPr="003559F4">
        <w:rPr>
          <w:rFonts w:cstheme="minorHAnsi"/>
          <w:b/>
        </w:rPr>
        <w:t>[Placement Provider]</w:t>
      </w:r>
    </w:p>
    <w:p w14:paraId="08DFBB46" w14:textId="77777777" w:rsidR="00A77730" w:rsidRPr="003559F4" w:rsidRDefault="00A77730" w:rsidP="00A77730">
      <w:pPr>
        <w:spacing w:line="360" w:lineRule="auto"/>
        <w:jc w:val="center"/>
        <w:rPr>
          <w:rFonts w:cstheme="minorHAnsi"/>
        </w:rPr>
      </w:pPr>
      <w:r w:rsidRPr="003559F4">
        <w:rPr>
          <w:rFonts w:cstheme="minorHAnsi"/>
        </w:rPr>
        <w:t>and</w:t>
      </w:r>
    </w:p>
    <w:p w14:paraId="0A20326B" w14:textId="77777777" w:rsidR="00A77730" w:rsidRPr="003559F4" w:rsidRDefault="00A77730" w:rsidP="00A77730">
      <w:pPr>
        <w:spacing w:line="360" w:lineRule="auto"/>
        <w:jc w:val="center"/>
        <w:rPr>
          <w:rFonts w:cstheme="minorHAnsi"/>
          <w:b/>
        </w:rPr>
      </w:pPr>
      <w:r w:rsidRPr="003559F4">
        <w:rPr>
          <w:rFonts w:cstheme="minorHAnsi"/>
          <w:b/>
        </w:rPr>
        <w:t>[Education Provider]</w:t>
      </w:r>
    </w:p>
    <w:p w14:paraId="103AD903" w14:textId="77777777" w:rsidR="00A77730" w:rsidRPr="003559F4" w:rsidRDefault="00A77730" w:rsidP="00A77730">
      <w:pPr>
        <w:rPr>
          <w:rFonts w:cstheme="minorHAnsi"/>
          <w:b/>
        </w:rPr>
      </w:pPr>
    </w:p>
    <w:p w14:paraId="3CA40D06" w14:textId="77777777" w:rsidR="00A77730" w:rsidRPr="003559F4" w:rsidRDefault="00A77730" w:rsidP="00A77730">
      <w:pPr>
        <w:rPr>
          <w:rFonts w:cstheme="minorHAnsi"/>
          <w:b/>
        </w:rPr>
      </w:pPr>
    </w:p>
    <w:p w14:paraId="7C947D36" w14:textId="77777777" w:rsidR="00A77730" w:rsidRPr="003559F4" w:rsidRDefault="00A77730" w:rsidP="00A77730">
      <w:pPr>
        <w:rPr>
          <w:rFonts w:cstheme="minorHAnsi"/>
        </w:rPr>
      </w:pPr>
      <w:r w:rsidRPr="003559F4">
        <w:rPr>
          <w:rFonts w:cstheme="minorHAnsi"/>
          <w:b/>
        </w:rPr>
        <w:br w:type="page"/>
      </w:r>
      <w:r w:rsidRPr="003559F4">
        <w:rPr>
          <w:rFonts w:cstheme="minorHAnsi"/>
          <w:b/>
        </w:rPr>
        <w:lastRenderedPageBreak/>
        <w:t xml:space="preserve">This Placement Agreement </w:t>
      </w:r>
      <w:r w:rsidRPr="003559F4">
        <w:rPr>
          <w:rFonts w:cstheme="minorHAnsi"/>
        </w:rPr>
        <w:t xml:space="preserve">is made on </w:t>
      </w:r>
      <w:r w:rsidRPr="003559F4">
        <w:rPr>
          <w:rFonts w:cstheme="minorHAnsi"/>
          <w:highlight w:val="cyan"/>
        </w:rPr>
        <w:t>[INSERT DATE]</w:t>
      </w:r>
    </w:p>
    <w:p w14:paraId="67947F3E" w14:textId="77777777" w:rsidR="00A77730" w:rsidRPr="003559F4" w:rsidRDefault="00A77730" w:rsidP="00A77730">
      <w:pPr>
        <w:spacing w:after="0"/>
        <w:rPr>
          <w:rFonts w:eastAsia="Times New Roman" w:cstheme="minorHAnsi"/>
          <w:b/>
          <w:bCs/>
        </w:rPr>
      </w:pPr>
      <w:r w:rsidRPr="003559F4">
        <w:rPr>
          <w:rFonts w:eastAsia="Times New Roman" w:cstheme="minorHAnsi"/>
          <w:b/>
          <w:bCs/>
        </w:rPr>
        <w:t>Between</w:t>
      </w:r>
    </w:p>
    <w:p w14:paraId="46E26CD4" w14:textId="77777777" w:rsidR="00A77730" w:rsidRPr="003559F4" w:rsidRDefault="00A77730" w:rsidP="00A77730">
      <w:pPr>
        <w:spacing w:before="120" w:after="120" w:line="300" w:lineRule="atLeast"/>
        <w:rPr>
          <w:rFonts w:eastAsia="Times New Roman" w:cstheme="minorHAnsi"/>
        </w:rPr>
      </w:pPr>
      <w:r w:rsidRPr="003559F4">
        <w:rPr>
          <w:rFonts w:eastAsia="Times New Roman" w:cstheme="minorHAnsi"/>
        </w:rPr>
        <w:t xml:space="preserve">[the </w:t>
      </w:r>
      <w:r w:rsidRPr="003559F4">
        <w:rPr>
          <w:rFonts w:eastAsia="Times New Roman" w:cstheme="minorHAnsi"/>
          <w:b/>
        </w:rPr>
        <w:t>EDUCATION PROVIDER</w:t>
      </w:r>
      <w:r w:rsidRPr="003559F4">
        <w:rPr>
          <w:rFonts w:eastAsia="Times New Roman" w:cstheme="minorHAnsi"/>
        </w:rPr>
        <w:t>] whose head office is at [insert address] (“</w:t>
      </w:r>
      <w:r w:rsidRPr="003559F4">
        <w:rPr>
          <w:rFonts w:eastAsia="Times New Roman" w:cstheme="minorHAnsi"/>
          <w:b/>
        </w:rPr>
        <w:t>Education Provider</w:t>
      </w:r>
      <w:r w:rsidRPr="003559F4">
        <w:rPr>
          <w:rFonts w:eastAsia="Times New Roman" w:cstheme="minorHAnsi"/>
        </w:rPr>
        <w:t>”); and</w:t>
      </w:r>
    </w:p>
    <w:p w14:paraId="7775CBCA" w14:textId="77777777" w:rsidR="00A77730" w:rsidRPr="003559F4" w:rsidRDefault="00A77730" w:rsidP="00A77730">
      <w:pPr>
        <w:rPr>
          <w:rFonts w:cstheme="minorHAnsi"/>
        </w:rPr>
      </w:pPr>
      <w:r w:rsidRPr="003559F4">
        <w:rPr>
          <w:rFonts w:eastAsia="Times New Roman" w:cstheme="minorHAnsi"/>
          <w:lang w:eastAsia="en-GB"/>
        </w:rPr>
        <w:t xml:space="preserve">[the </w:t>
      </w:r>
      <w:r w:rsidRPr="003559F4">
        <w:rPr>
          <w:rFonts w:eastAsia="Times New Roman" w:cstheme="minorHAnsi"/>
          <w:b/>
          <w:lang w:eastAsia="en-GB"/>
        </w:rPr>
        <w:t>PLACEMENT PROVIDER</w:t>
      </w:r>
      <w:r w:rsidRPr="003559F4">
        <w:rPr>
          <w:rFonts w:eastAsia="Times New Roman" w:cstheme="minorHAnsi"/>
          <w:lang w:eastAsia="en-GB"/>
        </w:rPr>
        <w:t>] whose head office is at [insert address] (“</w:t>
      </w:r>
      <w:r w:rsidRPr="003559F4">
        <w:rPr>
          <w:rFonts w:eastAsia="Times New Roman" w:cstheme="minorHAnsi"/>
          <w:b/>
          <w:lang w:eastAsia="en-GB"/>
        </w:rPr>
        <w:t>Placement Provider</w:t>
      </w:r>
      <w:r w:rsidRPr="003559F4">
        <w:rPr>
          <w:rFonts w:eastAsia="Times New Roman" w:cstheme="minorHAnsi"/>
          <w:lang w:eastAsia="en-GB"/>
        </w:rPr>
        <w:t>”</w:t>
      </w:r>
      <w:proofErr w:type="gramStart"/>
      <w:r w:rsidRPr="003559F4">
        <w:rPr>
          <w:rFonts w:eastAsia="Times New Roman" w:cstheme="minorHAnsi"/>
          <w:lang w:eastAsia="en-GB"/>
        </w:rPr>
        <w:t>);</w:t>
      </w:r>
      <w:proofErr w:type="gramEnd"/>
    </w:p>
    <w:p w14:paraId="7D180F39" w14:textId="77777777" w:rsidR="00A77730" w:rsidRPr="003559F4" w:rsidRDefault="00A77730" w:rsidP="00A77730">
      <w:pPr>
        <w:rPr>
          <w:rFonts w:cstheme="minorHAnsi"/>
          <w:b/>
        </w:rPr>
      </w:pPr>
      <w:r w:rsidRPr="003559F4">
        <w:rPr>
          <w:rFonts w:cstheme="minorHAnsi"/>
        </w:rPr>
        <w:t>each a</w:t>
      </w:r>
      <w:r w:rsidRPr="003559F4">
        <w:rPr>
          <w:rFonts w:cstheme="minorHAnsi"/>
          <w:b/>
        </w:rPr>
        <w:t xml:space="preserve"> Party </w:t>
      </w:r>
      <w:r w:rsidRPr="003559F4">
        <w:rPr>
          <w:rFonts w:cstheme="minorHAnsi"/>
        </w:rPr>
        <w:t>and together the</w:t>
      </w:r>
      <w:r w:rsidRPr="003559F4">
        <w:rPr>
          <w:rFonts w:cstheme="minorHAnsi"/>
          <w:b/>
        </w:rPr>
        <w:t xml:space="preserve"> Parties.</w:t>
      </w:r>
    </w:p>
    <w:p w14:paraId="1F0CEDE1"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definitions and interpretation</w:t>
      </w:r>
    </w:p>
    <w:p w14:paraId="4E0E8111" w14:textId="77777777" w:rsidR="00A77730" w:rsidRPr="003559F4" w:rsidRDefault="00A77730" w:rsidP="00A77730">
      <w:pPr>
        <w:pStyle w:val="Level2Number"/>
        <w:rPr>
          <w:rFonts w:asciiTheme="minorHAnsi" w:hAnsiTheme="minorHAnsi" w:cstheme="minorHAnsi"/>
          <w:sz w:val="22"/>
          <w:szCs w:val="22"/>
        </w:rPr>
      </w:pPr>
      <w:r w:rsidRPr="003559F4">
        <w:rPr>
          <w:rFonts w:asciiTheme="minorHAnsi" w:hAnsiTheme="minorHAnsi" w:cstheme="minorHAnsi"/>
          <w:sz w:val="22"/>
          <w:szCs w:val="22"/>
        </w:rPr>
        <w:t>In this Placement Agreement, unless the context otherwise requires:</w:t>
      </w:r>
    </w:p>
    <w:p w14:paraId="1D7A491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Capitalised terms have the meanings as set out in the table below, and any capitalised terms not defined in that table are as defined in the NHS Education Contract.</w:t>
      </w:r>
    </w:p>
    <w:p w14:paraId="775297A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References to Schedules shall be references to Schedules in the NHS Education Contract.</w:t>
      </w:r>
    </w:p>
    <w:p w14:paraId="3690A02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A reference to the singular includes the plural and vice versa and reference to a gender includes any gender.</w:t>
      </w:r>
    </w:p>
    <w:p w14:paraId="655D0B40" w14:textId="77777777" w:rsidR="00A77730" w:rsidRPr="003559F4" w:rsidRDefault="00A77730" w:rsidP="00A77730">
      <w:pPr>
        <w:pStyle w:val="Level3Number"/>
        <w:rPr>
          <w:rFonts w:asciiTheme="minorHAnsi" w:hAnsiTheme="minorHAnsi" w:cstheme="minorHAnsi"/>
          <w:bCs/>
          <w:sz w:val="22"/>
          <w:szCs w:val="22"/>
        </w:rPr>
      </w:pPr>
      <w:r w:rsidRPr="003559F4">
        <w:rPr>
          <w:rFonts w:asciiTheme="minorHAnsi" w:hAnsiTheme="minorHAnsi" w:cstheme="minorHAnsi"/>
          <w:sz w:val="22"/>
          <w:szCs w:val="22"/>
        </w:rPr>
        <w:t>The headings in this Placement Agreement will not affect its interpretation.</w:t>
      </w:r>
    </w:p>
    <w:p w14:paraId="3D85859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 xml:space="preserve">Where either the Education Provider or the Placement Provider has </w:t>
      </w:r>
      <w:proofErr w:type="gramStart"/>
      <w:r w:rsidRPr="003559F4">
        <w:rPr>
          <w:rFonts w:asciiTheme="minorHAnsi" w:hAnsiTheme="minorHAnsi" w:cstheme="minorHAnsi"/>
          <w:sz w:val="22"/>
          <w:szCs w:val="22"/>
        </w:rPr>
        <w:t>entered into</w:t>
      </w:r>
      <w:proofErr w:type="gramEnd"/>
      <w:r w:rsidRPr="003559F4">
        <w:rPr>
          <w:rFonts w:asciiTheme="minorHAnsi" w:hAnsiTheme="minorHAnsi" w:cstheme="minorHAnsi"/>
          <w:sz w:val="22"/>
          <w:szCs w:val="22"/>
        </w:rPr>
        <w:t xml:space="preserve"> a TPA as well as this Placement Agreement, the terms of the TPA shall prevail. If there is any conflict between the terms of the TPA and the terms of the NHS Education Contract, the terms of the NHS Education Contract will prevail.</w:t>
      </w:r>
    </w:p>
    <w:tbl>
      <w:tblPr>
        <w:tblStyle w:val="TableGrid"/>
        <w:tblW w:w="0" w:type="auto"/>
        <w:tblLook w:val="04A0" w:firstRow="1" w:lastRow="0" w:firstColumn="1" w:lastColumn="0" w:noHBand="0" w:noVBand="1"/>
      </w:tblPr>
      <w:tblGrid>
        <w:gridCol w:w="4675"/>
        <w:gridCol w:w="4675"/>
      </w:tblGrid>
      <w:tr w:rsidR="00A77730" w:rsidRPr="003559F4" w14:paraId="72DD4E3E" w14:textId="77777777" w:rsidTr="00787AEE">
        <w:tc>
          <w:tcPr>
            <w:tcW w:w="4701" w:type="dxa"/>
          </w:tcPr>
          <w:p w14:paraId="4662EEE9" w14:textId="77777777" w:rsidR="00A77730" w:rsidRPr="003559F4" w:rsidRDefault="00A77730" w:rsidP="00787AEE">
            <w:pPr>
              <w:rPr>
                <w:rFonts w:cstheme="minorHAnsi"/>
                <w:b/>
              </w:rPr>
            </w:pPr>
            <w:r w:rsidRPr="003559F4">
              <w:rPr>
                <w:rFonts w:cstheme="minorHAnsi"/>
                <w:b/>
              </w:rPr>
              <w:t xml:space="preserve">Action Plan </w:t>
            </w:r>
          </w:p>
        </w:tc>
        <w:tc>
          <w:tcPr>
            <w:tcW w:w="4701" w:type="dxa"/>
          </w:tcPr>
          <w:p w14:paraId="5C74408D" w14:textId="77777777" w:rsidR="00A77730" w:rsidRPr="003559F4" w:rsidRDefault="00A77730" w:rsidP="00787AEE">
            <w:pPr>
              <w:rPr>
                <w:rFonts w:cstheme="minorHAnsi"/>
              </w:rPr>
            </w:pPr>
            <w:r w:rsidRPr="003559F4">
              <w:rPr>
                <w:rFonts w:cstheme="minorHAnsi"/>
              </w:rPr>
              <w:t>means the action plan to be prepared and implemented by the Education Provider and the Placement Provider; and</w:t>
            </w:r>
          </w:p>
        </w:tc>
      </w:tr>
      <w:tr w:rsidR="00A77730" w:rsidRPr="003559F4" w14:paraId="2529D690" w14:textId="77777777" w:rsidTr="00787AEE">
        <w:tc>
          <w:tcPr>
            <w:tcW w:w="4701" w:type="dxa"/>
          </w:tcPr>
          <w:p w14:paraId="2F0F8561" w14:textId="77777777" w:rsidR="00A77730" w:rsidRPr="003559F4" w:rsidRDefault="00A77730" w:rsidP="00787AEE">
            <w:pPr>
              <w:rPr>
                <w:rFonts w:cstheme="minorHAnsi"/>
                <w:b/>
              </w:rPr>
            </w:pPr>
            <w:r w:rsidRPr="003559F4">
              <w:rPr>
                <w:rFonts w:cstheme="minorHAnsi"/>
                <w:b/>
              </w:rPr>
              <w:t xml:space="preserve">Attendance Arrangements </w:t>
            </w:r>
          </w:p>
        </w:tc>
        <w:tc>
          <w:tcPr>
            <w:tcW w:w="4701" w:type="dxa"/>
          </w:tcPr>
          <w:p w14:paraId="017CA09A" w14:textId="77777777" w:rsidR="00A77730" w:rsidRPr="003559F4" w:rsidRDefault="00A77730" w:rsidP="00787AEE">
            <w:pPr>
              <w:rPr>
                <w:rFonts w:cstheme="minorHAnsi"/>
              </w:rPr>
            </w:pPr>
            <w:r w:rsidRPr="003559F4">
              <w:rPr>
                <w:rFonts w:cstheme="minorHAnsi"/>
              </w:rPr>
              <w:t xml:space="preserve">means an arrangement by which a member of Education Provider Staff shall attend the Placement Providers Premises to facilitate learning which may be through an honorary contract or </w:t>
            </w:r>
            <w:proofErr w:type="spellStart"/>
            <w:r w:rsidRPr="003559F4">
              <w:rPr>
                <w:rFonts w:cstheme="minorHAnsi"/>
              </w:rPr>
              <w:t>licence</w:t>
            </w:r>
            <w:proofErr w:type="spellEnd"/>
            <w:r w:rsidRPr="003559F4">
              <w:rPr>
                <w:rFonts w:cstheme="minorHAnsi"/>
              </w:rPr>
              <w:t xml:space="preserve"> to attend or a similar form of arrangement.</w:t>
            </w:r>
          </w:p>
        </w:tc>
      </w:tr>
    </w:tbl>
    <w:p w14:paraId="51192901" w14:textId="77777777" w:rsidR="00A77730" w:rsidRPr="003559F4" w:rsidRDefault="00A77730" w:rsidP="00A77730">
      <w:pPr>
        <w:rPr>
          <w:rFonts w:cstheme="minorHAnsi"/>
        </w:rPr>
      </w:pPr>
    </w:p>
    <w:p w14:paraId="4D46F6C6" w14:textId="77777777" w:rsidR="00A77730" w:rsidRPr="003559F4" w:rsidRDefault="00A77730" w:rsidP="00A77730">
      <w:pPr>
        <w:pStyle w:val="Level1Heading"/>
        <w:rPr>
          <w:rFonts w:asciiTheme="minorHAnsi" w:eastAsia="Arial" w:hAnsiTheme="minorHAnsi" w:cstheme="minorHAnsi"/>
          <w:sz w:val="22"/>
          <w:szCs w:val="22"/>
        </w:rPr>
      </w:pPr>
      <w:bookmarkStart w:id="1381" w:name="_Hlk57046626"/>
      <w:r w:rsidRPr="003559F4">
        <w:rPr>
          <w:rFonts w:asciiTheme="minorHAnsi" w:eastAsia="Arial" w:hAnsiTheme="minorHAnsi" w:cstheme="minorHAnsi"/>
          <w:sz w:val="22"/>
          <w:szCs w:val="22"/>
        </w:rPr>
        <w:t>Education Provider Responsibilities</w:t>
      </w:r>
    </w:p>
    <w:p w14:paraId="3675DF33" w14:textId="77777777" w:rsidR="00A77730" w:rsidRPr="003559F4" w:rsidRDefault="00A77730" w:rsidP="00A77730">
      <w:pPr>
        <w:rPr>
          <w:rFonts w:cstheme="minorHAnsi"/>
        </w:rPr>
      </w:pPr>
      <w:bookmarkStart w:id="1382" w:name="_Hlk57046929"/>
      <w:r w:rsidRPr="003559F4">
        <w:rPr>
          <w:rFonts w:cstheme="minorHAnsi"/>
        </w:rPr>
        <w:t xml:space="preserve">The Education Provider shall, in addition to its responsibilities set out under its NHS Education Contract with HEE and any TPA that it </w:t>
      </w:r>
      <w:proofErr w:type="gramStart"/>
      <w:r w:rsidRPr="003559F4">
        <w:rPr>
          <w:rFonts w:cstheme="minorHAnsi"/>
        </w:rPr>
        <w:t>enters into</w:t>
      </w:r>
      <w:proofErr w:type="gramEnd"/>
      <w:r w:rsidRPr="003559F4">
        <w:rPr>
          <w:rFonts w:cstheme="minorHAnsi"/>
        </w:rPr>
        <w:t xml:space="preserve"> between HEE and a Placement Provider, comply with the following obligations: </w:t>
      </w:r>
      <w:bookmarkEnd w:id="1382"/>
    </w:p>
    <w:p w14:paraId="63007620"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Facilitation and assessment of practice learning</w:t>
      </w:r>
    </w:p>
    <w:p w14:paraId="23C09839"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Unicode MS" w:hAnsiTheme="minorHAnsi" w:cstheme="minorHAnsi"/>
          <w:sz w:val="22"/>
          <w:szCs w:val="22"/>
        </w:rPr>
        <w:t>nominate a “lead</w:t>
      </w:r>
      <w:proofErr w:type="gramStart"/>
      <w:r w:rsidRPr="003559F4">
        <w:rPr>
          <w:rFonts w:asciiTheme="minorHAnsi" w:eastAsia="Arial Unicode MS" w:hAnsiTheme="minorHAnsi" w:cstheme="minorHAnsi"/>
          <w:sz w:val="22"/>
          <w:szCs w:val="22"/>
        </w:rPr>
        <w:t>‟  or</w:t>
      </w:r>
      <w:proofErr w:type="gramEnd"/>
      <w:r w:rsidRPr="003559F4">
        <w:rPr>
          <w:rFonts w:asciiTheme="minorHAnsi" w:eastAsia="Arial Unicode MS" w:hAnsiTheme="minorHAnsi" w:cstheme="minorHAnsi"/>
          <w:sz w:val="22"/>
          <w:szCs w:val="22"/>
        </w:rPr>
        <w:t xml:space="preserve"> “leads”  who will be the key contact point(s) at the Education Provider for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of the identity and contact details of such lead or leads. A “lead” may be the same individual appointed by the Education Provider as the Provider Representative under clause 24.2 of its NHS Education </w:t>
      </w:r>
      <w:proofErr w:type="gramStart"/>
      <w:r w:rsidRPr="003559F4">
        <w:rPr>
          <w:rFonts w:asciiTheme="minorHAnsi" w:eastAsia="Arial" w:hAnsiTheme="minorHAnsi" w:cstheme="minorHAnsi"/>
          <w:sz w:val="22"/>
          <w:szCs w:val="22"/>
        </w:rPr>
        <w:t>Contract;</w:t>
      </w:r>
      <w:proofErr w:type="gramEnd"/>
    </w:p>
    <w:p w14:paraId="2E9C7A1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information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involved in the facilitation and assessment of practice learning on the specific requirements of the practice learning component of each relevant Programme and </w:t>
      </w:r>
      <w:proofErr w:type="gramStart"/>
      <w:r w:rsidRPr="003559F4">
        <w:rPr>
          <w:rFonts w:asciiTheme="minorHAnsi" w:eastAsia="Arial" w:hAnsiTheme="minorHAnsi" w:cstheme="minorHAnsi"/>
          <w:sz w:val="22"/>
          <w:szCs w:val="22"/>
        </w:rPr>
        <w:t>Placement;</w:t>
      </w:r>
      <w:proofErr w:type="gramEnd"/>
    </w:p>
    <w:p w14:paraId="4404340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education resources and/or study days for Placement Provider </w:t>
      </w:r>
      <w:proofErr w:type="gramStart"/>
      <w:r w:rsidRPr="003559F4">
        <w:rPr>
          <w:rFonts w:asciiTheme="minorHAnsi" w:eastAsia="Arial" w:hAnsiTheme="minorHAnsi" w:cstheme="minorHAnsi"/>
          <w:sz w:val="22"/>
          <w:szCs w:val="22"/>
        </w:rPr>
        <w:t>Staff  to</w:t>
      </w:r>
      <w:proofErr w:type="gramEnd"/>
      <w:r w:rsidRPr="003559F4">
        <w:rPr>
          <w:rFonts w:asciiTheme="minorHAnsi" w:eastAsia="Arial" w:hAnsiTheme="minorHAnsi" w:cstheme="minorHAnsi"/>
          <w:sz w:val="22"/>
          <w:szCs w:val="22"/>
        </w:rPr>
        <w:t xml:space="preserve"> develop the competencies that they require to facilitate learning and carry out assessment of Learners in the Premises;</w:t>
      </w:r>
    </w:p>
    <w:p w14:paraId="704C8D1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it will engage with a representative sample of senior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to review:</w:t>
      </w:r>
    </w:p>
    <w:p w14:paraId="43CD8D10" w14:textId="77777777" w:rsidR="00A77730" w:rsidRPr="003559F4" w:rsidRDefault="00A77730" w:rsidP="00A77730">
      <w:pPr>
        <w:pStyle w:val="Level4Number"/>
        <w:rPr>
          <w:rFonts w:asciiTheme="minorHAnsi" w:eastAsia="Arial Unicode MS" w:hAnsiTheme="minorHAnsi" w:cstheme="minorHAnsi"/>
          <w:sz w:val="22"/>
          <w:szCs w:val="22"/>
        </w:rPr>
      </w:pPr>
      <w:r w:rsidRPr="003559F4">
        <w:rPr>
          <w:rFonts w:asciiTheme="minorHAnsi" w:eastAsia="Arial Unicode MS" w:hAnsiTheme="minorHAnsi" w:cstheme="minorHAnsi"/>
          <w:sz w:val="22"/>
          <w:szCs w:val="22"/>
        </w:rPr>
        <w:t xml:space="preserve">the Education Provider’s recruitment and selection policies and </w:t>
      </w:r>
      <w:proofErr w:type="gramStart"/>
      <w:r w:rsidRPr="003559F4">
        <w:rPr>
          <w:rFonts w:asciiTheme="minorHAnsi" w:eastAsia="Arial Unicode MS" w:hAnsiTheme="minorHAnsi" w:cstheme="minorHAnsi"/>
          <w:sz w:val="22"/>
          <w:szCs w:val="22"/>
        </w:rPr>
        <w:t>criteria;</w:t>
      </w:r>
      <w:proofErr w:type="gramEnd"/>
    </w:p>
    <w:p w14:paraId="3FA97342"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curriculum as set by the Education </w:t>
      </w:r>
      <w:proofErr w:type="gramStart"/>
      <w:r w:rsidRPr="003559F4">
        <w:rPr>
          <w:rFonts w:asciiTheme="minorHAnsi" w:eastAsia="Arial" w:hAnsiTheme="minorHAnsi" w:cstheme="minorHAnsi"/>
          <w:sz w:val="22"/>
          <w:szCs w:val="22"/>
        </w:rPr>
        <w:t>Provider;</w:t>
      </w:r>
      <w:proofErr w:type="gramEnd"/>
    </w:p>
    <w:p w14:paraId="62B779A6"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the occupational health or DBS check clearance processes that the Education Provider has in place to screen Learners before they are admitted on a Placement in accordance with clauses 12 and 13 of the NHS Education Contract; and</w:t>
      </w:r>
    </w:p>
    <w:p w14:paraId="33C2CADE"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w:t>
      </w:r>
      <w:proofErr w:type="gramStart"/>
      <w:r w:rsidRPr="003559F4">
        <w:rPr>
          <w:rFonts w:asciiTheme="minorHAnsi" w:eastAsia="Arial" w:hAnsiTheme="minorHAnsi" w:cstheme="minorHAnsi"/>
          <w:sz w:val="22"/>
          <w:szCs w:val="22"/>
        </w:rPr>
        <w:t>inaccuracies;</w:t>
      </w:r>
      <w:bookmarkEnd w:id="1381"/>
      <w:proofErr w:type="gramEnd"/>
    </w:p>
    <w:p w14:paraId="52ED804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Learners are adequately prepared to carry out skills appropriate to the course they are undertaking prior to commencing a </w:t>
      </w:r>
      <w:proofErr w:type="gramStart"/>
      <w:r w:rsidRPr="003559F4">
        <w:rPr>
          <w:rFonts w:asciiTheme="minorHAnsi" w:eastAsia="Arial" w:hAnsiTheme="minorHAnsi" w:cstheme="minorHAnsi"/>
          <w:sz w:val="22"/>
          <w:szCs w:val="22"/>
        </w:rPr>
        <w:t>Placement;</w:t>
      </w:r>
      <w:proofErr w:type="gramEnd"/>
    </w:p>
    <w:p w14:paraId="7C5E6D7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ensure that Learners have met appropriate standards in relation to clinical knowledge and skills commensurate with the Placement undertaken and their stage in their Programme; and</w:t>
      </w:r>
    </w:p>
    <w:p w14:paraId="4D9A7A59"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support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to represent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the delivery of the </w:t>
      </w:r>
      <w:r w:rsidRPr="003559F4">
        <w:rPr>
          <w:rFonts w:asciiTheme="minorHAnsi" w:eastAsia="Arial Unicode MS" w:hAnsiTheme="minorHAnsi" w:cstheme="minorHAnsi"/>
          <w:sz w:val="22"/>
          <w:szCs w:val="22"/>
        </w:rPr>
        <w:t>Education Provider’s practice learning and assessment processes.</w:t>
      </w:r>
    </w:p>
    <w:p w14:paraId="3A547595"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Health and Safety, Occupational Health and </w:t>
      </w:r>
      <w:r w:rsidRPr="003559F4">
        <w:rPr>
          <w:rFonts w:asciiTheme="minorHAnsi" w:hAnsiTheme="minorHAnsi" w:cstheme="minorHAnsi"/>
          <w:sz w:val="22"/>
          <w:szCs w:val="22"/>
        </w:rPr>
        <w:t>Disclosure and Barring Service (DBS)</w:t>
      </w:r>
    </w:p>
    <w:p w14:paraId="552FB96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with the Placement Provider the responsibility for any necessary </w:t>
      </w:r>
      <w:proofErr w:type="gramStart"/>
      <w:r w:rsidRPr="003559F4">
        <w:rPr>
          <w:rFonts w:asciiTheme="minorHAnsi" w:eastAsia="Arial" w:hAnsiTheme="minorHAnsi" w:cstheme="minorHAnsi"/>
          <w:sz w:val="22"/>
          <w:szCs w:val="22"/>
        </w:rPr>
        <w:t>work related</w:t>
      </w:r>
      <w:proofErr w:type="gramEnd"/>
      <w:r w:rsidRPr="003559F4">
        <w:rPr>
          <w:rFonts w:asciiTheme="minorHAnsi" w:eastAsia="Arial" w:hAnsiTheme="minorHAnsi" w:cstheme="minorHAnsi"/>
          <w:sz w:val="22"/>
          <w:szCs w:val="22"/>
        </w:rPr>
        <w:t xml:space="preserve">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  </w:t>
      </w:r>
    </w:p>
    <w:p w14:paraId="22E7BF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receive and evaluate the outcome of the checks and requests for clearances described at clause 2.2.1 </w:t>
      </w:r>
      <w:proofErr w:type="gramStart"/>
      <w:r w:rsidRPr="003559F4">
        <w:rPr>
          <w:rFonts w:asciiTheme="minorHAnsi" w:eastAsia="Arial" w:hAnsiTheme="minorHAnsi" w:cstheme="minorHAnsi"/>
          <w:sz w:val="22"/>
          <w:szCs w:val="22"/>
        </w:rPr>
        <w:t>above, and</w:t>
      </w:r>
      <w:proofErr w:type="gramEnd"/>
      <w:r w:rsidRPr="003559F4">
        <w:rPr>
          <w:rFonts w:asciiTheme="minorHAnsi" w:eastAsia="Arial" w:hAnsiTheme="minorHAnsi" w:cstheme="minorHAnsi"/>
          <w:sz w:val="22"/>
          <w:szCs w:val="22"/>
        </w:rPr>
        <w:t xml:space="preserve"> shall take any necessary action in relation to any Learner before that Learner commences a Placement. The Education Provider shall confirm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that the necessary checks have been performed and are </w:t>
      </w:r>
      <w:proofErr w:type="gramStart"/>
      <w:r w:rsidRPr="003559F4">
        <w:rPr>
          <w:rFonts w:asciiTheme="minorHAnsi" w:eastAsia="Arial" w:hAnsiTheme="minorHAnsi" w:cstheme="minorHAnsi"/>
          <w:sz w:val="22"/>
          <w:szCs w:val="22"/>
        </w:rPr>
        <w:t>up-to-date;</w:t>
      </w:r>
      <w:proofErr w:type="gramEnd"/>
    </w:p>
    <w:p w14:paraId="2FB5846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61A4F2A0" w14:textId="77777777" w:rsidR="00A77730" w:rsidRPr="003559F4" w:rsidRDefault="00A77730" w:rsidP="00A77730">
      <w:pPr>
        <w:pStyle w:val="Level1Heading"/>
        <w:rPr>
          <w:rFonts w:asciiTheme="minorHAnsi" w:eastAsia="Arial" w:hAnsiTheme="minorHAnsi" w:cstheme="minorHAnsi"/>
          <w:sz w:val="22"/>
          <w:szCs w:val="22"/>
        </w:rPr>
      </w:pP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r w:rsidRPr="003559F4">
        <w:rPr>
          <w:rFonts w:asciiTheme="minorHAnsi" w:eastAsia="Arial" w:hAnsiTheme="minorHAnsi" w:cstheme="minorHAnsi"/>
          <w:bCs/>
          <w:sz w:val="22"/>
          <w:szCs w:val="22"/>
        </w:rPr>
        <w:t xml:space="preserve">Responsibilities </w:t>
      </w:r>
    </w:p>
    <w:p w14:paraId="0FFCDF76" w14:textId="77777777" w:rsidR="00A77730" w:rsidRPr="003559F4" w:rsidRDefault="00A77730" w:rsidP="00A77730">
      <w:pPr>
        <w:pStyle w:val="Level2Heading"/>
        <w:rPr>
          <w:rFonts w:asciiTheme="minorHAnsi" w:eastAsia="Arial" w:hAnsiTheme="minorHAnsi" w:cstheme="minorHAnsi"/>
          <w:b w:val="0"/>
          <w:sz w:val="22"/>
          <w:szCs w:val="22"/>
        </w:rPr>
      </w:pPr>
      <w:r w:rsidRPr="003559F4">
        <w:rPr>
          <w:rFonts w:asciiTheme="minorHAnsi" w:hAnsiTheme="minorHAnsi" w:cstheme="minorHAnsi"/>
          <w:b w:val="0"/>
          <w:sz w:val="22"/>
          <w:szCs w:val="22"/>
        </w:rPr>
        <w:t xml:space="preserve">The Placement Provider shall, in addition to its responsibilities set out under its NHS Education Contract with HEE and any TPA that it </w:t>
      </w:r>
      <w:proofErr w:type="gramStart"/>
      <w:r w:rsidRPr="003559F4">
        <w:rPr>
          <w:rFonts w:asciiTheme="minorHAnsi" w:hAnsiTheme="minorHAnsi" w:cstheme="minorHAnsi"/>
          <w:b w:val="0"/>
          <w:sz w:val="22"/>
          <w:szCs w:val="22"/>
        </w:rPr>
        <w:t>enters into</w:t>
      </w:r>
      <w:proofErr w:type="gramEnd"/>
      <w:r w:rsidRPr="003559F4">
        <w:rPr>
          <w:rFonts w:asciiTheme="minorHAnsi" w:hAnsiTheme="minorHAnsi" w:cstheme="minorHAnsi"/>
          <w:b w:val="0"/>
          <w:sz w:val="22"/>
          <w:szCs w:val="22"/>
        </w:rPr>
        <w:t xml:space="preserve"> between HEE and an Education Provider, comply with the following obligations: </w:t>
      </w:r>
    </w:p>
    <w:p w14:paraId="7315649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Facilitation and assessment of Practice Learning</w:t>
      </w:r>
    </w:p>
    <w:p w14:paraId="16C0F3F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all relevant Staff are competent to support Learner learning and assessment, meet </w:t>
      </w:r>
      <w:proofErr w:type="spellStart"/>
      <w:r w:rsidRPr="003559F4">
        <w:rPr>
          <w:rFonts w:asciiTheme="minorHAnsi" w:eastAsia="Arial" w:hAnsiTheme="minorHAnsi" w:cstheme="minorHAnsi"/>
          <w:sz w:val="22"/>
          <w:szCs w:val="22"/>
        </w:rPr>
        <w:t>Regulator</w:t>
      </w:r>
      <w:proofErr w:type="spellEnd"/>
      <w:r w:rsidRPr="003559F4">
        <w:rPr>
          <w:rFonts w:asciiTheme="minorHAnsi" w:eastAsia="Arial" w:hAnsiTheme="minorHAnsi" w:cstheme="minorHAnsi"/>
          <w:sz w:val="22"/>
          <w:szCs w:val="22"/>
        </w:rPr>
        <w:t xml:space="preserve"> requirements and/or are required to commence a programme of continuing professional development after recruitment and preceptorship in order to achieve these competencies (as appropriate</w:t>
      </w:r>
      <w:proofErr w:type="gramStart"/>
      <w:r w:rsidRPr="003559F4">
        <w:rPr>
          <w:rFonts w:asciiTheme="minorHAnsi" w:eastAsia="Arial" w:hAnsiTheme="minorHAnsi" w:cstheme="minorHAnsi"/>
          <w:sz w:val="22"/>
          <w:szCs w:val="22"/>
        </w:rPr>
        <w:t>);</w:t>
      </w:r>
      <w:proofErr w:type="gramEnd"/>
    </w:p>
    <w:p w14:paraId="035AF4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have appropriate educational responsibilities included in their job descriptions and appropriate competencies defined in their job </w:t>
      </w:r>
      <w:proofErr w:type="gramStart"/>
      <w:r w:rsidRPr="003559F4">
        <w:rPr>
          <w:rFonts w:asciiTheme="minorHAnsi" w:eastAsia="Arial" w:hAnsiTheme="minorHAnsi" w:cstheme="minorHAnsi"/>
          <w:sz w:val="22"/>
          <w:szCs w:val="22"/>
        </w:rPr>
        <w:t>specifications;</w:t>
      </w:r>
      <w:proofErr w:type="gramEnd"/>
    </w:p>
    <w:p w14:paraId="5351D44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are appropriately monitored, appraised and reviewed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in relation to the provision of these </w:t>
      </w:r>
      <w:proofErr w:type="gramStart"/>
      <w:r w:rsidRPr="003559F4">
        <w:rPr>
          <w:rFonts w:asciiTheme="minorHAnsi" w:eastAsia="Arial" w:hAnsiTheme="minorHAnsi" w:cstheme="minorHAnsi"/>
          <w:sz w:val="22"/>
          <w:szCs w:val="22"/>
        </w:rPr>
        <w:t>responsibilities;</w:t>
      </w:r>
      <w:proofErr w:type="gramEnd"/>
    </w:p>
    <w:p w14:paraId="054A09D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ensure that the Learners receive:</w:t>
      </w:r>
    </w:p>
    <w:p w14:paraId="0468CA6A"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an appropriate induction and orientation, including local policies and procedures relevant to each Placement; and</w:t>
      </w:r>
    </w:p>
    <w:p w14:paraId="4329EC4B"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feedback on their performance in a time frame appropriate to the activity performed to meet the specified learning outcomes set by the Education Provider with which such Learners are </w:t>
      </w:r>
      <w:proofErr w:type="gramStart"/>
      <w:r w:rsidRPr="003559F4">
        <w:rPr>
          <w:rFonts w:asciiTheme="minorHAnsi" w:eastAsia="Arial" w:hAnsiTheme="minorHAnsi" w:cstheme="minorHAnsi"/>
          <w:sz w:val="22"/>
          <w:szCs w:val="22"/>
        </w:rPr>
        <w:t>enrolled;</w:t>
      </w:r>
      <w:proofErr w:type="gramEnd"/>
    </w:p>
    <w:p w14:paraId="3A5AE46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immediately </w:t>
      </w:r>
      <w:proofErr w:type="gramStart"/>
      <w:r w:rsidRPr="003559F4">
        <w:rPr>
          <w:rFonts w:asciiTheme="minorHAnsi" w:eastAsia="Arial" w:hAnsiTheme="minorHAnsi" w:cstheme="minorHAnsi"/>
          <w:sz w:val="22"/>
          <w:szCs w:val="22"/>
        </w:rPr>
        <w:t>notify  the</w:t>
      </w:r>
      <w:proofErr w:type="gramEnd"/>
      <w:r w:rsidRPr="003559F4">
        <w:rPr>
          <w:rFonts w:asciiTheme="minorHAnsi" w:eastAsia="Arial" w:hAnsiTheme="minorHAnsi" w:cstheme="minorHAnsi"/>
          <w:sz w:val="22"/>
          <w:szCs w:val="22"/>
        </w:rPr>
        <w:t xml:space="preserve">  Education Provider  of  any  Service  provision  changes  that  might  affect  </w:t>
      </w:r>
      <w:r w:rsidRPr="003559F4">
        <w:rPr>
          <w:rFonts w:asciiTheme="minorHAnsi" w:eastAsia="Arial Unicode MS" w:hAnsiTheme="minorHAnsi" w:cstheme="minorHAnsi"/>
          <w:sz w:val="22"/>
          <w:szCs w:val="22"/>
        </w:rPr>
        <w:t xml:space="preserve">Learners ability to meet the learning outcomes agreed with that Education Provider and offer </w:t>
      </w:r>
      <w:r w:rsidRPr="003559F4">
        <w:rPr>
          <w:rFonts w:asciiTheme="minorHAnsi" w:eastAsia="Arial" w:hAnsiTheme="minorHAnsi" w:cstheme="minorHAnsi"/>
          <w:sz w:val="22"/>
          <w:szCs w:val="22"/>
        </w:rPr>
        <w:t>alternative Placements if possible;</w:t>
      </w:r>
    </w:p>
    <w:p w14:paraId="4BF8C6CA"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the assessment of Learners is appropriately moderated as agreed between each Education Provider and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w:t>
      </w:r>
      <w:proofErr w:type="gramEnd"/>
    </w:p>
    <w:p w14:paraId="21EF13E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appropriate and sufficiently qualified </w:t>
      </w:r>
      <w:r w:rsidRPr="003559F4">
        <w:rPr>
          <w:rFonts w:asciiTheme="minorHAnsi" w:hAnsiTheme="minorHAnsi" w:cstheme="minorHAnsi"/>
          <w:sz w:val="22"/>
          <w:szCs w:val="22"/>
        </w:rPr>
        <w:t>Staff</w:t>
      </w:r>
      <w:r w:rsidRPr="003559F4">
        <w:rPr>
          <w:rFonts w:asciiTheme="minorHAnsi" w:eastAsia="Arial" w:hAnsiTheme="minorHAnsi" w:cstheme="minorHAnsi"/>
          <w:sz w:val="22"/>
          <w:szCs w:val="22"/>
        </w:rPr>
        <w:t xml:space="preserve"> available to ensure Learners receive an educationally relevant experience through effective facilitation and assessment of Placements.  This will allow the development and testing of the competencies required to meet the Placement </w:t>
      </w:r>
      <w:proofErr w:type="gramStart"/>
      <w:r w:rsidRPr="003559F4">
        <w:rPr>
          <w:rFonts w:asciiTheme="minorHAnsi" w:eastAsia="Arial" w:hAnsiTheme="minorHAnsi" w:cstheme="minorHAnsi"/>
          <w:sz w:val="22"/>
          <w:szCs w:val="22"/>
        </w:rPr>
        <w:t>outcomes;</w:t>
      </w:r>
      <w:proofErr w:type="gramEnd"/>
    </w:p>
    <w:p w14:paraId="6BDAE9DE" w14:textId="77777777" w:rsidR="00A77730" w:rsidRPr="003559F4" w:rsidRDefault="00A77730" w:rsidP="00A77730">
      <w:pPr>
        <w:pStyle w:val="Level3Number"/>
        <w:rPr>
          <w:rFonts w:asciiTheme="minorHAnsi" w:hAnsiTheme="minorHAnsi" w:cstheme="minorHAnsi"/>
          <w:sz w:val="22"/>
          <w:szCs w:val="22"/>
        </w:rPr>
      </w:pPr>
      <w:proofErr w:type="gramStart"/>
      <w:r w:rsidRPr="003559F4">
        <w:rPr>
          <w:rFonts w:asciiTheme="minorHAnsi" w:eastAsia="Arial" w:hAnsiTheme="minorHAnsi" w:cstheme="minorHAnsi"/>
          <w:sz w:val="22"/>
          <w:szCs w:val="22"/>
        </w:rPr>
        <w:t>encourage  and</w:t>
      </w:r>
      <w:proofErr w:type="gramEnd"/>
      <w:r w:rsidRPr="003559F4">
        <w:rPr>
          <w:rFonts w:asciiTheme="minorHAnsi" w:eastAsia="Arial" w:hAnsiTheme="minorHAnsi" w:cstheme="minorHAnsi"/>
          <w:sz w:val="22"/>
          <w:szCs w:val="22"/>
        </w:rPr>
        <w:t xml:space="preserve">  support  sufficient  and  appropriate  Staff  to  undertake  education and development in the facilitation and assessment of Placements;</w:t>
      </w:r>
    </w:p>
    <w:p w14:paraId="484AD3E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Education Provider Staff are granted access to the </w:t>
      </w:r>
      <w:proofErr w:type="gramStart"/>
      <w:r w:rsidRPr="003559F4">
        <w:rPr>
          <w:rFonts w:asciiTheme="minorHAnsi" w:eastAsia="Arial" w:hAnsiTheme="minorHAnsi" w:cstheme="minorHAnsi"/>
          <w:sz w:val="22"/>
          <w:szCs w:val="22"/>
        </w:rPr>
        <w:t>Learners’</w:t>
      </w:r>
      <w:proofErr w:type="gramEnd"/>
      <w:r w:rsidRPr="003559F4">
        <w:rPr>
          <w:rFonts w:asciiTheme="minorHAnsi" w:eastAsia="Arial" w:hAnsiTheme="minorHAnsi" w:cstheme="minorHAnsi"/>
          <w:sz w:val="22"/>
          <w:szCs w:val="22"/>
        </w:rPr>
        <w:t xml:space="preserve"> on Placements at Placement Provider Premises in order to conduct the assessments referred to in clause 3.2.8 (provided that the relevant Education Provider Staff give reasonable notice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79AFE7E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encourage and support Staff to participate in any disciplinary and appeals process relating to a Learner at the invitation of the Education </w:t>
      </w:r>
      <w:proofErr w:type="gramStart"/>
      <w:r w:rsidRPr="003559F4">
        <w:rPr>
          <w:rFonts w:asciiTheme="minorHAnsi" w:eastAsia="Arial" w:hAnsiTheme="minorHAnsi" w:cstheme="minorHAnsi"/>
          <w:sz w:val="22"/>
          <w:szCs w:val="22"/>
        </w:rPr>
        <w:t>Provider;</w:t>
      </w:r>
      <w:proofErr w:type="gramEnd"/>
    </w:p>
    <w:p w14:paraId="6C60A8D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make available facilities to support Learners undertaking Placements in their clinical practice and/or service areas, including access to multi professional learning resource centres and information services where </w:t>
      </w:r>
      <w:proofErr w:type="gramStart"/>
      <w:r w:rsidRPr="003559F4">
        <w:rPr>
          <w:rFonts w:asciiTheme="minorHAnsi" w:eastAsia="Arial" w:hAnsiTheme="minorHAnsi" w:cstheme="minorHAnsi"/>
          <w:sz w:val="22"/>
          <w:szCs w:val="22"/>
        </w:rPr>
        <w:t>available;</w:t>
      </w:r>
      <w:proofErr w:type="gramEnd"/>
    </w:p>
    <w:p w14:paraId="5339256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ensure that Learners have, where reasonably practical, similar work facilities and amenities to those available to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t>
      </w:r>
      <w:proofErr w:type="gramStart"/>
      <w:r w:rsidRPr="003559F4">
        <w:rPr>
          <w:rFonts w:asciiTheme="minorHAnsi" w:eastAsia="Arial" w:hAnsiTheme="minorHAnsi" w:cstheme="minorHAnsi"/>
          <w:sz w:val="22"/>
          <w:szCs w:val="22"/>
        </w:rPr>
        <w:t>Staff;</w:t>
      </w:r>
      <w:proofErr w:type="gramEnd"/>
    </w:p>
    <w:p w14:paraId="525BD0C8"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that all Premises, facilities and equipment are suitable for the performance of the Services and comply with any applicable health and safety </w:t>
      </w:r>
      <w:proofErr w:type="gramStart"/>
      <w:r w:rsidRPr="003559F4">
        <w:rPr>
          <w:rFonts w:asciiTheme="minorHAnsi" w:eastAsia="Arial" w:hAnsiTheme="minorHAnsi" w:cstheme="minorHAnsi"/>
          <w:sz w:val="22"/>
          <w:szCs w:val="22"/>
        </w:rPr>
        <w:t>legislation;</w:t>
      </w:r>
      <w:proofErr w:type="gramEnd"/>
    </w:p>
    <w:p w14:paraId="27655AA1"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provide access to its Premises to </w:t>
      </w:r>
      <w:proofErr w:type="gramStart"/>
      <w:r w:rsidRPr="003559F4">
        <w:rPr>
          <w:rFonts w:asciiTheme="minorHAnsi" w:eastAsia="Arial" w:hAnsiTheme="minorHAnsi" w:cstheme="minorHAnsi"/>
          <w:sz w:val="22"/>
          <w:szCs w:val="22"/>
        </w:rPr>
        <w:t>external  approving</w:t>
      </w:r>
      <w:proofErr w:type="gramEnd"/>
      <w:r w:rsidRPr="003559F4">
        <w:rPr>
          <w:rFonts w:asciiTheme="minorHAnsi" w:eastAsia="Arial" w:hAnsiTheme="minorHAnsi" w:cstheme="minorHAnsi"/>
          <w:sz w:val="22"/>
          <w:szCs w:val="22"/>
        </w:rPr>
        <w:t xml:space="preserve">  bodies  (e.g.  Health and Care Professions Council, Nursing and Midwifery Council) where it is necessary to inspect Placement provision pertaining to named </w:t>
      </w:r>
      <w:proofErr w:type="gramStart"/>
      <w:r w:rsidRPr="003559F4">
        <w:rPr>
          <w:rFonts w:asciiTheme="minorHAnsi" w:eastAsia="Arial" w:hAnsiTheme="minorHAnsi" w:cstheme="minorHAnsi"/>
          <w:sz w:val="22"/>
          <w:szCs w:val="22"/>
        </w:rPr>
        <w:t>courses;</w:t>
      </w:r>
      <w:proofErr w:type="gramEnd"/>
    </w:p>
    <w:p w14:paraId="7652A163"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Health and Safety, Occupational Health and Criminal Records Bureau Screening</w:t>
      </w:r>
    </w:p>
    <w:p w14:paraId="5B063711"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ensure the health, safety and welfare of Learners undertaking Placements, as they would for </w:t>
      </w:r>
      <w:proofErr w:type="gramStart"/>
      <w:r w:rsidRPr="003559F4">
        <w:rPr>
          <w:rFonts w:asciiTheme="minorHAnsi" w:eastAsia="Arial" w:hAnsiTheme="minorHAnsi" w:cstheme="minorHAnsi"/>
          <w:sz w:val="22"/>
          <w:szCs w:val="22"/>
        </w:rPr>
        <w:t>Staff;</w:t>
      </w:r>
      <w:proofErr w:type="gramEnd"/>
    </w:p>
    <w:p w14:paraId="187B7ACB"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on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health and safety policy as part of the induction to the </w:t>
      </w:r>
      <w:proofErr w:type="gramStart"/>
      <w:r w:rsidRPr="003559F4">
        <w:rPr>
          <w:rFonts w:asciiTheme="minorHAnsi" w:eastAsia="Arial" w:hAnsiTheme="minorHAnsi" w:cstheme="minorHAnsi"/>
          <w:sz w:val="22"/>
          <w:szCs w:val="22"/>
        </w:rPr>
        <w:t>Placement;</w:t>
      </w:r>
      <w:proofErr w:type="gramEnd"/>
    </w:p>
    <w:p w14:paraId="54227BA3"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provide appropriate information to Learners about uniform policy or expected dress code, how to raise a matter of concern and enable Learners to contact senior Staff </w:t>
      </w:r>
      <w:proofErr w:type="gramStart"/>
      <w:r w:rsidRPr="003559F4">
        <w:rPr>
          <w:rFonts w:asciiTheme="minorHAnsi" w:eastAsia="Arial" w:hAnsiTheme="minorHAnsi" w:cstheme="minorHAnsi"/>
          <w:sz w:val="22"/>
          <w:szCs w:val="22"/>
        </w:rPr>
        <w:t>efficiently;</w:t>
      </w:r>
      <w:proofErr w:type="gramEnd"/>
    </w:p>
    <w:p w14:paraId="49EDF76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4939066E"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hAnsiTheme="minorHAnsi" w:cstheme="minorHAnsi"/>
          <w:sz w:val="22"/>
          <w:szCs w:val="22"/>
        </w:rPr>
        <w:t xml:space="preserve">satisfy </w:t>
      </w:r>
      <w:r w:rsidRPr="003559F4">
        <w:rPr>
          <w:rFonts w:asciiTheme="minorHAnsi" w:eastAsia="Arial" w:hAnsiTheme="minorHAnsi" w:cstheme="minorHAnsi"/>
          <w:sz w:val="22"/>
          <w:szCs w:val="22"/>
        </w:rPr>
        <w:t>itself that the procedures adopted by the Education Provider to undertake the checks and clearances are appropriate and accept as valid the DBS checks and occupational health checks carried out by each Education Provider.</w:t>
      </w:r>
    </w:p>
    <w:p w14:paraId="2BB885E6" w14:textId="77777777" w:rsidR="00A77730" w:rsidRPr="003559F4" w:rsidRDefault="00A77730" w:rsidP="00A77730">
      <w:pPr>
        <w:pStyle w:val="Level1Heading"/>
        <w:rPr>
          <w:rFonts w:asciiTheme="minorHAnsi" w:hAnsiTheme="minorHAnsi" w:cstheme="minorHAnsi"/>
          <w:sz w:val="22"/>
          <w:szCs w:val="22"/>
        </w:rPr>
      </w:pPr>
      <w:r w:rsidRPr="003559F4">
        <w:rPr>
          <w:rFonts w:asciiTheme="minorHAnsi" w:hAnsiTheme="minorHAnsi" w:cstheme="minorHAnsi"/>
          <w:sz w:val="22"/>
          <w:szCs w:val="22"/>
        </w:rPr>
        <w:t>Joint</w:t>
      </w:r>
      <w:r w:rsidRPr="003559F4">
        <w:rPr>
          <w:rFonts w:asciiTheme="minorHAnsi" w:eastAsia="Arial" w:hAnsiTheme="minorHAnsi" w:cstheme="minorHAnsi"/>
          <w:sz w:val="22"/>
          <w:szCs w:val="22"/>
        </w:rPr>
        <w:t xml:space="preserve"> Responsibilities</w:t>
      </w:r>
    </w:p>
    <w:p w14:paraId="60F59D8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 Provider and the Education Provider shall, in addition to its responsibilities set out under their respective NHS Education Contracts with HEE and any TPA they </w:t>
      </w:r>
      <w:proofErr w:type="gramStart"/>
      <w:r w:rsidRPr="003559F4">
        <w:rPr>
          <w:rFonts w:asciiTheme="minorHAnsi" w:eastAsia="Arial" w:hAnsiTheme="minorHAnsi" w:cstheme="minorHAnsi"/>
          <w:sz w:val="22"/>
          <w:szCs w:val="22"/>
        </w:rPr>
        <w:t>enter into</w:t>
      </w:r>
      <w:proofErr w:type="gramEnd"/>
      <w:r w:rsidRPr="003559F4">
        <w:rPr>
          <w:rFonts w:asciiTheme="minorHAnsi" w:eastAsia="Arial" w:hAnsiTheme="minorHAnsi" w:cstheme="minorHAnsi"/>
          <w:sz w:val="22"/>
          <w:szCs w:val="22"/>
        </w:rPr>
        <w:t xml:space="preserve"> with HEE, comply with the following joint obligations:</w:t>
      </w:r>
    </w:p>
    <w:p w14:paraId="49A8F6C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Disciplinary Procedure and Fitness to Practice</w:t>
      </w:r>
    </w:p>
    <w:p w14:paraId="720FBC4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Either Party reserves the right to remove a Learner from a Placement in any </w:t>
      </w:r>
      <w:r w:rsidRPr="003559F4">
        <w:rPr>
          <w:rFonts w:asciiTheme="minorHAnsi" w:eastAsia="Arial Unicode MS" w:hAnsiTheme="minorHAnsi" w:cstheme="minorHAnsi"/>
          <w:sz w:val="22"/>
          <w:szCs w:val="22"/>
        </w:rPr>
        <w:t>case where a Party reasonably considers it necessary, having regard to the Learner’s</w:t>
      </w:r>
      <w:r w:rsidRPr="003559F4">
        <w:rPr>
          <w:rFonts w:asciiTheme="minorHAnsi" w:eastAsia="Arial" w:hAnsiTheme="minorHAnsi" w:cstheme="minorHAnsi"/>
          <w:sz w:val="22"/>
          <w:szCs w:val="22"/>
        </w:rPr>
        <w:t xml:space="preserve">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60B6F26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Where it is deemed necessary by the Education Provider (with whom the Learner is enrolled) or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a Learner may be removed from participation in a Placement to allow for the proper investigation of the conduct or professional suitability of that Learner. </w:t>
      </w:r>
      <w:r w:rsidRPr="003559F4">
        <w:rPr>
          <w:rFonts w:asciiTheme="minorHAnsi" w:hAnsiTheme="minorHAnsi" w:cstheme="minorHAnsi"/>
          <w:sz w:val="22"/>
          <w:szCs w:val="22"/>
        </w:rPr>
        <w:t>Such a disclosure will be investigated by the Education Provider, and the Education Provider will take any necessary action using a decision-making process in collaboration with the Placement.</w:t>
      </w:r>
    </w:p>
    <w:p w14:paraId="657DD73E"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In  any  event,  where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removes  a Learner from a Placement, then it shall inform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relevant Education Provider (as appropriate) as soon as is reasonably possible that it has taken such action, and shall make a written record of the reasons for taking such action which shall record all appropriate discussions and consultations and in particular of those discussions and consultations between relevant senior members of staff (of a level of seniority to be agreed between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from time to time) that resulted in such action being taken.</w:t>
      </w:r>
    </w:p>
    <w:p w14:paraId="27B75B7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The Placement Providers</w:t>
      </w:r>
      <w:r w:rsidRPr="003559F4">
        <w:rPr>
          <w:rFonts w:asciiTheme="minorHAnsi" w:eastAsia="Arial" w:hAnsiTheme="minorHAnsi" w:cstheme="minorHAnsi"/>
          <w:sz w:val="22"/>
          <w:szCs w:val="22"/>
        </w:rPr>
        <w:t xml:space="preserve"> shall co-operate with the Education Provider in relation to any disciplinary proceedings or fitness to practice proceedings taken in connection with a Learner.</w:t>
      </w:r>
    </w:p>
    <w:p w14:paraId="403C93F6"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The Education Provider acknowledges that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Staff shall have the right to support a </w:t>
      </w:r>
      <w:proofErr w:type="gramStart"/>
      <w:r w:rsidRPr="003559F4">
        <w:rPr>
          <w:rFonts w:asciiTheme="minorHAnsi" w:eastAsia="Arial" w:hAnsiTheme="minorHAnsi" w:cstheme="minorHAnsi"/>
          <w:sz w:val="22"/>
          <w:szCs w:val="22"/>
        </w:rPr>
        <w:t>Learner, and</w:t>
      </w:r>
      <w:proofErr w:type="gramEnd"/>
      <w:r w:rsidRPr="003559F4">
        <w:rPr>
          <w:rFonts w:asciiTheme="minorHAnsi" w:eastAsia="Arial" w:hAnsiTheme="minorHAnsi" w:cstheme="minorHAnsi"/>
          <w:sz w:val="22"/>
          <w:szCs w:val="22"/>
        </w:rPr>
        <w:t xml:space="preserve"> inform the Education Provider to ensure adequate support is offered from all parties.</w:t>
      </w:r>
    </w:p>
    <w:p w14:paraId="6F0512E4"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any case where disciplinary action is contemplated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the matter shall be referred to the relevant Education Provider (with whom the Learner is enrolled), and, wherever possible, such referral shall be made within two (2) Business Days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w:t>
      </w:r>
    </w:p>
    <w:p w14:paraId="30B29C7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conduct of any disciplinary or Fitness to Practise proceedings will be the sole responsibility of the Education Provider who shall determine the processes to be followed in accordance with its own, and Regulator policies and procedures.</w:t>
      </w:r>
    </w:p>
    <w:p w14:paraId="4F28F0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The Parties shall agree to a joint review of policies and procedures at regular intervals to ensure appropriateness and clarity of responsibilities.</w:t>
      </w:r>
    </w:p>
    <w:p w14:paraId="708ECBE3"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Service User Complaints</w:t>
      </w:r>
    </w:p>
    <w:p w14:paraId="3130AC24"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The Education Provider and the Placement Provider shall co-operate in answering any complaints raised by Service Users in relation to Learner conduct.</w:t>
      </w:r>
    </w:p>
    <w:p w14:paraId="3348B17A"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Training, Feedback and Quality Assurance</w:t>
      </w:r>
    </w:p>
    <w:p w14:paraId="06CD6B58" w14:textId="77777777" w:rsidR="00A77730" w:rsidRPr="003559F4" w:rsidRDefault="00A77730" w:rsidP="00A77730">
      <w:pPr>
        <w:pStyle w:val="BodyText2"/>
        <w:rPr>
          <w:rFonts w:eastAsia="Arial" w:cstheme="minorHAnsi"/>
        </w:rPr>
      </w:pPr>
      <w:r w:rsidRPr="003559F4">
        <w:rPr>
          <w:rFonts w:eastAsia="Arial" w:cstheme="minorHAnsi"/>
        </w:rPr>
        <w:t>The Placement Provider and the Education Provider shall:</w:t>
      </w:r>
    </w:p>
    <w:p w14:paraId="119BB02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hAnsiTheme="minorHAnsi" w:cstheme="minorHAnsi"/>
          <w:sz w:val="22"/>
          <w:szCs w:val="22"/>
        </w:rPr>
        <w:t xml:space="preserve">ensure Learners receive theoretical training by the Education Provider and practical training by the Placement Provider on using any equipment specific to the Placement </w:t>
      </w:r>
      <w:proofErr w:type="gramStart"/>
      <w:r w:rsidRPr="003559F4">
        <w:rPr>
          <w:rFonts w:asciiTheme="minorHAnsi" w:hAnsiTheme="minorHAnsi" w:cstheme="minorHAnsi"/>
          <w:sz w:val="22"/>
          <w:szCs w:val="22"/>
        </w:rPr>
        <w:t>safely;</w:t>
      </w:r>
      <w:proofErr w:type="gramEnd"/>
    </w:p>
    <w:p w14:paraId="1CC200A5"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collect and collate feedback from all Learners, facilitators and a representative sample of relevant Staff on the quality of Learners preparation for practice and the learning opportunities available in </w:t>
      </w:r>
      <w:proofErr w:type="gramStart"/>
      <w:r w:rsidRPr="003559F4">
        <w:rPr>
          <w:rFonts w:asciiTheme="minorHAnsi" w:eastAsia="Arial" w:hAnsiTheme="minorHAnsi" w:cstheme="minorHAnsi"/>
          <w:sz w:val="22"/>
          <w:szCs w:val="22"/>
        </w:rPr>
        <w:t>practice;</w:t>
      </w:r>
      <w:proofErr w:type="gramEnd"/>
    </w:p>
    <w:p w14:paraId="599F750F"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review audits and any relevant Action Plans to address any issues raised between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w:t>
      </w:r>
      <w:proofErr w:type="gramStart"/>
      <w:r w:rsidRPr="003559F4">
        <w:rPr>
          <w:rFonts w:asciiTheme="minorHAnsi" w:eastAsia="Arial" w:hAnsiTheme="minorHAnsi" w:cstheme="minorHAnsi"/>
          <w:sz w:val="22"/>
          <w:szCs w:val="22"/>
        </w:rPr>
        <w:t>Provider;</w:t>
      </w:r>
      <w:proofErr w:type="gramEnd"/>
    </w:p>
    <w:p w14:paraId="555AA65A"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agree an Action Plan for each Programme or Placement to address any areas </w:t>
      </w:r>
      <w:proofErr w:type="gramStart"/>
      <w:r w:rsidRPr="003559F4">
        <w:rPr>
          <w:rFonts w:asciiTheme="minorHAnsi" w:eastAsia="Arial" w:hAnsiTheme="minorHAnsi" w:cstheme="minorHAnsi"/>
          <w:sz w:val="22"/>
          <w:szCs w:val="22"/>
        </w:rPr>
        <w:t>of  risk</w:t>
      </w:r>
      <w:proofErr w:type="gramEnd"/>
      <w:r w:rsidRPr="003559F4">
        <w:rPr>
          <w:rFonts w:asciiTheme="minorHAnsi" w:eastAsia="Arial" w:hAnsiTheme="minorHAnsi" w:cstheme="minorHAnsi"/>
          <w:sz w:val="22"/>
          <w:szCs w:val="22"/>
        </w:rPr>
        <w:t xml:space="preserve">  identified as  part  of  the  audit process;</w:t>
      </w:r>
    </w:p>
    <w:p w14:paraId="11ACA5BD"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attend any meetings in relation to the Placements or pre-qualification programmes undertaken by Learner within the Education </w:t>
      </w:r>
      <w:proofErr w:type="gramStart"/>
      <w:r w:rsidRPr="003559F4">
        <w:rPr>
          <w:rFonts w:asciiTheme="minorHAnsi" w:eastAsia="Arial" w:hAnsiTheme="minorHAnsi" w:cstheme="minorHAnsi"/>
          <w:sz w:val="22"/>
          <w:szCs w:val="22"/>
        </w:rPr>
        <w:t>Provider;</w:t>
      </w:r>
      <w:proofErr w:type="gramEnd"/>
    </w:p>
    <w:p w14:paraId="275EEB60"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endorse/sign off the educational audits and Action Plans for each practice learning area as agreed between the Parties at any such meeting; and</w:t>
      </w:r>
    </w:p>
    <w:p w14:paraId="7F787FB0"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be involved in delivering any matters set out in the Action Plans.</w:t>
      </w:r>
    </w:p>
    <w:p w14:paraId="4CC77D8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 xml:space="preserve">The Parties acknowledge that each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consult at least annually and in advance to agree and identify any Learners attending Placements from each Education Provider during the following year.</w:t>
      </w:r>
    </w:p>
    <w:p w14:paraId="1C273774"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hAnsiTheme="minorHAnsi" w:cstheme="minorHAnsi"/>
          <w:sz w:val="22"/>
          <w:szCs w:val="22"/>
        </w:rPr>
        <w:t>Unlawful Discrimination</w:t>
      </w:r>
    </w:p>
    <w:p w14:paraId="27871257"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 xml:space="preserve">With respect to any Education Provider Staff who will facilitate Learners during Placements, the relevant Education Provider and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shall agree that those members of Education Provider Staff shall each:</w:t>
      </w:r>
    </w:p>
    <w:p w14:paraId="03D76C1A" w14:textId="77777777" w:rsidR="00A77730" w:rsidRPr="003559F4" w:rsidRDefault="00A77730" w:rsidP="00A77730">
      <w:pPr>
        <w:pStyle w:val="Level4Number"/>
        <w:rPr>
          <w:rFonts w:asciiTheme="minorHAnsi" w:eastAsia="Arial" w:hAnsiTheme="minorHAnsi" w:cstheme="minorHAnsi"/>
          <w:sz w:val="22"/>
          <w:szCs w:val="22"/>
        </w:rPr>
      </w:pPr>
      <w:proofErr w:type="gramStart"/>
      <w:r w:rsidRPr="003559F4">
        <w:rPr>
          <w:rFonts w:asciiTheme="minorHAnsi" w:eastAsia="Arial" w:hAnsiTheme="minorHAnsi" w:cstheme="minorHAnsi"/>
          <w:sz w:val="22"/>
          <w:szCs w:val="22"/>
        </w:rPr>
        <w:t>enter into</w:t>
      </w:r>
      <w:proofErr w:type="gramEnd"/>
      <w:r w:rsidRPr="003559F4">
        <w:rPr>
          <w:rFonts w:asciiTheme="minorHAnsi" w:eastAsia="Arial" w:hAnsiTheme="minorHAnsi" w:cstheme="minorHAnsi"/>
          <w:sz w:val="22"/>
          <w:szCs w:val="22"/>
        </w:rPr>
        <w:t xml:space="preserve"> Attendance Arrangements or develop and implement within a reasonable period of time, or be deemed to enter into Attendance Arrangements with the Placement Provider; and</w:t>
      </w:r>
    </w:p>
    <w:p w14:paraId="7A5AC269"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have specific duties and obligations as regards Learner in relation to the facilitation of learning as appropriate.</w:t>
      </w:r>
    </w:p>
    <w:p w14:paraId="06E1335B"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and the Education Provider shall indemnify one another and keep each indemnified for placement activity </w:t>
      </w:r>
      <w:proofErr w:type="gramStart"/>
      <w:r w:rsidRPr="003559F4">
        <w:rPr>
          <w:rFonts w:asciiTheme="minorHAnsi" w:eastAsia="Arial" w:hAnsiTheme="minorHAnsi" w:cstheme="minorHAnsi"/>
          <w:sz w:val="22"/>
          <w:szCs w:val="22"/>
        </w:rPr>
        <w:t>at  all</w:t>
      </w:r>
      <w:proofErr w:type="gramEnd"/>
      <w:r w:rsidRPr="003559F4">
        <w:rPr>
          <w:rFonts w:asciiTheme="minorHAnsi" w:eastAsia="Arial" w:hAnsiTheme="minorHAnsi" w:cstheme="minorHAnsi"/>
          <w:sz w:val="22"/>
          <w:szCs w:val="22"/>
        </w:rPr>
        <w:t xml:space="preserve">  times  against  any  costs,  claims or  liabilities which may arise or are sustained by that Education Provider in consequence of any neglect, act or omission and/or breach of this Placement Agreement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which results in:</w:t>
      </w:r>
    </w:p>
    <w:p w14:paraId="087BCB4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any claim for, or in respect of, the death and/or personal injury of any employee or agent the Education Provider or the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 xml:space="preserve">  or</w:t>
      </w:r>
      <w:proofErr w:type="gramEnd"/>
      <w:r w:rsidRPr="003559F4">
        <w:rPr>
          <w:rFonts w:asciiTheme="minorHAnsi" w:eastAsia="Arial" w:hAnsiTheme="minorHAnsi" w:cstheme="minorHAnsi"/>
          <w:sz w:val="22"/>
          <w:szCs w:val="22"/>
        </w:rPr>
        <w:t xml:space="preserve"> any Learner;</w:t>
      </w:r>
    </w:p>
    <w:p w14:paraId="10314200"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ab/>
        <w:t xml:space="preserve">any claim for, in respect of, the death and/or personal injury of any third party arising out of or in the course of the Services save to the extent caused by any neglect, acts or omissions of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breach of any express provision of this Placement Agreement by the Education Provider or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(as appropriate) or any deliberate act or omission of the Education Provider; and</w:t>
      </w:r>
    </w:p>
    <w:p w14:paraId="4CBDB51E"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any claim by a Learner arising out of or </w:t>
      </w:r>
      <w:proofErr w:type="gramStart"/>
      <w:r w:rsidRPr="003559F4">
        <w:rPr>
          <w:rFonts w:asciiTheme="minorHAnsi" w:eastAsia="Arial" w:hAnsiTheme="minorHAnsi" w:cstheme="minorHAnsi"/>
          <w:sz w:val="22"/>
          <w:szCs w:val="22"/>
        </w:rPr>
        <w:t>in the course of</w:t>
      </w:r>
      <w:proofErr w:type="gramEnd"/>
      <w:r w:rsidRPr="003559F4">
        <w:rPr>
          <w:rFonts w:asciiTheme="minorHAnsi" w:eastAsia="Arial" w:hAnsiTheme="minorHAnsi" w:cstheme="minorHAnsi"/>
          <w:sz w:val="22"/>
          <w:szCs w:val="22"/>
        </w:rPr>
        <w:t xml:space="preserve"> the delivery of the Services.</w:t>
      </w:r>
    </w:p>
    <w:p w14:paraId="24DA25CE" w14:textId="77777777" w:rsidR="00A77730" w:rsidRPr="003559F4" w:rsidRDefault="00A77730" w:rsidP="00A77730">
      <w:pPr>
        <w:pStyle w:val="Level2Heading"/>
        <w:rPr>
          <w:rFonts w:asciiTheme="minorHAnsi" w:hAnsiTheme="minorHAnsi" w:cstheme="minorHAnsi"/>
          <w:sz w:val="22"/>
          <w:szCs w:val="22"/>
        </w:rPr>
      </w:pPr>
      <w:r w:rsidRPr="003559F4">
        <w:rPr>
          <w:rFonts w:asciiTheme="minorHAnsi" w:eastAsia="Arial" w:hAnsiTheme="minorHAnsi" w:cstheme="minorHAnsi"/>
          <w:sz w:val="22"/>
          <w:szCs w:val="22"/>
        </w:rPr>
        <w:t>Termination</w:t>
      </w:r>
    </w:p>
    <w:p w14:paraId="5FE90482" w14:textId="77777777" w:rsidR="00A77730" w:rsidRPr="003559F4" w:rsidRDefault="00A77730" w:rsidP="00A77730">
      <w:pPr>
        <w:pStyle w:val="Level3Number"/>
        <w:rPr>
          <w:rFonts w:asciiTheme="minorHAnsi" w:hAnsiTheme="minorHAnsi" w:cstheme="minorHAnsi"/>
          <w:sz w:val="22"/>
          <w:szCs w:val="22"/>
        </w:rPr>
      </w:pPr>
      <w:r w:rsidRPr="003559F4">
        <w:rPr>
          <w:rFonts w:asciiTheme="minorHAnsi" w:eastAsia="Arial" w:hAnsiTheme="minorHAnsi" w:cstheme="minorHAnsi"/>
          <w:sz w:val="22"/>
          <w:szCs w:val="22"/>
        </w:rPr>
        <w:t>This Placement Agreement or part of the Placement Agreement may be terminated immediately by agreement of the Parties where:</w:t>
      </w:r>
    </w:p>
    <w:p w14:paraId="095EE3AB"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t xml:space="preserve">the Placements are no longer offered by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have ceased to be required by the Education Provider; or</w:t>
      </w:r>
    </w:p>
    <w:p w14:paraId="1850D4F1"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sz w:val="22"/>
          <w:szCs w:val="22"/>
        </w:rPr>
        <w:lastRenderedPageBreak/>
        <w:t xml:space="preserve">either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commits a material or persistent breach of the NHS Education Contract, TPA or Placement Agreement that adversely impacts on the other party; or</w:t>
      </w:r>
    </w:p>
    <w:p w14:paraId="7005CF67" w14:textId="77777777" w:rsidR="00A77730" w:rsidRPr="003559F4" w:rsidRDefault="00A77730" w:rsidP="00A77730">
      <w:pPr>
        <w:pStyle w:val="Level4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either the </w:t>
      </w:r>
      <w:r w:rsidRPr="003559F4">
        <w:rPr>
          <w:rFonts w:asciiTheme="minorHAnsi" w:hAnsiTheme="minorHAnsi" w:cstheme="minorHAnsi"/>
          <w:sz w:val="22"/>
          <w:szCs w:val="22"/>
        </w:rPr>
        <w:t xml:space="preserve">Placement </w:t>
      </w:r>
      <w:proofErr w:type="gramStart"/>
      <w:r w:rsidRPr="003559F4">
        <w:rPr>
          <w:rFonts w:asciiTheme="minorHAnsi" w:hAnsiTheme="minorHAnsi" w:cstheme="minorHAnsi"/>
          <w:sz w:val="22"/>
          <w:szCs w:val="22"/>
        </w:rPr>
        <w:t>Provider</w:t>
      </w:r>
      <w:r w:rsidRPr="003559F4">
        <w:rPr>
          <w:rFonts w:asciiTheme="minorHAnsi" w:eastAsia="Arial" w:hAnsiTheme="minorHAnsi" w:cstheme="minorHAnsi"/>
          <w:sz w:val="22"/>
          <w:szCs w:val="22"/>
        </w:rPr>
        <w:t xml:space="preserve">  or</w:t>
      </w:r>
      <w:proofErr w:type="gramEnd"/>
      <w:r w:rsidRPr="003559F4">
        <w:rPr>
          <w:rFonts w:asciiTheme="minorHAnsi" w:eastAsia="Arial" w:hAnsiTheme="minorHAnsi" w:cstheme="minorHAnsi"/>
          <w:sz w:val="22"/>
          <w:szCs w:val="22"/>
        </w:rPr>
        <w:t xml:space="preserve">  the  Education Provider commits a material or persistent breach of the NHS Education Contract, TPA or Placement Agreement that adversely impacts on the other party; or</w:t>
      </w:r>
    </w:p>
    <w:p w14:paraId="29F2A8EA" w14:textId="77777777" w:rsidR="00A77730" w:rsidRPr="003559F4" w:rsidRDefault="00A77730" w:rsidP="00A77730">
      <w:pPr>
        <w:pStyle w:val="Level4Number"/>
        <w:rPr>
          <w:rFonts w:asciiTheme="minorHAnsi" w:hAnsiTheme="minorHAnsi" w:cstheme="minorHAnsi"/>
          <w:sz w:val="22"/>
          <w:szCs w:val="22"/>
        </w:rPr>
      </w:pPr>
      <w:r w:rsidRPr="003559F4">
        <w:rPr>
          <w:rFonts w:asciiTheme="minorHAnsi" w:eastAsia="Arial" w:hAnsiTheme="minorHAnsi" w:cstheme="minorHAnsi"/>
          <w:bCs/>
          <w:sz w:val="22"/>
          <w:szCs w:val="22"/>
        </w:rPr>
        <w:t>a dispute is not</w:t>
      </w:r>
      <w:r w:rsidRPr="003559F4">
        <w:rPr>
          <w:rFonts w:asciiTheme="minorHAnsi" w:eastAsia="Arial" w:hAnsiTheme="minorHAnsi" w:cstheme="minorHAnsi"/>
          <w:sz w:val="22"/>
          <w:szCs w:val="22"/>
        </w:rPr>
        <w:t xml:space="preserve"> remedied to the satisfaction of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within three (3) months of a notice in writing to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or the Education Provider (as appropriate) requesting its/their remedy.</w:t>
      </w:r>
    </w:p>
    <w:p w14:paraId="5D46F4A5"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In the event of early termination in whole or in part,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be required to share such information as the Education Provider deems relevant to any successor organisation.</w:t>
      </w:r>
    </w:p>
    <w:p w14:paraId="06243D6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Confidential Information</w:t>
      </w:r>
    </w:p>
    <w:p w14:paraId="37545BA1" w14:textId="77777777" w:rsidR="00A77730" w:rsidRPr="003559F4" w:rsidRDefault="00A77730" w:rsidP="00A77730">
      <w:pPr>
        <w:pStyle w:val="BodyText2"/>
        <w:rPr>
          <w:rFonts w:eastAsia="Arial" w:cstheme="minorHAnsi"/>
        </w:rPr>
      </w:pPr>
      <w:r w:rsidRPr="003559F4">
        <w:rPr>
          <w:rFonts w:eastAsia="Arial" w:cstheme="minorHAnsi"/>
        </w:rPr>
        <w:t xml:space="preserve">The terms of clause 34 of the NHS Education Contract shall apply between the Parties as if incorporated in this Placement Agreement. </w:t>
      </w:r>
    </w:p>
    <w:p w14:paraId="3A4C06B5"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Data Protection</w:t>
      </w:r>
    </w:p>
    <w:p w14:paraId="11AA11B8" w14:textId="77777777" w:rsidR="00A77730" w:rsidRPr="003559F4" w:rsidRDefault="00A77730" w:rsidP="00A77730">
      <w:pPr>
        <w:pStyle w:val="BodyText2"/>
        <w:rPr>
          <w:rFonts w:eastAsia="Arial" w:cstheme="minorHAnsi"/>
        </w:rPr>
      </w:pPr>
      <w:r w:rsidRPr="003559F4">
        <w:rPr>
          <w:rFonts w:eastAsia="Arial" w:cstheme="minorHAnsi"/>
        </w:rPr>
        <w:t>The terms of clause 33 of the NHS Education Contract shall apply between the Parties as if incorporated in this Placement Agreement.</w:t>
      </w:r>
      <w:r w:rsidRPr="003559F4" w:rsidDel="005E257C">
        <w:rPr>
          <w:rStyle w:val="CommentReference"/>
          <w:rFonts w:asciiTheme="minorHAnsi" w:hAnsiTheme="minorHAnsi" w:cstheme="minorHAnsi"/>
          <w:sz w:val="22"/>
          <w:szCs w:val="22"/>
          <w:lang w:bidi="he-IL"/>
        </w:rPr>
        <w:t xml:space="preserve"> </w:t>
      </w:r>
    </w:p>
    <w:p w14:paraId="447669A7"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Freedom of Information</w:t>
      </w:r>
    </w:p>
    <w:p w14:paraId="0DC01326" w14:textId="77777777" w:rsidR="00A77730" w:rsidRPr="003559F4" w:rsidRDefault="00A77730" w:rsidP="00A77730">
      <w:pPr>
        <w:pStyle w:val="BodyText2"/>
        <w:rPr>
          <w:rFonts w:cstheme="minorHAnsi"/>
        </w:rPr>
      </w:pPr>
      <w:r w:rsidRPr="003559F4">
        <w:rPr>
          <w:rFonts w:eastAsia="Arial" w:cstheme="minorHAnsi"/>
        </w:rPr>
        <w:t>The</w:t>
      </w:r>
      <w:r w:rsidRPr="003559F4">
        <w:rPr>
          <w:rFonts w:cstheme="minorHAnsi"/>
        </w:rPr>
        <w:t xml:space="preserve"> terms of clause 32 of the NHS Education Contract shall apply between the Parties as if </w:t>
      </w:r>
      <w:r w:rsidRPr="003559F4">
        <w:rPr>
          <w:rFonts w:eastAsia="Arial" w:cstheme="minorHAnsi"/>
        </w:rPr>
        <w:t>incorporated</w:t>
      </w:r>
      <w:r w:rsidRPr="003559F4">
        <w:rPr>
          <w:rFonts w:cstheme="minorHAnsi"/>
        </w:rPr>
        <w:t xml:space="preserve"> in this Placement Agreement.  </w:t>
      </w:r>
    </w:p>
    <w:p w14:paraId="1CAB465D"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Agreement duration</w:t>
      </w:r>
    </w:p>
    <w:p w14:paraId="71B7220B" w14:textId="77777777" w:rsidR="00A77730" w:rsidRPr="003559F4" w:rsidRDefault="00A77730" w:rsidP="00A77730">
      <w:pPr>
        <w:pStyle w:val="BodyText2"/>
        <w:rPr>
          <w:rFonts w:cstheme="minorHAnsi"/>
        </w:rPr>
      </w:pPr>
      <w:r w:rsidRPr="003559F4">
        <w:rPr>
          <w:rFonts w:eastAsia="Arial" w:cstheme="minorHAnsi"/>
        </w:rPr>
        <w:t>This Placement Agreement shall take effect for the Term of the NHS Education Contract.</w:t>
      </w:r>
    </w:p>
    <w:p w14:paraId="19A1EC0C"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Disputes </w:t>
      </w:r>
    </w:p>
    <w:p w14:paraId="73E93923"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Education Provider and the </w:t>
      </w:r>
      <w:r w:rsidRPr="003559F4">
        <w:rPr>
          <w:rFonts w:asciiTheme="minorHAnsi" w:hAnsiTheme="minorHAnsi" w:cstheme="minorHAnsi"/>
          <w:sz w:val="22"/>
          <w:szCs w:val="22"/>
        </w:rPr>
        <w:t>Placement Provider</w:t>
      </w:r>
      <w:r w:rsidRPr="003559F4">
        <w:rPr>
          <w:rFonts w:asciiTheme="minorHAnsi" w:eastAsia="Arial" w:hAnsiTheme="minorHAnsi" w:cstheme="minorHAnsi"/>
          <w:sz w:val="22"/>
          <w:szCs w:val="22"/>
        </w:rPr>
        <w:t xml:space="preserve"> will attempt in good faith to resolve any Dispute or claim arising out of or relating to this Placement Agreement promptly through negotiation between their authorised representatives.</w:t>
      </w:r>
    </w:p>
    <w:p w14:paraId="5541D712" w14:textId="77777777" w:rsidR="00A77730" w:rsidRPr="003559F4" w:rsidRDefault="00A77730" w:rsidP="00A77730">
      <w:pPr>
        <w:pStyle w:val="Level3Number"/>
        <w:rPr>
          <w:rFonts w:asciiTheme="minorHAnsi" w:eastAsia="Arial" w:hAnsiTheme="minorHAnsi" w:cstheme="minorHAnsi"/>
          <w:sz w:val="22"/>
          <w:szCs w:val="22"/>
        </w:rPr>
      </w:pPr>
      <w:r w:rsidRPr="003559F4">
        <w:rPr>
          <w:rFonts w:asciiTheme="minorHAnsi" w:eastAsia="Arial" w:hAnsiTheme="minorHAnsi" w:cstheme="minorHAnsi"/>
          <w:sz w:val="22"/>
          <w:szCs w:val="22"/>
        </w:rPr>
        <w:t xml:space="preserve">The Parties shall follow the process set out in clause 62 of the NHS Education Contract for resolving any Disputes. </w:t>
      </w:r>
    </w:p>
    <w:p w14:paraId="59E4A1FB" w14:textId="77777777" w:rsidR="00A77730" w:rsidRPr="003559F4" w:rsidRDefault="00A77730" w:rsidP="00A77730">
      <w:pPr>
        <w:pStyle w:val="Level2Heading"/>
        <w:rPr>
          <w:rFonts w:asciiTheme="minorHAnsi" w:eastAsia="Arial" w:hAnsiTheme="minorHAnsi" w:cstheme="minorHAnsi"/>
          <w:sz w:val="22"/>
          <w:szCs w:val="22"/>
        </w:rPr>
      </w:pPr>
      <w:r w:rsidRPr="003559F4">
        <w:rPr>
          <w:rFonts w:asciiTheme="minorHAnsi" w:eastAsia="Arial" w:hAnsiTheme="minorHAnsi" w:cstheme="minorHAnsi"/>
          <w:sz w:val="22"/>
          <w:szCs w:val="22"/>
        </w:rPr>
        <w:lastRenderedPageBreak/>
        <w:t>Variation</w:t>
      </w:r>
    </w:p>
    <w:p w14:paraId="33270F39" w14:textId="77777777" w:rsidR="00A77730" w:rsidRPr="003559F4" w:rsidRDefault="00A77730" w:rsidP="00A77730">
      <w:pPr>
        <w:pStyle w:val="BodyText2"/>
        <w:rPr>
          <w:rFonts w:eastAsia="Arial" w:cstheme="minorHAnsi"/>
        </w:rPr>
      </w:pPr>
      <w:r w:rsidRPr="003559F4">
        <w:rPr>
          <w:rFonts w:eastAsia="Arial" w:cstheme="minorHAnsi"/>
        </w:rPr>
        <w:t>This Placement Agreement may be amended in whole or in part at any time by an agreement in writing, as per Annex 1.</w:t>
      </w:r>
    </w:p>
    <w:p w14:paraId="7C7FCCE7"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Governing law </w:t>
      </w:r>
    </w:p>
    <w:p w14:paraId="4DE4B9E5"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This Placement Agreement and any dispute or claim (including non-contractual disputes or claims) arising out of or in connection with it or its subject matter or formation shall be governed by and construed in accordance with the law of England and Wales. </w:t>
      </w:r>
    </w:p>
    <w:p w14:paraId="5ABC6952" w14:textId="77777777" w:rsidR="00A77730" w:rsidRPr="003559F4" w:rsidRDefault="00A77730" w:rsidP="00A77730">
      <w:pPr>
        <w:pStyle w:val="Level1Number"/>
        <w:rPr>
          <w:rFonts w:asciiTheme="minorHAnsi" w:eastAsia="Arial" w:hAnsiTheme="minorHAnsi" w:cstheme="minorHAnsi"/>
          <w:b/>
          <w:sz w:val="22"/>
          <w:szCs w:val="22"/>
        </w:rPr>
      </w:pPr>
      <w:r w:rsidRPr="003559F4">
        <w:rPr>
          <w:rFonts w:asciiTheme="minorHAnsi" w:hAnsiTheme="minorHAnsi" w:cstheme="minorHAnsi"/>
          <w:b/>
          <w:sz w:val="22"/>
          <w:szCs w:val="22"/>
        </w:rPr>
        <w:t xml:space="preserve">Jurisdiction </w:t>
      </w:r>
    </w:p>
    <w:p w14:paraId="0921548C" w14:textId="77777777" w:rsidR="00A77730" w:rsidRPr="003559F4" w:rsidRDefault="00A77730" w:rsidP="00A77730">
      <w:pPr>
        <w:pStyle w:val="Level2Number"/>
        <w:rPr>
          <w:rFonts w:asciiTheme="minorHAnsi" w:eastAsia="Arial" w:hAnsiTheme="minorHAnsi" w:cstheme="minorHAnsi"/>
          <w:sz w:val="22"/>
          <w:szCs w:val="22"/>
        </w:rPr>
      </w:pPr>
      <w:r w:rsidRPr="003559F4">
        <w:rPr>
          <w:rFonts w:asciiTheme="minorHAnsi" w:hAnsiTheme="minorHAnsi" w:cstheme="minorHAnsi"/>
          <w:sz w:val="22"/>
          <w:szCs w:val="22"/>
        </w:rPr>
        <w:t xml:space="preserve">Each Party irrevocably agrees that the courts of England and Wales shall have exclusive jurisdiction to settle any dispute or claim (including non-contractual disputes or claims) arising out of or in connection with this Placement Agreement or its subject matter or formation. </w:t>
      </w:r>
    </w:p>
    <w:p w14:paraId="5EB52599" w14:textId="77777777" w:rsidR="00A77730" w:rsidRPr="003559F4" w:rsidRDefault="00A77730" w:rsidP="00A77730">
      <w:pPr>
        <w:pStyle w:val="Level2Number"/>
        <w:numPr>
          <w:ilvl w:val="0"/>
          <w:numId w:val="0"/>
        </w:numPr>
        <w:ind w:left="720"/>
        <w:rPr>
          <w:rFonts w:asciiTheme="minorHAnsi" w:eastAsia="Arial" w:hAnsiTheme="minorHAnsi" w:cstheme="minorHAnsi"/>
          <w:sz w:val="22"/>
          <w:szCs w:val="22"/>
        </w:rPr>
      </w:pPr>
      <w:r w:rsidRPr="003559F4">
        <w:rPr>
          <w:rFonts w:asciiTheme="minorHAnsi" w:hAnsiTheme="minorHAnsi" w:cstheme="minorHAnsi"/>
          <w:sz w:val="22"/>
          <w:szCs w:val="22"/>
        </w:rPr>
        <w:t>This Placement Agreement has been entered into on the date stated at the beginning of it.</w:t>
      </w:r>
    </w:p>
    <w:p w14:paraId="667034E6"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EDUCATION PROVIDER]</w:t>
      </w:r>
    </w:p>
    <w:p w14:paraId="79AA3EFB"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133F24D0"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Date:</w:t>
      </w:r>
    </w:p>
    <w:p w14:paraId="7873FC54"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Signed by [NAME OF DIRECTOR] for an on behalf of [NAME OF PLACEMENT PROVIDER]</w:t>
      </w:r>
    </w:p>
    <w:p w14:paraId="14A40845" w14:textId="77777777" w:rsidR="00A77730" w:rsidRPr="003559F4" w:rsidRDefault="00A77730" w:rsidP="00A77730">
      <w:pPr>
        <w:pStyle w:val="BodyText1"/>
        <w:rPr>
          <w:rFonts w:asciiTheme="minorHAnsi" w:eastAsia="Arial" w:hAnsiTheme="minorHAnsi" w:cstheme="minorHAnsi"/>
          <w:sz w:val="22"/>
          <w:szCs w:val="22"/>
          <w:highlight w:val="cyan"/>
        </w:rPr>
      </w:pPr>
      <w:r w:rsidRPr="003559F4">
        <w:rPr>
          <w:rFonts w:asciiTheme="minorHAnsi" w:eastAsia="Arial" w:hAnsiTheme="minorHAnsi" w:cstheme="minorHAnsi"/>
          <w:sz w:val="22"/>
          <w:szCs w:val="22"/>
          <w:highlight w:val="cyan"/>
        </w:rPr>
        <w:t>Signature:</w:t>
      </w:r>
    </w:p>
    <w:p w14:paraId="73DE0C51" w14:textId="77777777" w:rsidR="00A77730" w:rsidRPr="003559F4" w:rsidRDefault="00A77730" w:rsidP="00A77730">
      <w:pPr>
        <w:pStyle w:val="BodyText1"/>
        <w:rPr>
          <w:rFonts w:asciiTheme="minorHAnsi" w:eastAsia="Arial" w:hAnsiTheme="minorHAnsi" w:cstheme="minorHAnsi"/>
          <w:sz w:val="22"/>
          <w:szCs w:val="22"/>
        </w:rPr>
      </w:pPr>
      <w:r w:rsidRPr="003559F4">
        <w:rPr>
          <w:rFonts w:asciiTheme="minorHAnsi" w:eastAsia="Arial" w:hAnsiTheme="minorHAnsi" w:cstheme="minorHAnsi"/>
          <w:sz w:val="22"/>
          <w:szCs w:val="22"/>
          <w:highlight w:val="cyan"/>
        </w:rPr>
        <w:t>Date:</w:t>
      </w:r>
    </w:p>
    <w:p w14:paraId="288B63AE" w14:textId="77777777" w:rsidR="00A77730" w:rsidRPr="003559F4" w:rsidRDefault="00A77730" w:rsidP="00A77730">
      <w:pPr>
        <w:pStyle w:val="BodyText1"/>
        <w:rPr>
          <w:rFonts w:asciiTheme="minorHAnsi" w:eastAsia="Arial" w:hAnsiTheme="minorHAnsi" w:cstheme="minorHAnsi"/>
          <w:sz w:val="22"/>
          <w:szCs w:val="22"/>
        </w:rPr>
      </w:pPr>
    </w:p>
    <w:p w14:paraId="067BE58D" w14:textId="77777777" w:rsidR="00A77730" w:rsidRPr="003559F4" w:rsidRDefault="00A77730" w:rsidP="00A77730">
      <w:pPr>
        <w:pStyle w:val="BodyText1"/>
        <w:rPr>
          <w:rFonts w:asciiTheme="minorHAnsi" w:eastAsia="Arial" w:hAnsiTheme="minorHAnsi" w:cstheme="minorHAnsi"/>
          <w:sz w:val="22"/>
          <w:szCs w:val="22"/>
        </w:rPr>
      </w:pPr>
    </w:p>
    <w:p w14:paraId="5A2215CF" w14:textId="77777777" w:rsidR="00A77730" w:rsidRPr="003559F4" w:rsidRDefault="00A77730" w:rsidP="00A77730">
      <w:pPr>
        <w:pStyle w:val="BodyText1"/>
        <w:rPr>
          <w:rFonts w:asciiTheme="minorHAnsi" w:eastAsia="Arial" w:hAnsiTheme="minorHAnsi" w:cstheme="minorHAnsi"/>
          <w:sz w:val="22"/>
          <w:szCs w:val="22"/>
        </w:rPr>
      </w:pPr>
    </w:p>
    <w:p w14:paraId="68AB79E4" w14:textId="77777777" w:rsidR="00A77730" w:rsidRPr="003559F4" w:rsidRDefault="00A77730" w:rsidP="00A77730">
      <w:pPr>
        <w:pStyle w:val="BodyText1"/>
        <w:rPr>
          <w:rFonts w:asciiTheme="minorHAnsi" w:eastAsia="Arial" w:hAnsiTheme="minorHAnsi" w:cstheme="minorHAnsi"/>
          <w:sz w:val="22"/>
          <w:szCs w:val="22"/>
        </w:rPr>
      </w:pPr>
    </w:p>
    <w:p w14:paraId="15701BEA" w14:textId="77777777" w:rsidR="00A77730" w:rsidRPr="003559F4" w:rsidRDefault="00A77730" w:rsidP="00A77730">
      <w:pPr>
        <w:pStyle w:val="BodyText1"/>
        <w:rPr>
          <w:rFonts w:asciiTheme="minorHAnsi" w:eastAsia="Arial" w:hAnsiTheme="minorHAnsi" w:cstheme="minorHAnsi"/>
          <w:sz w:val="22"/>
          <w:szCs w:val="22"/>
        </w:rPr>
      </w:pPr>
    </w:p>
    <w:p w14:paraId="08EB8BB2" w14:textId="4DA9BBD8" w:rsidR="00A235EF" w:rsidRDefault="00A235EF">
      <w:pPr>
        <w:spacing w:after="0" w:line="240" w:lineRule="auto"/>
        <w:rPr>
          <w:rFonts w:eastAsia="Arial" w:cstheme="minorHAnsi"/>
          <w:lang w:val="en-GB" w:eastAsia="zh-CN" w:bidi="he-IL"/>
        </w:rPr>
      </w:pPr>
      <w:r>
        <w:rPr>
          <w:rFonts w:eastAsia="Arial" w:cstheme="minorHAnsi"/>
        </w:rPr>
        <w:br w:type="page"/>
      </w:r>
    </w:p>
    <w:p w14:paraId="4F5ADB2B" w14:textId="77777777" w:rsidR="00A77730" w:rsidRPr="003559F4" w:rsidRDefault="00A77730" w:rsidP="00A77730">
      <w:pPr>
        <w:numPr>
          <w:ilvl w:val="0"/>
          <w:numId w:val="76"/>
        </w:numPr>
        <w:tabs>
          <w:tab w:val="clear" w:pos="720"/>
        </w:tabs>
        <w:spacing w:after="240" w:line="240" w:lineRule="auto"/>
        <w:jc w:val="both"/>
        <w:rPr>
          <w:rFonts w:cstheme="minorHAnsi"/>
          <w:b/>
          <w:bCs/>
        </w:rPr>
      </w:pPr>
      <w:r w:rsidRPr="003559F4">
        <w:rPr>
          <w:rFonts w:cstheme="minorHAnsi"/>
          <w:b/>
          <w:bCs/>
        </w:rPr>
        <w:lastRenderedPageBreak/>
        <w:t>Annex 1</w:t>
      </w:r>
    </w:p>
    <w:p w14:paraId="6B96E09A" w14:textId="77777777" w:rsidR="00A77730" w:rsidRPr="003559F4" w:rsidRDefault="00A77730" w:rsidP="00A77730">
      <w:pPr>
        <w:rPr>
          <w:rFonts w:cstheme="minorHAnsi"/>
          <w:b/>
        </w:rPr>
      </w:pPr>
      <w:r w:rsidRPr="003559F4">
        <w:rPr>
          <w:rFonts w:cstheme="minorHAnsi"/>
          <w:b/>
        </w:rPr>
        <w:t>Change Control Notice Number:</w:t>
      </w:r>
    </w:p>
    <w:p w14:paraId="163367F0" w14:textId="77777777" w:rsidR="00A77730" w:rsidRPr="003559F4" w:rsidRDefault="00A77730" w:rsidP="00A77730">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A77730" w:rsidRPr="003559F4" w14:paraId="61A71F4A" w14:textId="77777777" w:rsidTr="00787AEE">
        <w:tc>
          <w:tcPr>
            <w:tcW w:w="2943" w:type="dxa"/>
            <w:shd w:val="clear" w:color="auto" w:fill="auto"/>
          </w:tcPr>
          <w:p w14:paraId="4D271C8E" w14:textId="77777777" w:rsidR="00A77730" w:rsidRPr="003559F4" w:rsidRDefault="00A77730" w:rsidP="00787AEE">
            <w:pPr>
              <w:rPr>
                <w:rFonts w:cstheme="minorHAnsi"/>
                <w:b/>
              </w:rPr>
            </w:pPr>
            <w:r w:rsidRPr="003559F4">
              <w:rPr>
                <w:rFonts w:cstheme="minorHAnsi"/>
                <w:b/>
              </w:rPr>
              <w:t>Title of Change</w:t>
            </w:r>
          </w:p>
        </w:tc>
        <w:tc>
          <w:tcPr>
            <w:tcW w:w="6299" w:type="dxa"/>
            <w:shd w:val="clear" w:color="auto" w:fill="auto"/>
          </w:tcPr>
          <w:p w14:paraId="707F6087" w14:textId="77777777" w:rsidR="00A77730" w:rsidRPr="003559F4" w:rsidRDefault="00A77730" w:rsidP="00787AEE">
            <w:pPr>
              <w:rPr>
                <w:rFonts w:cstheme="minorHAnsi"/>
              </w:rPr>
            </w:pPr>
          </w:p>
        </w:tc>
      </w:tr>
    </w:tbl>
    <w:p w14:paraId="63684AA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A77730" w:rsidRPr="003559F4" w14:paraId="550650AB" w14:textId="77777777" w:rsidTr="00787AEE">
        <w:tc>
          <w:tcPr>
            <w:tcW w:w="9242" w:type="dxa"/>
            <w:gridSpan w:val="3"/>
            <w:shd w:val="clear" w:color="auto" w:fill="FFFFFF"/>
          </w:tcPr>
          <w:p w14:paraId="3304AA4E" w14:textId="77777777" w:rsidR="00A77730" w:rsidRPr="003559F4" w:rsidRDefault="00A77730" w:rsidP="00787AEE">
            <w:pPr>
              <w:rPr>
                <w:rFonts w:cstheme="minorHAnsi"/>
                <w:b/>
              </w:rPr>
            </w:pPr>
            <w:r w:rsidRPr="003559F4">
              <w:rPr>
                <w:rFonts w:cstheme="minorHAnsi"/>
                <w:b/>
              </w:rPr>
              <w:t>Change Control Notice (CCN to the following agreement):</w:t>
            </w:r>
          </w:p>
        </w:tc>
      </w:tr>
      <w:tr w:rsidR="00A77730" w:rsidRPr="003559F4" w14:paraId="15C9ACB9" w14:textId="77777777" w:rsidTr="00787AEE">
        <w:tc>
          <w:tcPr>
            <w:tcW w:w="6345" w:type="dxa"/>
            <w:gridSpan w:val="2"/>
            <w:shd w:val="clear" w:color="auto" w:fill="FFFFFF"/>
          </w:tcPr>
          <w:p w14:paraId="6E51A442" w14:textId="77777777" w:rsidR="00A77730" w:rsidRPr="003559F4" w:rsidRDefault="00A77730" w:rsidP="00787AEE">
            <w:pPr>
              <w:rPr>
                <w:rFonts w:cstheme="minorHAnsi"/>
                <w:b/>
              </w:rPr>
            </w:pPr>
            <w:r w:rsidRPr="003559F4">
              <w:rPr>
                <w:rFonts w:cstheme="minorHAnsi"/>
                <w:b/>
              </w:rPr>
              <w:t>Agreement name</w:t>
            </w:r>
          </w:p>
        </w:tc>
        <w:tc>
          <w:tcPr>
            <w:tcW w:w="2897" w:type="dxa"/>
            <w:shd w:val="clear" w:color="auto" w:fill="FFFFFF"/>
          </w:tcPr>
          <w:p w14:paraId="4D1766A5" w14:textId="77777777" w:rsidR="00A77730" w:rsidRPr="003559F4" w:rsidRDefault="00A77730" w:rsidP="00787AEE">
            <w:pPr>
              <w:rPr>
                <w:rFonts w:cstheme="minorHAnsi"/>
                <w:b/>
              </w:rPr>
            </w:pPr>
            <w:r w:rsidRPr="003559F4">
              <w:rPr>
                <w:rFonts w:cstheme="minorHAnsi"/>
                <w:b/>
              </w:rPr>
              <w:t>Date of Agreement</w:t>
            </w:r>
          </w:p>
        </w:tc>
      </w:tr>
      <w:tr w:rsidR="00A77730" w:rsidRPr="003559F4" w14:paraId="62DF622F" w14:textId="77777777" w:rsidTr="00787AEE">
        <w:tc>
          <w:tcPr>
            <w:tcW w:w="6345" w:type="dxa"/>
            <w:gridSpan w:val="2"/>
            <w:shd w:val="clear" w:color="auto" w:fill="FFFFFF"/>
          </w:tcPr>
          <w:p w14:paraId="74F3F472" w14:textId="77777777" w:rsidR="00A77730" w:rsidRPr="003559F4" w:rsidRDefault="00A77730" w:rsidP="00787AEE">
            <w:pPr>
              <w:rPr>
                <w:rFonts w:cstheme="minorHAnsi"/>
              </w:rPr>
            </w:pPr>
            <w:r w:rsidRPr="003559F4">
              <w:rPr>
                <w:rFonts w:cstheme="minorHAnsi"/>
              </w:rPr>
              <w:t xml:space="preserve">Placement Agreement </w:t>
            </w:r>
          </w:p>
        </w:tc>
        <w:tc>
          <w:tcPr>
            <w:tcW w:w="2897" w:type="dxa"/>
            <w:shd w:val="clear" w:color="auto" w:fill="FFFFFF"/>
          </w:tcPr>
          <w:p w14:paraId="4DF59EF1" w14:textId="77777777" w:rsidR="00A77730" w:rsidRPr="003559F4" w:rsidRDefault="00A77730" w:rsidP="00787AEE">
            <w:pPr>
              <w:rPr>
                <w:rFonts w:cstheme="minorHAnsi"/>
              </w:rPr>
            </w:pPr>
          </w:p>
        </w:tc>
      </w:tr>
      <w:tr w:rsidR="00A77730" w:rsidRPr="003559F4" w14:paraId="1DF8A0F5" w14:textId="77777777" w:rsidTr="00787AEE">
        <w:tc>
          <w:tcPr>
            <w:tcW w:w="3172" w:type="dxa"/>
            <w:shd w:val="clear" w:color="auto" w:fill="FFFFFF"/>
          </w:tcPr>
          <w:p w14:paraId="2EC68EB9" w14:textId="77777777" w:rsidR="00A77730" w:rsidRPr="003559F4" w:rsidRDefault="00A77730" w:rsidP="00787AEE">
            <w:pPr>
              <w:rPr>
                <w:rFonts w:cstheme="minorHAnsi"/>
                <w:b/>
              </w:rPr>
            </w:pPr>
            <w:r w:rsidRPr="003559F4">
              <w:rPr>
                <w:rFonts w:cstheme="minorHAnsi"/>
                <w:b/>
              </w:rPr>
              <w:t>Date Change Requested</w:t>
            </w:r>
          </w:p>
        </w:tc>
        <w:tc>
          <w:tcPr>
            <w:tcW w:w="3173" w:type="dxa"/>
            <w:shd w:val="clear" w:color="auto" w:fill="FFFFFF"/>
          </w:tcPr>
          <w:p w14:paraId="125E2D65" w14:textId="77777777" w:rsidR="00A77730" w:rsidRPr="003559F4" w:rsidRDefault="00A77730" w:rsidP="00787AEE">
            <w:pPr>
              <w:rPr>
                <w:rFonts w:cstheme="minorHAnsi"/>
                <w:b/>
              </w:rPr>
            </w:pPr>
            <w:r w:rsidRPr="003559F4">
              <w:rPr>
                <w:rFonts w:cstheme="minorHAnsi"/>
                <w:b/>
              </w:rPr>
              <w:t>Date CCN Raised</w:t>
            </w:r>
          </w:p>
        </w:tc>
        <w:tc>
          <w:tcPr>
            <w:tcW w:w="2897" w:type="dxa"/>
            <w:shd w:val="clear" w:color="auto" w:fill="FFFFFF"/>
          </w:tcPr>
          <w:p w14:paraId="42003B88" w14:textId="77777777" w:rsidR="00A77730" w:rsidRPr="003559F4" w:rsidRDefault="00A77730" w:rsidP="00787AEE">
            <w:pPr>
              <w:rPr>
                <w:rFonts w:cstheme="minorHAnsi"/>
                <w:b/>
              </w:rPr>
            </w:pPr>
            <w:r w:rsidRPr="003559F4">
              <w:rPr>
                <w:rFonts w:cstheme="minorHAnsi"/>
                <w:b/>
              </w:rPr>
              <w:t>Expiry date of CCN</w:t>
            </w:r>
          </w:p>
        </w:tc>
      </w:tr>
      <w:tr w:rsidR="00A77730" w:rsidRPr="003559F4" w14:paraId="3E4E5360" w14:textId="77777777" w:rsidTr="00787AEE">
        <w:tc>
          <w:tcPr>
            <w:tcW w:w="3172" w:type="dxa"/>
            <w:shd w:val="clear" w:color="auto" w:fill="FFFFFF"/>
          </w:tcPr>
          <w:p w14:paraId="66439498" w14:textId="77777777" w:rsidR="00A77730" w:rsidRPr="003559F4" w:rsidRDefault="00A77730" w:rsidP="00787AEE">
            <w:pPr>
              <w:rPr>
                <w:rFonts w:cstheme="minorHAnsi"/>
              </w:rPr>
            </w:pPr>
          </w:p>
        </w:tc>
        <w:tc>
          <w:tcPr>
            <w:tcW w:w="3173" w:type="dxa"/>
            <w:shd w:val="clear" w:color="auto" w:fill="FFFFFF"/>
          </w:tcPr>
          <w:p w14:paraId="49A870E5" w14:textId="77777777" w:rsidR="00A77730" w:rsidRPr="003559F4" w:rsidRDefault="00A77730" w:rsidP="00787AEE">
            <w:pPr>
              <w:rPr>
                <w:rFonts w:cstheme="minorHAnsi"/>
              </w:rPr>
            </w:pPr>
          </w:p>
        </w:tc>
        <w:tc>
          <w:tcPr>
            <w:tcW w:w="2897" w:type="dxa"/>
            <w:shd w:val="clear" w:color="auto" w:fill="FFFFFF"/>
          </w:tcPr>
          <w:p w14:paraId="5DFFEDB0" w14:textId="77777777" w:rsidR="00A77730" w:rsidRPr="003559F4" w:rsidRDefault="00A77730" w:rsidP="00787AEE">
            <w:pPr>
              <w:rPr>
                <w:rFonts w:cstheme="minorHAnsi"/>
              </w:rPr>
            </w:pPr>
          </w:p>
        </w:tc>
      </w:tr>
    </w:tbl>
    <w:p w14:paraId="5DE16CEE"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A77730" w:rsidRPr="003559F4" w14:paraId="66C7D31B" w14:textId="77777777" w:rsidTr="00787AEE">
        <w:tc>
          <w:tcPr>
            <w:tcW w:w="9242" w:type="dxa"/>
            <w:gridSpan w:val="2"/>
            <w:shd w:val="clear" w:color="auto" w:fill="FFFFFF"/>
          </w:tcPr>
          <w:p w14:paraId="2C1CC53F" w14:textId="77777777" w:rsidR="00A77730" w:rsidRPr="003559F4" w:rsidRDefault="00A77730" w:rsidP="00787AEE">
            <w:pPr>
              <w:rPr>
                <w:rFonts w:cstheme="minorHAnsi"/>
                <w:b/>
              </w:rPr>
            </w:pPr>
            <w:r w:rsidRPr="003559F4">
              <w:rPr>
                <w:rFonts w:cstheme="minorHAnsi"/>
                <w:b/>
              </w:rPr>
              <w:t>Contact Information for the proposed change</w:t>
            </w:r>
          </w:p>
        </w:tc>
      </w:tr>
      <w:tr w:rsidR="00A77730" w:rsidRPr="003559F4" w14:paraId="52C3CEEA" w14:textId="77777777" w:rsidTr="00787AEE">
        <w:tc>
          <w:tcPr>
            <w:tcW w:w="4621" w:type="dxa"/>
            <w:shd w:val="clear" w:color="auto" w:fill="FFFFFF"/>
          </w:tcPr>
          <w:p w14:paraId="1AFAAF1E" w14:textId="77777777" w:rsidR="00A77730" w:rsidRPr="003559F4" w:rsidRDefault="00A77730" w:rsidP="00787AEE">
            <w:pPr>
              <w:rPr>
                <w:rFonts w:cstheme="minorHAnsi"/>
                <w:b/>
              </w:rPr>
            </w:pPr>
            <w:r w:rsidRPr="003559F4">
              <w:rPr>
                <w:rFonts w:cstheme="minorHAnsi"/>
                <w:b/>
              </w:rPr>
              <w:t>Originator</w:t>
            </w:r>
          </w:p>
        </w:tc>
        <w:tc>
          <w:tcPr>
            <w:tcW w:w="4621" w:type="dxa"/>
            <w:shd w:val="clear" w:color="auto" w:fill="FFFFFF"/>
          </w:tcPr>
          <w:p w14:paraId="1E1CD27D" w14:textId="77777777" w:rsidR="00A77730" w:rsidRPr="003559F4" w:rsidRDefault="00A77730" w:rsidP="00787AEE">
            <w:pPr>
              <w:rPr>
                <w:rFonts w:cstheme="minorHAnsi"/>
                <w:b/>
              </w:rPr>
            </w:pPr>
            <w:r w:rsidRPr="003559F4">
              <w:rPr>
                <w:rFonts w:cstheme="minorHAnsi"/>
                <w:b/>
              </w:rPr>
              <w:t>Other Parties</w:t>
            </w:r>
          </w:p>
        </w:tc>
      </w:tr>
      <w:tr w:rsidR="00A77730" w:rsidRPr="003559F4" w14:paraId="26F9F48E" w14:textId="77777777" w:rsidTr="00787AEE">
        <w:tc>
          <w:tcPr>
            <w:tcW w:w="4621" w:type="dxa"/>
            <w:shd w:val="clear" w:color="auto" w:fill="FFFFFF"/>
          </w:tcPr>
          <w:p w14:paraId="3CE5C81E" w14:textId="77777777" w:rsidR="00A77730" w:rsidRPr="003559F4" w:rsidRDefault="00A77730" w:rsidP="00787AEE">
            <w:pPr>
              <w:rPr>
                <w:rFonts w:cstheme="minorHAnsi"/>
              </w:rPr>
            </w:pPr>
          </w:p>
          <w:p w14:paraId="563AE9F5" w14:textId="77777777" w:rsidR="00A77730" w:rsidRPr="003559F4" w:rsidRDefault="00A77730" w:rsidP="00787AEE">
            <w:pPr>
              <w:rPr>
                <w:rFonts w:cstheme="minorHAnsi"/>
                <w:b/>
              </w:rPr>
            </w:pPr>
            <w:r w:rsidRPr="003559F4">
              <w:rPr>
                <w:rFonts w:cstheme="minorHAnsi"/>
                <w:b/>
              </w:rPr>
              <w:t>Name:</w:t>
            </w:r>
          </w:p>
          <w:p w14:paraId="2D2E4BA6" w14:textId="77777777" w:rsidR="00A77730" w:rsidRPr="003559F4" w:rsidRDefault="00A77730" w:rsidP="00787AEE">
            <w:pPr>
              <w:rPr>
                <w:rFonts w:cstheme="minorHAnsi"/>
                <w:b/>
              </w:rPr>
            </w:pPr>
          </w:p>
          <w:p w14:paraId="6418EB81" w14:textId="77777777" w:rsidR="00A77730" w:rsidRPr="003559F4" w:rsidRDefault="00A77730" w:rsidP="00787AEE">
            <w:pPr>
              <w:rPr>
                <w:rFonts w:cstheme="minorHAnsi"/>
                <w:b/>
              </w:rPr>
            </w:pPr>
            <w:r w:rsidRPr="003559F4">
              <w:rPr>
                <w:rFonts w:cstheme="minorHAnsi"/>
                <w:b/>
              </w:rPr>
              <w:t>Company:</w:t>
            </w:r>
          </w:p>
          <w:p w14:paraId="2B0FA9A7" w14:textId="77777777" w:rsidR="00A77730" w:rsidRPr="003559F4" w:rsidRDefault="00A77730" w:rsidP="00787AEE">
            <w:pPr>
              <w:rPr>
                <w:rFonts w:cstheme="minorHAnsi"/>
                <w:b/>
              </w:rPr>
            </w:pPr>
          </w:p>
          <w:p w14:paraId="12EC33D4" w14:textId="77777777" w:rsidR="00A77730" w:rsidRPr="003559F4" w:rsidRDefault="00A77730" w:rsidP="00787AEE">
            <w:pPr>
              <w:rPr>
                <w:rFonts w:cstheme="minorHAnsi"/>
                <w:b/>
              </w:rPr>
            </w:pPr>
            <w:r w:rsidRPr="003559F4">
              <w:rPr>
                <w:rFonts w:cstheme="minorHAnsi"/>
                <w:b/>
              </w:rPr>
              <w:t>Telephone:</w:t>
            </w:r>
          </w:p>
          <w:p w14:paraId="0A8CFC6C" w14:textId="77777777" w:rsidR="00A77730" w:rsidRPr="003559F4" w:rsidRDefault="00A77730" w:rsidP="00787AEE">
            <w:pPr>
              <w:rPr>
                <w:rFonts w:cstheme="minorHAnsi"/>
                <w:b/>
              </w:rPr>
            </w:pPr>
          </w:p>
          <w:p w14:paraId="5DBC7BBF" w14:textId="77777777" w:rsidR="00A77730" w:rsidRPr="003559F4" w:rsidRDefault="00A77730" w:rsidP="00787AEE">
            <w:pPr>
              <w:rPr>
                <w:rFonts w:cstheme="minorHAnsi"/>
                <w:b/>
              </w:rPr>
            </w:pPr>
            <w:r w:rsidRPr="003559F4">
              <w:rPr>
                <w:rFonts w:cstheme="minorHAnsi"/>
                <w:b/>
              </w:rPr>
              <w:t>Email:</w:t>
            </w:r>
          </w:p>
          <w:p w14:paraId="22E4374A" w14:textId="77777777" w:rsidR="00A77730" w:rsidRPr="003559F4" w:rsidRDefault="00A77730" w:rsidP="00787AEE">
            <w:pPr>
              <w:rPr>
                <w:rFonts w:cstheme="minorHAnsi"/>
                <w:b/>
              </w:rPr>
            </w:pPr>
          </w:p>
        </w:tc>
        <w:tc>
          <w:tcPr>
            <w:tcW w:w="4621" w:type="dxa"/>
            <w:shd w:val="clear" w:color="auto" w:fill="FFFFFF"/>
          </w:tcPr>
          <w:p w14:paraId="2829D0C0" w14:textId="77777777" w:rsidR="00A77730" w:rsidRPr="003559F4" w:rsidRDefault="00A77730" w:rsidP="00787AEE">
            <w:pPr>
              <w:rPr>
                <w:rFonts w:cstheme="minorHAnsi"/>
              </w:rPr>
            </w:pPr>
          </w:p>
          <w:p w14:paraId="673A186F" w14:textId="77777777" w:rsidR="00A77730" w:rsidRPr="003559F4" w:rsidRDefault="00A77730" w:rsidP="00787AEE">
            <w:pPr>
              <w:rPr>
                <w:rFonts w:cstheme="minorHAnsi"/>
                <w:b/>
              </w:rPr>
            </w:pPr>
            <w:r w:rsidRPr="003559F4">
              <w:rPr>
                <w:rFonts w:cstheme="minorHAnsi"/>
                <w:b/>
              </w:rPr>
              <w:t>Name:</w:t>
            </w:r>
          </w:p>
          <w:p w14:paraId="3AC84D7D" w14:textId="77777777" w:rsidR="00A77730" w:rsidRPr="003559F4" w:rsidRDefault="00A77730" w:rsidP="00787AEE">
            <w:pPr>
              <w:rPr>
                <w:rFonts w:cstheme="minorHAnsi"/>
                <w:b/>
              </w:rPr>
            </w:pPr>
          </w:p>
          <w:p w14:paraId="31519538" w14:textId="77777777" w:rsidR="00A77730" w:rsidRPr="003559F4" w:rsidRDefault="00A77730" w:rsidP="00787AEE">
            <w:pPr>
              <w:rPr>
                <w:rFonts w:cstheme="minorHAnsi"/>
                <w:b/>
              </w:rPr>
            </w:pPr>
            <w:r w:rsidRPr="003559F4">
              <w:rPr>
                <w:rFonts w:cstheme="minorHAnsi"/>
                <w:b/>
              </w:rPr>
              <w:t>Company:</w:t>
            </w:r>
          </w:p>
          <w:p w14:paraId="21D652E6" w14:textId="77777777" w:rsidR="00A77730" w:rsidRPr="003559F4" w:rsidRDefault="00A77730" w:rsidP="00787AEE">
            <w:pPr>
              <w:rPr>
                <w:rFonts w:cstheme="minorHAnsi"/>
                <w:b/>
              </w:rPr>
            </w:pPr>
          </w:p>
          <w:p w14:paraId="3636F4F5" w14:textId="77777777" w:rsidR="00A77730" w:rsidRPr="003559F4" w:rsidRDefault="00A77730" w:rsidP="00787AEE">
            <w:pPr>
              <w:rPr>
                <w:rFonts w:cstheme="minorHAnsi"/>
                <w:b/>
              </w:rPr>
            </w:pPr>
            <w:r w:rsidRPr="003559F4">
              <w:rPr>
                <w:rFonts w:cstheme="minorHAnsi"/>
                <w:b/>
              </w:rPr>
              <w:t>Telephone:</w:t>
            </w:r>
          </w:p>
          <w:p w14:paraId="756025B4" w14:textId="77777777" w:rsidR="00A77730" w:rsidRPr="003559F4" w:rsidRDefault="00A77730" w:rsidP="00787AEE">
            <w:pPr>
              <w:rPr>
                <w:rFonts w:cstheme="minorHAnsi"/>
                <w:b/>
              </w:rPr>
            </w:pPr>
          </w:p>
          <w:p w14:paraId="04936E45" w14:textId="77777777" w:rsidR="00A77730" w:rsidRPr="003559F4" w:rsidRDefault="00A77730" w:rsidP="00787AEE">
            <w:pPr>
              <w:rPr>
                <w:rFonts w:cstheme="minorHAnsi"/>
              </w:rPr>
            </w:pPr>
            <w:r w:rsidRPr="003559F4">
              <w:rPr>
                <w:rFonts w:cstheme="minorHAnsi"/>
                <w:b/>
              </w:rPr>
              <w:t>Email:</w:t>
            </w:r>
          </w:p>
        </w:tc>
      </w:tr>
    </w:tbl>
    <w:p w14:paraId="5E27BADC"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505AB5DF" w14:textId="77777777" w:rsidTr="00787AEE">
        <w:tc>
          <w:tcPr>
            <w:tcW w:w="9242" w:type="dxa"/>
            <w:shd w:val="clear" w:color="auto" w:fill="FFFFFF"/>
          </w:tcPr>
          <w:p w14:paraId="35386A81" w14:textId="77777777" w:rsidR="00A77730" w:rsidRPr="003559F4" w:rsidRDefault="00A77730" w:rsidP="00787AEE">
            <w:pPr>
              <w:rPr>
                <w:rFonts w:cstheme="minorHAnsi"/>
                <w:b/>
              </w:rPr>
            </w:pPr>
            <w:r w:rsidRPr="003559F4">
              <w:rPr>
                <w:rFonts w:cstheme="minorHAnsi"/>
                <w:b/>
              </w:rPr>
              <w:t>Clauses and Schedules affected</w:t>
            </w:r>
          </w:p>
        </w:tc>
      </w:tr>
      <w:tr w:rsidR="00A77730" w:rsidRPr="003559F4" w14:paraId="74C4B8A8" w14:textId="77777777" w:rsidTr="00787AEE">
        <w:tc>
          <w:tcPr>
            <w:tcW w:w="9242" w:type="dxa"/>
            <w:shd w:val="clear" w:color="auto" w:fill="FFFFFF"/>
          </w:tcPr>
          <w:p w14:paraId="43001224" w14:textId="77777777" w:rsidR="00A77730" w:rsidRPr="003559F4" w:rsidRDefault="00A77730" w:rsidP="00787AEE">
            <w:pPr>
              <w:rPr>
                <w:rFonts w:cstheme="minorHAnsi"/>
              </w:rPr>
            </w:pPr>
          </w:p>
        </w:tc>
      </w:tr>
    </w:tbl>
    <w:p w14:paraId="39ECED1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A77730" w:rsidRPr="003559F4" w14:paraId="2D00A410" w14:textId="77777777" w:rsidTr="00787AEE">
        <w:tc>
          <w:tcPr>
            <w:tcW w:w="9242" w:type="dxa"/>
            <w:gridSpan w:val="3"/>
            <w:shd w:val="clear" w:color="auto" w:fill="FFFFFF"/>
          </w:tcPr>
          <w:p w14:paraId="51510A30" w14:textId="77777777" w:rsidR="00A77730" w:rsidRPr="003559F4" w:rsidRDefault="00A77730" w:rsidP="00787AEE">
            <w:pPr>
              <w:rPr>
                <w:rFonts w:cstheme="minorHAnsi"/>
                <w:b/>
              </w:rPr>
            </w:pPr>
            <w:r w:rsidRPr="003559F4">
              <w:rPr>
                <w:rFonts w:cstheme="minorHAnsi"/>
                <w:b/>
              </w:rPr>
              <w:t>Associated Change Control Notices</w:t>
            </w:r>
          </w:p>
        </w:tc>
      </w:tr>
      <w:tr w:rsidR="00A77730" w:rsidRPr="003559F4" w14:paraId="68B1DC46" w14:textId="77777777" w:rsidTr="00787AEE">
        <w:tc>
          <w:tcPr>
            <w:tcW w:w="2376" w:type="dxa"/>
            <w:shd w:val="clear" w:color="auto" w:fill="FFFFFF"/>
          </w:tcPr>
          <w:p w14:paraId="0CA2BE60" w14:textId="77777777" w:rsidR="00A77730" w:rsidRPr="003559F4" w:rsidRDefault="00A77730" w:rsidP="00787AEE">
            <w:pPr>
              <w:rPr>
                <w:rFonts w:cstheme="minorHAnsi"/>
                <w:b/>
                <w:i/>
              </w:rPr>
            </w:pPr>
            <w:r w:rsidRPr="003559F4">
              <w:rPr>
                <w:rFonts w:cstheme="minorHAnsi"/>
                <w:b/>
                <w:i/>
              </w:rPr>
              <w:t>CCN No.</w:t>
            </w:r>
          </w:p>
        </w:tc>
        <w:tc>
          <w:tcPr>
            <w:tcW w:w="4820" w:type="dxa"/>
            <w:shd w:val="clear" w:color="auto" w:fill="FFFFFF"/>
          </w:tcPr>
          <w:p w14:paraId="5A6E2411" w14:textId="77777777" w:rsidR="00A77730" w:rsidRPr="003559F4" w:rsidRDefault="00A77730" w:rsidP="00787AEE">
            <w:pPr>
              <w:rPr>
                <w:rFonts w:cstheme="minorHAnsi"/>
                <w:b/>
                <w:i/>
              </w:rPr>
            </w:pPr>
            <w:r w:rsidRPr="003559F4">
              <w:rPr>
                <w:rFonts w:cstheme="minorHAnsi"/>
                <w:b/>
                <w:i/>
              </w:rPr>
              <w:t>Name of Agreement</w:t>
            </w:r>
          </w:p>
        </w:tc>
        <w:tc>
          <w:tcPr>
            <w:tcW w:w="2046" w:type="dxa"/>
            <w:shd w:val="clear" w:color="auto" w:fill="FFFFFF"/>
          </w:tcPr>
          <w:p w14:paraId="4E6A8D0C" w14:textId="77777777" w:rsidR="00A77730" w:rsidRPr="003559F4" w:rsidRDefault="00A77730" w:rsidP="00787AEE">
            <w:pPr>
              <w:rPr>
                <w:rFonts w:cstheme="minorHAnsi"/>
                <w:b/>
                <w:i/>
              </w:rPr>
            </w:pPr>
            <w:r w:rsidRPr="003559F4">
              <w:rPr>
                <w:rFonts w:cstheme="minorHAnsi"/>
                <w:b/>
                <w:i/>
              </w:rPr>
              <w:t>Date of Agreement</w:t>
            </w:r>
          </w:p>
        </w:tc>
      </w:tr>
      <w:tr w:rsidR="00A77730" w:rsidRPr="003559F4" w14:paraId="6FB83CF1" w14:textId="77777777" w:rsidTr="00787AEE">
        <w:tc>
          <w:tcPr>
            <w:tcW w:w="2376" w:type="dxa"/>
            <w:shd w:val="clear" w:color="auto" w:fill="FFFFFF"/>
          </w:tcPr>
          <w:p w14:paraId="0A5C5E3F" w14:textId="77777777" w:rsidR="00A77730" w:rsidRPr="003559F4" w:rsidRDefault="00A77730" w:rsidP="00787AEE">
            <w:pPr>
              <w:rPr>
                <w:rFonts w:cstheme="minorHAnsi"/>
              </w:rPr>
            </w:pPr>
          </w:p>
        </w:tc>
        <w:tc>
          <w:tcPr>
            <w:tcW w:w="4820" w:type="dxa"/>
            <w:shd w:val="clear" w:color="auto" w:fill="FFFFFF"/>
          </w:tcPr>
          <w:p w14:paraId="1498512F" w14:textId="77777777" w:rsidR="00A77730" w:rsidRPr="003559F4" w:rsidRDefault="00A77730" w:rsidP="00787AEE">
            <w:pPr>
              <w:rPr>
                <w:rFonts w:cstheme="minorHAnsi"/>
              </w:rPr>
            </w:pPr>
          </w:p>
        </w:tc>
        <w:tc>
          <w:tcPr>
            <w:tcW w:w="2046" w:type="dxa"/>
            <w:shd w:val="clear" w:color="auto" w:fill="FFFFFF"/>
          </w:tcPr>
          <w:p w14:paraId="326F37B1" w14:textId="77777777" w:rsidR="00A77730" w:rsidRPr="003559F4" w:rsidRDefault="00A77730" w:rsidP="00787AEE">
            <w:pPr>
              <w:rPr>
                <w:rFonts w:cstheme="minorHAnsi"/>
              </w:rPr>
            </w:pPr>
          </w:p>
        </w:tc>
      </w:tr>
    </w:tbl>
    <w:p w14:paraId="0A06D9DF"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2987C176" w14:textId="77777777" w:rsidTr="00787AEE">
        <w:tc>
          <w:tcPr>
            <w:tcW w:w="9242" w:type="dxa"/>
            <w:shd w:val="clear" w:color="auto" w:fill="FFFFFF"/>
          </w:tcPr>
          <w:p w14:paraId="43E0FE47" w14:textId="77777777" w:rsidR="00A77730" w:rsidRPr="003559F4" w:rsidRDefault="00A77730" w:rsidP="00787AEE">
            <w:pPr>
              <w:rPr>
                <w:rFonts w:cstheme="minorHAnsi"/>
                <w:b/>
              </w:rPr>
            </w:pPr>
            <w:r w:rsidRPr="003559F4">
              <w:rPr>
                <w:rFonts w:cstheme="minorHAnsi"/>
                <w:b/>
              </w:rPr>
              <w:t>Reason for change</w:t>
            </w:r>
          </w:p>
        </w:tc>
      </w:tr>
      <w:tr w:rsidR="00A77730" w:rsidRPr="003559F4" w14:paraId="5CE8CE41" w14:textId="77777777" w:rsidTr="00787AEE">
        <w:tc>
          <w:tcPr>
            <w:tcW w:w="9242" w:type="dxa"/>
            <w:shd w:val="clear" w:color="auto" w:fill="FFFFFF"/>
          </w:tcPr>
          <w:p w14:paraId="58159346" w14:textId="77777777" w:rsidR="00A77730" w:rsidRPr="003559F4" w:rsidRDefault="00A77730" w:rsidP="00787AEE">
            <w:pPr>
              <w:rPr>
                <w:rFonts w:cstheme="minorHAnsi"/>
              </w:rPr>
            </w:pPr>
          </w:p>
          <w:p w14:paraId="4EBFC23D" w14:textId="77777777" w:rsidR="00A77730" w:rsidRPr="003559F4" w:rsidRDefault="00A77730" w:rsidP="00787AEE">
            <w:pPr>
              <w:rPr>
                <w:rFonts w:cstheme="minorHAnsi"/>
              </w:rPr>
            </w:pPr>
          </w:p>
          <w:p w14:paraId="2D8B87E3" w14:textId="77777777" w:rsidR="00A77730" w:rsidRPr="003559F4" w:rsidRDefault="00A77730" w:rsidP="00787AEE">
            <w:pPr>
              <w:rPr>
                <w:rFonts w:cstheme="minorHAnsi"/>
              </w:rPr>
            </w:pPr>
          </w:p>
        </w:tc>
      </w:tr>
    </w:tbl>
    <w:p w14:paraId="6A3D75B1"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69ABA0EC" w14:textId="77777777" w:rsidTr="00787AEE">
        <w:tc>
          <w:tcPr>
            <w:tcW w:w="9242" w:type="dxa"/>
            <w:shd w:val="clear" w:color="auto" w:fill="FFFFFF"/>
          </w:tcPr>
          <w:p w14:paraId="52D8FE96" w14:textId="77777777" w:rsidR="00A77730" w:rsidRPr="003559F4" w:rsidRDefault="00A77730" w:rsidP="00787AEE">
            <w:pPr>
              <w:rPr>
                <w:rFonts w:cstheme="minorHAnsi"/>
                <w:b/>
              </w:rPr>
            </w:pPr>
            <w:r w:rsidRPr="003559F4">
              <w:rPr>
                <w:rFonts w:cstheme="minorHAnsi"/>
                <w:b/>
              </w:rPr>
              <w:t>Description of Change</w:t>
            </w:r>
          </w:p>
        </w:tc>
      </w:tr>
      <w:tr w:rsidR="00A77730" w:rsidRPr="003559F4" w14:paraId="02C3AB5C" w14:textId="77777777" w:rsidTr="00787AEE">
        <w:tc>
          <w:tcPr>
            <w:tcW w:w="9242" w:type="dxa"/>
            <w:shd w:val="clear" w:color="auto" w:fill="FFFFFF"/>
          </w:tcPr>
          <w:p w14:paraId="7849752B" w14:textId="77777777" w:rsidR="00A77730" w:rsidRPr="003559F4" w:rsidRDefault="00A77730" w:rsidP="00787AEE">
            <w:pPr>
              <w:rPr>
                <w:rFonts w:cstheme="minorHAnsi"/>
              </w:rPr>
            </w:pPr>
          </w:p>
          <w:p w14:paraId="3520E0FE" w14:textId="77777777" w:rsidR="00A77730" w:rsidRPr="003559F4" w:rsidRDefault="00A77730" w:rsidP="00787AEE">
            <w:pPr>
              <w:rPr>
                <w:rFonts w:cstheme="minorHAnsi"/>
              </w:rPr>
            </w:pPr>
          </w:p>
          <w:p w14:paraId="4964392E" w14:textId="77777777" w:rsidR="00A77730" w:rsidRPr="003559F4" w:rsidRDefault="00A77730" w:rsidP="00787AEE">
            <w:pPr>
              <w:rPr>
                <w:rFonts w:cstheme="minorHAnsi"/>
              </w:rPr>
            </w:pPr>
          </w:p>
          <w:p w14:paraId="24F26970" w14:textId="77777777" w:rsidR="00A77730" w:rsidRPr="003559F4" w:rsidRDefault="00A77730" w:rsidP="00787AEE">
            <w:pPr>
              <w:rPr>
                <w:rFonts w:cstheme="minorHAnsi"/>
              </w:rPr>
            </w:pPr>
          </w:p>
        </w:tc>
      </w:tr>
    </w:tbl>
    <w:p w14:paraId="2791885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4810E400" w14:textId="77777777" w:rsidTr="00787AEE">
        <w:tc>
          <w:tcPr>
            <w:tcW w:w="9242" w:type="dxa"/>
            <w:shd w:val="clear" w:color="auto" w:fill="FFFFFF"/>
          </w:tcPr>
          <w:p w14:paraId="152859FC" w14:textId="77777777" w:rsidR="00A77730" w:rsidRPr="003559F4" w:rsidRDefault="00A77730" w:rsidP="00787AEE">
            <w:pPr>
              <w:rPr>
                <w:rFonts w:cstheme="minorHAnsi"/>
                <w:b/>
              </w:rPr>
            </w:pPr>
            <w:r w:rsidRPr="003559F4">
              <w:rPr>
                <w:rFonts w:cstheme="minorHAnsi"/>
                <w:b/>
              </w:rPr>
              <w:t xml:space="preserve">Changes to contract </w:t>
            </w:r>
          </w:p>
        </w:tc>
      </w:tr>
      <w:tr w:rsidR="00A77730" w:rsidRPr="003559F4" w14:paraId="1CA4EF16" w14:textId="77777777" w:rsidTr="00787AEE">
        <w:tc>
          <w:tcPr>
            <w:tcW w:w="9242" w:type="dxa"/>
            <w:shd w:val="clear" w:color="auto" w:fill="FFFFFF"/>
          </w:tcPr>
          <w:p w14:paraId="4B07AA78" w14:textId="77777777" w:rsidR="00A77730" w:rsidRPr="003559F4" w:rsidRDefault="00A77730" w:rsidP="00787AEE">
            <w:pPr>
              <w:rPr>
                <w:rFonts w:cstheme="minorHAnsi"/>
              </w:rPr>
            </w:pPr>
          </w:p>
          <w:p w14:paraId="0023889A" w14:textId="77777777" w:rsidR="00A77730" w:rsidRPr="003559F4" w:rsidRDefault="00A77730" w:rsidP="00787AEE">
            <w:pPr>
              <w:rPr>
                <w:rFonts w:cstheme="minorHAnsi"/>
              </w:rPr>
            </w:pPr>
          </w:p>
          <w:p w14:paraId="6E3C289A" w14:textId="77777777" w:rsidR="00A77730" w:rsidRPr="003559F4" w:rsidRDefault="00A77730" w:rsidP="00787AEE">
            <w:pPr>
              <w:rPr>
                <w:rFonts w:cstheme="minorHAnsi"/>
              </w:rPr>
            </w:pPr>
          </w:p>
          <w:p w14:paraId="14EE7FAE" w14:textId="77777777" w:rsidR="00A77730" w:rsidRPr="003559F4" w:rsidRDefault="00A77730" w:rsidP="00787AEE">
            <w:pPr>
              <w:rPr>
                <w:rFonts w:cstheme="minorHAnsi"/>
              </w:rPr>
            </w:pPr>
          </w:p>
        </w:tc>
      </w:tr>
    </w:tbl>
    <w:p w14:paraId="7E74CD4B"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57DDAB7" w14:textId="77777777" w:rsidTr="00787AEE">
        <w:tc>
          <w:tcPr>
            <w:tcW w:w="9242" w:type="dxa"/>
            <w:shd w:val="clear" w:color="auto" w:fill="FFFFFF"/>
          </w:tcPr>
          <w:p w14:paraId="61F4C030" w14:textId="77777777" w:rsidR="00A77730" w:rsidRPr="003559F4" w:rsidRDefault="00A77730" w:rsidP="00787AEE">
            <w:pPr>
              <w:rPr>
                <w:rFonts w:cstheme="minorHAnsi"/>
                <w:b/>
              </w:rPr>
            </w:pPr>
            <w:r w:rsidRPr="003559F4">
              <w:rPr>
                <w:rFonts w:cstheme="minorHAnsi"/>
                <w:b/>
              </w:rPr>
              <w:t>Impact of change on other agreement provisions</w:t>
            </w:r>
          </w:p>
        </w:tc>
      </w:tr>
      <w:tr w:rsidR="00A77730" w:rsidRPr="003559F4" w14:paraId="429E22AD" w14:textId="77777777" w:rsidTr="00787AEE">
        <w:tc>
          <w:tcPr>
            <w:tcW w:w="9242" w:type="dxa"/>
            <w:shd w:val="clear" w:color="auto" w:fill="FFFFFF"/>
          </w:tcPr>
          <w:p w14:paraId="483C59D3" w14:textId="77777777" w:rsidR="00A77730" w:rsidRPr="003559F4" w:rsidRDefault="00A77730" w:rsidP="00787AEE">
            <w:pPr>
              <w:rPr>
                <w:rFonts w:cstheme="minorHAnsi"/>
              </w:rPr>
            </w:pPr>
          </w:p>
          <w:p w14:paraId="4E4EC819" w14:textId="77777777" w:rsidR="00A77730" w:rsidRPr="003559F4" w:rsidRDefault="00A77730" w:rsidP="00787AEE">
            <w:pPr>
              <w:rPr>
                <w:rFonts w:cstheme="minorHAnsi"/>
              </w:rPr>
            </w:pPr>
          </w:p>
          <w:p w14:paraId="3F5F35C2" w14:textId="77777777" w:rsidR="00A77730" w:rsidRPr="003559F4" w:rsidRDefault="00A77730" w:rsidP="00787AEE">
            <w:pPr>
              <w:rPr>
                <w:rFonts w:cstheme="minorHAnsi"/>
              </w:rPr>
            </w:pPr>
          </w:p>
        </w:tc>
      </w:tr>
    </w:tbl>
    <w:p w14:paraId="47A52076"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A77730" w:rsidRPr="003559F4" w14:paraId="0819E965" w14:textId="77777777" w:rsidTr="00787AEE">
        <w:tc>
          <w:tcPr>
            <w:tcW w:w="9242" w:type="dxa"/>
            <w:shd w:val="clear" w:color="auto" w:fill="FFFFFF"/>
          </w:tcPr>
          <w:p w14:paraId="24DB3200" w14:textId="77777777" w:rsidR="00A77730" w:rsidRPr="003559F4" w:rsidRDefault="00A77730" w:rsidP="00787AEE">
            <w:pPr>
              <w:rPr>
                <w:rFonts w:cstheme="minorHAnsi"/>
                <w:b/>
              </w:rPr>
            </w:pPr>
            <w:r w:rsidRPr="003559F4">
              <w:rPr>
                <w:rFonts w:cstheme="minorHAnsi"/>
                <w:b/>
              </w:rPr>
              <w:t>Timetable for implementation</w:t>
            </w:r>
          </w:p>
        </w:tc>
      </w:tr>
      <w:tr w:rsidR="00A77730" w:rsidRPr="003559F4" w14:paraId="1FB3F8F9" w14:textId="77777777" w:rsidTr="00787AEE">
        <w:tc>
          <w:tcPr>
            <w:tcW w:w="9242" w:type="dxa"/>
            <w:shd w:val="clear" w:color="auto" w:fill="FFFFFF"/>
          </w:tcPr>
          <w:p w14:paraId="651B6E6D" w14:textId="77777777" w:rsidR="00A77730" w:rsidRPr="003559F4" w:rsidRDefault="00A77730" w:rsidP="00787AEE">
            <w:pPr>
              <w:rPr>
                <w:rFonts w:cstheme="minorHAnsi"/>
              </w:rPr>
            </w:pPr>
          </w:p>
          <w:p w14:paraId="68684847" w14:textId="77777777" w:rsidR="00A77730" w:rsidRPr="003559F4" w:rsidRDefault="00A77730" w:rsidP="00787AEE">
            <w:pPr>
              <w:rPr>
                <w:rFonts w:cstheme="minorHAnsi"/>
              </w:rPr>
            </w:pPr>
          </w:p>
          <w:p w14:paraId="03A9AF3A" w14:textId="77777777" w:rsidR="00A77730" w:rsidRPr="003559F4" w:rsidRDefault="00A77730" w:rsidP="00787AEE">
            <w:pPr>
              <w:rPr>
                <w:rFonts w:cstheme="minorHAnsi"/>
              </w:rPr>
            </w:pPr>
          </w:p>
        </w:tc>
      </w:tr>
    </w:tbl>
    <w:p w14:paraId="56632513" w14:textId="77777777" w:rsidR="00A77730" w:rsidRPr="003559F4" w:rsidRDefault="00A77730" w:rsidP="00A77730">
      <w:pPr>
        <w:rPr>
          <w:rFonts w:cstheme="minorHAnsi"/>
        </w:rPr>
      </w:pPr>
    </w:p>
    <w:p w14:paraId="349221B8" w14:textId="77777777" w:rsidR="00A77730" w:rsidRPr="003559F4" w:rsidRDefault="00A77730" w:rsidP="00A7773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A77730" w:rsidRPr="003559F4" w14:paraId="404AB802" w14:textId="77777777" w:rsidTr="00787AEE">
        <w:tc>
          <w:tcPr>
            <w:tcW w:w="9242" w:type="dxa"/>
            <w:gridSpan w:val="2"/>
            <w:shd w:val="clear" w:color="auto" w:fill="FFFFFF"/>
          </w:tcPr>
          <w:p w14:paraId="6524652F" w14:textId="77777777" w:rsidR="00A77730" w:rsidRPr="003559F4" w:rsidRDefault="00A77730" w:rsidP="00787AEE">
            <w:pPr>
              <w:rPr>
                <w:rFonts w:cstheme="minorHAnsi"/>
                <w:b/>
              </w:rPr>
            </w:pPr>
            <w:r w:rsidRPr="003559F4">
              <w:rPr>
                <w:rFonts w:cstheme="minorHAnsi"/>
                <w:b/>
              </w:rPr>
              <w:t>Acceptance</w:t>
            </w:r>
          </w:p>
        </w:tc>
      </w:tr>
      <w:tr w:rsidR="00A77730" w:rsidRPr="003559F4" w14:paraId="13AC53C9" w14:textId="77777777" w:rsidTr="00787AEE">
        <w:tc>
          <w:tcPr>
            <w:tcW w:w="3227" w:type="dxa"/>
            <w:shd w:val="clear" w:color="auto" w:fill="FFFFFF"/>
          </w:tcPr>
          <w:p w14:paraId="0D81E8D7" w14:textId="77777777" w:rsidR="00A77730" w:rsidRPr="003559F4" w:rsidRDefault="00A77730" w:rsidP="00787AEE">
            <w:pPr>
              <w:rPr>
                <w:rFonts w:cstheme="minorHAnsi"/>
              </w:rPr>
            </w:pPr>
          </w:p>
          <w:p w14:paraId="4BCE37DA" w14:textId="77777777" w:rsidR="00A77730" w:rsidRPr="003559F4" w:rsidRDefault="00A77730" w:rsidP="00787AEE">
            <w:pPr>
              <w:rPr>
                <w:rFonts w:cstheme="minorHAnsi"/>
                <w:b/>
              </w:rPr>
            </w:pPr>
            <w:r w:rsidRPr="003559F4">
              <w:rPr>
                <w:rFonts w:cstheme="minorHAnsi"/>
                <w:b/>
              </w:rPr>
              <w:t>Signed for and on behalf of EDUCATION PROVIDER</w:t>
            </w:r>
          </w:p>
        </w:tc>
        <w:tc>
          <w:tcPr>
            <w:tcW w:w="6015" w:type="dxa"/>
            <w:shd w:val="clear" w:color="auto" w:fill="FFFFFF"/>
          </w:tcPr>
          <w:p w14:paraId="4141856E" w14:textId="77777777" w:rsidR="00A77730" w:rsidRPr="003559F4" w:rsidRDefault="00A77730" w:rsidP="00787AEE">
            <w:pPr>
              <w:rPr>
                <w:rFonts w:cstheme="minorHAnsi"/>
              </w:rPr>
            </w:pPr>
          </w:p>
          <w:p w14:paraId="09A8A1A2" w14:textId="77777777" w:rsidR="00A77730" w:rsidRPr="003559F4" w:rsidRDefault="00A77730" w:rsidP="00787AEE">
            <w:pPr>
              <w:rPr>
                <w:rFonts w:cstheme="minorHAnsi"/>
                <w:b/>
              </w:rPr>
            </w:pPr>
            <w:r w:rsidRPr="003559F4">
              <w:rPr>
                <w:rFonts w:cstheme="minorHAnsi"/>
                <w:b/>
              </w:rPr>
              <w:t>Signed:</w:t>
            </w:r>
          </w:p>
          <w:p w14:paraId="254D8112" w14:textId="77777777" w:rsidR="00A77730" w:rsidRPr="003559F4" w:rsidRDefault="00A77730" w:rsidP="00787AEE">
            <w:pPr>
              <w:rPr>
                <w:rFonts w:cstheme="minorHAnsi"/>
                <w:b/>
              </w:rPr>
            </w:pPr>
          </w:p>
          <w:p w14:paraId="295D5260" w14:textId="77777777" w:rsidR="00A77730" w:rsidRPr="003559F4" w:rsidRDefault="00A77730" w:rsidP="00787AEE">
            <w:pPr>
              <w:rPr>
                <w:rFonts w:cstheme="minorHAnsi"/>
                <w:b/>
              </w:rPr>
            </w:pPr>
          </w:p>
          <w:p w14:paraId="7C2E079C" w14:textId="77777777" w:rsidR="00A77730" w:rsidRPr="003559F4" w:rsidRDefault="00A77730" w:rsidP="00787AEE">
            <w:pPr>
              <w:rPr>
                <w:rFonts w:cstheme="minorHAnsi"/>
                <w:b/>
              </w:rPr>
            </w:pPr>
            <w:r w:rsidRPr="003559F4">
              <w:rPr>
                <w:rFonts w:cstheme="minorHAnsi"/>
                <w:b/>
              </w:rPr>
              <w:t>Print name:</w:t>
            </w:r>
          </w:p>
          <w:p w14:paraId="0CE6EA9B" w14:textId="77777777" w:rsidR="00A77730" w:rsidRPr="003559F4" w:rsidRDefault="00A77730" w:rsidP="00787AEE">
            <w:pPr>
              <w:rPr>
                <w:rFonts w:cstheme="minorHAnsi"/>
                <w:b/>
              </w:rPr>
            </w:pPr>
          </w:p>
          <w:p w14:paraId="11C2E466" w14:textId="77777777" w:rsidR="00A77730" w:rsidRPr="003559F4" w:rsidRDefault="00A77730" w:rsidP="00787AEE">
            <w:pPr>
              <w:rPr>
                <w:rFonts w:cstheme="minorHAnsi"/>
                <w:b/>
              </w:rPr>
            </w:pPr>
            <w:r w:rsidRPr="003559F4">
              <w:rPr>
                <w:rFonts w:cstheme="minorHAnsi"/>
                <w:b/>
              </w:rPr>
              <w:t>Title:</w:t>
            </w:r>
          </w:p>
          <w:p w14:paraId="7CC0D758" w14:textId="77777777" w:rsidR="00A77730" w:rsidRPr="003559F4" w:rsidRDefault="00A77730" w:rsidP="00787AEE">
            <w:pPr>
              <w:rPr>
                <w:rFonts w:cstheme="minorHAnsi"/>
                <w:b/>
              </w:rPr>
            </w:pPr>
          </w:p>
          <w:p w14:paraId="0D125750" w14:textId="77777777" w:rsidR="00A77730" w:rsidRPr="003559F4" w:rsidRDefault="00A77730" w:rsidP="00787AEE">
            <w:pPr>
              <w:rPr>
                <w:rFonts w:cstheme="minorHAnsi"/>
              </w:rPr>
            </w:pPr>
            <w:r w:rsidRPr="003559F4">
              <w:rPr>
                <w:rFonts w:cstheme="minorHAnsi"/>
                <w:b/>
              </w:rPr>
              <w:t>Date:</w:t>
            </w:r>
          </w:p>
        </w:tc>
      </w:tr>
      <w:tr w:rsidR="00A77730" w:rsidRPr="003559F4" w14:paraId="4877679E" w14:textId="77777777" w:rsidTr="00787AEE">
        <w:tc>
          <w:tcPr>
            <w:tcW w:w="3227" w:type="dxa"/>
            <w:shd w:val="clear" w:color="auto" w:fill="FFFFFF"/>
          </w:tcPr>
          <w:p w14:paraId="5516F094" w14:textId="77777777" w:rsidR="00A77730" w:rsidRPr="003559F4" w:rsidRDefault="00A77730" w:rsidP="00787AEE">
            <w:pPr>
              <w:rPr>
                <w:rFonts w:cstheme="minorHAnsi"/>
              </w:rPr>
            </w:pPr>
          </w:p>
          <w:p w14:paraId="6C183E32" w14:textId="77777777" w:rsidR="00A77730" w:rsidRPr="003559F4" w:rsidRDefault="00A77730" w:rsidP="00787AEE">
            <w:pPr>
              <w:rPr>
                <w:rFonts w:cstheme="minorHAnsi"/>
              </w:rPr>
            </w:pPr>
            <w:r w:rsidRPr="003559F4">
              <w:rPr>
                <w:rFonts w:cstheme="minorHAnsi"/>
                <w:b/>
              </w:rPr>
              <w:t>Signed for and on behalf of PLACEMENT PROVIDER</w:t>
            </w:r>
          </w:p>
        </w:tc>
        <w:tc>
          <w:tcPr>
            <w:tcW w:w="6015" w:type="dxa"/>
            <w:shd w:val="clear" w:color="auto" w:fill="FFFFFF"/>
          </w:tcPr>
          <w:p w14:paraId="7916FB99" w14:textId="77777777" w:rsidR="00A77730" w:rsidRPr="003559F4" w:rsidRDefault="00A77730" w:rsidP="00787AEE">
            <w:pPr>
              <w:rPr>
                <w:rFonts w:cstheme="minorHAnsi"/>
              </w:rPr>
            </w:pPr>
          </w:p>
          <w:p w14:paraId="01BF0B1B" w14:textId="77777777" w:rsidR="00A77730" w:rsidRPr="003559F4" w:rsidRDefault="00A77730" w:rsidP="00787AEE">
            <w:pPr>
              <w:rPr>
                <w:rFonts w:cstheme="minorHAnsi"/>
                <w:b/>
              </w:rPr>
            </w:pPr>
            <w:r w:rsidRPr="003559F4">
              <w:rPr>
                <w:rFonts w:cstheme="minorHAnsi"/>
                <w:b/>
              </w:rPr>
              <w:t>Signed:</w:t>
            </w:r>
          </w:p>
          <w:p w14:paraId="1919BB4A" w14:textId="77777777" w:rsidR="00A77730" w:rsidRPr="003559F4" w:rsidRDefault="00A77730" w:rsidP="00787AEE">
            <w:pPr>
              <w:rPr>
                <w:rFonts w:cstheme="minorHAnsi"/>
                <w:b/>
              </w:rPr>
            </w:pPr>
          </w:p>
          <w:p w14:paraId="0B32CD5F" w14:textId="77777777" w:rsidR="00A77730" w:rsidRPr="003559F4" w:rsidRDefault="00A77730" w:rsidP="00787AEE">
            <w:pPr>
              <w:rPr>
                <w:rFonts w:cstheme="minorHAnsi"/>
                <w:b/>
              </w:rPr>
            </w:pPr>
          </w:p>
          <w:p w14:paraId="36FD6491" w14:textId="77777777" w:rsidR="00A77730" w:rsidRPr="003559F4" w:rsidRDefault="00A77730" w:rsidP="00787AEE">
            <w:pPr>
              <w:rPr>
                <w:rFonts w:cstheme="minorHAnsi"/>
                <w:b/>
              </w:rPr>
            </w:pPr>
            <w:r w:rsidRPr="003559F4">
              <w:rPr>
                <w:rFonts w:cstheme="minorHAnsi"/>
                <w:b/>
              </w:rPr>
              <w:t>Print name:</w:t>
            </w:r>
          </w:p>
          <w:p w14:paraId="3207EB37" w14:textId="77777777" w:rsidR="00A77730" w:rsidRPr="003559F4" w:rsidRDefault="00A77730" w:rsidP="00787AEE">
            <w:pPr>
              <w:rPr>
                <w:rFonts w:cstheme="minorHAnsi"/>
                <w:b/>
              </w:rPr>
            </w:pPr>
          </w:p>
          <w:p w14:paraId="74D75CF7" w14:textId="77777777" w:rsidR="00A77730" w:rsidRPr="003559F4" w:rsidRDefault="00A77730" w:rsidP="00787AEE">
            <w:pPr>
              <w:rPr>
                <w:rFonts w:cstheme="minorHAnsi"/>
                <w:b/>
              </w:rPr>
            </w:pPr>
            <w:r w:rsidRPr="003559F4">
              <w:rPr>
                <w:rFonts w:cstheme="minorHAnsi"/>
                <w:b/>
              </w:rPr>
              <w:t>Title:</w:t>
            </w:r>
          </w:p>
          <w:p w14:paraId="05167495" w14:textId="77777777" w:rsidR="00A77730" w:rsidRPr="003559F4" w:rsidRDefault="00A77730" w:rsidP="00787AEE">
            <w:pPr>
              <w:rPr>
                <w:rFonts w:cstheme="minorHAnsi"/>
                <w:b/>
              </w:rPr>
            </w:pPr>
          </w:p>
          <w:p w14:paraId="49832D8D" w14:textId="77777777" w:rsidR="00A77730" w:rsidRPr="003559F4" w:rsidRDefault="00A77730" w:rsidP="00787AEE">
            <w:pPr>
              <w:rPr>
                <w:rFonts w:cstheme="minorHAnsi"/>
              </w:rPr>
            </w:pPr>
            <w:r w:rsidRPr="003559F4">
              <w:rPr>
                <w:rFonts w:cstheme="minorHAnsi"/>
                <w:b/>
              </w:rPr>
              <w:t>Date:</w:t>
            </w:r>
          </w:p>
        </w:tc>
      </w:tr>
    </w:tbl>
    <w:p w14:paraId="08748242"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 xml:space="preserve">In accordance with clause 33.2 of the NHS Education Contract, where the Provider acts as data processor on behalf of HEE, Schedule 5 shall determine the scope, </w:t>
      </w:r>
      <w:proofErr w:type="gramStart"/>
      <w:r w:rsidRPr="00404CF1">
        <w:rPr>
          <w:rFonts w:cstheme="minorHAnsi"/>
          <w:lang w:val="en-GB"/>
        </w:rPr>
        <w:t>nature</w:t>
      </w:r>
      <w:proofErr w:type="gramEnd"/>
      <w:r w:rsidRPr="00404CF1">
        <w:rPr>
          <w:rFonts w:cstheme="minorHAnsi"/>
          <w:lang w:val="en-GB"/>
        </w:rPr>
        <w:t xml:space="preserv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2E421D"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0931383E" w14:textId="77777777" w:rsidTr="009E040F">
        <w:tc>
          <w:tcPr>
            <w:tcW w:w="550" w:type="dxa"/>
          </w:tcPr>
          <w:p w14:paraId="27F87251" w14:textId="77777777" w:rsidR="00574FBA" w:rsidRPr="00626C53" w:rsidRDefault="00574FBA" w:rsidP="009E040F">
            <w:pPr>
              <w:rPr>
                <w:rFonts w:cstheme="minorHAnsi"/>
                <w:b/>
              </w:rPr>
            </w:pPr>
          </w:p>
        </w:tc>
        <w:tc>
          <w:tcPr>
            <w:tcW w:w="10077" w:type="dxa"/>
          </w:tcPr>
          <w:p w14:paraId="0146536A" w14:textId="77777777" w:rsidR="00574FBA" w:rsidRPr="00626C53" w:rsidRDefault="00574FBA" w:rsidP="009E040F">
            <w:pPr>
              <w:rPr>
                <w:rFonts w:cstheme="minorHAnsi"/>
                <w:b/>
              </w:rPr>
            </w:pPr>
            <w:r w:rsidRPr="00626C53">
              <w:rPr>
                <w:rFonts w:cstheme="minorHAnsi"/>
                <w:b/>
              </w:rPr>
              <w:t xml:space="preserve">DATA SHARING AGREEMENT </w:t>
            </w:r>
          </w:p>
          <w:p w14:paraId="01FAAFA7" w14:textId="77777777" w:rsidR="00574FBA" w:rsidRPr="00626C53" w:rsidRDefault="00574FBA" w:rsidP="009E040F">
            <w:pPr>
              <w:rPr>
                <w:rFonts w:cstheme="minorHAnsi"/>
                <w:b/>
              </w:rPr>
            </w:pPr>
            <w:r w:rsidRPr="00626C53">
              <w:rPr>
                <w:rFonts w:cstheme="minorHAnsi"/>
                <w:b/>
              </w:rPr>
              <w:t>(</w:t>
            </w:r>
            <w:proofErr w:type="gramStart"/>
            <w:r w:rsidRPr="00626C53">
              <w:rPr>
                <w:rFonts w:cstheme="minorHAnsi"/>
                <w:b/>
              </w:rPr>
              <w:t>where</w:t>
            </w:r>
            <w:proofErr w:type="gramEnd"/>
            <w:r w:rsidRPr="00626C53">
              <w:rPr>
                <w:rFonts w:cstheme="minorHAnsi"/>
                <w:b/>
              </w:rPr>
              <w:t xml:space="preserve"> personal data is being processed)</w:t>
            </w:r>
          </w:p>
        </w:tc>
      </w:tr>
      <w:tr w:rsidR="00574FBA" w:rsidRPr="00626C53" w14:paraId="48E8530B" w14:textId="77777777" w:rsidTr="009E040F">
        <w:tc>
          <w:tcPr>
            <w:tcW w:w="550" w:type="dxa"/>
          </w:tcPr>
          <w:p w14:paraId="404765B2" w14:textId="77777777" w:rsidR="00574FBA" w:rsidRPr="00626C53" w:rsidRDefault="00574FBA" w:rsidP="009E040F">
            <w:pPr>
              <w:rPr>
                <w:rFonts w:cstheme="minorHAnsi"/>
                <w:b/>
              </w:rPr>
            </w:pPr>
            <w:r w:rsidRPr="00626C53">
              <w:rPr>
                <w:rFonts w:cstheme="minorHAnsi"/>
                <w:b/>
              </w:rPr>
              <w:t>1.</w:t>
            </w:r>
          </w:p>
        </w:tc>
        <w:tc>
          <w:tcPr>
            <w:tcW w:w="10077" w:type="dxa"/>
          </w:tcPr>
          <w:p w14:paraId="0E152D96" w14:textId="77777777" w:rsidR="00574FBA" w:rsidRPr="00626C53" w:rsidRDefault="00574FBA" w:rsidP="009E040F">
            <w:pPr>
              <w:rPr>
                <w:rFonts w:cstheme="minorHAnsi"/>
              </w:rPr>
            </w:pPr>
            <w:r w:rsidRPr="00626C53">
              <w:rPr>
                <w:rFonts w:cstheme="minorHAnsi"/>
                <w:b/>
              </w:rPr>
              <w:t>Between</w:t>
            </w:r>
            <w:r w:rsidRPr="00626C53">
              <w:rPr>
                <w:rFonts w:cstheme="minorHAnsi"/>
              </w:rPr>
              <w:t xml:space="preserve">: </w:t>
            </w:r>
          </w:p>
          <w:p w14:paraId="5D829EA5" w14:textId="77777777" w:rsidR="00574FBA" w:rsidRPr="00626C53" w:rsidRDefault="00574FBA" w:rsidP="009E040F">
            <w:pPr>
              <w:rPr>
                <w:rFonts w:cstheme="minorHAnsi"/>
              </w:rPr>
            </w:pPr>
          </w:p>
          <w:p w14:paraId="770D00E5" w14:textId="77777777" w:rsidR="00574FBA" w:rsidRPr="00626C53" w:rsidRDefault="00574FBA" w:rsidP="009E040F">
            <w:pPr>
              <w:rPr>
                <w:rFonts w:cstheme="minorHAnsi"/>
              </w:rPr>
            </w:pPr>
            <w:r w:rsidRPr="00626C53">
              <w:rPr>
                <w:rFonts w:cstheme="minorHAnsi"/>
                <w:color w:val="000000" w:themeColor="text1"/>
                <w:lang w:eastAsia="en-GB"/>
              </w:rPr>
              <w:t xml:space="preserve">Health Education England (HEE), and </w:t>
            </w:r>
            <w:r w:rsidRPr="00626C53">
              <w:rPr>
                <w:rFonts w:cstheme="minorHAnsi"/>
                <w:b/>
                <w:bCs/>
                <w:color w:val="000000" w:themeColor="text1"/>
                <w:lang w:eastAsia="en-GB"/>
              </w:rPr>
              <w:t>THE PROVIDER</w:t>
            </w:r>
          </w:p>
        </w:tc>
      </w:tr>
      <w:tr w:rsidR="00574FBA" w:rsidRPr="00626C53" w14:paraId="540AA227" w14:textId="77777777" w:rsidTr="009E040F">
        <w:tc>
          <w:tcPr>
            <w:tcW w:w="550" w:type="dxa"/>
            <w:tcBorders>
              <w:bottom w:val="single" w:sz="4" w:space="0" w:color="auto"/>
            </w:tcBorders>
          </w:tcPr>
          <w:p w14:paraId="13C69E99" w14:textId="77777777" w:rsidR="00574FBA" w:rsidRPr="00626C53" w:rsidRDefault="00574FBA" w:rsidP="009E040F">
            <w:pPr>
              <w:rPr>
                <w:rFonts w:cstheme="minorHAnsi"/>
                <w:b/>
              </w:rPr>
            </w:pPr>
            <w:r w:rsidRPr="00626C53">
              <w:rPr>
                <w:rFonts w:cstheme="minorHAnsi"/>
                <w:b/>
              </w:rPr>
              <w:t>2.</w:t>
            </w:r>
          </w:p>
        </w:tc>
        <w:tc>
          <w:tcPr>
            <w:tcW w:w="10077" w:type="dxa"/>
            <w:tcBorders>
              <w:bottom w:val="single" w:sz="4" w:space="0" w:color="auto"/>
            </w:tcBorders>
          </w:tcPr>
          <w:p w14:paraId="45BEFFA4" w14:textId="77777777" w:rsidR="00574FBA" w:rsidRPr="00626C53" w:rsidRDefault="00574FBA" w:rsidP="009E040F">
            <w:pPr>
              <w:rPr>
                <w:rFonts w:cstheme="minorHAnsi"/>
                <w:b/>
              </w:rPr>
            </w:pPr>
            <w:r w:rsidRPr="00626C53">
              <w:rPr>
                <w:rFonts w:cstheme="minorHAnsi"/>
                <w:b/>
              </w:rPr>
              <w:t>Definitions</w:t>
            </w:r>
          </w:p>
          <w:p w14:paraId="4B6208ED" w14:textId="77777777" w:rsidR="00574FBA" w:rsidRPr="00626C53" w:rsidRDefault="00574FBA" w:rsidP="009E040F">
            <w:pPr>
              <w:rPr>
                <w:rFonts w:cstheme="minorHAnsi"/>
                <w:b/>
              </w:rPr>
            </w:pPr>
          </w:p>
          <w:p w14:paraId="0AFD377B" w14:textId="77777777" w:rsidR="00574FBA" w:rsidRPr="00626C53" w:rsidRDefault="00574FBA" w:rsidP="009E040F">
            <w:pPr>
              <w:rPr>
                <w:rFonts w:cstheme="minorHAnsi"/>
              </w:rPr>
            </w:pPr>
            <w:r w:rsidRPr="00626C53">
              <w:rPr>
                <w:rFonts w:cstheme="minorHAnsi"/>
              </w:rPr>
              <w:t>The definitions set out in the main body of the NHS Education Contract as published on the HEE website from time to time shall apply to this Agreement.</w:t>
            </w:r>
          </w:p>
          <w:p w14:paraId="2F4612D2" w14:textId="77777777" w:rsidR="00574FBA" w:rsidRPr="00626C53" w:rsidRDefault="00574FBA" w:rsidP="009E040F">
            <w:pPr>
              <w:rPr>
                <w:rFonts w:cstheme="minorHAnsi"/>
              </w:rPr>
            </w:pPr>
          </w:p>
          <w:p w14:paraId="2E4CD16A" w14:textId="77777777" w:rsidR="00574FBA" w:rsidRPr="00626C53" w:rsidRDefault="00574FBA" w:rsidP="009E040F">
            <w:pPr>
              <w:rPr>
                <w:rFonts w:cstheme="minorHAnsi"/>
              </w:rPr>
            </w:pPr>
            <w:r w:rsidRPr="00626C53">
              <w:rPr>
                <w:rFonts w:cstheme="minorHAnsi"/>
              </w:rPr>
              <w:t>The definitions in Appendix A shall also apply.  If there is any conflict between the definitions in the NHS Education Contract and those in Appendix A then the definitions in the NHS Education Contract shall prevail.</w:t>
            </w:r>
          </w:p>
        </w:tc>
      </w:tr>
      <w:tr w:rsidR="00574FBA" w:rsidRPr="00626C53" w14:paraId="0EFED143" w14:textId="77777777" w:rsidTr="009E040F">
        <w:trPr>
          <w:trHeight w:val="2848"/>
        </w:trPr>
        <w:tc>
          <w:tcPr>
            <w:tcW w:w="550" w:type="dxa"/>
          </w:tcPr>
          <w:p w14:paraId="36FB996C" w14:textId="77777777" w:rsidR="00574FBA" w:rsidRPr="00626C53" w:rsidRDefault="00574FBA" w:rsidP="009E040F">
            <w:pPr>
              <w:rPr>
                <w:rFonts w:cstheme="minorHAnsi"/>
                <w:b/>
              </w:rPr>
            </w:pPr>
            <w:r w:rsidRPr="00626C53">
              <w:rPr>
                <w:rFonts w:cstheme="minorHAnsi"/>
                <w:b/>
              </w:rPr>
              <w:t>3.</w:t>
            </w:r>
          </w:p>
        </w:tc>
        <w:tc>
          <w:tcPr>
            <w:tcW w:w="10077" w:type="dxa"/>
          </w:tcPr>
          <w:p w14:paraId="6D39833F" w14:textId="77777777" w:rsidR="00574FBA" w:rsidRPr="00626C53" w:rsidRDefault="00574FBA" w:rsidP="009E040F">
            <w:pPr>
              <w:rPr>
                <w:rFonts w:cstheme="minorHAnsi"/>
              </w:rPr>
            </w:pPr>
            <w:r w:rsidRPr="00626C53">
              <w:rPr>
                <w:rFonts w:cstheme="minorHAnsi"/>
                <w:b/>
              </w:rPr>
              <w:t>Purpose and objectives of the information sharing</w:t>
            </w:r>
            <w:r w:rsidRPr="00626C53">
              <w:rPr>
                <w:rFonts w:cstheme="minorHAnsi"/>
              </w:rPr>
              <w:t>:</w:t>
            </w:r>
          </w:p>
          <w:p w14:paraId="526CFEDF" w14:textId="77777777" w:rsidR="00574FBA" w:rsidRPr="00626C53" w:rsidRDefault="00574FBA" w:rsidP="009E040F">
            <w:pPr>
              <w:rPr>
                <w:rFonts w:cstheme="minorHAnsi"/>
              </w:rPr>
            </w:pPr>
          </w:p>
          <w:p w14:paraId="3A7A9BEF" w14:textId="77777777" w:rsidR="00574FBA" w:rsidRPr="00626C53" w:rsidRDefault="00574FBA" w:rsidP="009E040F">
            <w:pPr>
              <w:rPr>
                <w:rFonts w:cstheme="minorHAnsi"/>
              </w:rPr>
            </w:pPr>
            <w:r w:rsidRPr="00626C53">
              <w:rPr>
                <w:rFonts w:cstheme="minorHAnsi"/>
              </w:rPr>
              <w:t xml:space="preserve">HEE is responsible for supporting the delivery of excellent healthcare and health improvement to the patients and public of England by ensuring that the workforce of today and tomorrow is available in the right numbers with the right skills, </w:t>
            </w:r>
            <w:proofErr w:type="gramStart"/>
            <w:r w:rsidRPr="00626C53">
              <w:rPr>
                <w:rFonts w:cstheme="minorHAnsi"/>
              </w:rPr>
              <w:t>values</w:t>
            </w:r>
            <w:proofErr w:type="gramEnd"/>
            <w:r w:rsidRPr="00626C53">
              <w:rPr>
                <w:rFonts w:cstheme="minorHAnsi"/>
              </w:rPr>
              <w:t xml:space="preserve"> and </w:t>
            </w:r>
            <w:proofErr w:type="spellStart"/>
            <w:r w:rsidRPr="00626C53">
              <w:rPr>
                <w:rFonts w:cstheme="minorHAnsi"/>
              </w:rPr>
              <w:t>behaviours</w:t>
            </w:r>
            <w:proofErr w:type="spellEnd"/>
            <w:r w:rsidRPr="00626C53">
              <w:rPr>
                <w:rFonts w:cstheme="minorHAnsi"/>
              </w:rPr>
              <w:t>, at the right time and in the right place.</w:t>
            </w:r>
          </w:p>
          <w:p w14:paraId="0CBD0162" w14:textId="77777777" w:rsidR="00574FBA" w:rsidRPr="00626C53" w:rsidRDefault="00574FBA" w:rsidP="009E040F">
            <w:pPr>
              <w:textAlignment w:val="baseline"/>
              <w:rPr>
                <w:rFonts w:eastAsia="Times New Roman" w:cstheme="minorHAnsi"/>
                <w:lang w:eastAsia="en-GB"/>
              </w:rPr>
            </w:pPr>
          </w:p>
          <w:p w14:paraId="49EAD31C" w14:textId="77777777" w:rsidR="00574FBA" w:rsidRPr="00626C53" w:rsidRDefault="00574FBA" w:rsidP="009E040F">
            <w:pPr>
              <w:textAlignment w:val="baseline"/>
              <w:rPr>
                <w:rFonts w:eastAsia="Times New Roman" w:cstheme="minorHAnsi"/>
                <w:lang w:eastAsia="en-GB"/>
              </w:rPr>
            </w:pPr>
            <w:r w:rsidRPr="00626C53">
              <w:rPr>
                <w:rFonts w:eastAsia="Times New Roman" w:cstheme="minorHAnsi"/>
                <w:lang w:eastAsia="en-GB"/>
              </w:rPr>
              <w:t>In consideration of the mutual promises set out in this Agreement, the following Agreement between HEE and Education and Placement Providers providing data reflects the arrangement in place to facilitate the sharing of personal data relating to: </w:t>
            </w:r>
          </w:p>
          <w:p w14:paraId="50B1B017" w14:textId="77777777" w:rsidR="00574FBA" w:rsidRPr="00626C53" w:rsidRDefault="00574FBA" w:rsidP="009E040F">
            <w:pPr>
              <w:textAlignment w:val="baseline"/>
              <w:rPr>
                <w:rFonts w:eastAsia="Times New Roman" w:cstheme="minorHAnsi"/>
                <w:lang w:eastAsia="en-GB"/>
              </w:rPr>
            </w:pPr>
          </w:p>
          <w:p w14:paraId="4BBD30CE"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Education Provider and </w:t>
            </w:r>
            <w:proofErr w:type="spellStart"/>
            <w:r w:rsidRPr="00626C53">
              <w:rPr>
                <w:rFonts w:eastAsia="Times New Roman" w:cstheme="minorHAnsi"/>
                <w:lang w:eastAsia="en-GB"/>
              </w:rPr>
              <w:t>programme</w:t>
            </w:r>
            <w:proofErr w:type="spellEnd"/>
            <w:r w:rsidRPr="00626C53">
              <w:rPr>
                <w:rFonts w:eastAsia="Times New Roman" w:cstheme="minorHAnsi"/>
                <w:lang w:eastAsia="en-GB"/>
              </w:rPr>
              <w:t xml:space="preserve"> details </w:t>
            </w:r>
          </w:p>
          <w:p w14:paraId="34062F7F"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Employer details (if learner is employed during </w:t>
            </w:r>
            <w:proofErr w:type="spellStart"/>
            <w:r w:rsidRPr="00626C53">
              <w:rPr>
                <w:rFonts w:eastAsia="Times New Roman" w:cstheme="minorHAnsi"/>
                <w:lang w:eastAsia="en-GB"/>
              </w:rPr>
              <w:t>programme</w:t>
            </w:r>
            <w:proofErr w:type="spellEnd"/>
            <w:r w:rsidRPr="00626C53">
              <w:rPr>
                <w:rFonts w:eastAsia="Times New Roman" w:cstheme="minorHAnsi"/>
                <w:lang w:eastAsia="en-GB"/>
              </w:rPr>
              <w:t xml:space="preserve"> of study)</w:t>
            </w:r>
          </w:p>
          <w:p w14:paraId="6C58DAC0"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 xml:space="preserve">Learner activity on all healthcare-related </w:t>
            </w:r>
            <w:proofErr w:type="spellStart"/>
            <w:r w:rsidRPr="00626C53">
              <w:rPr>
                <w:rFonts w:eastAsia="Times New Roman" w:cstheme="minorHAnsi"/>
                <w:lang w:eastAsia="en-GB"/>
              </w:rPr>
              <w:t>programmes</w:t>
            </w:r>
            <w:proofErr w:type="spellEnd"/>
            <w:r w:rsidRPr="00626C53">
              <w:rPr>
                <w:rFonts w:eastAsia="Times New Roman" w:cstheme="minorHAnsi"/>
                <w:lang w:eastAsia="en-GB"/>
              </w:rPr>
              <w:t> </w:t>
            </w:r>
          </w:p>
          <w:p w14:paraId="27CCD9C2"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Provider and placement activity </w:t>
            </w:r>
          </w:p>
          <w:p w14:paraId="78CAB16D"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Salary support or other payments directly related to education provision</w:t>
            </w:r>
          </w:p>
          <w:p w14:paraId="1305AD85" w14:textId="77777777" w:rsidR="00574FBA" w:rsidRPr="00626C53" w:rsidRDefault="00574FBA" w:rsidP="00DB7429">
            <w:pPr>
              <w:numPr>
                <w:ilvl w:val="0"/>
                <w:numId w:val="38"/>
              </w:numPr>
              <w:spacing w:after="0" w:line="240" w:lineRule="auto"/>
              <w:textAlignment w:val="baseline"/>
              <w:rPr>
                <w:rFonts w:eastAsia="Times New Roman" w:cstheme="minorHAnsi"/>
                <w:lang w:eastAsia="en-GB"/>
              </w:rPr>
            </w:pPr>
            <w:r w:rsidRPr="00626C53">
              <w:rPr>
                <w:rFonts w:eastAsia="Times New Roman" w:cstheme="minorHAnsi"/>
                <w:lang w:eastAsia="en-GB"/>
              </w:rPr>
              <w:t>Placement tariff payments </w:t>
            </w:r>
          </w:p>
          <w:p w14:paraId="5BDE71CD" w14:textId="77777777" w:rsidR="00574FBA" w:rsidRPr="00626C53" w:rsidRDefault="00574FBA" w:rsidP="00DB7429">
            <w:pPr>
              <w:numPr>
                <w:ilvl w:val="0"/>
                <w:numId w:val="38"/>
              </w:numPr>
              <w:spacing w:after="0" w:line="240" w:lineRule="auto"/>
              <w:rPr>
                <w:rFonts w:cstheme="minorHAnsi"/>
                <w:lang w:eastAsia="en-GB"/>
              </w:rPr>
            </w:pPr>
            <w:r w:rsidRPr="00626C53">
              <w:rPr>
                <w:rFonts w:eastAsia="Times New Roman" w:cstheme="minorHAnsi"/>
                <w:lang w:eastAsia="en-GB"/>
              </w:rPr>
              <w:t>Learner contact details</w:t>
            </w:r>
          </w:p>
          <w:p w14:paraId="7FC09EE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eastAsia="Times New Roman" w:cstheme="minorHAnsi"/>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lastRenderedPageBreak/>
              <w:t xml:space="preserve">Personal data (name and email address only) will be passed to </w:t>
            </w:r>
            <w:proofErr w:type="spellStart"/>
            <w:r w:rsidRPr="00626C53">
              <w:rPr>
                <w:rFonts w:cstheme="minorHAnsi"/>
                <w:lang w:eastAsia="en-GB"/>
              </w:rPr>
              <w:t>SmartSurvey</w:t>
            </w:r>
            <w:proofErr w:type="spellEnd"/>
            <w:r w:rsidRPr="00626C53">
              <w:rPr>
                <w:rFonts w:cstheme="minorHAnsi"/>
                <w:lang w:eastAsia="en-GB"/>
              </w:rPr>
              <w:t xml:space="preserve"> for use only in sending out the National Education and Training Survey on HEE’s behalf</w:t>
            </w:r>
          </w:p>
          <w:p w14:paraId="1EFFA14F"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for medical and dental Learners linked to their decile ranking for their final qualification</w:t>
            </w:r>
          </w:p>
          <w:p w14:paraId="4FDC2705" w14:textId="77777777" w:rsidR="00574FBA" w:rsidRPr="00626C53" w:rsidRDefault="00574FBA" w:rsidP="00DB7429">
            <w:pPr>
              <w:pStyle w:val="ListParagraph"/>
              <w:numPr>
                <w:ilvl w:val="0"/>
                <w:numId w:val="38"/>
              </w:numPr>
              <w:spacing w:after="0" w:line="240" w:lineRule="auto"/>
              <w:rPr>
                <w:rFonts w:cstheme="minorHAnsi"/>
                <w:lang w:eastAsia="en-GB"/>
              </w:rPr>
            </w:pPr>
            <w:r w:rsidRPr="00626C53">
              <w:rPr>
                <w:rFonts w:cstheme="minorHAnsi"/>
                <w:lang w:eastAsia="en-GB"/>
              </w:rPr>
              <w:t>Personal data, when concerning a medical Learner in their F1 year, will be passed to the former education provider in the case of appeals against a non-progression decision by a trainee</w:t>
            </w:r>
          </w:p>
          <w:p w14:paraId="4BD1C40E" w14:textId="77777777" w:rsidR="00574FBA" w:rsidRPr="00626C53" w:rsidRDefault="00574FBA" w:rsidP="00DB7429">
            <w:pPr>
              <w:pStyle w:val="ListParagraph"/>
              <w:numPr>
                <w:ilvl w:val="0"/>
                <w:numId w:val="38"/>
              </w:numPr>
              <w:spacing w:after="0" w:line="240" w:lineRule="auto"/>
              <w:rPr>
                <w:rFonts w:cstheme="minorHAnsi"/>
                <w:lang w:eastAsia="en-GB"/>
              </w:rPr>
            </w:pPr>
            <w:proofErr w:type="spellStart"/>
            <w:r w:rsidRPr="00626C53">
              <w:rPr>
                <w:rFonts w:eastAsia="Times New Roman" w:cstheme="minorHAnsi"/>
                <w:lang w:eastAsia="en-GB"/>
              </w:rPr>
              <w:t>Anonymised</w:t>
            </w:r>
            <w:proofErr w:type="spellEnd"/>
            <w:r w:rsidRPr="00626C53">
              <w:rPr>
                <w:rFonts w:eastAsia="Times New Roman" w:cstheme="minorHAnsi"/>
                <w:lang w:eastAsia="en-GB"/>
              </w:rPr>
              <w:t xml:space="preserve"> summary data to be created by HEE and shared back with data providers to enable them to baseline their data with regional and national summary data. </w:t>
            </w:r>
            <w:proofErr w:type="spellStart"/>
            <w:r w:rsidRPr="00626C53">
              <w:rPr>
                <w:rFonts w:eastAsia="Times New Roman" w:cstheme="minorHAnsi"/>
                <w:lang w:eastAsia="en-GB"/>
              </w:rPr>
              <w:t>Anonymised</w:t>
            </w:r>
            <w:proofErr w:type="spellEnd"/>
            <w:r w:rsidRPr="00626C53">
              <w:rPr>
                <w:rFonts w:eastAsia="Times New Roman" w:cstheme="minorHAnsi"/>
                <w:lang w:eastAsia="en-GB"/>
              </w:rPr>
              <w:t xml:space="preserve"> analysis may also be shared with partner </w:t>
            </w:r>
            <w:proofErr w:type="spellStart"/>
            <w:r w:rsidRPr="00626C53">
              <w:rPr>
                <w:rFonts w:eastAsia="Times New Roman" w:cstheme="minorHAnsi"/>
                <w:lang w:eastAsia="en-GB"/>
              </w:rPr>
              <w:t>organisations</w:t>
            </w:r>
            <w:proofErr w:type="spellEnd"/>
            <w:r w:rsidRPr="00626C53">
              <w:rPr>
                <w:rFonts w:eastAsia="Times New Roman" w:cstheme="minorHAnsi"/>
                <w:lang w:eastAsia="en-GB"/>
              </w:rPr>
              <w:t xml:space="preserve"> such as NHSE/I, DHSC and STPs for the purposes of workforce modelling </w:t>
            </w:r>
          </w:p>
          <w:p w14:paraId="495B33BD" w14:textId="77777777" w:rsidR="00574FBA" w:rsidRPr="00626C53" w:rsidRDefault="00574FBA" w:rsidP="00DB7429">
            <w:pPr>
              <w:pStyle w:val="ListParagraph"/>
              <w:numPr>
                <w:ilvl w:val="0"/>
                <w:numId w:val="38"/>
              </w:numPr>
              <w:spacing w:after="0" w:line="240" w:lineRule="auto"/>
              <w:contextualSpacing w:val="0"/>
              <w:rPr>
                <w:rFonts w:eastAsia="Times New Roman" w:cstheme="minorHAnsi"/>
              </w:rPr>
            </w:pPr>
            <w:r w:rsidRPr="00626C53">
              <w:rPr>
                <w:rFonts w:eastAsia="Times New Roman" w:cstheme="minorHAnsi"/>
              </w:rPr>
              <w:t xml:space="preserve">Learner activity on all healthcare-related </w:t>
            </w:r>
            <w:proofErr w:type="spellStart"/>
            <w:r w:rsidRPr="00626C53">
              <w:rPr>
                <w:rFonts w:eastAsia="Times New Roman" w:cstheme="minorHAnsi"/>
              </w:rPr>
              <w:t>programmes</w:t>
            </w:r>
            <w:proofErr w:type="spellEnd"/>
          </w:p>
          <w:p w14:paraId="4ADCADA8" w14:textId="77777777" w:rsidR="00574FBA" w:rsidRPr="00626C53" w:rsidRDefault="00574FBA" w:rsidP="009E040F">
            <w:pPr>
              <w:rPr>
                <w:rFonts w:eastAsia="Times New Roman" w:cstheme="minorHAnsi"/>
                <w:color w:val="000000"/>
              </w:rPr>
            </w:pPr>
          </w:p>
        </w:tc>
      </w:tr>
      <w:tr w:rsidR="00574FBA" w:rsidRPr="00626C53" w14:paraId="7AA8B6E7" w14:textId="77777777" w:rsidTr="009E040F">
        <w:tc>
          <w:tcPr>
            <w:tcW w:w="550" w:type="dxa"/>
          </w:tcPr>
          <w:p w14:paraId="60AEB8E7" w14:textId="77777777" w:rsidR="00574FBA" w:rsidRPr="00626C53" w:rsidRDefault="00574FBA" w:rsidP="009E040F">
            <w:pPr>
              <w:rPr>
                <w:rFonts w:cstheme="minorHAnsi"/>
                <w:b/>
              </w:rPr>
            </w:pPr>
            <w:r w:rsidRPr="00626C53">
              <w:rPr>
                <w:rFonts w:cstheme="minorHAnsi"/>
                <w:b/>
              </w:rPr>
              <w:lastRenderedPageBreak/>
              <w:t>4.</w:t>
            </w:r>
          </w:p>
        </w:tc>
        <w:tc>
          <w:tcPr>
            <w:tcW w:w="10077" w:type="dxa"/>
          </w:tcPr>
          <w:p w14:paraId="29F84D49" w14:textId="77777777" w:rsidR="00574FBA" w:rsidRPr="00626C53" w:rsidRDefault="00574FBA" w:rsidP="009E040F">
            <w:pPr>
              <w:rPr>
                <w:rFonts w:cstheme="minorHAnsi"/>
                <w:b/>
                <w:bCs/>
              </w:rPr>
            </w:pPr>
            <w:r w:rsidRPr="00626C53">
              <w:rPr>
                <w:rFonts w:cstheme="minorHAnsi"/>
                <w:b/>
                <w:bCs/>
              </w:rPr>
              <w:t>Data Protection Impact Assessment (DPIA)</w:t>
            </w:r>
          </w:p>
          <w:p w14:paraId="35B9BB6B" w14:textId="77777777" w:rsidR="00574FBA" w:rsidRPr="00626C53" w:rsidRDefault="00574FBA" w:rsidP="009E040F">
            <w:pPr>
              <w:rPr>
                <w:rFonts w:cstheme="minorHAnsi"/>
                <w:bCs/>
              </w:rPr>
            </w:pPr>
          </w:p>
          <w:p w14:paraId="3157BFCE" w14:textId="77777777" w:rsidR="00574FBA" w:rsidRPr="00626C53" w:rsidRDefault="00574FBA" w:rsidP="009E040F">
            <w:pPr>
              <w:rPr>
                <w:rFonts w:cstheme="minorHAnsi"/>
              </w:rPr>
            </w:pPr>
            <w:r w:rsidRPr="00626C53">
              <w:rPr>
                <w:rFonts w:cstheme="minorHAnsi"/>
              </w:rPr>
              <w:t xml:space="preserve">The appropriate DPIAs are available on request, please contact </w:t>
            </w:r>
            <w:hyperlink r:id="rId112" w:history="1">
              <w:r w:rsidRPr="00626C53">
                <w:rPr>
                  <w:rStyle w:val="Hyperlink"/>
                  <w:rFonts w:asciiTheme="minorHAnsi" w:hAnsiTheme="minorHAnsi" w:cstheme="minorHAnsi"/>
                </w:rPr>
                <w:t>dataservice@hee.nhs.uk</w:t>
              </w:r>
            </w:hyperlink>
            <w:r w:rsidRPr="00626C53">
              <w:rPr>
                <w:rFonts w:cstheme="minorHAnsi"/>
              </w:rPr>
              <w:t xml:space="preserve">  if you would like a copy. </w:t>
            </w:r>
          </w:p>
          <w:p w14:paraId="0E6603B4" w14:textId="77777777" w:rsidR="00574FBA" w:rsidRPr="00626C53" w:rsidRDefault="00574FBA" w:rsidP="009E040F">
            <w:pPr>
              <w:rPr>
                <w:rFonts w:cstheme="minorHAnsi"/>
                <w:b/>
              </w:rPr>
            </w:pPr>
          </w:p>
        </w:tc>
      </w:tr>
      <w:tr w:rsidR="00574FBA" w:rsidRPr="00626C53" w14:paraId="36E6625F" w14:textId="77777777" w:rsidTr="009E040F">
        <w:tc>
          <w:tcPr>
            <w:tcW w:w="550" w:type="dxa"/>
          </w:tcPr>
          <w:p w14:paraId="357DA3B2" w14:textId="77777777" w:rsidR="00574FBA" w:rsidRPr="00626C53" w:rsidRDefault="00574FBA" w:rsidP="009E040F">
            <w:pPr>
              <w:rPr>
                <w:rFonts w:cstheme="minorHAnsi"/>
                <w:b/>
              </w:rPr>
            </w:pPr>
            <w:r w:rsidRPr="00626C53">
              <w:rPr>
                <w:rFonts w:cstheme="minorHAnsi"/>
                <w:b/>
              </w:rPr>
              <w:t>5.</w:t>
            </w:r>
          </w:p>
        </w:tc>
        <w:tc>
          <w:tcPr>
            <w:tcW w:w="10077" w:type="dxa"/>
          </w:tcPr>
          <w:p w14:paraId="2FFDAD2C" w14:textId="77777777" w:rsidR="00574FBA" w:rsidRPr="00626C53" w:rsidRDefault="00574FBA" w:rsidP="009E040F">
            <w:pPr>
              <w:rPr>
                <w:rFonts w:cstheme="minorHAnsi"/>
              </w:rPr>
            </w:pPr>
            <w:r w:rsidRPr="00626C53">
              <w:rPr>
                <w:rFonts w:cstheme="minorHAnsi"/>
                <w:b/>
              </w:rPr>
              <w:t xml:space="preserve">Legal basis and powers for processing the data/information </w:t>
            </w:r>
            <w:r w:rsidRPr="00626C53">
              <w:rPr>
                <w:rFonts w:cstheme="minorHAnsi"/>
              </w:rPr>
              <w:t xml:space="preserve"> </w:t>
            </w:r>
          </w:p>
          <w:p w14:paraId="31E92BBB" w14:textId="77777777" w:rsidR="00574FBA" w:rsidRPr="00626C53" w:rsidRDefault="00574FBA" w:rsidP="009E040F">
            <w:pPr>
              <w:rPr>
                <w:rFonts w:cstheme="minorHAnsi"/>
              </w:rPr>
            </w:pPr>
          </w:p>
          <w:p w14:paraId="593F67FE" w14:textId="77777777" w:rsidR="00574FBA" w:rsidRPr="00626C53" w:rsidRDefault="00574FBA" w:rsidP="009E040F">
            <w:pPr>
              <w:rPr>
                <w:rFonts w:cstheme="minorHAnsi"/>
                <w:i/>
                <w:iCs/>
              </w:rPr>
            </w:pPr>
            <w:r w:rsidRPr="00626C53">
              <w:rPr>
                <w:rFonts w:cstheme="minorHAnsi"/>
                <w:i/>
                <w:iCs/>
              </w:rPr>
              <w:t>Specify the legal basis and powers that enable the information to be processed between the parties</w:t>
            </w:r>
            <w:r w:rsidRPr="00626C53">
              <w:rPr>
                <w:rFonts w:cstheme="minorHAnsi"/>
                <w:b/>
                <w:bCs/>
                <w:i/>
                <w:iCs/>
              </w:rPr>
              <w:t xml:space="preserve">.  </w:t>
            </w:r>
            <w:r w:rsidRPr="00626C53">
              <w:rPr>
                <w:rFonts w:cstheme="minorHAnsi"/>
                <w:i/>
                <w:iCs/>
              </w:rPr>
              <w:t xml:space="preserve">(See the Information Commissioner’s website for further information).  This is to ensure compliance with ‘lawful’ processing as in General Data Protection Regulation (GDPR) principle 5(a).  </w:t>
            </w:r>
          </w:p>
          <w:p w14:paraId="70856AEA" w14:textId="77777777" w:rsidR="00574FBA" w:rsidRPr="00626C53" w:rsidRDefault="00574FBA" w:rsidP="009E040F">
            <w:pPr>
              <w:rPr>
                <w:rFonts w:cstheme="minorHAnsi"/>
                <w:b/>
                <w:bCs/>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626C53" w14:paraId="414B0C44" w14:textId="77777777" w:rsidTr="009E040F">
              <w:tc>
                <w:tcPr>
                  <w:tcW w:w="8512" w:type="dxa"/>
                  <w:gridSpan w:val="2"/>
                  <w:tcBorders>
                    <w:bottom w:val="single" w:sz="4" w:space="0" w:color="auto"/>
                  </w:tcBorders>
                  <w:vAlign w:val="center"/>
                </w:tcPr>
                <w:p w14:paraId="49638593" w14:textId="77777777" w:rsidR="00574FBA" w:rsidRPr="00626C53" w:rsidRDefault="00574FBA" w:rsidP="000859A5">
                  <w:pPr>
                    <w:pStyle w:val="NoSpacing"/>
                    <w:framePr w:hSpace="187" w:wrap="around" w:vAnchor="text" w:hAnchor="margin" w:x="108" w:y="289"/>
                    <w:spacing w:line="259" w:lineRule="auto"/>
                    <w:ind w:left="720"/>
                    <w:rPr>
                      <w:rFonts w:cstheme="minorHAnsi"/>
                    </w:rPr>
                  </w:pPr>
                  <w:r w:rsidRPr="00626C53">
                    <w:rPr>
                      <w:rFonts w:cstheme="minorHAnsi"/>
                    </w:rPr>
                    <w:t>.</w:t>
                  </w:r>
                </w:p>
                <w:p w14:paraId="0A0827E8" w14:textId="77777777" w:rsidR="00574FBA" w:rsidRPr="00626C53" w:rsidRDefault="00574FBA" w:rsidP="000859A5">
                  <w:pPr>
                    <w:framePr w:hSpace="187" w:wrap="around" w:vAnchor="text" w:hAnchor="margin" w:x="108" w:y="289"/>
                    <w:rPr>
                      <w:rFonts w:cstheme="minorHAnsi"/>
                    </w:rPr>
                  </w:pPr>
                </w:p>
                <w:p w14:paraId="75EF980A" w14:textId="77777777" w:rsidR="00574FBA" w:rsidRPr="00626C53" w:rsidRDefault="00574FBA" w:rsidP="000859A5">
                  <w:pPr>
                    <w:framePr w:hSpace="187" w:wrap="around" w:vAnchor="text" w:hAnchor="margin" w:x="108" w:y="289"/>
                    <w:rPr>
                      <w:rFonts w:cstheme="minorHAnsi"/>
                      <w:b/>
                    </w:rPr>
                  </w:pPr>
                </w:p>
                <w:p w14:paraId="03A8B0A5" w14:textId="77777777" w:rsidR="00574FBA" w:rsidRPr="00626C53" w:rsidRDefault="00574FBA" w:rsidP="000859A5">
                  <w:pPr>
                    <w:framePr w:hSpace="187" w:wrap="around" w:vAnchor="text" w:hAnchor="margin" w:x="108" w:y="289"/>
                    <w:rPr>
                      <w:rFonts w:cstheme="minorHAnsi"/>
                      <w:b/>
                    </w:rPr>
                  </w:pPr>
                </w:p>
              </w:tc>
              <w:tc>
                <w:tcPr>
                  <w:tcW w:w="4066" w:type="dxa"/>
                </w:tcPr>
                <w:p w14:paraId="798D6AE7" w14:textId="77777777" w:rsidR="00574FBA" w:rsidRPr="00626C53" w:rsidRDefault="00574FBA" w:rsidP="000859A5">
                  <w:pPr>
                    <w:framePr w:hSpace="187" w:wrap="around" w:vAnchor="text" w:hAnchor="margin" w:x="108" w:y="289"/>
                    <w:ind w:right="2416"/>
                    <w:rPr>
                      <w:rFonts w:cstheme="minorHAnsi"/>
                      <w:b/>
                    </w:rPr>
                  </w:pPr>
                  <w:r w:rsidRPr="00626C53">
                    <w:rPr>
                      <w:rFonts w:cstheme="minorHAnsi"/>
                      <w:b/>
                    </w:rPr>
                    <w:t>Applicable to living individuals</w:t>
                  </w:r>
                </w:p>
              </w:tc>
            </w:tr>
            <w:tr w:rsidR="00574FBA" w:rsidRPr="00626C53"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626C53" w:rsidRDefault="00574FBA" w:rsidP="000859A5">
                  <w:pPr>
                    <w:framePr w:hSpace="187" w:wrap="around" w:vAnchor="text" w:hAnchor="margin" w:x="108" w:y="289"/>
                    <w:rPr>
                      <w:rFonts w:cstheme="minorHAnsi"/>
                      <w:b/>
                      <w:bCs/>
                    </w:rPr>
                  </w:pPr>
                  <w:r w:rsidRPr="00626C53">
                    <w:rPr>
                      <w:rFonts w:cstheme="minorHAnsi"/>
                      <w:b/>
                      <w:bCs/>
                    </w:rPr>
                    <w:t>Legal powers to share</w:t>
                  </w:r>
                </w:p>
                <w:p w14:paraId="7BCACAED" w14:textId="77777777" w:rsidR="00574FBA" w:rsidRPr="00626C53" w:rsidRDefault="00574FBA" w:rsidP="000859A5">
                  <w:pPr>
                    <w:framePr w:hSpace="187" w:wrap="around" w:vAnchor="text" w:hAnchor="margin" w:x="108" w:y="289"/>
                    <w:rPr>
                      <w:rFonts w:cstheme="minorHAnsi"/>
                      <w:b/>
                    </w:rPr>
                  </w:pPr>
                </w:p>
                <w:p w14:paraId="2DD7E268" w14:textId="77777777" w:rsidR="00574FBA" w:rsidRPr="00626C53" w:rsidRDefault="00574FBA" w:rsidP="000859A5">
                  <w:pPr>
                    <w:framePr w:hSpace="187" w:wrap="around" w:vAnchor="text" w:hAnchor="margin" w:x="108" w:y="289"/>
                    <w:rPr>
                      <w:rFonts w:cstheme="minorHAnsi"/>
                      <w:b/>
                    </w:rPr>
                  </w:pPr>
                  <w:r w:rsidRPr="00626C53">
                    <w:rPr>
                      <w:rFonts w:cstheme="minorHAnsi"/>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626C53" w:rsidRDefault="00574FBA" w:rsidP="000859A5">
                  <w:pPr>
                    <w:framePr w:hSpace="187" w:wrap="around" w:vAnchor="text" w:hAnchor="margin" w:x="108" w:y="289"/>
                    <w:rPr>
                      <w:rFonts w:cstheme="minorHAnsi"/>
                      <w:b/>
                    </w:rPr>
                  </w:pPr>
                </w:p>
              </w:tc>
              <w:tc>
                <w:tcPr>
                  <w:tcW w:w="4066" w:type="dxa"/>
                  <w:tcBorders>
                    <w:left w:val="single" w:sz="4" w:space="0" w:color="auto"/>
                  </w:tcBorders>
                </w:tcPr>
                <w:p w14:paraId="278795E4" w14:textId="77777777" w:rsidR="00574FBA" w:rsidRPr="00626C53" w:rsidRDefault="00574FBA" w:rsidP="000859A5">
                  <w:pPr>
                    <w:framePr w:hSpace="187" w:wrap="around" w:vAnchor="text" w:hAnchor="margin" w:x="108" w:y="289"/>
                    <w:rPr>
                      <w:rFonts w:cstheme="minorHAnsi"/>
                      <w:b/>
                    </w:rPr>
                  </w:pPr>
                  <w:r w:rsidRPr="00626C53">
                    <w:rPr>
                      <w:rFonts w:cstheme="minorHAnsi"/>
                      <w:b/>
                    </w:rPr>
                    <w:t>Yes</w:t>
                  </w:r>
                </w:p>
              </w:tc>
            </w:tr>
            <w:tr w:rsidR="00574FBA" w:rsidRPr="00626C53" w14:paraId="30F3D9BB" w14:textId="77777777" w:rsidTr="009E040F">
              <w:tc>
                <w:tcPr>
                  <w:tcW w:w="2522" w:type="dxa"/>
                  <w:tcBorders>
                    <w:left w:val="single" w:sz="4" w:space="0" w:color="auto"/>
                    <w:bottom w:val="single" w:sz="4" w:space="0" w:color="auto"/>
                  </w:tcBorders>
                </w:tcPr>
                <w:p w14:paraId="3E00DF94" w14:textId="77777777" w:rsidR="00574FBA" w:rsidRPr="00626C53" w:rsidRDefault="00574FBA" w:rsidP="000859A5">
                  <w:pPr>
                    <w:framePr w:hSpace="187" w:wrap="around" w:vAnchor="text" w:hAnchor="margin" w:x="108" w:y="289"/>
                    <w:rPr>
                      <w:rFonts w:cstheme="minorHAnsi"/>
                      <w:b/>
                    </w:rPr>
                  </w:pPr>
                  <w:r w:rsidRPr="00626C53">
                    <w:rPr>
                      <w:rFonts w:cstheme="minorHAnsi"/>
                      <w:b/>
                    </w:rPr>
                    <w:lastRenderedPageBreak/>
                    <w:t>Article 6 condition</w:t>
                  </w:r>
                </w:p>
                <w:p w14:paraId="428DF686" w14:textId="77777777" w:rsidR="00574FBA" w:rsidRPr="00626C53" w:rsidRDefault="00574FBA" w:rsidP="000859A5">
                  <w:pPr>
                    <w:framePr w:hSpace="187" w:wrap="around" w:vAnchor="text" w:hAnchor="margin" w:x="108" w:y="289"/>
                    <w:rPr>
                      <w:rFonts w:cstheme="minorHAnsi"/>
                      <w:b/>
                    </w:rPr>
                  </w:pPr>
                </w:p>
                <w:p w14:paraId="5B3750A3" w14:textId="77777777" w:rsidR="00574FBA" w:rsidRPr="00626C53" w:rsidRDefault="00574FBA" w:rsidP="000859A5">
                  <w:pPr>
                    <w:framePr w:hSpace="187" w:wrap="around" w:vAnchor="text" w:hAnchor="margin" w:x="108" w:y="289"/>
                    <w:rPr>
                      <w:rFonts w:cstheme="minorHAnsi"/>
                      <w:b/>
                    </w:rPr>
                  </w:pPr>
                </w:p>
              </w:tc>
              <w:tc>
                <w:tcPr>
                  <w:tcW w:w="5990" w:type="dxa"/>
                  <w:tcBorders>
                    <w:bottom w:val="single" w:sz="4" w:space="0" w:color="auto"/>
                    <w:right w:val="single" w:sz="4" w:space="0" w:color="auto"/>
                  </w:tcBorders>
                </w:tcPr>
                <w:p w14:paraId="741D74DF" w14:textId="77777777" w:rsidR="00574FBA" w:rsidRPr="00626C53" w:rsidRDefault="00574FBA" w:rsidP="000859A5">
                  <w:pPr>
                    <w:framePr w:hSpace="187" w:wrap="around" w:vAnchor="text" w:hAnchor="margin" w:x="108" w:y="289"/>
                    <w:rPr>
                      <w:rFonts w:cstheme="minorHAnsi"/>
                      <w:b/>
                      <w:bCs/>
                    </w:rPr>
                  </w:pPr>
                  <w:r w:rsidRPr="00626C53">
                    <w:rPr>
                      <w:rFonts w:cstheme="minorHAnsi"/>
                      <w:b/>
                      <w:bCs/>
                    </w:rPr>
                    <w:t xml:space="preserve">When processing personal data please specify which Article 6 condition is met </w:t>
                  </w:r>
                </w:p>
                <w:p w14:paraId="2919924A" w14:textId="77777777" w:rsidR="00574FBA" w:rsidRPr="00626C53" w:rsidRDefault="00574FBA" w:rsidP="000859A5">
                  <w:pPr>
                    <w:framePr w:hSpace="187" w:wrap="around" w:vAnchor="text" w:hAnchor="margin" w:x="108" w:y="289"/>
                    <w:rPr>
                      <w:rFonts w:cstheme="minorHAnsi"/>
                      <w:b/>
                      <w:bCs/>
                    </w:rPr>
                  </w:pPr>
                </w:p>
                <w:p w14:paraId="550DDD59" w14:textId="77777777" w:rsidR="00574FBA" w:rsidRPr="00626C53" w:rsidRDefault="00574FBA" w:rsidP="000859A5">
                  <w:pPr>
                    <w:pStyle w:val="ListParagraph"/>
                    <w:framePr w:hSpace="187" w:wrap="around" w:vAnchor="text" w:hAnchor="margin" w:x="108" w:y="289"/>
                    <w:numPr>
                      <w:ilvl w:val="0"/>
                      <w:numId w:val="37"/>
                    </w:numPr>
                    <w:spacing w:after="0" w:line="240" w:lineRule="auto"/>
                    <w:rPr>
                      <w:rFonts w:cstheme="minorHAnsi"/>
                    </w:rPr>
                  </w:pPr>
                  <w:r w:rsidRPr="00626C53">
                    <w:rPr>
                      <w:rFonts w:cstheme="minorHAnsi"/>
                    </w:rPr>
                    <w:t>Public task – Article 6(1)(e) and section 8 of the Data Protection Act 2018</w:t>
                  </w:r>
                </w:p>
                <w:p w14:paraId="0FF18F94" w14:textId="77777777" w:rsidR="00574FBA" w:rsidRPr="00626C53" w:rsidRDefault="00574FBA" w:rsidP="000859A5">
                  <w:pPr>
                    <w:pStyle w:val="ListParagraph"/>
                    <w:framePr w:hSpace="187" w:wrap="around" w:vAnchor="text" w:hAnchor="margin" w:x="108" w:y="289"/>
                    <w:rPr>
                      <w:rFonts w:cstheme="minorHAnsi"/>
                      <w:b/>
                    </w:rPr>
                  </w:pPr>
                </w:p>
              </w:tc>
              <w:tc>
                <w:tcPr>
                  <w:tcW w:w="4066" w:type="dxa"/>
                  <w:tcBorders>
                    <w:left w:val="single" w:sz="4" w:space="0" w:color="auto"/>
                    <w:bottom w:val="single" w:sz="4" w:space="0" w:color="auto"/>
                  </w:tcBorders>
                </w:tcPr>
                <w:p w14:paraId="411DD7FD" w14:textId="77777777" w:rsidR="00574FBA" w:rsidRPr="00626C53" w:rsidRDefault="00574FBA" w:rsidP="000859A5">
                  <w:pPr>
                    <w:framePr w:hSpace="187" w:wrap="around" w:vAnchor="text" w:hAnchor="margin" w:x="108" w:y="289"/>
                    <w:rPr>
                      <w:rFonts w:cstheme="minorHAnsi"/>
                      <w:b/>
                    </w:rPr>
                  </w:pPr>
                  <w:r w:rsidRPr="00626C53">
                    <w:rPr>
                      <w:rFonts w:cstheme="minorHAnsi"/>
                      <w:b/>
                    </w:rPr>
                    <w:t>Yes</w:t>
                  </w:r>
                </w:p>
              </w:tc>
            </w:tr>
            <w:tr w:rsidR="00574FBA" w:rsidRPr="00626C53" w14:paraId="16CC8999" w14:textId="77777777" w:rsidTr="009E040F">
              <w:tc>
                <w:tcPr>
                  <w:tcW w:w="2522" w:type="dxa"/>
                  <w:tcBorders>
                    <w:left w:val="single" w:sz="4" w:space="0" w:color="auto"/>
                    <w:bottom w:val="single" w:sz="4" w:space="0" w:color="auto"/>
                  </w:tcBorders>
                </w:tcPr>
                <w:p w14:paraId="15F4A617" w14:textId="77777777" w:rsidR="00574FBA" w:rsidRPr="00626C53" w:rsidRDefault="00574FBA" w:rsidP="000859A5">
                  <w:pPr>
                    <w:framePr w:hSpace="187" w:wrap="around" w:vAnchor="text" w:hAnchor="margin" w:x="108" w:y="289"/>
                    <w:rPr>
                      <w:rFonts w:cstheme="minorHAnsi"/>
                      <w:b/>
                    </w:rPr>
                  </w:pPr>
                  <w:r w:rsidRPr="00626C53">
                    <w:rPr>
                      <w:rFonts w:cstheme="minorHAnsi"/>
                      <w:b/>
                    </w:rPr>
                    <w:t>Article 9 condition</w:t>
                  </w:r>
                </w:p>
                <w:p w14:paraId="65947AF3" w14:textId="77777777" w:rsidR="00574FBA" w:rsidRPr="00626C53" w:rsidRDefault="00574FBA" w:rsidP="000859A5">
                  <w:pPr>
                    <w:framePr w:hSpace="187" w:wrap="around" w:vAnchor="text" w:hAnchor="margin" w:x="108" w:y="289"/>
                    <w:rPr>
                      <w:rFonts w:cstheme="minorHAnsi"/>
                      <w:b/>
                    </w:rPr>
                  </w:pPr>
                </w:p>
                <w:p w14:paraId="0C3D97C5" w14:textId="77777777" w:rsidR="00574FBA" w:rsidRPr="00626C53" w:rsidRDefault="00574FBA" w:rsidP="000859A5">
                  <w:pPr>
                    <w:framePr w:hSpace="187" w:wrap="around" w:vAnchor="text" w:hAnchor="margin" w:x="108" w:y="289"/>
                    <w:rPr>
                      <w:rFonts w:cstheme="minorHAnsi"/>
                    </w:rPr>
                  </w:pPr>
                </w:p>
              </w:tc>
              <w:tc>
                <w:tcPr>
                  <w:tcW w:w="5990" w:type="dxa"/>
                  <w:tcBorders>
                    <w:bottom w:val="single" w:sz="4" w:space="0" w:color="auto"/>
                    <w:right w:val="single" w:sz="4" w:space="0" w:color="auto"/>
                  </w:tcBorders>
                </w:tcPr>
                <w:p w14:paraId="31F40BBA" w14:textId="77777777" w:rsidR="00574FBA" w:rsidRPr="00626C53" w:rsidRDefault="00574FBA" w:rsidP="000859A5">
                  <w:pPr>
                    <w:framePr w:hSpace="187" w:wrap="around" w:vAnchor="text" w:hAnchor="margin" w:x="108" w:y="289"/>
                    <w:rPr>
                      <w:rFonts w:cstheme="minorHAnsi"/>
                      <w:b/>
                      <w:bCs/>
                    </w:rPr>
                  </w:pPr>
                  <w:r w:rsidRPr="00626C53">
                    <w:rPr>
                      <w:rFonts w:cstheme="minorHAnsi"/>
                      <w:b/>
                      <w:bCs/>
                    </w:rPr>
                    <w:t xml:space="preserve">When processing special category personal data please specify the Article 9 condition that will be met </w:t>
                  </w:r>
                </w:p>
                <w:p w14:paraId="7A72AA05" w14:textId="77777777" w:rsidR="00574FBA" w:rsidRPr="00626C53" w:rsidRDefault="00574FBA" w:rsidP="000859A5">
                  <w:pPr>
                    <w:framePr w:hSpace="187" w:wrap="around" w:vAnchor="text" w:hAnchor="margin" w:x="108" w:y="289"/>
                    <w:rPr>
                      <w:rFonts w:cstheme="minorHAnsi"/>
                      <w:b/>
                      <w:bCs/>
                    </w:rPr>
                  </w:pPr>
                </w:p>
                <w:p w14:paraId="1BF17EA6" w14:textId="77777777" w:rsidR="00574FBA" w:rsidRPr="00626C53" w:rsidRDefault="00574FBA" w:rsidP="000859A5">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Provision of health or social care,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Pr="00626C53" w:rsidRDefault="00574FBA" w:rsidP="000859A5">
                  <w:pPr>
                    <w:pStyle w:val="ListParagraph"/>
                    <w:framePr w:hSpace="187" w:wrap="around" w:vAnchor="text" w:hAnchor="margin" w:x="108" w:y="289"/>
                    <w:rPr>
                      <w:rFonts w:cstheme="minorHAnsi"/>
                      <w:bCs/>
                    </w:rPr>
                  </w:pPr>
                </w:p>
                <w:p w14:paraId="4BD17676" w14:textId="77777777" w:rsidR="00574FBA" w:rsidRPr="00626C53" w:rsidRDefault="00574FBA" w:rsidP="000859A5">
                  <w:pPr>
                    <w:pStyle w:val="ListParagraph"/>
                    <w:framePr w:hSpace="187" w:wrap="around" w:vAnchor="text" w:hAnchor="margin" w:x="108" w:y="289"/>
                    <w:numPr>
                      <w:ilvl w:val="0"/>
                      <w:numId w:val="73"/>
                    </w:numPr>
                    <w:spacing w:after="0" w:line="240" w:lineRule="auto"/>
                    <w:rPr>
                      <w:rFonts w:cstheme="minorHAnsi"/>
                      <w:bCs/>
                    </w:rPr>
                  </w:pPr>
                  <w:r w:rsidRPr="00626C53">
                    <w:rPr>
                      <w:rFonts w:cstheme="minorHAnsi"/>
                      <w:bCs/>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626C53" w:rsidRDefault="00574FBA" w:rsidP="000859A5">
                  <w:pPr>
                    <w:framePr w:hSpace="187" w:wrap="around" w:vAnchor="text" w:hAnchor="margin" w:x="108" w:y="289"/>
                    <w:rPr>
                      <w:rFonts w:cstheme="minorHAnsi"/>
                      <w:b/>
                      <w:bCs/>
                    </w:rPr>
                  </w:pPr>
                </w:p>
                <w:p w14:paraId="33423C95" w14:textId="77777777" w:rsidR="00574FBA" w:rsidRPr="00626C53" w:rsidRDefault="00574FBA" w:rsidP="000859A5">
                  <w:pPr>
                    <w:framePr w:hSpace="187" w:wrap="around" w:vAnchor="text" w:hAnchor="margin" w:x="108" w:y="289"/>
                    <w:rPr>
                      <w:rFonts w:cstheme="minorHAnsi"/>
                      <w:color w:val="FF0000"/>
                    </w:rPr>
                  </w:pPr>
                </w:p>
              </w:tc>
              <w:tc>
                <w:tcPr>
                  <w:tcW w:w="4066" w:type="dxa"/>
                  <w:tcBorders>
                    <w:left w:val="single" w:sz="4" w:space="0" w:color="auto"/>
                    <w:bottom w:val="single" w:sz="4" w:space="0" w:color="auto"/>
                  </w:tcBorders>
                </w:tcPr>
                <w:p w14:paraId="0F1AEB96" w14:textId="77777777" w:rsidR="00574FBA" w:rsidRPr="00626C53" w:rsidRDefault="00574FBA" w:rsidP="000859A5">
                  <w:pPr>
                    <w:framePr w:hSpace="187" w:wrap="around" w:vAnchor="text" w:hAnchor="margin" w:x="108" w:y="289"/>
                    <w:rPr>
                      <w:rFonts w:cstheme="minorHAnsi"/>
                      <w:b/>
                      <w:bCs/>
                    </w:rPr>
                  </w:pPr>
                  <w:r w:rsidRPr="00626C53">
                    <w:rPr>
                      <w:rFonts w:cstheme="minorHAnsi"/>
                      <w:b/>
                      <w:bCs/>
                    </w:rPr>
                    <w:t>N/A</w:t>
                  </w:r>
                </w:p>
              </w:tc>
            </w:tr>
            <w:tr w:rsidR="00574FBA" w:rsidRPr="00626C53"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626C53" w:rsidRDefault="00574FBA" w:rsidP="000859A5">
                  <w:pPr>
                    <w:framePr w:hSpace="187" w:wrap="around" w:vAnchor="text" w:hAnchor="margin" w:x="108" w:y="289"/>
                    <w:rPr>
                      <w:rFonts w:cstheme="minorHAnsi"/>
                    </w:rPr>
                  </w:pPr>
                  <w:r w:rsidRPr="00626C53">
                    <w:rPr>
                      <w:rFonts w:cstheme="minorHAnsi"/>
                      <w:b/>
                      <w:bCs/>
                    </w:rPr>
                    <w:t xml:space="preserve">Common Law duty of confidentiality </w:t>
                  </w:r>
                  <w:r w:rsidRPr="00626C53">
                    <w:rPr>
                      <w:rFonts w:cstheme="minorHAnsi"/>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626C53" w:rsidRDefault="00574FBA" w:rsidP="000859A5">
                  <w:pPr>
                    <w:framePr w:hSpace="187" w:wrap="around" w:vAnchor="text" w:hAnchor="margin" w:x="108" w:y="289"/>
                    <w:rPr>
                      <w:rFonts w:cstheme="minorHAnsi"/>
                      <w:b/>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626C53" w:rsidRDefault="00574FBA" w:rsidP="000859A5">
                  <w:pPr>
                    <w:framePr w:hSpace="187" w:wrap="around" w:vAnchor="text" w:hAnchor="margin" w:x="108" w:y="289"/>
                    <w:rPr>
                      <w:rFonts w:cstheme="minorHAnsi"/>
                      <w:b/>
                    </w:rPr>
                  </w:pPr>
                  <w:r w:rsidRPr="00626C53">
                    <w:rPr>
                      <w:rFonts w:cstheme="minorHAnsi"/>
                      <w:b/>
                    </w:rPr>
                    <w:t>N/A</w:t>
                  </w:r>
                </w:p>
              </w:tc>
            </w:tr>
            <w:tr w:rsidR="00574FBA" w:rsidRPr="00626C53"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626C53" w:rsidRDefault="00574FBA" w:rsidP="000859A5">
                  <w:pPr>
                    <w:framePr w:hSpace="187" w:wrap="around" w:vAnchor="text" w:hAnchor="margin" w:x="108" w:y="289"/>
                    <w:rPr>
                      <w:rFonts w:cstheme="minorHAnsi"/>
                    </w:rPr>
                  </w:pPr>
                  <w:r w:rsidRPr="00626C53">
                    <w:rPr>
                      <w:rFonts w:cstheme="minorHAnsi"/>
                      <w:b/>
                      <w:bCs/>
                    </w:rPr>
                    <w:t xml:space="preserve">Human Rights Act 1998 </w:t>
                  </w:r>
                  <w:r w:rsidRPr="00626C53">
                    <w:rPr>
                      <w:rFonts w:cstheme="minorHAnsi"/>
                    </w:rPr>
                    <w:t xml:space="preserve">- </w:t>
                  </w:r>
                  <w:r w:rsidRPr="00626C53">
                    <w:rPr>
                      <w:rFonts w:cstheme="minorHAnsi"/>
                      <w:b/>
                      <w:bCs/>
                    </w:rPr>
                    <w:t>Article 8</w:t>
                  </w:r>
                  <w:r w:rsidRPr="00626C53">
                    <w:rPr>
                      <w:rFonts w:cstheme="minorHAnsi"/>
                    </w:rPr>
                    <w:t xml:space="preserve"> - See Human Rights: Human Lives</w:t>
                  </w:r>
                </w:p>
                <w:p w14:paraId="52888583" w14:textId="77777777" w:rsidR="00574FBA" w:rsidRPr="00626C53" w:rsidRDefault="00574FBA" w:rsidP="000859A5">
                  <w:pPr>
                    <w:framePr w:hSpace="187" w:wrap="around" w:vAnchor="text" w:hAnchor="margin" w:x="108" w:y="289"/>
                    <w:rPr>
                      <w:rFonts w:cstheme="minorHAnsi"/>
                    </w:rPr>
                  </w:pPr>
                  <w:r w:rsidRPr="00626C53">
                    <w:rPr>
                      <w:rFonts w:cstheme="minorHAnsi"/>
                    </w:rPr>
                    <w:t xml:space="preserve">Equality and Human Rights Commission </w:t>
                  </w:r>
                  <w:hyperlink r:id="rId113" w:history="1">
                    <w:r w:rsidRPr="00626C53">
                      <w:rPr>
                        <w:rStyle w:val="Hyperlink"/>
                        <w:rFonts w:asciiTheme="minorHAnsi" w:hAnsiTheme="minorHAnsi" w:cstheme="minorHAnsi"/>
                      </w:rPr>
                      <w:t>www.equalityhumanrights.com</w:t>
                    </w:r>
                  </w:hyperlink>
                  <w:r w:rsidRPr="00626C53">
                    <w:rPr>
                      <w:rFonts w:cstheme="minorHAnsi"/>
                    </w:rPr>
                    <w:t xml:space="preserve"> </w:t>
                  </w:r>
                </w:p>
                <w:p w14:paraId="5A76E035" w14:textId="77777777" w:rsidR="00574FBA" w:rsidRPr="00626C53" w:rsidRDefault="00574FBA" w:rsidP="000859A5">
                  <w:pPr>
                    <w:framePr w:hSpace="187" w:wrap="around" w:vAnchor="text" w:hAnchor="margin" w:x="108" w:y="289"/>
                    <w:rPr>
                      <w:rFonts w:cstheme="minorHAnsi"/>
                    </w:rPr>
                  </w:pPr>
                  <w:r w:rsidRPr="00626C53">
                    <w:rPr>
                      <w:rFonts w:cstheme="minorHAnsi"/>
                      <w:i/>
                      <w:iCs/>
                    </w:rPr>
                    <w:t>A Guide to the Human Rights Act for Public Authorities</w:t>
                  </w:r>
                </w:p>
                <w:p w14:paraId="1D84477E" w14:textId="77777777" w:rsidR="00574FBA" w:rsidRPr="00626C53" w:rsidRDefault="00574FBA" w:rsidP="000859A5">
                  <w:pPr>
                    <w:framePr w:hSpace="187" w:wrap="around" w:vAnchor="text" w:hAnchor="margin" w:x="108" w:y="289"/>
                    <w:rPr>
                      <w:rFonts w:cstheme="minorHAnsi"/>
                    </w:rPr>
                  </w:pPr>
                </w:p>
                <w:p w14:paraId="76B77860" w14:textId="77777777" w:rsidR="00574FBA" w:rsidRPr="00626C53" w:rsidRDefault="00574FBA" w:rsidP="000859A5">
                  <w:pPr>
                    <w:framePr w:hSpace="187" w:wrap="around" w:vAnchor="text" w:hAnchor="margin" w:x="108" w:y="289"/>
                    <w:rPr>
                      <w:rFonts w:cstheme="minorHAnsi"/>
                    </w:rPr>
                  </w:pPr>
                  <w:r w:rsidRPr="00626C53">
                    <w:rPr>
                      <w:rFonts w:cstheme="minorHAnsi"/>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626C53" w:rsidRDefault="00574FBA" w:rsidP="000859A5">
                  <w:pPr>
                    <w:framePr w:hSpace="187" w:wrap="around" w:vAnchor="text" w:hAnchor="margin" w:x="108" w:y="289"/>
                    <w:rPr>
                      <w:rFonts w:cstheme="minorHAnsi"/>
                      <w:lang w:val="en"/>
                    </w:rPr>
                  </w:pPr>
                </w:p>
                <w:p w14:paraId="322F8FEB" w14:textId="77777777" w:rsidR="00574FBA" w:rsidRPr="00626C53" w:rsidRDefault="00574FBA" w:rsidP="000859A5">
                  <w:pPr>
                    <w:framePr w:hSpace="187" w:wrap="around" w:vAnchor="text" w:hAnchor="margin" w:x="108" w:y="289"/>
                    <w:rPr>
                      <w:rFonts w:cstheme="minorHAnsi"/>
                      <w:b/>
                    </w:rPr>
                  </w:pPr>
                  <w:r w:rsidRPr="00626C53">
                    <w:rPr>
                      <w:rFonts w:cstheme="minorHAnsi"/>
                      <w:b/>
                    </w:rPr>
                    <w:t>Is there any interference with Human Rights Article 8?</w:t>
                  </w:r>
                </w:p>
                <w:p w14:paraId="65B0FE37" w14:textId="77777777" w:rsidR="00574FBA" w:rsidRPr="00626C53" w:rsidRDefault="00574FBA" w:rsidP="000859A5">
                  <w:pPr>
                    <w:framePr w:hSpace="187" w:wrap="around" w:vAnchor="text" w:hAnchor="margin" w:x="108" w:y="289"/>
                    <w:rPr>
                      <w:rFonts w:cstheme="minorHAnsi"/>
                      <w:b/>
                    </w:rPr>
                  </w:pPr>
                </w:p>
              </w:tc>
              <w:tc>
                <w:tcPr>
                  <w:tcW w:w="4066" w:type="dxa"/>
                  <w:tcBorders>
                    <w:top w:val="single" w:sz="4" w:space="0" w:color="auto"/>
                    <w:bottom w:val="single" w:sz="4" w:space="0" w:color="auto"/>
                  </w:tcBorders>
                </w:tcPr>
                <w:p w14:paraId="521567A2" w14:textId="77777777" w:rsidR="00574FBA" w:rsidRPr="00626C53" w:rsidRDefault="00574FBA" w:rsidP="000859A5">
                  <w:pPr>
                    <w:framePr w:hSpace="187" w:wrap="around" w:vAnchor="text" w:hAnchor="margin" w:x="108" w:y="289"/>
                    <w:rPr>
                      <w:rFonts w:cstheme="minorHAnsi"/>
                      <w:b/>
                    </w:rPr>
                  </w:pPr>
                  <w:r w:rsidRPr="00626C53">
                    <w:rPr>
                      <w:rFonts w:cstheme="minorHAnsi"/>
                      <w:b/>
                    </w:rPr>
                    <w:lastRenderedPageBreak/>
                    <w:t>N/A</w:t>
                  </w:r>
                </w:p>
                <w:p w14:paraId="1A35A206" w14:textId="77777777" w:rsidR="00574FBA" w:rsidRPr="00626C53" w:rsidRDefault="00574FBA" w:rsidP="000859A5">
                  <w:pPr>
                    <w:framePr w:hSpace="187" w:wrap="around" w:vAnchor="text" w:hAnchor="margin" w:x="108" w:y="289"/>
                    <w:rPr>
                      <w:rFonts w:cstheme="minorHAnsi"/>
                      <w:b/>
                    </w:rPr>
                  </w:pPr>
                </w:p>
                <w:p w14:paraId="16957070" w14:textId="77777777" w:rsidR="00574FBA" w:rsidRPr="00626C53" w:rsidRDefault="00574FBA" w:rsidP="000859A5">
                  <w:pPr>
                    <w:framePr w:hSpace="187" w:wrap="around" w:vAnchor="text" w:hAnchor="margin" w:x="108" w:y="289"/>
                    <w:rPr>
                      <w:rFonts w:cstheme="minorHAnsi"/>
                      <w:b/>
                    </w:rPr>
                  </w:pPr>
                </w:p>
                <w:p w14:paraId="7E072B43" w14:textId="77777777" w:rsidR="00574FBA" w:rsidRPr="00626C53" w:rsidRDefault="00574FBA" w:rsidP="000859A5">
                  <w:pPr>
                    <w:framePr w:hSpace="187" w:wrap="around" w:vAnchor="text" w:hAnchor="margin" w:x="108" w:y="289"/>
                    <w:rPr>
                      <w:rFonts w:cstheme="minorHAnsi"/>
                      <w:b/>
                    </w:rPr>
                  </w:pPr>
                </w:p>
                <w:p w14:paraId="74139A7B" w14:textId="77777777" w:rsidR="00574FBA" w:rsidRPr="00626C53" w:rsidRDefault="00574FBA" w:rsidP="000859A5">
                  <w:pPr>
                    <w:framePr w:hSpace="187" w:wrap="around" w:vAnchor="text" w:hAnchor="margin" w:x="108" w:y="289"/>
                    <w:rPr>
                      <w:rFonts w:cstheme="minorHAnsi"/>
                      <w:b/>
                    </w:rPr>
                  </w:pPr>
                </w:p>
                <w:p w14:paraId="2F1A4550" w14:textId="77777777" w:rsidR="00574FBA" w:rsidRPr="00626C53" w:rsidRDefault="00574FBA" w:rsidP="000859A5">
                  <w:pPr>
                    <w:framePr w:hSpace="187" w:wrap="around" w:vAnchor="text" w:hAnchor="margin" w:x="108" w:y="289"/>
                    <w:rPr>
                      <w:rFonts w:cstheme="minorHAnsi"/>
                      <w:b/>
                    </w:rPr>
                  </w:pPr>
                </w:p>
                <w:p w14:paraId="1DE1E5CE" w14:textId="77777777" w:rsidR="00574FBA" w:rsidRPr="00626C53" w:rsidRDefault="00574FBA" w:rsidP="000859A5">
                  <w:pPr>
                    <w:framePr w:hSpace="187" w:wrap="around" w:vAnchor="text" w:hAnchor="margin" w:x="108" w:y="289"/>
                    <w:rPr>
                      <w:rFonts w:cstheme="minorHAnsi"/>
                      <w:b/>
                    </w:rPr>
                  </w:pPr>
                </w:p>
                <w:p w14:paraId="7E39DE35" w14:textId="77777777" w:rsidR="00574FBA" w:rsidRPr="00626C53" w:rsidRDefault="00574FBA" w:rsidP="000859A5">
                  <w:pPr>
                    <w:framePr w:hSpace="187" w:wrap="around" w:vAnchor="text" w:hAnchor="margin" w:x="108" w:y="289"/>
                    <w:rPr>
                      <w:rFonts w:cstheme="minorHAnsi"/>
                      <w:b/>
                    </w:rPr>
                  </w:pPr>
                </w:p>
                <w:p w14:paraId="0D0E974F" w14:textId="77777777" w:rsidR="00574FBA" w:rsidRPr="00626C53" w:rsidRDefault="00574FBA" w:rsidP="000859A5">
                  <w:pPr>
                    <w:framePr w:hSpace="187" w:wrap="around" w:vAnchor="text" w:hAnchor="margin" w:x="108" w:y="289"/>
                    <w:rPr>
                      <w:rFonts w:cstheme="minorHAnsi"/>
                      <w:b/>
                    </w:rPr>
                  </w:pPr>
                  <w:r w:rsidRPr="00626C53">
                    <w:rPr>
                      <w:rFonts w:cstheme="minorHAnsi"/>
                      <w:b/>
                    </w:rPr>
                    <w:lastRenderedPageBreak/>
                    <w:t>N/A</w:t>
                  </w:r>
                </w:p>
              </w:tc>
            </w:tr>
          </w:tbl>
          <w:p w14:paraId="48DBE4D4" w14:textId="77777777" w:rsidR="00574FBA" w:rsidRPr="00626C53" w:rsidRDefault="00574FBA" w:rsidP="009E040F">
            <w:pPr>
              <w:rPr>
                <w:rFonts w:cstheme="minorHAnsi"/>
                <w:b/>
              </w:rPr>
            </w:pPr>
          </w:p>
        </w:tc>
      </w:tr>
      <w:tr w:rsidR="00574FBA" w:rsidRPr="00626C53" w14:paraId="530C12C0" w14:textId="77777777" w:rsidTr="009E040F">
        <w:tc>
          <w:tcPr>
            <w:tcW w:w="550" w:type="dxa"/>
          </w:tcPr>
          <w:p w14:paraId="3F58A9AF" w14:textId="77777777" w:rsidR="00574FBA" w:rsidRPr="00626C53" w:rsidRDefault="00574FBA" w:rsidP="009E040F">
            <w:pPr>
              <w:rPr>
                <w:rFonts w:cstheme="minorHAnsi"/>
                <w:b/>
              </w:rPr>
            </w:pPr>
            <w:r w:rsidRPr="00626C53">
              <w:rPr>
                <w:rFonts w:cstheme="minorHAnsi"/>
                <w:b/>
              </w:rPr>
              <w:lastRenderedPageBreak/>
              <w:t>6.</w:t>
            </w:r>
          </w:p>
        </w:tc>
        <w:tc>
          <w:tcPr>
            <w:tcW w:w="10077" w:type="dxa"/>
          </w:tcPr>
          <w:p w14:paraId="477269E1" w14:textId="77777777" w:rsidR="00574FBA" w:rsidRPr="00626C53" w:rsidRDefault="00574FBA" w:rsidP="009E040F">
            <w:pPr>
              <w:rPr>
                <w:rFonts w:cstheme="minorHAnsi"/>
                <w:b/>
                <w:bCs/>
              </w:rPr>
            </w:pPr>
            <w:r w:rsidRPr="00626C53">
              <w:rPr>
                <w:rFonts w:cstheme="minorHAnsi"/>
                <w:b/>
                <w:bCs/>
              </w:rPr>
              <w:t xml:space="preserve">Controller(s) </w:t>
            </w:r>
          </w:p>
          <w:p w14:paraId="0B54A546" w14:textId="77777777" w:rsidR="00574FBA" w:rsidRPr="00626C53" w:rsidRDefault="00574FBA" w:rsidP="009E040F">
            <w:pPr>
              <w:rPr>
                <w:rFonts w:cstheme="minorHAnsi"/>
                <w:b/>
                <w:bCs/>
              </w:rPr>
            </w:pPr>
          </w:p>
          <w:p w14:paraId="49551B50" w14:textId="77777777" w:rsidR="00574FBA" w:rsidRPr="00626C53" w:rsidRDefault="00574FBA" w:rsidP="009E040F">
            <w:pPr>
              <w:rPr>
                <w:rFonts w:cstheme="minorHAnsi"/>
                <w:i/>
                <w:iCs/>
              </w:rPr>
            </w:pPr>
            <w:r w:rsidRPr="00626C53">
              <w:rPr>
                <w:rFonts w:cstheme="minorHAnsi"/>
                <w:i/>
                <w:iCs/>
              </w:rPr>
              <w:t xml:space="preserve">Name the controller(s) and whether, if applicable they are ‘joint’ controllers – include any processors where applicable – this will assist with providing assurance that all parties have been included and will assist compliance with the principle 5(a) of the GDPR.  </w:t>
            </w:r>
          </w:p>
          <w:p w14:paraId="61059E55" w14:textId="77777777" w:rsidR="00574FBA" w:rsidRPr="00626C53" w:rsidRDefault="00574FBA" w:rsidP="009E040F">
            <w:pPr>
              <w:rPr>
                <w:rFonts w:cstheme="minorHAnsi"/>
              </w:rPr>
            </w:pPr>
          </w:p>
          <w:p w14:paraId="2F980DA7" w14:textId="77777777" w:rsidR="00574FBA" w:rsidRPr="00626C53" w:rsidRDefault="00574FBA" w:rsidP="009E040F">
            <w:pPr>
              <w:rPr>
                <w:rFonts w:cstheme="minorHAnsi"/>
              </w:rPr>
            </w:pPr>
            <w:r w:rsidRPr="00626C53">
              <w:rPr>
                <w:rFonts w:cstheme="minorHAnsi"/>
              </w:rPr>
              <w:t xml:space="preserve">The Education Provider and/or the Placement Provider and HEE are each </w:t>
            </w:r>
            <w:proofErr w:type="gramStart"/>
            <w:r w:rsidRPr="00626C53">
              <w:rPr>
                <w:rFonts w:cstheme="minorHAnsi"/>
              </w:rPr>
              <w:t>controllers</w:t>
            </w:r>
            <w:proofErr w:type="gramEnd"/>
            <w:r w:rsidRPr="00626C53">
              <w:rPr>
                <w:rFonts w:cstheme="minorHAnsi"/>
              </w:rPr>
              <w:t xml:space="preserve"> of personal data.  HEE, the Education Provider and/or the Placement Provider process this data </w:t>
            </w:r>
            <w:proofErr w:type="gramStart"/>
            <w:r w:rsidRPr="00626C53">
              <w:rPr>
                <w:rFonts w:cstheme="minorHAnsi"/>
              </w:rPr>
              <w:t>in order to</w:t>
            </w:r>
            <w:proofErr w:type="gramEnd"/>
            <w:r w:rsidRPr="00626C53">
              <w:rPr>
                <w:rFonts w:cstheme="minorHAnsi"/>
              </w:rPr>
              <w:t xml:space="preserve"> comply with their obligations under the NHS Education Agreement, which in turn enables HEE to fulfil its statutory functions.</w:t>
            </w:r>
          </w:p>
          <w:p w14:paraId="77509349" w14:textId="77777777" w:rsidR="00574FBA" w:rsidRPr="00626C53" w:rsidRDefault="00574FBA" w:rsidP="009E040F">
            <w:pPr>
              <w:rPr>
                <w:rFonts w:cstheme="minorHAnsi"/>
              </w:rPr>
            </w:pPr>
          </w:p>
          <w:p w14:paraId="692F4CA1" w14:textId="77777777" w:rsidR="00574FBA" w:rsidRPr="00626C53" w:rsidRDefault="00574FBA" w:rsidP="009E040F">
            <w:pPr>
              <w:rPr>
                <w:rFonts w:cstheme="minorHAnsi"/>
              </w:rPr>
            </w:pPr>
            <w:r w:rsidRPr="00626C53">
              <w:rPr>
                <w:rFonts w:cstheme="minorHAnsi"/>
              </w:rPr>
              <w:t>Details of any data processing arrangements between HEE, the Education Provider and/ or the Placement Provider are set out in the NHS Education Agreement.</w:t>
            </w:r>
          </w:p>
          <w:p w14:paraId="569BB918" w14:textId="77777777" w:rsidR="00574FBA" w:rsidRPr="00626C53" w:rsidRDefault="00574FBA" w:rsidP="009E040F">
            <w:pPr>
              <w:rPr>
                <w:rFonts w:cstheme="minorHAnsi"/>
              </w:rPr>
            </w:pPr>
          </w:p>
          <w:p w14:paraId="2F18AA2E" w14:textId="77777777" w:rsidR="00574FBA" w:rsidRPr="00626C53" w:rsidRDefault="00574FBA" w:rsidP="009E040F">
            <w:pPr>
              <w:rPr>
                <w:rFonts w:cstheme="minorHAnsi"/>
              </w:rPr>
            </w:pPr>
            <w:r w:rsidRPr="00626C53">
              <w:rPr>
                <w:rFonts w:cstheme="minorHAnsi"/>
              </w:rPr>
              <w:t xml:space="preserve">A data collection platform – e-Collection – 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Agreement applies.  </w:t>
            </w:r>
            <w:bookmarkStart w:id="1383" w:name="_Hlk24119275"/>
            <w:bookmarkEnd w:id="1383"/>
            <w:r w:rsidRPr="00626C53">
              <w:rPr>
                <w:rFonts w:cstheme="minorHAnsi"/>
              </w:rPr>
              <w:t>Collections will take place 3-4 times a year depending on the group covered by the collection. Frequency may be reviewed and revised as appropriate. Current collections managed by the e-collection tool and those under current development relate to:</w:t>
            </w:r>
          </w:p>
          <w:p w14:paraId="60458618" w14:textId="77777777" w:rsidR="00574FBA" w:rsidRPr="00626C53" w:rsidRDefault="00574FBA" w:rsidP="009E040F">
            <w:pPr>
              <w:rPr>
                <w:rFonts w:cstheme="minorHAnsi"/>
              </w:rPr>
            </w:pPr>
          </w:p>
          <w:p w14:paraId="66362953" w14:textId="77777777" w:rsidR="00574FBA" w:rsidRPr="00626C53" w:rsidRDefault="002E421D" w:rsidP="00DB7429">
            <w:pPr>
              <w:pStyle w:val="ListParagraph"/>
              <w:numPr>
                <w:ilvl w:val="0"/>
                <w:numId w:val="71"/>
              </w:numPr>
              <w:spacing w:after="0" w:line="240" w:lineRule="auto"/>
              <w:rPr>
                <w:rFonts w:cstheme="minorHAnsi"/>
              </w:rPr>
            </w:pPr>
            <w:hyperlink r:id="rId114" w:history="1">
              <w:r w:rsidR="00574FBA" w:rsidRPr="00626C53">
                <w:rPr>
                  <w:rFonts w:cstheme="minorHAnsi"/>
                </w:rPr>
                <w:t>Mental Health Workforce Data Collection</w:t>
              </w:r>
            </w:hyperlink>
          </w:p>
          <w:p w14:paraId="46DC307D" w14:textId="77777777" w:rsidR="00574FBA" w:rsidRPr="00626C53" w:rsidRDefault="002E421D" w:rsidP="00DB7429">
            <w:pPr>
              <w:pStyle w:val="ListParagraph"/>
              <w:numPr>
                <w:ilvl w:val="0"/>
                <w:numId w:val="71"/>
              </w:numPr>
              <w:spacing w:after="0" w:line="240" w:lineRule="auto"/>
              <w:rPr>
                <w:rFonts w:cstheme="minorHAnsi"/>
              </w:rPr>
            </w:pPr>
            <w:hyperlink r:id="rId115" w:history="1">
              <w:r w:rsidR="00574FBA" w:rsidRPr="00626C53">
                <w:rPr>
                  <w:rFonts w:cstheme="minorHAnsi"/>
                </w:rPr>
                <w:t>Student Data Collection</w:t>
              </w:r>
            </w:hyperlink>
          </w:p>
          <w:p w14:paraId="083D155D" w14:textId="77777777" w:rsidR="00574FBA" w:rsidRPr="00626C53" w:rsidRDefault="002E421D" w:rsidP="00DB7429">
            <w:pPr>
              <w:pStyle w:val="ListParagraph"/>
              <w:numPr>
                <w:ilvl w:val="0"/>
                <w:numId w:val="71"/>
              </w:numPr>
              <w:spacing w:after="0" w:line="240" w:lineRule="auto"/>
              <w:rPr>
                <w:rFonts w:cstheme="minorHAnsi"/>
              </w:rPr>
            </w:pPr>
            <w:hyperlink r:id="rId116" w:history="1">
              <w:r w:rsidR="00574FBA" w:rsidRPr="00626C53">
                <w:rPr>
                  <w:rFonts w:cstheme="minorHAnsi"/>
                </w:rPr>
                <w:t>Strategic Workforce Data Collection</w:t>
              </w:r>
            </w:hyperlink>
            <w:hyperlink r:id="rId117" w:history="1">
              <w:r w:rsidR="00574FBA" w:rsidRPr="00626C53">
                <w:rPr>
                  <w:rFonts w:cstheme="minorHAnsi"/>
                </w:rPr>
                <w:t> (</w:t>
              </w:r>
              <w:proofErr w:type="spellStart"/>
              <w:r w:rsidR="00574FBA" w:rsidRPr="00626C53">
                <w:rPr>
                  <w:rFonts w:cstheme="minorHAnsi"/>
                </w:rPr>
                <w:t>eWorkforce</w:t>
              </w:r>
              <w:proofErr w:type="spellEnd"/>
              <w:r w:rsidR="00574FBA" w:rsidRPr="00626C53">
                <w:rPr>
                  <w:rFonts w:cstheme="minorHAnsi"/>
                </w:rPr>
                <w:t>)</w:t>
              </w:r>
            </w:hyperlink>
          </w:p>
          <w:p w14:paraId="2A693E1E" w14:textId="77777777" w:rsidR="00574FBA" w:rsidRPr="00626C53" w:rsidRDefault="002E421D" w:rsidP="00DB7429">
            <w:pPr>
              <w:pStyle w:val="ListParagraph"/>
              <w:numPr>
                <w:ilvl w:val="0"/>
                <w:numId w:val="71"/>
              </w:numPr>
              <w:spacing w:after="0" w:line="240" w:lineRule="auto"/>
              <w:rPr>
                <w:rFonts w:cstheme="minorHAnsi"/>
              </w:rPr>
            </w:pPr>
            <w:hyperlink r:id="rId118" w:history="1">
              <w:r w:rsidR="00574FBA" w:rsidRPr="00626C53">
                <w:rPr>
                  <w:rFonts w:cstheme="minorHAnsi"/>
                </w:rPr>
                <w:t>Placement Gap Data Collection</w:t>
              </w:r>
            </w:hyperlink>
          </w:p>
          <w:p w14:paraId="2280DA9E" w14:textId="77777777" w:rsidR="00574FBA" w:rsidRPr="00626C53" w:rsidRDefault="002E421D" w:rsidP="00DB7429">
            <w:pPr>
              <w:pStyle w:val="ListParagraph"/>
              <w:numPr>
                <w:ilvl w:val="0"/>
                <w:numId w:val="71"/>
              </w:numPr>
              <w:spacing w:after="0" w:line="240" w:lineRule="auto"/>
              <w:rPr>
                <w:rFonts w:cstheme="minorHAnsi"/>
              </w:rPr>
            </w:pPr>
            <w:hyperlink r:id="rId119" w:history="1">
              <w:r w:rsidR="00574FBA" w:rsidRPr="00626C53">
                <w:rPr>
                  <w:rFonts w:cstheme="minorHAnsi"/>
                </w:rPr>
                <w:t xml:space="preserve">Trainee Nursing Associates Data Collection </w:t>
              </w:r>
            </w:hyperlink>
          </w:p>
          <w:p w14:paraId="444FB172" w14:textId="77777777" w:rsidR="00574FBA" w:rsidRPr="00626C53" w:rsidRDefault="002E421D" w:rsidP="00DB7429">
            <w:pPr>
              <w:pStyle w:val="ListParagraph"/>
              <w:numPr>
                <w:ilvl w:val="0"/>
                <w:numId w:val="71"/>
              </w:numPr>
              <w:spacing w:after="0" w:line="240" w:lineRule="auto"/>
              <w:rPr>
                <w:rFonts w:cstheme="minorHAnsi"/>
              </w:rPr>
            </w:pPr>
            <w:hyperlink r:id="rId120" w:history="1">
              <w:r w:rsidR="00574FBA" w:rsidRPr="00626C53">
                <w:rPr>
                  <w:rFonts w:cstheme="minorHAnsi"/>
                </w:rPr>
                <w:t>Adult Improving Access to Psychological Therapies Data Collection</w:t>
              </w:r>
            </w:hyperlink>
          </w:p>
          <w:p w14:paraId="40573848"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Apprenticeships Data Collection</w:t>
            </w:r>
          </w:p>
          <w:p w14:paraId="6D170223"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Return to Practice Data Collection</w:t>
            </w:r>
          </w:p>
          <w:p w14:paraId="26B9ECB5"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Survey Data Collection</w:t>
            </w:r>
          </w:p>
          <w:p w14:paraId="45BA961F" w14:textId="77777777" w:rsidR="00574FBA" w:rsidRPr="00626C53" w:rsidRDefault="00574FBA" w:rsidP="00DB7429">
            <w:pPr>
              <w:pStyle w:val="ListParagraph"/>
              <w:numPr>
                <w:ilvl w:val="0"/>
                <w:numId w:val="71"/>
              </w:numPr>
              <w:spacing w:after="0" w:line="240" w:lineRule="auto"/>
              <w:rPr>
                <w:rFonts w:cstheme="minorHAnsi"/>
              </w:rPr>
            </w:pPr>
            <w:r w:rsidRPr="00626C53">
              <w:rPr>
                <w:rFonts w:cstheme="minorHAnsi"/>
              </w:rPr>
              <w:t>Education Capacity Collection</w:t>
            </w:r>
          </w:p>
          <w:p w14:paraId="221E1036" w14:textId="77777777" w:rsidR="00574FBA" w:rsidRPr="00626C53" w:rsidRDefault="00574FBA" w:rsidP="009E040F">
            <w:pPr>
              <w:rPr>
                <w:rFonts w:cstheme="minorHAnsi"/>
              </w:rPr>
            </w:pPr>
          </w:p>
          <w:p w14:paraId="76609F23" w14:textId="77777777" w:rsidR="00574FBA" w:rsidRPr="00626C53" w:rsidRDefault="00574FBA" w:rsidP="009E040F">
            <w:pPr>
              <w:rPr>
                <w:rFonts w:cstheme="minorHAnsi"/>
              </w:rPr>
            </w:pPr>
            <w:r w:rsidRPr="00626C53">
              <w:rPr>
                <w:rFonts w:cstheme="minorHAnsi"/>
              </w:rPr>
              <w:t xml:space="preserve">Further collections may be covered in future iterations of this Agreement at review periods as and when they are added to the e-collection tool. </w:t>
            </w:r>
          </w:p>
          <w:p w14:paraId="73C5F267" w14:textId="77777777" w:rsidR="00574FBA" w:rsidRPr="00626C53" w:rsidRDefault="00574FBA" w:rsidP="009E040F">
            <w:pPr>
              <w:rPr>
                <w:rFonts w:cstheme="minorHAnsi"/>
              </w:rPr>
            </w:pPr>
          </w:p>
          <w:p w14:paraId="0BF160D1" w14:textId="77777777" w:rsidR="00574FBA" w:rsidRPr="00626C53" w:rsidRDefault="00574FBA" w:rsidP="009E040F">
            <w:pPr>
              <w:rPr>
                <w:rFonts w:cstheme="minorHAnsi"/>
              </w:rPr>
            </w:pPr>
            <w:r w:rsidRPr="00626C53">
              <w:rPr>
                <w:rFonts w:cstheme="minorHAnsi"/>
              </w:rPr>
              <w:lastRenderedPageBreak/>
              <w:t>Access to personal data collected through the e-collection tool will be limited to nominated staff members responsible for:</w:t>
            </w:r>
          </w:p>
          <w:p w14:paraId="461BEE18"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managing learner recruitment; and</w:t>
            </w:r>
          </w:p>
          <w:p w14:paraId="3889E317" w14:textId="77777777" w:rsidR="00574FBA" w:rsidRPr="00626C53" w:rsidRDefault="00574FBA" w:rsidP="00DB7429">
            <w:pPr>
              <w:pStyle w:val="ListParagraph"/>
              <w:numPr>
                <w:ilvl w:val="0"/>
                <w:numId w:val="74"/>
              </w:numPr>
              <w:spacing w:after="0" w:line="240" w:lineRule="auto"/>
              <w:rPr>
                <w:rFonts w:cstheme="minorHAnsi"/>
              </w:rPr>
            </w:pPr>
            <w:r w:rsidRPr="00626C53">
              <w:rPr>
                <w:rFonts w:cstheme="minorHAnsi"/>
              </w:rPr>
              <w:t xml:space="preserve">payment and Placement allocations in Education Provider, Placement Provider and employing </w:t>
            </w:r>
            <w:proofErr w:type="spellStart"/>
            <w:r w:rsidRPr="00626C53">
              <w:rPr>
                <w:rFonts w:cstheme="minorHAnsi"/>
              </w:rPr>
              <w:t>organisations</w:t>
            </w:r>
            <w:proofErr w:type="spellEnd"/>
            <w:r w:rsidRPr="00626C53">
              <w:rPr>
                <w:rFonts w:cstheme="minorHAnsi"/>
              </w:rPr>
              <w:t xml:space="preserve">. </w:t>
            </w:r>
          </w:p>
          <w:p w14:paraId="1CD9B110" w14:textId="77777777" w:rsidR="00574FBA" w:rsidRPr="00626C53" w:rsidRDefault="00574FBA" w:rsidP="009E040F">
            <w:pPr>
              <w:pStyle w:val="ListParagraph"/>
              <w:ind w:left="787"/>
              <w:rPr>
                <w:rFonts w:cstheme="minorHAnsi"/>
              </w:rPr>
            </w:pPr>
          </w:p>
          <w:p w14:paraId="666A8621" w14:textId="77777777" w:rsidR="00574FBA" w:rsidRPr="00626C53" w:rsidRDefault="00574FBA" w:rsidP="009E040F">
            <w:pPr>
              <w:rPr>
                <w:rFonts w:cstheme="minorHAnsi"/>
              </w:rPr>
            </w:pPr>
            <w:r w:rsidRPr="00626C53">
              <w:rPr>
                <w:rFonts w:cstheme="minorHAnsi"/>
              </w:rPr>
              <w:t xml:space="preserve">In HEE, access will be limited to nominated members of the National Data Service, Workforce Planning, Commissioning teams and Finance teams. </w:t>
            </w:r>
          </w:p>
          <w:p w14:paraId="1FA89F98" w14:textId="77777777" w:rsidR="00574FBA" w:rsidRPr="00626C53" w:rsidRDefault="00574FBA" w:rsidP="009E040F">
            <w:pPr>
              <w:rPr>
                <w:rFonts w:cstheme="minorHAnsi"/>
              </w:rPr>
            </w:pPr>
          </w:p>
          <w:p w14:paraId="22FF4A82"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The Education Provider and the Placement Provider (“</w:t>
            </w:r>
            <w:r w:rsidRPr="00626C53">
              <w:rPr>
                <w:rFonts w:cstheme="minorHAnsi"/>
                <w:b/>
              </w:rPr>
              <w:t>Data Providers</w:t>
            </w:r>
            <w:r w:rsidRPr="00626C53">
              <w:rPr>
                <w:rFonts w:cstheme="minorHAnsi"/>
              </w:rPr>
              <w:t xml:space="preserve">”) shall provide HEE with the agreed data identified in this Agreement. </w:t>
            </w:r>
          </w:p>
          <w:p w14:paraId="36DA3139"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 xml:space="preserve">Any published analysis will be aggregated and </w:t>
            </w:r>
            <w:proofErr w:type="spellStart"/>
            <w:r w:rsidRPr="00626C53">
              <w:rPr>
                <w:rFonts w:cstheme="minorHAnsi"/>
              </w:rPr>
              <w:t>pseudonymised</w:t>
            </w:r>
            <w:proofErr w:type="spellEnd"/>
            <w:r w:rsidRPr="00626C53">
              <w:rPr>
                <w:rFonts w:cstheme="minorHAnsi"/>
              </w:rPr>
              <w:t xml:space="preserve"> ensuring that no individual can be identified.</w:t>
            </w:r>
          </w:p>
          <w:p w14:paraId="6B9F22EF" w14:textId="77777777" w:rsidR="00574FBA" w:rsidRPr="00626C53" w:rsidRDefault="00574FBA" w:rsidP="00DB7429">
            <w:pPr>
              <w:pStyle w:val="ListParagraph"/>
              <w:numPr>
                <w:ilvl w:val="0"/>
                <w:numId w:val="32"/>
              </w:numPr>
              <w:spacing w:after="0" w:line="240" w:lineRule="auto"/>
              <w:rPr>
                <w:rFonts w:cstheme="minorHAnsi"/>
              </w:rPr>
            </w:pPr>
            <w:r w:rsidRPr="00626C53">
              <w:rPr>
                <w:rFonts w:cstheme="minorHAnsi"/>
              </w:rPr>
              <w:t xml:space="preserve">In accordance with its duties under the Data Protection Legislation, HEE will </w:t>
            </w:r>
            <w:proofErr w:type="spellStart"/>
            <w:r w:rsidRPr="00626C53">
              <w:rPr>
                <w:rFonts w:cstheme="minorHAnsi"/>
              </w:rPr>
              <w:t>minimise</w:t>
            </w:r>
            <w:proofErr w:type="spellEnd"/>
            <w:r w:rsidRPr="00626C53">
              <w:rPr>
                <w:rFonts w:cstheme="minorHAnsi"/>
              </w:rPr>
              <w:t xml:space="preserve"> the use of identifiers in any outputs from this data unless.  Use of outputs that can be linked back to individuals may be necessary in some circumstances, for example </w:t>
            </w:r>
            <w:proofErr w:type="gramStart"/>
            <w:r w:rsidRPr="00626C53">
              <w:rPr>
                <w:rFonts w:cstheme="minorHAnsi"/>
              </w:rPr>
              <w:t>in order to</w:t>
            </w:r>
            <w:proofErr w:type="gramEnd"/>
            <w:r w:rsidRPr="00626C53">
              <w:rPr>
                <w:rFonts w:cstheme="minorHAnsi"/>
              </w:rPr>
              <w:t xml:space="preserve"> enable HEE to make a payment to Placement Providers or employers.</w:t>
            </w:r>
          </w:p>
        </w:tc>
      </w:tr>
      <w:tr w:rsidR="00574FBA" w:rsidRPr="00626C53" w14:paraId="3EDC80DF" w14:textId="77777777" w:rsidTr="009E040F">
        <w:trPr>
          <w:trHeight w:val="551"/>
        </w:trPr>
        <w:tc>
          <w:tcPr>
            <w:tcW w:w="550" w:type="dxa"/>
          </w:tcPr>
          <w:p w14:paraId="11382732" w14:textId="77777777" w:rsidR="00574FBA" w:rsidRPr="00626C53" w:rsidRDefault="00574FBA" w:rsidP="009E040F">
            <w:pPr>
              <w:rPr>
                <w:rFonts w:cstheme="minorHAnsi"/>
                <w:b/>
              </w:rPr>
            </w:pPr>
            <w:r w:rsidRPr="00626C53">
              <w:rPr>
                <w:rFonts w:cstheme="minorHAnsi"/>
                <w:b/>
              </w:rPr>
              <w:lastRenderedPageBreak/>
              <w:t>7.</w:t>
            </w:r>
          </w:p>
        </w:tc>
        <w:tc>
          <w:tcPr>
            <w:tcW w:w="10077" w:type="dxa"/>
          </w:tcPr>
          <w:p w14:paraId="32445BAB" w14:textId="77777777" w:rsidR="00574FBA" w:rsidRPr="00626C53" w:rsidRDefault="00574FBA" w:rsidP="009E040F">
            <w:pPr>
              <w:rPr>
                <w:rFonts w:cstheme="minorHAnsi"/>
                <w:b/>
              </w:rPr>
            </w:pPr>
            <w:r w:rsidRPr="00626C53">
              <w:rPr>
                <w:rFonts w:cstheme="minorHAnsi"/>
                <w:b/>
              </w:rPr>
              <w:t>Data items to be processed</w:t>
            </w:r>
          </w:p>
          <w:p w14:paraId="037D72EF" w14:textId="77777777" w:rsidR="00574FBA" w:rsidRPr="00626C53" w:rsidRDefault="00574FBA" w:rsidP="009E040F">
            <w:pPr>
              <w:rPr>
                <w:rFonts w:cstheme="minorHAnsi"/>
              </w:rPr>
            </w:pPr>
          </w:p>
          <w:tbl>
            <w:tblPr>
              <w:tblStyle w:val="TableGrid"/>
              <w:tblW w:w="9776" w:type="dxa"/>
              <w:tblLayout w:type="fixed"/>
              <w:tblLook w:val="04A0" w:firstRow="1" w:lastRow="0" w:firstColumn="1" w:lastColumn="0" w:noHBand="0" w:noVBand="1"/>
            </w:tblPr>
            <w:tblGrid>
              <w:gridCol w:w="4531"/>
              <w:gridCol w:w="5245"/>
            </w:tblGrid>
            <w:tr w:rsidR="00574FBA" w:rsidRPr="00626C53" w14:paraId="1BBEFCDE" w14:textId="77777777" w:rsidTr="009E040F">
              <w:tc>
                <w:tcPr>
                  <w:tcW w:w="4531" w:type="dxa"/>
                </w:tcPr>
                <w:p w14:paraId="7EAEFD0F" w14:textId="77777777" w:rsidR="00574FBA" w:rsidRPr="00626C53" w:rsidRDefault="00574FBA" w:rsidP="000859A5">
                  <w:pPr>
                    <w:framePr w:hSpace="187" w:wrap="around" w:vAnchor="text" w:hAnchor="margin" w:x="108" w:y="289"/>
                    <w:rPr>
                      <w:rFonts w:cstheme="minorHAnsi"/>
                      <w:b/>
                    </w:rPr>
                  </w:pPr>
                  <w:r w:rsidRPr="00626C53">
                    <w:rPr>
                      <w:rFonts w:cstheme="minorHAnsi"/>
                      <w:b/>
                    </w:rPr>
                    <w:t>Data Item(s)</w:t>
                  </w:r>
                </w:p>
              </w:tc>
              <w:tc>
                <w:tcPr>
                  <w:tcW w:w="5245" w:type="dxa"/>
                </w:tcPr>
                <w:p w14:paraId="1A2F182C" w14:textId="77777777" w:rsidR="00574FBA" w:rsidRPr="00626C53" w:rsidRDefault="00574FBA" w:rsidP="000859A5">
                  <w:pPr>
                    <w:framePr w:hSpace="187" w:wrap="around" w:vAnchor="text" w:hAnchor="margin" w:x="108" w:y="289"/>
                    <w:rPr>
                      <w:rFonts w:cstheme="minorHAnsi"/>
                      <w:b/>
                    </w:rPr>
                  </w:pPr>
                  <w:r w:rsidRPr="00626C53">
                    <w:rPr>
                      <w:rFonts w:cstheme="minorHAnsi"/>
                      <w:b/>
                    </w:rPr>
                    <w:t>Justification</w:t>
                  </w:r>
                </w:p>
              </w:tc>
            </w:tr>
            <w:tr w:rsidR="00574FBA" w:rsidRPr="00626C53" w14:paraId="4F65E009" w14:textId="77777777" w:rsidTr="009E040F">
              <w:trPr>
                <w:trHeight w:val="1109"/>
              </w:trPr>
              <w:tc>
                <w:tcPr>
                  <w:tcW w:w="4531" w:type="dxa"/>
                </w:tcPr>
                <w:p w14:paraId="08F7A2EC"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Provider and </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details</w:t>
                  </w:r>
                  <w:r w:rsidRPr="00626C53">
                    <w:rPr>
                      <w:rStyle w:val="eop"/>
                      <w:rFonts w:asciiTheme="minorHAnsi" w:hAnsiTheme="minorHAnsi" w:cstheme="minorHAnsi"/>
                      <w:szCs w:val="22"/>
                    </w:rPr>
                    <w:t> to include:</w:t>
                  </w:r>
                </w:p>
                <w:p w14:paraId="1F31FC25"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Minimum viability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5BA2EB0F"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Maximum capacity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14209391"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Planned recruitment numbers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w:t>
                  </w:r>
                  <w:r w:rsidRPr="00626C53">
                    <w:rPr>
                      <w:rStyle w:val="eop"/>
                      <w:rFonts w:asciiTheme="minorHAnsi" w:hAnsiTheme="minorHAnsi" w:cstheme="minorHAnsi"/>
                      <w:szCs w:val="22"/>
                    </w:rPr>
                    <w:t> </w:t>
                  </w:r>
                </w:p>
                <w:p w14:paraId="40C9D17B"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start and end dates</w:t>
                  </w:r>
                </w:p>
                <w:p w14:paraId="1976312E"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academic qualifications</w:t>
                  </w:r>
                </w:p>
                <w:p w14:paraId="66496EDA"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Learner activity, to include:</w:t>
                  </w:r>
                </w:p>
                <w:p w14:paraId="2A2E836E"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Actual starter numbers for all relevant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for period covered by the collection</w:t>
                  </w:r>
                  <w:r w:rsidRPr="00626C53">
                    <w:rPr>
                      <w:rStyle w:val="eop"/>
                      <w:rFonts w:asciiTheme="minorHAnsi" w:hAnsiTheme="minorHAnsi" w:cstheme="minorHAnsi"/>
                      <w:szCs w:val="22"/>
                    </w:rPr>
                    <w:t> </w:t>
                  </w:r>
                </w:p>
                <w:p w14:paraId="5574CB75"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xml:space="preserve">Number of learners discontinued/withdrawn from </w:t>
                  </w:r>
                  <w:proofErr w:type="spellStart"/>
                  <w:r w:rsidRPr="00626C53">
                    <w:rPr>
                      <w:rStyle w:val="eop"/>
                      <w:rFonts w:asciiTheme="minorHAnsi" w:hAnsiTheme="minorHAnsi" w:cstheme="minorHAnsi"/>
                      <w:szCs w:val="22"/>
                    </w:rPr>
                    <w:t>Programme</w:t>
                  </w:r>
                  <w:proofErr w:type="spellEnd"/>
                </w:p>
                <w:p w14:paraId="7CAE1FB1"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Style w:val="normaltextrun"/>
                      <w:rFonts w:asciiTheme="minorHAnsi" w:hAnsiTheme="minorHAnsi" w:cstheme="minorHAnsi"/>
                      <w:szCs w:val="22"/>
                    </w:rPr>
                    <w:t xml:space="preserve">Progression data and the cause of any interruption or withdrawal from training for all relevant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each academic year for duration of the </w:t>
                  </w:r>
                  <w:proofErr w:type="spellStart"/>
                  <w:r w:rsidRPr="00626C53">
                    <w:rPr>
                      <w:rStyle w:val="normaltextrun"/>
                      <w:rFonts w:asciiTheme="minorHAnsi" w:hAnsiTheme="minorHAnsi" w:cstheme="minorHAnsi"/>
                      <w:szCs w:val="22"/>
                    </w:rPr>
                    <w:t>Programme</w:t>
                  </w:r>
                  <w:proofErr w:type="spellEnd"/>
                  <w:r w:rsidRPr="00626C53">
                    <w:rPr>
                      <w:rStyle w:val="eop"/>
                      <w:rFonts w:asciiTheme="minorHAnsi" w:hAnsiTheme="minorHAnsi" w:cstheme="minorHAnsi"/>
                      <w:szCs w:val="22"/>
                    </w:rPr>
                    <w:t> </w:t>
                  </w:r>
                </w:p>
                <w:p w14:paraId="3F02C17C"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 xml:space="preserve">Number successfully qualified since </w:t>
                  </w:r>
                  <w:proofErr w:type="spellStart"/>
                  <w:r w:rsidRPr="00626C53">
                    <w:rPr>
                      <w:rFonts w:asciiTheme="minorHAnsi" w:hAnsiTheme="minorHAnsi" w:cstheme="minorHAnsi"/>
                      <w:szCs w:val="22"/>
                    </w:rPr>
                    <w:t>Programme</w:t>
                  </w:r>
                  <w:proofErr w:type="spellEnd"/>
                  <w:r w:rsidRPr="00626C53">
                    <w:rPr>
                      <w:rFonts w:asciiTheme="minorHAnsi" w:hAnsiTheme="minorHAnsi" w:cstheme="minorHAnsi"/>
                      <w:szCs w:val="22"/>
                    </w:rPr>
                    <w:t xml:space="preserve"> start date</w:t>
                  </w:r>
                </w:p>
                <w:p w14:paraId="67C5995F"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lastRenderedPageBreak/>
                    <w:t xml:space="preserve">Placement activity, to include clinical Placement requirements and activity for all pre-registration training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xml:space="preserve"> each academic year as defined by DHSC NMET Tariff guidance</w:t>
                  </w:r>
                  <w:r w:rsidRPr="00626C53">
                    <w:rPr>
                      <w:rStyle w:val="eop"/>
                      <w:rFonts w:asciiTheme="minorHAnsi" w:hAnsiTheme="minorHAnsi" w:cstheme="minorHAnsi"/>
                      <w:szCs w:val="22"/>
                    </w:rPr>
                    <w:t> </w:t>
                  </w:r>
                </w:p>
                <w:p w14:paraId="2299BDDC" w14:textId="77777777" w:rsidR="00574FBA" w:rsidRPr="00626C53" w:rsidRDefault="00574FBA" w:rsidP="000859A5">
                  <w:pPr>
                    <w:framePr w:hSpace="187" w:wrap="around" w:vAnchor="text" w:hAnchor="margin" w:x="108" w:y="289"/>
                    <w:textAlignment w:val="baseline"/>
                    <w:rPr>
                      <w:rStyle w:val="eop"/>
                      <w:rFonts w:cstheme="minorHAnsi"/>
                    </w:rPr>
                  </w:pPr>
                </w:p>
                <w:p w14:paraId="7F156D6C" w14:textId="77777777" w:rsidR="00574FBA" w:rsidRPr="00626C53" w:rsidRDefault="00574FBA" w:rsidP="000859A5">
                  <w:pPr>
                    <w:framePr w:hSpace="187" w:wrap="around" w:vAnchor="text" w:hAnchor="margin" w:x="108" w:y="289"/>
                    <w:textAlignment w:val="baseline"/>
                    <w:rPr>
                      <w:rStyle w:val="eop"/>
                      <w:rFonts w:cstheme="minorHAnsi"/>
                      <w:u w:val="single"/>
                    </w:rPr>
                  </w:pPr>
                  <w:r w:rsidRPr="00626C53">
                    <w:rPr>
                      <w:rStyle w:val="eop"/>
                      <w:rFonts w:cstheme="minorHAnsi"/>
                      <w:u w:val="single"/>
                    </w:rPr>
                    <w:t xml:space="preserve">Personal data </w:t>
                  </w:r>
                </w:p>
                <w:p w14:paraId="7413B387" w14:textId="77777777" w:rsidR="00574FBA" w:rsidRPr="00626C53" w:rsidRDefault="00574FBA" w:rsidP="000859A5">
                  <w:pPr>
                    <w:framePr w:hSpace="187" w:wrap="around" w:vAnchor="text" w:hAnchor="margin" w:x="108" w:y="289"/>
                    <w:textAlignment w:val="baseline"/>
                    <w:rPr>
                      <w:rStyle w:val="eop"/>
                      <w:rFonts w:cstheme="minorHAnsi"/>
                    </w:rPr>
                  </w:pPr>
                  <w:r w:rsidRPr="00626C53">
                    <w:rPr>
                      <w:rStyle w:val="eop"/>
                      <w:rFonts w:cstheme="minorHAnsi"/>
                    </w:rPr>
                    <w:t xml:space="preserve">Data items that include personal data include information to enable HEE to make salary support and other payments to employers, and </w:t>
                  </w:r>
                  <w:r w:rsidRPr="00626C53">
                    <w:rPr>
                      <w:rFonts w:eastAsia="Calibri" w:cstheme="minorHAnsi"/>
                    </w:rPr>
                    <w:t>information to enable HEE to collect survey data on the quality of Placements, for example</w:t>
                  </w:r>
                  <w:r w:rsidRPr="00626C53">
                    <w:rPr>
                      <w:rStyle w:val="eop"/>
                      <w:rFonts w:cstheme="minorHAnsi"/>
                    </w:rPr>
                    <w:t>:</w:t>
                  </w:r>
                </w:p>
                <w:p w14:paraId="32DB4671"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szCs w:val="22"/>
                    </w:rPr>
                    <w:t> </w:t>
                  </w:r>
                </w:p>
                <w:p w14:paraId="212A3565"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normaltextrun"/>
                      <w:rFonts w:asciiTheme="minorHAnsi" w:hAnsiTheme="minorHAnsi" w:cstheme="minorHAnsi"/>
                      <w:szCs w:val="22"/>
                    </w:rPr>
                    <w:t xml:space="preserve">Learners’ names and student ID number where the Learner is enrolled on a </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eligible for salary support or other funding</w:t>
                  </w:r>
                  <w:r w:rsidRPr="00626C53">
                    <w:rPr>
                      <w:rStyle w:val="eop"/>
                      <w:rFonts w:asciiTheme="minorHAnsi" w:hAnsiTheme="minorHAnsi" w:cstheme="minorHAnsi"/>
                      <w:szCs w:val="22"/>
                    </w:rPr>
                    <w:t>, including national insurance number</w:t>
                  </w:r>
                </w:p>
                <w:p w14:paraId="6B4F1D16"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r w:rsidRPr="00626C53">
                    <w:rPr>
                      <w:rStyle w:val="eop"/>
                      <w:rFonts w:asciiTheme="minorHAnsi" w:hAnsiTheme="minorHAnsi" w:cstheme="minorHAnsi"/>
                      <w:szCs w:val="22"/>
                    </w:rPr>
                    <w:t xml:space="preserve">Name of employing </w:t>
                  </w:r>
                  <w:proofErr w:type="spellStart"/>
                  <w:r w:rsidRPr="00626C53">
                    <w:rPr>
                      <w:rStyle w:val="eop"/>
                      <w:rFonts w:asciiTheme="minorHAnsi" w:hAnsiTheme="minorHAnsi" w:cstheme="minorHAnsi"/>
                      <w:szCs w:val="22"/>
                    </w:rPr>
                    <w:t>organisation</w:t>
                  </w:r>
                  <w:proofErr w:type="spellEnd"/>
                  <w:r w:rsidRPr="00626C53">
                    <w:rPr>
                      <w:rStyle w:val="eop"/>
                      <w:rFonts w:asciiTheme="minorHAnsi" w:hAnsiTheme="minorHAnsi" w:cstheme="minorHAnsi"/>
                      <w:szCs w:val="22"/>
                    </w:rPr>
                    <w:t xml:space="preserve"> </w:t>
                  </w:r>
                </w:p>
                <w:p w14:paraId="551BB413"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Style w:val="eop"/>
                      <w:rFonts w:asciiTheme="minorHAnsi" w:hAnsiTheme="minorHAnsi" w:cstheme="minorHAnsi"/>
                      <w:szCs w:val="22"/>
                    </w:rPr>
                  </w:pPr>
                  <w:proofErr w:type="spellStart"/>
                  <w:r w:rsidRPr="00626C53">
                    <w:rPr>
                      <w:rStyle w:val="eop"/>
                      <w:rFonts w:asciiTheme="minorHAnsi" w:hAnsiTheme="minorHAnsi" w:cstheme="minorHAnsi"/>
                      <w:szCs w:val="22"/>
                    </w:rPr>
                    <w:t>Programme</w:t>
                  </w:r>
                  <w:proofErr w:type="spellEnd"/>
                  <w:r w:rsidRPr="00626C53">
                    <w:rPr>
                      <w:rStyle w:val="eop"/>
                      <w:rFonts w:asciiTheme="minorHAnsi" w:hAnsiTheme="minorHAnsi" w:cstheme="minorHAnsi"/>
                      <w:szCs w:val="22"/>
                    </w:rPr>
                    <w:t xml:space="preserve"> end date </w:t>
                  </w:r>
                </w:p>
                <w:p w14:paraId="22D82A13"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textAlignment w:val="baseline"/>
                    <w:rPr>
                      <w:rFonts w:asciiTheme="minorHAnsi" w:hAnsiTheme="minorHAnsi" w:cstheme="minorHAnsi"/>
                      <w:szCs w:val="22"/>
                    </w:rPr>
                  </w:pPr>
                  <w:r w:rsidRPr="00626C53">
                    <w:rPr>
                      <w:rFonts w:asciiTheme="minorHAnsi" w:hAnsiTheme="minorHAnsi" w:cstheme="minorHAnsi"/>
                      <w:szCs w:val="22"/>
                    </w:rPr>
                    <w:t xml:space="preserve">First destination data or other </w:t>
                  </w:r>
                  <w:proofErr w:type="spellStart"/>
                  <w:r w:rsidRPr="00626C53">
                    <w:rPr>
                      <w:rFonts w:asciiTheme="minorHAnsi" w:hAnsiTheme="minorHAnsi" w:cstheme="minorHAnsi"/>
                      <w:szCs w:val="22"/>
                    </w:rPr>
                    <w:t>programme</w:t>
                  </w:r>
                  <w:proofErr w:type="spellEnd"/>
                  <w:r w:rsidRPr="00626C53">
                    <w:rPr>
                      <w:rFonts w:asciiTheme="minorHAnsi" w:hAnsiTheme="minorHAnsi" w:cstheme="minorHAnsi"/>
                      <w:szCs w:val="22"/>
                    </w:rPr>
                    <w:t>-specific data required to support funding allocation and funding impact assessment</w:t>
                  </w:r>
                </w:p>
                <w:p w14:paraId="59D2E754"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Fonts w:asciiTheme="minorHAnsi" w:hAnsiTheme="minorHAnsi" w:cstheme="minorHAnsi"/>
                      <w:szCs w:val="22"/>
                    </w:rPr>
                    <w:t xml:space="preserve">Learners’ names and email addresses </w:t>
                  </w:r>
                </w:p>
                <w:p w14:paraId="0B0165D9" w14:textId="77777777" w:rsidR="00574FBA" w:rsidRPr="00626C53" w:rsidRDefault="00574FBA" w:rsidP="000859A5">
                  <w:pPr>
                    <w:pStyle w:val="paragraph0"/>
                    <w:framePr w:hSpace="187" w:wrap="around" w:vAnchor="text" w:hAnchor="margin" w:x="108" w:y="289"/>
                    <w:numPr>
                      <w:ilvl w:val="0"/>
                      <w:numId w:val="39"/>
                    </w:numPr>
                    <w:spacing w:before="0" w:beforeAutospacing="0" w:after="0" w:afterAutospacing="0"/>
                    <w:rPr>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For medical and dental Learners only: Learner’s names and their decile ranking for their final qualification</w:t>
                  </w:r>
                  <w:r w:rsidRPr="00626C53">
                    <w:rPr>
                      <w:rStyle w:val="eop"/>
                      <w:rFonts w:asciiTheme="minorHAnsi" w:hAnsiTheme="minorHAnsi" w:cstheme="minorHAnsi"/>
                      <w:color w:val="000000"/>
                      <w:szCs w:val="22"/>
                      <w:shd w:val="clear" w:color="auto" w:fill="FFFFFF"/>
                    </w:rPr>
                    <w:t> </w:t>
                  </w:r>
                </w:p>
              </w:tc>
              <w:tc>
                <w:tcPr>
                  <w:tcW w:w="5245" w:type="dxa"/>
                </w:tcPr>
                <w:p w14:paraId="4FACF1A0"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lastRenderedPageBreak/>
                    <w:t>To support regional, STP and local service level workforce planning and development through the provision of a range of data around learner activity and provider/</w:t>
                  </w:r>
                  <w:proofErr w:type="spellStart"/>
                  <w:r w:rsidRPr="00626C53">
                    <w:rPr>
                      <w:rStyle w:val="normaltextrun"/>
                      <w:rFonts w:asciiTheme="minorHAnsi" w:hAnsiTheme="minorHAnsi" w:cstheme="minorHAnsi"/>
                      <w:szCs w:val="22"/>
                    </w:rPr>
                    <w:t>programme</w:t>
                  </w:r>
                  <w:proofErr w:type="spellEnd"/>
                  <w:r w:rsidRPr="00626C53">
                    <w:rPr>
                      <w:rStyle w:val="normaltextrun"/>
                      <w:rFonts w:asciiTheme="minorHAnsi" w:hAnsiTheme="minorHAnsi" w:cstheme="minorHAnsi"/>
                      <w:szCs w:val="22"/>
                    </w:rPr>
                    <w:t xml:space="preserve"> details which will enable HEE to understand:</w:t>
                  </w:r>
                </w:p>
                <w:p w14:paraId="38BE5F04" w14:textId="77777777" w:rsidR="00574FBA" w:rsidRPr="00626C53" w:rsidRDefault="00574FBA" w:rsidP="000859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szCs w:val="22"/>
                    </w:rPr>
                    <w:t xml:space="preserve">the numbers of Learners on pre-registration, post-registration, continuing professional development or apprenticeships </w:t>
                  </w:r>
                  <w:proofErr w:type="spellStart"/>
                  <w:r w:rsidRPr="00626C53">
                    <w:rPr>
                      <w:rStyle w:val="normaltextrun"/>
                      <w:rFonts w:asciiTheme="minorHAnsi" w:hAnsiTheme="minorHAnsi" w:cstheme="minorHAnsi"/>
                      <w:szCs w:val="22"/>
                    </w:rPr>
                    <w:t>Programmes</w:t>
                  </w:r>
                  <w:proofErr w:type="spellEnd"/>
                  <w:r w:rsidRPr="00626C53">
                    <w:rPr>
                      <w:rStyle w:val="normaltextrun"/>
                      <w:rFonts w:asciiTheme="minorHAnsi" w:hAnsiTheme="minorHAnsi" w:cstheme="minorHAnsi"/>
                      <w:szCs w:val="22"/>
                    </w:rPr>
                    <w:t>, and the numbers expected to qualify and therefore contribute towards the future workforce</w:t>
                  </w:r>
                </w:p>
                <w:p w14:paraId="7A4FF8C3" w14:textId="77777777" w:rsidR="00574FBA" w:rsidRPr="00626C53" w:rsidRDefault="00574FBA" w:rsidP="000859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the challenges Education Providers may be facing in terms of recruitment, </w:t>
                  </w:r>
                  <w:proofErr w:type="gramStart"/>
                  <w:r w:rsidRPr="00626C53">
                    <w:rPr>
                      <w:rStyle w:val="normaltextrun"/>
                      <w:rFonts w:asciiTheme="minorHAnsi" w:hAnsiTheme="minorHAnsi" w:cstheme="minorHAnsi"/>
                      <w:color w:val="000000"/>
                      <w:szCs w:val="22"/>
                      <w:shd w:val="clear" w:color="auto" w:fill="FFFFFF"/>
                    </w:rPr>
                    <w:t>capacity</w:t>
                  </w:r>
                  <w:proofErr w:type="gramEnd"/>
                  <w:r w:rsidRPr="00626C53">
                    <w:rPr>
                      <w:rStyle w:val="normaltextrun"/>
                      <w:rFonts w:asciiTheme="minorHAnsi" w:hAnsiTheme="minorHAnsi" w:cstheme="minorHAnsi"/>
                      <w:color w:val="000000"/>
                      <w:szCs w:val="22"/>
                      <w:shd w:val="clear" w:color="auto" w:fill="FFFFFF"/>
                    </w:rPr>
                    <w:t xml:space="preserve"> and retention and to support partner </w:t>
                  </w:r>
                  <w:proofErr w:type="spellStart"/>
                  <w:r w:rsidRPr="00626C53">
                    <w:rPr>
                      <w:rStyle w:val="normaltextrun"/>
                      <w:rFonts w:asciiTheme="minorHAnsi" w:hAnsiTheme="minorHAnsi" w:cstheme="minorHAnsi"/>
                      <w:color w:val="000000"/>
                      <w:szCs w:val="22"/>
                      <w:shd w:val="clear" w:color="auto" w:fill="FFFFFF"/>
                    </w:rPr>
                    <w:t>organisations</w:t>
                  </w:r>
                  <w:proofErr w:type="spellEnd"/>
                  <w:r w:rsidRPr="00626C53">
                    <w:rPr>
                      <w:rStyle w:val="normaltextrun"/>
                      <w:rFonts w:asciiTheme="minorHAnsi" w:hAnsiTheme="minorHAnsi" w:cstheme="minorHAnsi"/>
                      <w:color w:val="000000"/>
                      <w:szCs w:val="22"/>
                      <w:shd w:val="clear" w:color="auto" w:fill="FFFFFF"/>
                    </w:rPr>
                    <w:t xml:space="preserve"> in addressing some of those challenge</w:t>
                  </w:r>
                  <w:r w:rsidRPr="00626C53">
                    <w:rPr>
                      <w:rStyle w:val="normaltextrun"/>
                      <w:rFonts w:asciiTheme="minorHAnsi" w:hAnsiTheme="minorHAnsi" w:cstheme="minorHAnsi"/>
                      <w:color w:val="000000"/>
                      <w:szCs w:val="22"/>
                    </w:rPr>
                    <w:t>s </w:t>
                  </w:r>
                </w:p>
                <w:p w14:paraId="690748A6" w14:textId="77777777" w:rsidR="00574FBA" w:rsidRPr="00626C53" w:rsidRDefault="00574FBA" w:rsidP="000859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salary support and other payment requirements, where access to named Learner data may be necessary </w:t>
                  </w:r>
                  <w:proofErr w:type="gramStart"/>
                  <w:r w:rsidRPr="00626C53">
                    <w:rPr>
                      <w:rStyle w:val="normaltextrun"/>
                      <w:rFonts w:asciiTheme="minorHAnsi" w:hAnsiTheme="minorHAnsi" w:cstheme="minorHAnsi"/>
                      <w:color w:val="000000"/>
                      <w:szCs w:val="22"/>
                      <w:shd w:val="clear" w:color="auto" w:fill="FFFFFF"/>
                    </w:rPr>
                    <w:t>in order to</w:t>
                  </w:r>
                  <w:proofErr w:type="gramEnd"/>
                  <w:r w:rsidRPr="00626C53">
                    <w:rPr>
                      <w:rStyle w:val="normaltextrun"/>
                      <w:rFonts w:asciiTheme="minorHAnsi" w:hAnsiTheme="minorHAnsi" w:cstheme="minorHAnsi"/>
                      <w:color w:val="000000"/>
                      <w:szCs w:val="22"/>
                      <w:shd w:val="clear" w:color="auto" w:fill="FFFFFF"/>
                    </w:rPr>
                    <w:t xml:space="preserve"> triangulate and validate payments to the employing </w:t>
                  </w:r>
                  <w:proofErr w:type="spellStart"/>
                  <w:r w:rsidRPr="00626C53">
                    <w:rPr>
                      <w:rStyle w:val="normaltextrun"/>
                      <w:rFonts w:asciiTheme="minorHAnsi" w:hAnsiTheme="minorHAnsi" w:cstheme="minorHAnsi"/>
                      <w:color w:val="000000"/>
                      <w:szCs w:val="22"/>
                      <w:shd w:val="clear" w:color="auto" w:fill="FFFFFF"/>
                    </w:rPr>
                    <w:t>organisation</w:t>
                  </w:r>
                  <w:proofErr w:type="spellEnd"/>
                  <w:r w:rsidRPr="00626C53">
                    <w:rPr>
                      <w:rStyle w:val="normaltextrun"/>
                      <w:rFonts w:asciiTheme="minorHAnsi" w:hAnsiTheme="minorHAnsi" w:cstheme="minorHAnsi"/>
                      <w:color w:val="000000"/>
                      <w:szCs w:val="22"/>
                      <w:shd w:val="clear" w:color="auto" w:fill="FFFFFF"/>
                    </w:rPr>
                    <w:t xml:space="preserve"> </w:t>
                  </w:r>
                </w:p>
                <w:p w14:paraId="577AF33A" w14:textId="77777777" w:rsidR="00574FBA" w:rsidRPr="00626C53" w:rsidRDefault="00574FBA" w:rsidP="000859A5">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Theme="minorHAnsi" w:hAnsiTheme="minorHAnsi" w:cstheme="minorHAnsi"/>
                      <w:szCs w:val="22"/>
                    </w:rPr>
                  </w:pPr>
                  <w:r w:rsidRPr="00626C53">
                    <w:rPr>
                      <w:rStyle w:val="normaltextrun"/>
                      <w:rFonts w:asciiTheme="minorHAnsi" w:hAnsiTheme="minorHAnsi" w:cstheme="minorHAnsi"/>
                      <w:color w:val="000000"/>
                      <w:szCs w:val="22"/>
                      <w:shd w:val="clear" w:color="auto" w:fill="FFFFFF"/>
                    </w:rPr>
                    <w:t xml:space="preserve">Placement activity and to support validation of data by Placement Providers in collaboration with Education Providers and HEE, </w:t>
                  </w:r>
                  <w:proofErr w:type="gramStart"/>
                  <w:r w:rsidRPr="00626C53">
                    <w:rPr>
                      <w:rStyle w:val="normaltextrun"/>
                      <w:rFonts w:asciiTheme="minorHAnsi" w:hAnsiTheme="minorHAnsi" w:cstheme="minorHAnsi"/>
                      <w:color w:val="000000"/>
                      <w:szCs w:val="22"/>
                      <w:shd w:val="clear" w:color="auto" w:fill="FFFFFF"/>
                    </w:rPr>
                    <w:t>in order to</w:t>
                  </w:r>
                  <w:proofErr w:type="gramEnd"/>
                  <w:r w:rsidRPr="00626C53">
                    <w:rPr>
                      <w:rStyle w:val="normaltextrun"/>
                      <w:rFonts w:asciiTheme="minorHAnsi" w:hAnsiTheme="minorHAnsi" w:cstheme="minorHAnsi"/>
                      <w:color w:val="000000"/>
                      <w:szCs w:val="22"/>
                      <w:shd w:val="clear" w:color="auto" w:fill="FFFFFF"/>
                    </w:rPr>
                    <w:t xml:space="preserve"> enable HEE to make an appropriate tariff payment to the Placement Provider</w:t>
                  </w:r>
                  <w:r w:rsidRPr="00626C53">
                    <w:rPr>
                      <w:rStyle w:val="eop"/>
                      <w:rFonts w:asciiTheme="minorHAnsi" w:hAnsiTheme="minorHAnsi" w:cstheme="minorHAnsi"/>
                      <w:color w:val="000000"/>
                      <w:szCs w:val="22"/>
                      <w:shd w:val="clear" w:color="auto" w:fill="FFFFFF"/>
                    </w:rPr>
                    <w:t> </w:t>
                  </w:r>
                </w:p>
                <w:p w14:paraId="22D1D9A1"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796BBFE"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1CB6FC8E"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3303A209"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D6C13EE"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26455114"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4427E8"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6DBBDF99"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5B7DD522"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5667091"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5F91DC7"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00F8307E"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4C68F30B"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szCs w:val="22"/>
                      <w:shd w:val="clear" w:color="auto" w:fill="FFFFFF"/>
                    </w:rPr>
                  </w:pPr>
                </w:p>
                <w:p w14:paraId="7140B959"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normaltextrun"/>
                      <w:rFonts w:asciiTheme="minorHAnsi" w:hAnsiTheme="minorHAnsi" w:cstheme="minorHAnsi"/>
                      <w:szCs w:val="22"/>
                    </w:rPr>
                  </w:pPr>
                </w:p>
                <w:p w14:paraId="5B137428"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45C00DE"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89A126D"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39C1A7E7"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55532D9F"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30A0B65"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3640B57"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1013E6F2"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668F7953"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292E53D3"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715283FD"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p>
                <w:p w14:paraId="059E85E9"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r w:rsidRPr="00626C53">
                    <w:rPr>
                      <w:rStyle w:val="eop"/>
                      <w:rFonts w:asciiTheme="minorHAnsi" w:hAnsiTheme="minorHAnsi" w:cstheme="minorHAnsi"/>
                      <w:color w:val="000000" w:themeColor="text1"/>
                      <w:szCs w:val="22"/>
                    </w:rPr>
                    <w:t xml:space="preserve">Learners’ names and email address to be collected for the purposes of disseminating the HEE NETs survey. </w:t>
                  </w:r>
                  <w:r w:rsidRPr="00626C53">
                    <w:rPr>
                      <w:rFonts w:asciiTheme="minorHAnsi" w:hAnsiTheme="minorHAnsi" w:cstheme="minorHAnsi"/>
                      <w:szCs w:val="22"/>
                    </w:rPr>
                    <w:t>Education and Placement Providers/ employers to ensure Learners/employees are made aware of this requirement if not included in their learning/employment contract.</w:t>
                  </w:r>
                </w:p>
                <w:p w14:paraId="2D83FF02"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Fonts w:asciiTheme="minorHAnsi" w:hAnsiTheme="minorHAnsi" w:cstheme="minorHAnsi"/>
                      <w:szCs w:val="22"/>
                    </w:rPr>
                  </w:pPr>
                </w:p>
                <w:p w14:paraId="3BDAAE84" w14:textId="77777777" w:rsidR="00574FBA" w:rsidRPr="00626C53" w:rsidRDefault="00574FBA" w:rsidP="000859A5">
                  <w:pPr>
                    <w:pStyle w:val="paragraph0"/>
                    <w:framePr w:hSpace="187" w:wrap="around" w:vAnchor="text" w:hAnchor="margin" w:x="108" w:y="289"/>
                    <w:spacing w:before="0" w:beforeAutospacing="0" w:after="0" w:afterAutospacing="0"/>
                    <w:textAlignment w:val="baseline"/>
                    <w:rPr>
                      <w:rStyle w:val="eop"/>
                      <w:rFonts w:asciiTheme="minorHAnsi" w:hAnsiTheme="minorHAnsi" w:cstheme="minorHAnsi"/>
                      <w:color w:val="000000" w:themeColor="text1"/>
                      <w:szCs w:val="22"/>
                    </w:rPr>
                  </w:pPr>
                  <w:r w:rsidRPr="00626C53">
                    <w:rPr>
                      <w:rStyle w:val="normaltextrun"/>
                      <w:rFonts w:asciiTheme="minorHAnsi" w:hAnsiTheme="minorHAnsi" w:cstheme="minorHAnsi"/>
                      <w:color w:val="000000"/>
                      <w:szCs w:val="22"/>
                      <w:shd w:val="clear" w:color="auto" w:fill="FFFFFF"/>
                    </w:rPr>
                    <w:t>Decile ranking data needed for medical and dental Learners as part of ranking process for recruitment.</w:t>
                  </w:r>
                  <w:r w:rsidRPr="00626C53">
                    <w:rPr>
                      <w:rStyle w:val="eop"/>
                      <w:rFonts w:asciiTheme="minorHAnsi" w:hAnsiTheme="minorHAnsi" w:cstheme="minorHAnsi"/>
                      <w:color w:val="000000"/>
                      <w:szCs w:val="22"/>
                      <w:shd w:val="clear" w:color="auto" w:fill="FFFFFF"/>
                    </w:rPr>
                    <w:t> </w:t>
                  </w:r>
                </w:p>
              </w:tc>
            </w:tr>
          </w:tbl>
          <w:p w14:paraId="12508A32" w14:textId="77777777" w:rsidR="00574FBA" w:rsidRPr="00626C53" w:rsidRDefault="00574FBA" w:rsidP="009E040F">
            <w:pPr>
              <w:rPr>
                <w:rFonts w:cstheme="minorHAnsi"/>
              </w:rPr>
            </w:pPr>
          </w:p>
          <w:p w14:paraId="36D25A3C" w14:textId="77777777" w:rsidR="00574FBA" w:rsidRPr="00626C53" w:rsidRDefault="00574FBA" w:rsidP="009E040F">
            <w:pPr>
              <w:rPr>
                <w:rFonts w:cstheme="minorHAnsi"/>
              </w:rPr>
            </w:pPr>
            <w:r w:rsidRPr="00626C53">
              <w:rPr>
                <w:rFonts w:cstheme="minorHAnsi"/>
              </w:rPr>
              <w:t xml:space="preserve">This Data Sharing Agreement is specific to the data items listed.  Other data flows between </w:t>
            </w:r>
            <w:proofErr w:type="spellStart"/>
            <w:r w:rsidRPr="00626C53">
              <w:rPr>
                <w:rFonts w:cstheme="minorHAnsi"/>
              </w:rPr>
              <w:t>organisations</w:t>
            </w:r>
            <w:proofErr w:type="spellEnd"/>
            <w:r w:rsidRPr="00626C53">
              <w:rPr>
                <w:rFonts w:cstheme="minorHAnsi"/>
              </w:rPr>
              <w:t xml:space="preserve"> will fall outside this Agreement.</w:t>
            </w:r>
          </w:p>
        </w:tc>
      </w:tr>
      <w:tr w:rsidR="00574FBA" w:rsidRPr="00626C53" w14:paraId="522B0F72" w14:textId="77777777" w:rsidTr="009E040F">
        <w:tc>
          <w:tcPr>
            <w:tcW w:w="550" w:type="dxa"/>
          </w:tcPr>
          <w:p w14:paraId="2C48B305" w14:textId="77777777" w:rsidR="00574FBA" w:rsidRPr="00626C53" w:rsidRDefault="00574FBA" w:rsidP="009E040F">
            <w:pPr>
              <w:rPr>
                <w:rFonts w:cstheme="minorHAnsi"/>
                <w:b/>
              </w:rPr>
            </w:pPr>
            <w:r w:rsidRPr="00626C53">
              <w:rPr>
                <w:rFonts w:cstheme="minorHAnsi"/>
                <w:b/>
              </w:rPr>
              <w:lastRenderedPageBreak/>
              <w:t>8.</w:t>
            </w:r>
          </w:p>
        </w:tc>
        <w:tc>
          <w:tcPr>
            <w:tcW w:w="10077" w:type="dxa"/>
          </w:tcPr>
          <w:p w14:paraId="7C088FA5" w14:textId="77777777" w:rsidR="00574FBA" w:rsidRPr="00626C53" w:rsidRDefault="00574FBA" w:rsidP="009E040F">
            <w:pPr>
              <w:rPr>
                <w:rFonts w:cstheme="minorHAnsi"/>
                <w:b/>
              </w:rPr>
            </w:pPr>
            <w:r w:rsidRPr="00626C53">
              <w:rPr>
                <w:rFonts w:cstheme="minorHAnsi"/>
                <w:b/>
              </w:rPr>
              <w:t>How will the processing be facilitated?</w:t>
            </w:r>
          </w:p>
          <w:p w14:paraId="6F7B9C0F" w14:textId="77777777" w:rsidR="00574FBA" w:rsidRPr="00626C53" w:rsidRDefault="00574FBA" w:rsidP="009E040F">
            <w:pPr>
              <w:rPr>
                <w:rFonts w:cstheme="minorHAnsi"/>
                <w:b/>
              </w:rPr>
            </w:pPr>
          </w:p>
          <w:p w14:paraId="741ED3AC" w14:textId="77777777" w:rsidR="00574FBA" w:rsidRPr="00626C53" w:rsidRDefault="00574FBA" w:rsidP="009E040F">
            <w:pPr>
              <w:rPr>
                <w:rFonts w:cstheme="minorHAnsi"/>
                <w:i/>
                <w:iCs/>
              </w:rPr>
            </w:pPr>
            <w:bookmarkStart w:id="1384" w:name="_Hlk33711539"/>
            <w:r w:rsidRPr="00626C53">
              <w:rPr>
                <w:rFonts w:cstheme="minorHAnsi"/>
                <w:i/>
                <w:iCs/>
              </w:rPr>
              <w:t xml:space="preserve">Document the arrangements for processing the information </w:t>
            </w:r>
            <w:proofErr w:type="gramStart"/>
            <w:r w:rsidRPr="00626C53">
              <w:rPr>
                <w:rFonts w:cstheme="minorHAnsi"/>
                <w:i/>
                <w:iCs/>
              </w:rPr>
              <w:t>i.e.</w:t>
            </w:r>
            <w:proofErr w:type="gramEnd"/>
            <w:r w:rsidRPr="00626C53">
              <w:rPr>
                <w:rFonts w:cstheme="minorHAnsi"/>
                <w:i/>
                <w:iCs/>
              </w:rPr>
              <w:t xml:space="preserve"> who – Job title and </w:t>
            </w:r>
            <w:proofErr w:type="spellStart"/>
            <w:r w:rsidRPr="00626C53">
              <w:rPr>
                <w:rFonts w:cstheme="minorHAnsi"/>
                <w:i/>
                <w:iCs/>
              </w:rPr>
              <w:t>organisation</w:t>
            </w:r>
            <w:proofErr w:type="spellEnd"/>
            <w:r w:rsidRPr="00626C53">
              <w:rPr>
                <w:rFonts w:cstheme="minorHAnsi"/>
                <w:i/>
                <w:iCs/>
              </w:rPr>
              <w:t xml:space="preserve">, how, including: </w:t>
            </w:r>
          </w:p>
          <w:p w14:paraId="5DAB60CC" w14:textId="77777777" w:rsidR="00574FBA" w:rsidRPr="00626C53" w:rsidRDefault="00574FBA" w:rsidP="009E040F">
            <w:pPr>
              <w:rPr>
                <w:rFonts w:cstheme="minorHAnsi"/>
                <w:i/>
                <w:iCs/>
              </w:rPr>
            </w:pPr>
            <w:r w:rsidRPr="00626C53">
              <w:rPr>
                <w:rFonts w:cstheme="minorHAnsi"/>
                <w:i/>
                <w:iCs/>
              </w:rPr>
              <w:t xml:space="preserve">A.  How any data will be kept accurate and up to date – this is to ensure compliance with the GDPR principle </w:t>
            </w:r>
            <w:proofErr w:type="gramStart"/>
            <w:r w:rsidRPr="00626C53">
              <w:rPr>
                <w:rFonts w:cstheme="minorHAnsi"/>
                <w:i/>
                <w:iCs/>
              </w:rPr>
              <w:t>5(d);</w:t>
            </w:r>
            <w:proofErr w:type="gramEnd"/>
            <w:r w:rsidRPr="00626C53">
              <w:rPr>
                <w:rFonts w:cstheme="minorHAnsi"/>
                <w:i/>
                <w:iCs/>
              </w:rPr>
              <w:t xml:space="preserve"> </w:t>
            </w:r>
          </w:p>
          <w:p w14:paraId="12AD60EE" w14:textId="77777777" w:rsidR="00574FBA" w:rsidRPr="00626C53" w:rsidRDefault="00574FBA" w:rsidP="009E040F">
            <w:pPr>
              <w:rPr>
                <w:rFonts w:cstheme="minorHAnsi"/>
                <w:i/>
                <w:iCs/>
              </w:rPr>
            </w:pPr>
            <w:r w:rsidRPr="00626C53">
              <w:rPr>
                <w:rFonts w:cstheme="minorHAnsi"/>
                <w:i/>
                <w:iCs/>
              </w:rPr>
              <w:lastRenderedPageBreak/>
              <w:t>B.  Explain how the processing will ensure compliance with principle 5(f)</w:t>
            </w:r>
          </w:p>
          <w:p w14:paraId="206C56BD" w14:textId="77777777" w:rsidR="00574FBA" w:rsidRPr="00626C53" w:rsidRDefault="00574FBA" w:rsidP="009E040F">
            <w:pPr>
              <w:rPr>
                <w:rFonts w:cstheme="minorHAnsi"/>
                <w:i/>
                <w:iCs/>
              </w:rPr>
            </w:pPr>
            <w:r w:rsidRPr="00626C53">
              <w:rPr>
                <w:rFonts w:cstheme="minorHAnsi"/>
                <w:i/>
                <w:iCs/>
              </w:rPr>
              <w:t>C. Whether any information is being transferred outside the UK– this is to ensure compliance with Article 30 of the GDPR.</w:t>
            </w:r>
            <w:bookmarkEnd w:id="1384"/>
          </w:p>
          <w:p w14:paraId="7748670D" w14:textId="77777777" w:rsidR="00574FBA" w:rsidRPr="00626C53" w:rsidRDefault="00574FBA" w:rsidP="009E040F">
            <w:pPr>
              <w:rPr>
                <w:rFonts w:cstheme="minorHAnsi"/>
              </w:rPr>
            </w:pPr>
          </w:p>
          <w:p w14:paraId="2FA6481F" w14:textId="77777777" w:rsidR="00574FBA" w:rsidRPr="00626C53" w:rsidRDefault="00574FBA" w:rsidP="009E040F">
            <w:pPr>
              <w:rPr>
                <w:rFonts w:cstheme="minorHAnsi"/>
              </w:rPr>
            </w:pPr>
            <w:r w:rsidRPr="00626C53">
              <w:rPr>
                <w:rFonts w:cstheme="minorHAnsi"/>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p w14:paraId="1929A468" w14:textId="77777777" w:rsidR="00574FBA" w:rsidRPr="00626C53" w:rsidRDefault="00574FBA" w:rsidP="009E040F">
            <w:pPr>
              <w:rPr>
                <w:rFonts w:cstheme="minorHAnsi"/>
              </w:rPr>
            </w:pPr>
          </w:p>
          <w:p w14:paraId="6D94E6C5" w14:textId="77777777" w:rsidR="00574FBA" w:rsidRPr="00626C53" w:rsidRDefault="00574FBA" w:rsidP="009E040F">
            <w:pPr>
              <w:rPr>
                <w:rFonts w:cstheme="minorHAnsi"/>
              </w:rPr>
            </w:pPr>
            <w:r w:rsidRPr="00626C53">
              <w:rPr>
                <w:rFonts w:cstheme="minorHAnsi"/>
              </w:rPr>
              <w:t xml:space="preserve">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 </w:t>
            </w:r>
          </w:p>
          <w:p w14:paraId="04660E3A" w14:textId="77777777" w:rsidR="00574FBA" w:rsidRPr="00626C53" w:rsidRDefault="00574FBA" w:rsidP="009E040F">
            <w:pPr>
              <w:rPr>
                <w:rFonts w:cstheme="minorHAnsi"/>
                <w:b/>
              </w:rPr>
            </w:pPr>
          </w:p>
          <w:p w14:paraId="5A3C87E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No information will be transferred out of the UK.</w:t>
            </w:r>
          </w:p>
          <w:p w14:paraId="5F35C782" w14:textId="77777777" w:rsidR="00574FBA" w:rsidRPr="00626C53" w:rsidRDefault="00574FBA" w:rsidP="00DB7429">
            <w:pPr>
              <w:pStyle w:val="ListParagraph"/>
              <w:numPr>
                <w:ilvl w:val="0"/>
                <w:numId w:val="34"/>
              </w:numPr>
              <w:spacing w:after="0" w:line="240" w:lineRule="auto"/>
              <w:rPr>
                <w:rFonts w:cstheme="minorHAnsi"/>
              </w:rPr>
            </w:pPr>
            <w:r w:rsidRPr="00626C53">
              <w:rPr>
                <w:rFonts w:cstheme="minorHAnsi"/>
              </w:rPr>
              <w:t xml:space="preserve">Data Providers will be notified in advance of collection requirements and of any change in frequency or dates of collection. </w:t>
            </w:r>
          </w:p>
          <w:p w14:paraId="2D33C156"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is tracked and managed through source control. </w:t>
            </w:r>
          </w:p>
          <w:p w14:paraId="358CC4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All code changes are subject to automated unit testing. </w:t>
            </w:r>
          </w:p>
          <w:p w14:paraId="74586EAC" w14:textId="77777777" w:rsidR="00574FBA" w:rsidRPr="00626C53" w:rsidRDefault="00574FBA" w:rsidP="00DB7429">
            <w:pPr>
              <w:pStyle w:val="CommentText"/>
              <w:numPr>
                <w:ilvl w:val="0"/>
                <w:numId w:val="41"/>
              </w:numPr>
              <w:spacing w:after="0" w:line="240" w:lineRule="auto"/>
              <w:rPr>
                <w:rFonts w:cstheme="minorHAnsi"/>
                <w:szCs w:val="22"/>
              </w:rPr>
            </w:pPr>
            <w:r w:rsidRPr="00626C53">
              <w:rPr>
                <w:rFonts w:eastAsia="Times New Roman" w:cstheme="minorHAnsi"/>
                <w:szCs w:val="22"/>
              </w:rPr>
              <w:t xml:space="preserve">All major changes are </w:t>
            </w:r>
            <w:proofErr w:type="gramStart"/>
            <w:r w:rsidRPr="00626C53">
              <w:rPr>
                <w:rFonts w:eastAsia="Times New Roman" w:cstheme="minorHAnsi"/>
                <w:szCs w:val="22"/>
              </w:rPr>
              <w:t>verified</w:t>
            </w:r>
            <w:proofErr w:type="gramEnd"/>
            <w:r w:rsidRPr="00626C53">
              <w:rPr>
                <w:rFonts w:eastAsia="Times New Roman" w:cstheme="minorHAnsi"/>
                <w:szCs w:val="22"/>
              </w:rPr>
              <w:t xml:space="preserve"> and quality checked by HEE users prior to release.</w:t>
            </w:r>
          </w:p>
          <w:p w14:paraId="7F9ABDF5" w14:textId="77777777" w:rsidR="00574FBA" w:rsidRPr="00626C53" w:rsidRDefault="00574FBA" w:rsidP="00DB7429">
            <w:pPr>
              <w:pStyle w:val="CommentText"/>
              <w:numPr>
                <w:ilvl w:val="0"/>
                <w:numId w:val="40"/>
              </w:numPr>
              <w:spacing w:after="0" w:line="240" w:lineRule="auto"/>
              <w:rPr>
                <w:rFonts w:eastAsia="Times New Roman" w:cstheme="minorHAnsi"/>
                <w:szCs w:val="22"/>
              </w:rPr>
            </w:pPr>
            <w:r w:rsidRPr="00626C53">
              <w:rPr>
                <w:rFonts w:eastAsia="Times New Roman" w:cstheme="minorHAnsi"/>
                <w:szCs w:val="22"/>
              </w:rPr>
              <w:t xml:space="preserve">The applications used </w:t>
            </w:r>
            <w:proofErr w:type="spellStart"/>
            <w:r w:rsidRPr="00626C53">
              <w:rPr>
                <w:rFonts w:eastAsia="Times New Roman" w:cstheme="minorHAnsi"/>
                <w:szCs w:val="22"/>
              </w:rPr>
              <w:t>utilise</w:t>
            </w:r>
            <w:proofErr w:type="spellEnd"/>
            <w:r w:rsidRPr="00626C53">
              <w:rPr>
                <w:rFonts w:eastAsia="Times New Roman" w:cstheme="minorHAnsi"/>
                <w:szCs w:val="22"/>
              </w:rPr>
              <w:t xml:space="preserve"> role-based features to determine the areas of the application a user can see. HEE system administrators allocate access via the application based on the role of the end user.</w:t>
            </w:r>
          </w:p>
          <w:p w14:paraId="6E765B69"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An </w:t>
            </w:r>
            <w:proofErr w:type="spellStart"/>
            <w:r w:rsidRPr="00626C53">
              <w:rPr>
                <w:rFonts w:eastAsia="Times New Roman" w:cstheme="minorHAnsi"/>
              </w:rPr>
              <w:t>organisation</w:t>
            </w:r>
            <w:proofErr w:type="spellEnd"/>
            <w:r w:rsidRPr="00626C53">
              <w:rPr>
                <w:rFonts w:eastAsia="Times New Roman" w:cstheme="minorHAnsi"/>
              </w:rPr>
              <w:t xml:space="preserve"> (non-HEE) user can only see features and data to which they have been explicitly assigned.  For instance, a user from </w:t>
            </w:r>
            <w:proofErr w:type="spellStart"/>
            <w:r w:rsidRPr="00626C53">
              <w:rPr>
                <w:rFonts w:eastAsia="Times New Roman" w:cstheme="minorHAnsi"/>
              </w:rPr>
              <w:t>Organisation</w:t>
            </w:r>
            <w:proofErr w:type="spellEnd"/>
            <w:r w:rsidRPr="00626C53">
              <w:rPr>
                <w:rFonts w:eastAsia="Times New Roman" w:cstheme="minorHAnsi"/>
              </w:rPr>
              <w:t xml:space="preserve"> A cannot view, edit, </w:t>
            </w:r>
            <w:proofErr w:type="gramStart"/>
            <w:r w:rsidRPr="00626C53">
              <w:rPr>
                <w:rFonts w:eastAsia="Times New Roman" w:cstheme="minorHAnsi"/>
              </w:rPr>
              <w:t>report</w:t>
            </w:r>
            <w:proofErr w:type="gramEnd"/>
            <w:r w:rsidRPr="00626C53">
              <w:rPr>
                <w:rFonts w:eastAsia="Times New Roman" w:cstheme="minorHAnsi"/>
              </w:rPr>
              <w:t xml:space="preserve"> or navigate to </w:t>
            </w:r>
            <w:proofErr w:type="spellStart"/>
            <w:r w:rsidRPr="00626C53">
              <w:rPr>
                <w:rFonts w:eastAsia="Times New Roman" w:cstheme="minorHAnsi"/>
              </w:rPr>
              <w:t>Organisation</w:t>
            </w:r>
            <w:proofErr w:type="spellEnd"/>
            <w:r w:rsidRPr="00626C53">
              <w:rPr>
                <w:rFonts w:eastAsia="Times New Roman" w:cstheme="minorHAnsi"/>
              </w:rPr>
              <w:t xml:space="preserve"> B, unless they are required to validate data provided by that other </w:t>
            </w:r>
            <w:proofErr w:type="spellStart"/>
            <w:r w:rsidRPr="00626C53">
              <w:rPr>
                <w:rFonts w:eastAsia="Times New Roman" w:cstheme="minorHAnsi"/>
              </w:rPr>
              <w:t>organisation</w:t>
            </w:r>
            <w:proofErr w:type="spellEnd"/>
            <w:r w:rsidRPr="00626C53">
              <w:rPr>
                <w:rFonts w:eastAsia="Times New Roman" w:cstheme="minorHAnsi"/>
              </w:rPr>
              <w:t>.</w:t>
            </w:r>
          </w:p>
          <w:p w14:paraId="4D9DAB47"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 xml:space="preserve">Administrative and back-office staff can only view the </w:t>
            </w:r>
            <w:proofErr w:type="spellStart"/>
            <w:r w:rsidRPr="00626C53">
              <w:rPr>
                <w:rFonts w:eastAsia="Times New Roman" w:cstheme="minorHAnsi"/>
              </w:rPr>
              <w:t>organisations</w:t>
            </w:r>
            <w:proofErr w:type="spellEnd"/>
            <w:r w:rsidRPr="00626C53">
              <w:rPr>
                <w:rFonts w:eastAsia="Times New Roman" w:cstheme="minorHAnsi"/>
              </w:rPr>
              <w:t xml:space="preserve"> (or groups of </w:t>
            </w:r>
            <w:proofErr w:type="spellStart"/>
            <w:r w:rsidRPr="00626C53">
              <w:rPr>
                <w:rFonts w:eastAsia="Times New Roman" w:cstheme="minorHAnsi"/>
              </w:rPr>
              <w:t>organisations</w:t>
            </w:r>
            <w:proofErr w:type="spellEnd"/>
            <w:r w:rsidRPr="00626C53">
              <w:rPr>
                <w:rFonts w:eastAsia="Times New Roman" w:cstheme="minorHAnsi"/>
              </w:rPr>
              <w:t xml:space="preserve">) to which they have been assigned.  For instance, users within regional offices can only view and report on the </w:t>
            </w:r>
            <w:proofErr w:type="spellStart"/>
            <w:r w:rsidRPr="00626C53">
              <w:rPr>
                <w:rFonts w:eastAsia="Times New Roman" w:cstheme="minorHAnsi"/>
              </w:rPr>
              <w:t>organisations</w:t>
            </w:r>
            <w:proofErr w:type="spellEnd"/>
            <w:r w:rsidRPr="00626C53">
              <w:rPr>
                <w:rFonts w:eastAsia="Times New Roman" w:cstheme="minorHAnsi"/>
              </w:rPr>
              <w:t xml:space="preserve"> within or managed by their assigned region(s).</w:t>
            </w:r>
          </w:p>
          <w:p w14:paraId="34C09E6E" w14:textId="77777777" w:rsidR="00574FBA" w:rsidRPr="00626C53" w:rsidRDefault="00574FBA" w:rsidP="00DB7429">
            <w:pPr>
              <w:pStyle w:val="ListParagraph"/>
              <w:numPr>
                <w:ilvl w:val="0"/>
                <w:numId w:val="34"/>
              </w:numPr>
              <w:spacing w:after="0" w:line="240" w:lineRule="auto"/>
              <w:contextualSpacing w:val="0"/>
              <w:rPr>
                <w:rFonts w:eastAsia="Times New Roman" w:cstheme="minorHAnsi"/>
              </w:rPr>
            </w:pPr>
            <w:r w:rsidRPr="00626C53">
              <w:rPr>
                <w:rFonts w:eastAsia="Times New Roman" w:cstheme="minorHAnsi"/>
              </w:rPr>
              <w:t>The functionality of data collection platforms has been appropriately piloted and tested with a range of Education and Placement Providers/ employers.</w:t>
            </w:r>
          </w:p>
          <w:p w14:paraId="5C8AC16B" w14:textId="77777777" w:rsidR="00574FBA" w:rsidRPr="00626C53" w:rsidRDefault="00574FBA" w:rsidP="00DB7429">
            <w:pPr>
              <w:pStyle w:val="ListParagraph"/>
              <w:numPr>
                <w:ilvl w:val="0"/>
                <w:numId w:val="34"/>
              </w:numPr>
              <w:spacing w:after="0" w:line="240" w:lineRule="auto"/>
              <w:contextualSpacing w:val="0"/>
              <w:rPr>
                <w:rFonts w:cstheme="minorHAnsi"/>
              </w:rPr>
            </w:pPr>
            <w:r w:rsidRPr="00626C53">
              <w:rPr>
                <w:rFonts w:eastAsia="Times New Roman" w:cstheme="minorHAnsi"/>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574FBA" w:rsidRPr="00626C53" w14:paraId="53DD2994" w14:textId="77777777" w:rsidTr="009E040F">
        <w:tc>
          <w:tcPr>
            <w:tcW w:w="550" w:type="dxa"/>
          </w:tcPr>
          <w:p w14:paraId="58FC5FA1" w14:textId="77777777" w:rsidR="00574FBA" w:rsidRPr="00626C53" w:rsidRDefault="00574FBA" w:rsidP="009E040F">
            <w:pPr>
              <w:rPr>
                <w:rFonts w:cstheme="minorHAnsi"/>
                <w:b/>
              </w:rPr>
            </w:pPr>
            <w:r w:rsidRPr="00626C53">
              <w:rPr>
                <w:rFonts w:cstheme="minorHAnsi"/>
                <w:b/>
              </w:rPr>
              <w:lastRenderedPageBreak/>
              <w:t>9.</w:t>
            </w:r>
          </w:p>
        </w:tc>
        <w:tc>
          <w:tcPr>
            <w:tcW w:w="10077" w:type="dxa"/>
          </w:tcPr>
          <w:p w14:paraId="64ED8DCF" w14:textId="77777777" w:rsidR="00574FBA" w:rsidRPr="00626C53" w:rsidRDefault="00574FBA" w:rsidP="009E040F">
            <w:pPr>
              <w:rPr>
                <w:rFonts w:cstheme="minorHAnsi"/>
                <w:b/>
                <w:bCs/>
              </w:rPr>
            </w:pPr>
            <w:r w:rsidRPr="00626C53">
              <w:rPr>
                <w:rFonts w:cstheme="minorHAnsi"/>
                <w:b/>
                <w:bCs/>
              </w:rPr>
              <w:t>Specify the procedures for dealing with information rights requests (including FOIs or SARs), or complaints or queries, from members of the public</w:t>
            </w:r>
          </w:p>
          <w:p w14:paraId="086634BD" w14:textId="77777777" w:rsidR="00574FBA" w:rsidRPr="00626C53" w:rsidRDefault="00574FBA" w:rsidP="009E040F">
            <w:pPr>
              <w:rPr>
                <w:rFonts w:cstheme="minorHAnsi"/>
              </w:rPr>
            </w:pPr>
          </w:p>
          <w:p w14:paraId="5401F7C6" w14:textId="77777777" w:rsidR="00574FBA" w:rsidRPr="00626C53" w:rsidRDefault="00574FBA" w:rsidP="009E040F">
            <w:pPr>
              <w:rPr>
                <w:rFonts w:cstheme="minorHAnsi"/>
                <w:i/>
                <w:iCs/>
              </w:rPr>
            </w:pPr>
            <w:r w:rsidRPr="00626C53">
              <w:rPr>
                <w:rFonts w:cstheme="minorHAnsi"/>
                <w:i/>
                <w:iCs/>
              </w:rPr>
              <w:t>This is to ensure compliance with the GDPR article 15.</w:t>
            </w:r>
          </w:p>
          <w:p w14:paraId="6A8B3AD9" w14:textId="77777777" w:rsidR="00574FBA" w:rsidRPr="00626C53" w:rsidRDefault="00574FBA" w:rsidP="009E040F">
            <w:pPr>
              <w:rPr>
                <w:rFonts w:cstheme="minorHAnsi"/>
              </w:rPr>
            </w:pPr>
          </w:p>
          <w:p w14:paraId="7A5D8174" w14:textId="77777777" w:rsidR="00574FBA" w:rsidRPr="00626C53" w:rsidRDefault="00574FBA" w:rsidP="009E040F">
            <w:pPr>
              <w:rPr>
                <w:rFonts w:cstheme="minorHAnsi"/>
              </w:rPr>
            </w:pPr>
            <w:r w:rsidRPr="00626C53">
              <w:rPr>
                <w:rFonts w:cstheme="minorHAnsi"/>
              </w:rPr>
              <w:t xml:space="preserve">In respect of HEE, information rights requests relating to datasets should be directed to </w:t>
            </w:r>
            <w:hyperlink r:id="rId121" w:history="1">
              <w:r w:rsidRPr="00626C53">
                <w:rPr>
                  <w:rStyle w:val="Hyperlink"/>
                  <w:rFonts w:asciiTheme="minorHAnsi" w:hAnsiTheme="minorHAnsi" w:cstheme="minorHAnsi"/>
                </w:rPr>
                <w:t>dpa@hee.nhs.uk</w:t>
              </w:r>
            </w:hyperlink>
            <w:r w:rsidRPr="00626C53">
              <w:rPr>
                <w:rFonts w:cstheme="minorHAnsi"/>
              </w:rPr>
              <w:t xml:space="preserve">.  Freedom Of Information (FOI) requests should be directed to </w:t>
            </w:r>
            <w:hyperlink r:id="rId122" w:history="1">
              <w:r w:rsidRPr="00626C53">
                <w:rPr>
                  <w:rStyle w:val="Hyperlink"/>
                  <w:rFonts w:asciiTheme="minorHAnsi" w:hAnsiTheme="minorHAnsi" w:cstheme="minorHAnsi"/>
                </w:rPr>
                <w:t>foia@hee.nhs.uk</w:t>
              </w:r>
            </w:hyperlink>
            <w:r w:rsidRPr="00626C53">
              <w:rPr>
                <w:rFonts w:cstheme="minorHAnsi"/>
              </w:rPr>
              <w:t xml:space="preserve">. </w:t>
            </w:r>
          </w:p>
          <w:p w14:paraId="703C2B2F" w14:textId="77777777" w:rsidR="00574FBA" w:rsidRPr="00626C53" w:rsidRDefault="00574FBA" w:rsidP="009E040F">
            <w:pPr>
              <w:rPr>
                <w:rFonts w:cstheme="minorHAnsi"/>
              </w:rPr>
            </w:pPr>
          </w:p>
          <w:p w14:paraId="4F51A794" w14:textId="77777777" w:rsidR="00574FBA" w:rsidRPr="00626C53" w:rsidRDefault="00574FBA" w:rsidP="009E040F">
            <w:pPr>
              <w:rPr>
                <w:rFonts w:cstheme="minorHAnsi"/>
              </w:rPr>
            </w:pPr>
            <w:r w:rsidRPr="00626C53">
              <w:rPr>
                <w:rFonts w:cstheme="minorHAnsi"/>
              </w:rPr>
              <w:t xml:space="preserve">Other data subject rights referenced in the GDPR articles 12 through to 23 should be sent via email request to </w:t>
            </w:r>
            <w:hyperlink r:id="rId123" w:history="1">
              <w:r w:rsidRPr="00626C53">
                <w:rPr>
                  <w:rStyle w:val="Hyperlink"/>
                  <w:rFonts w:asciiTheme="minorHAnsi" w:hAnsiTheme="minorHAnsi" w:cstheme="minorHAnsi"/>
                </w:rPr>
                <w:t>dataservice@hee.nhs.uk</w:t>
              </w:r>
            </w:hyperlink>
            <w:r w:rsidRPr="00626C53">
              <w:rPr>
                <w:rFonts w:cstheme="minorHAnsi"/>
              </w:rPr>
              <w:t xml:space="preserve"> </w:t>
            </w:r>
          </w:p>
          <w:p w14:paraId="0A96BC33" w14:textId="77777777" w:rsidR="00574FBA" w:rsidRPr="00626C53" w:rsidRDefault="00574FBA" w:rsidP="009E040F">
            <w:pPr>
              <w:rPr>
                <w:rFonts w:cstheme="minorHAnsi"/>
              </w:rPr>
            </w:pPr>
          </w:p>
          <w:p w14:paraId="53BEA56D" w14:textId="77777777" w:rsidR="00574FBA" w:rsidRPr="00626C53" w:rsidRDefault="00574FBA" w:rsidP="009E040F">
            <w:pPr>
              <w:rPr>
                <w:rFonts w:cstheme="minorHAnsi"/>
              </w:rPr>
            </w:pPr>
            <w:r w:rsidRPr="00626C53">
              <w:rPr>
                <w:rFonts w:cstheme="minorHAnsi"/>
              </w:rPr>
              <w:t xml:space="preserve">In respect of the parties to this agreement, those </w:t>
            </w:r>
            <w:proofErr w:type="spellStart"/>
            <w:r w:rsidRPr="00626C53">
              <w:rPr>
                <w:rFonts w:cstheme="minorHAnsi"/>
              </w:rPr>
              <w:t>organisations</w:t>
            </w:r>
            <w:proofErr w:type="spellEnd"/>
            <w:r w:rsidRPr="00626C53">
              <w:rPr>
                <w:rFonts w:cstheme="minorHAnsi"/>
              </w:rPr>
              <w:t xml:space="preserve"> receiving such requests will process them in accordance with their own procedures and in line with the GDPR article 15. </w:t>
            </w:r>
          </w:p>
        </w:tc>
      </w:tr>
      <w:tr w:rsidR="00574FBA" w:rsidRPr="00626C53" w14:paraId="658ECF36" w14:textId="77777777" w:rsidTr="009E040F">
        <w:tc>
          <w:tcPr>
            <w:tcW w:w="550" w:type="dxa"/>
          </w:tcPr>
          <w:p w14:paraId="6690EA94" w14:textId="77777777" w:rsidR="00574FBA" w:rsidRPr="00626C53" w:rsidRDefault="00574FBA" w:rsidP="009E040F">
            <w:pPr>
              <w:rPr>
                <w:rFonts w:cstheme="minorHAnsi"/>
                <w:b/>
              </w:rPr>
            </w:pPr>
            <w:r w:rsidRPr="00626C53">
              <w:rPr>
                <w:rFonts w:cstheme="minorHAnsi"/>
                <w:b/>
              </w:rPr>
              <w:lastRenderedPageBreak/>
              <w:t>10.</w:t>
            </w:r>
          </w:p>
        </w:tc>
        <w:tc>
          <w:tcPr>
            <w:tcW w:w="10077" w:type="dxa"/>
          </w:tcPr>
          <w:p w14:paraId="60842B78" w14:textId="77777777" w:rsidR="00574FBA" w:rsidRPr="00626C53" w:rsidRDefault="00574FBA" w:rsidP="009E040F">
            <w:pPr>
              <w:rPr>
                <w:rFonts w:cstheme="minorHAnsi"/>
                <w:b/>
              </w:rPr>
            </w:pPr>
            <w:r w:rsidRPr="00626C53">
              <w:rPr>
                <w:rFonts w:cstheme="minorHAnsi"/>
                <w:b/>
              </w:rPr>
              <w:t xml:space="preserve">Specify the retention period for the information to be shared </w:t>
            </w:r>
          </w:p>
          <w:p w14:paraId="49849686" w14:textId="77777777" w:rsidR="00574FBA" w:rsidRPr="00626C53" w:rsidRDefault="00574FBA" w:rsidP="009E040F">
            <w:pPr>
              <w:rPr>
                <w:rFonts w:cstheme="minorHAnsi"/>
              </w:rPr>
            </w:pPr>
          </w:p>
          <w:p w14:paraId="7E8F7D26" w14:textId="77777777" w:rsidR="00574FBA" w:rsidRPr="00626C53" w:rsidRDefault="00574FBA" w:rsidP="009E040F">
            <w:pPr>
              <w:rPr>
                <w:rFonts w:cstheme="minorHAnsi"/>
                <w:i/>
                <w:iCs/>
              </w:rPr>
            </w:pPr>
            <w:r w:rsidRPr="00626C53">
              <w:rPr>
                <w:rFonts w:cstheme="minorHAnsi"/>
                <w:i/>
                <w:iCs/>
              </w:rPr>
              <w:t>This is to ensure compliance with the GDPR principle 5(e). Insert the specific retention period.  Include the rationale/business need – specify any arrangements to be invoked if the receiving party perceives a need to retain the information for longer:</w:t>
            </w:r>
          </w:p>
          <w:p w14:paraId="61C11F47" w14:textId="77777777" w:rsidR="00574FBA" w:rsidRPr="00626C53" w:rsidRDefault="00574FBA" w:rsidP="009E040F">
            <w:pPr>
              <w:pStyle w:val="NoSpacing"/>
              <w:rPr>
                <w:rFonts w:cstheme="minorHAnsi"/>
              </w:rPr>
            </w:pPr>
          </w:p>
          <w:p w14:paraId="48D9C607" w14:textId="77777777" w:rsidR="00574FBA" w:rsidRPr="00626C53" w:rsidRDefault="00574FBA" w:rsidP="00DB7429">
            <w:pPr>
              <w:pStyle w:val="NoSpacing"/>
              <w:numPr>
                <w:ilvl w:val="0"/>
                <w:numId w:val="35"/>
              </w:numPr>
              <w:rPr>
                <w:rFonts w:cstheme="minorHAnsi"/>
                <w:lang w:val="en-GB" w:eastAsia="en-US"/>
              </w:rPr>
            </w:pPr>
            <w:r w:rsidRPr="00626C53">
              <w:rPr>
                <w:rFonts w:cstheme="minorHAnsi"/>
                <w:lang w:val="en-GB" w:eastAsia="en-US"/>
              </w:rPr>
              <w:t xml:space="preserve">Personal data relating to clinical and non-clinical Learners will be retained for a maximum of 6 years from receipt of data in line with finance retention periods and to enable Learner data to be processed for the duration of their training. </w:t>
            </w:r>
          </w:p>
        </w:tc>
      </w:tr>
      <w:tr w:rsidR="00574FBA" w:rsidRPr="00626C53" w14:paraId="0A0B607F" w14:textId="77777777" w:rsidTr="009E040F">
        <w:tc>
          <w:tcPr>
            <w:tcW w:w="550" w:type="dxa"/>
          </w:tcPr>
          <w:p w14:paraId="32B02E33" w14:textId="77777777" w:rsidR="00574FBA" w:rsidRPr="00626C53" w:rsidRDefault="00574FBA" w:rsidP="009E040F">
            <w:pPr>
              <w:rPr>
                <w:rFonts w:cstheme="minorHAnsi"/>
                <w:b/>
              </w:rPr>
            </w:pPr>
            <w:r w:rsidRPr="00626C53">
              <w:rPr>
                <w:rFonts w:cstheme="minorHAnsi"/>
                <w:b/>
              </w:rPr>
              <w:t>11.</w:t>
            </w:r>
          </w:p>
        </w:tc>
        <w:tc>
          <w:tcPr>
            <w:tcW w:w="10077" w:type="dxa"/>
          </w:tcPr>
          <w:p w14:paraId="2BE91D5D" w14:textId="77777777" w:rsidR="00574FBA" w:rsidRPr="00626C53" w:rsidRDefault="00574FBA" w:rsidP="009E040F">
            <w:pPr>
              <w:rPr>
                <w:rFonts w:cstheme="minorHAnsi"/>
                <w:b/>
              </w:rPr>
            </w:pPr>
            <w:r w:rsidRPr="00626C53">
              <w:rPr>
                <w:rFonts w:cstheme="minorHAnsi"/>
                <w:b/>
              </w:rPr>
              <w:t>Specify the process for deleting/returning/safely destroying the information when it is no longer required (this should include provision for notification of such deletion/destruction)</w:t>
            </w:r>
          </w:p>
          <w:p w14:paraId="29185386" w14:textId="77777777" w:rsidR="00574FBA" w:rsidRPr="00626C53" w:rsidRDefault="00574FBA" w:rsidP="009E040F">
            <w:pPr>
              <w:rPr>
                <w:rFonts w:cstheme="minorHAnsi"/>
                <w:b/>
              </w:rPr>
            </w:pPr>
          </w:p>
          <w:p w14:paraId="2549143F" w14:textId="77777777" w:rsidR="00574FBA" w:rsidRPr="00626C53" w:rsidRDefault="00574FBA" w:rsidP="009E040F">
            <w:pPr>
              <w:rPr>
                <w:rFonts w:cstheme="minorHAnsi"/>
                <w:i/>
                <w:iCs/>
              </w:rPr>
            </w:pPr>
            <w:r w:rsidRPr="00626C53">
              <w:rPr>
                <w:rFonts w:cstheme="minorHAnsi"/>
                <w:i/>
                <w:iCs/>
              </w:rPr>
              <w:t xml:space="preserve">This is to ensure compliance with the GDPR principles 5(e) and (f). </w:t>
            </w:r>
          </w:p>
          <w:p w14:paraId="7F9A832F" w14:textId="77777777" w:rsidR="00574FBA" w:rsidRPr="00626C53" w:rsidRDefault="00574FBA" w:rsidP="009E040F">
            <w:pPr>
              <w:rPr>
                <w:rFonts w:cstheme="minorHAnsi"/>
                <w:b/>
              </w:rPr>
            </w:pPr>
          </w:p>
          <w:p w14:paraId="65A79B28" w14:textId="77777777" w:rsidR="00574FBA" w:rsidRPr="00626C53" w:rsidRDefault="00574FBA" w:rsidP="00DB7429">
            <w:pPr>
              <w:pStyle w:val="ListParagraph"/>
              <w:numPr>
                <w:ilvl w:val="0"/>
                <w:numId w:val="33"/>
              </w:numPr>
              <w:spacing w:after="0" w:line="240" w:lineRule="auto"/>
              <w:rPr>
                <w:rFonts w:cstheme="minorHAnsi"/>
              </w:rPr>
            </w:pPr>
            <w:r w:rsidRPr="00626C53">
              <w:rPr>
                <w:rFonts w:cstheme="minorHAnsi"/>
              </w:rPr>
              <w:t>Secure files shall be deleted by HEE at the end of the retention period.</w:t>
            </w:r>
          </w:p>
          <w:p w14:paraId="69F83BC0"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All data and application services are run with Azure service plans under HEE’s management.  </w:t>
            </w:r>
          </w:p>
          <w:p w14:paraId="73191601"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Data is currently retained within applications to provide a user with a full history of their activity.</w:t>
            </w:r>
          </w:p>
          <w:p w14:paraId="246E1BBA" w14:textId="77777777" w:rsidR="00574FBA" w:rsidRPr="00626C53" w:rsidRDefault="00574FBA" w:rsidP="00DB7429">
            <w:pPr>
              <w:pStyle w:val="ListParagraph"/>
              <w:numPr>
                <w:ilvl w:val="0"/>
                <w:numId w:val="33"/>
              </w:numPr>
              <w:spacing w:after="0" w:line="240" w:lineRule="auto"/>
              <w:contextualSpacing w:val="0"/>
              <w:rPr>
                <w:rFonts w:eastAsia="Times New Roman" w:cstheme="minorHAnsi"/>
              </w:rPr>
            </w:pPr>
            <w:r w:rsidRPr="00626C53">
              <w:rPr>
                <w:rFonts w:eastAsia="Times New Roman" w:cstheme="minorHAnsi"/>
              </w:rPr>
              <w:t xml:space="preserve">If the contract is terminated, HEE will assist in the deletion of all existing data, subject to any final reporting and data extractions from the data owners/stakeholder (as per HEE’s policies). </w:t>
            </w:r>
          </w:p>
          <w:p w14:paraId="2F2A6FAF" w14:textId="77777777" w:rsidR="00574FBA" w:rsidRPr="00626C53" w:rsidRDefault="00574FBA" w:rsidP="00DB7429">
            <w:pPr>
              <w:pStyle w:val="ListParagraph"/>
              <w:numPr>
                <w:ilvl w:val="0"/>
                <w:numId w:val="33"/>
              </w:numPr>
              <w:spacing w:after="0" w:line="240" w:lineRule="auto"/>
              <w:rPr>
                <w:rFonts w:cstheme="minorHAnsi"/>
              </w:rPr>
            </w:pPr>
            <w:r w:rsidRPr="00626C53">
              <w:rPr>
                <w:rFonts w:eastAsia="Times New Roman" w:cstheme="minorHAnsi"/>
              </w:rPr>
              <w:t>The data is subject to all backup and replication under HEE management.  Final deletion of associated backups should be carried out here.</w:t>
            </w:r>
          </w:p>
        </w:tc>
      </w:tr>
      <w:tr w:rsidR="00574FBA" w:rsidRPr="00626C53" w14:paraId="61395996" w14:textId="77777777" w:rsidTr="009E040F">
        <w:tc>
          <w:tcPr>
            <w:tcW w:w="550" w:type="dxa"/>
          </w:tcPr>
          <w:p w14:paraId="7181AC65" w14:textId="77777777" w:rsidR="00574FBA" w:rsidRPr="00626C53" w:rsidRDefault="00574FBA" w:rsidP="009E040F">
            <w:pPr>
              <w:rPr>
                <w:rFonts w:cstheme="minorHAnsi"/>
                <w:b/>
              </w:rPr>
            </w:pPr>
            <w:r w:rsidRPr="00626C53">
              <w:rPr>
                <w:rFonts w:cstheme="minorHAnsi"/>
                <w:b/>
              </w:rPr>
              <w:t>12.</w:t>
            </w:r>
          </w:p>
        </w:tc>
        <w:tc>
          <w:tcPr>
            <w:tcW w:w="10077" w:type="dxa"/>
          </w:tcPr>
          <w:p w14:paraId="16BF8ABE" w14:textId="77777777" w:rsidR="00574FBA" w:rsidRPr="00626C53" w:rsidRDefault="00574FBA" w:rsidP="009E040F">
            <w:pPr>
              <w:rPr>
                <w:rFonts w:cstheme="minorHAnsi"/>
                <w:b/>
              </w:rPr>
            </w:pPr>
            <w:r w:rsidRPr="00626C53">
              <w:rPr>
                <w:rFonts w:cstheme="minorHAnsi"/>
                <w:b/>
              </w:rPr>
              <w:t>Specify any obligations on all parties to the agreement</w:t>
            </w:r>
          </w:p>
          <w:p w14:paraId="4D3A4BCD" w14:textId="77777777" w:rsidR="00574FBA" w:rsidRPr="00626C53" w:rsidRDefault="00574FBA" w:rsidP="009E040F">
            <w:pPr>
              <w:rPr>
                <w:rFonts w:cstheme="minorHAnsi"/>
                <w:b/>
              </w:rPr>
            </w:pPr>
          </w:p>
          <w:p w14:paraId="507ADAD4" w14:textId="77777777" w:rsidR="00574FBA" w:rsidRPr="00626C53" w:rsidRDefault="00574FBA" w:rsidP="009E040F">
            <w:pPr>
              <w:rPr>
                <w:rFonts w:cstheme="minorHAnsi"/>
                <w:i/>
                <w:iCs/>
              </w:rPr>
            </w:pPr>
            <w:r w:rsidRPr="00626C53">
              <w:rPr>
                <w:rFonts w:cstheme="minorHAnsi"/>
                <w:b/>
                <w:i/>
                <w:iCs/>
              </w:rPr>
              <w:t>NB</w:t>
            </w:r>
            <w:r w:rsidRPr="00626C53">
              <w:rPr>
                <w:rFonts w:cstheme="minorHAnsi"/>
                <w:i/>
                <w:iCs/>
              </w:rPr>
              <w:t xml:space="preserve">: some obligations will be applicable to all parties but where a specific </w:t>
            </w:r>
            <w:proofErr w:type="spellStart"/>
            <w:r w:rsidRPr="00626C53">
              <w:rPr>
                <w:rFonts w:cstheme="minorHAnsi"/>
                <w:i/>
                <w:iCs/>
              </w:rPr>
              <w:t>organisation</w:t>
            </w:r>
            <w:proofErr w:type="spellEnd"/>
            <w:r w:rsidRPr="00626C53">
              <w:rPr>
                <w:rFonts w:cstheme="minorHAnsi"/>
                <w:i/>
                <w:iCs/>
              </w:rPr>
              <w:t xml:space="preserve">(s) has a particular task </w:t>
            </w:r>
            <w:proofErr w:type="gramStart"/>
            <w:r w:rsidRPr="00626C53">
              <w:rPr>
                <w:rFonts w:cstheme="minorHAnsi"/>
                <w:i/>
                <w:iCs/>
              </w:rPr>
              <w:t>e.g.</w:t>
            </w:r>
            <w:proofErr w:type="gramEnd"/>
            <w:r w:rsidRPr="00626C53">
              <w:rPr>
                <w:rFonts w:cstheme="minorHAnsi"/>
                <w:i/>
                <w:iCs/>
              </w:rPr>
              <w:t xml:space="preserve"> system security, reporting, this needs to be set out in section12.  Ensure that, where a contract exists, these obligations do not conflict with it – amend the obligations as necessary.  If it is agreed that a particular party will take responsibility for any </w:t>
            </w:r>
            <w:proofErr w:type="gramStart"/>
            <w:r w:rsidRPr="00626C53">
              <w:rPr>
                <w:rFonts w:cstheme="minorHAnsi"/>
                <w:i/>
                <w:iCs/>
              </w:rPr>
              <w:t>particular obligation</w:t>
            </w:r>
            <w:proofErr w:type="gramEnd"/>
            <w:r w:rsidRPr="00626C53">
              <w:rPr>
                <w:rFonts w:cstheme="minorHAnsi"/>
                <w:i/>
                <w:iCs/>
              </w:rPr>
              <w:t xml:space="preserve"> it should be moved to section 13.</w:t>
            </w:r>
          </w:p>
          <w:p w14:paraId="1429CB50" w14:textId="77777777" w:rsidR="00574FBA" w:rsidRPr="00626C53" w:rsidRDefault="00574FBA" w:rsidP="009E040F">
            <w:pPr>
              <w:rPr>
                <w:rFonts w:cstheme="minorHAnsi"/>
              </w:rPr>
            </w:pPr>
          </w:p>
          <w:p w14:paraId="22697CCD" w14:textId="77777777" w:rsidR="00574FBA" w:rsidRPr="00626C53" w:rsidRDefault="00574FBA" w:rsidP="009E040F">
            <w:pPr>
              <w:rPr>
                <w:rFonts w:cstheme="minorHAnsi"/>
              </w:rPr>
            </w:pPr>
            <w:r w:rsidRPr="00626C53">
              <w:rPr>
                <w:rFonts w:cstheme="minorHAnsi"/>
              </w:rPr>
              <w:t xml:space="preserve">Each </w:t>
            </w:r>
            <w:proofErr w:type="spellStart"/>
            <w:r w:rsidRPr="00626C53">
              <w:rPr>
                <w:rFonts w:cstheme="minorHAnsi"/>
              </w:rPr>
              <w:t>organisation</w:t>
            </w:r>
            <w:proofErr w:type="spellEnd"/>
            <w:r w:rsidRPr="00626C53">
              <w:rPr>
                <w:rFonts w:cstheme="minorHAnsi"/>
              </w:rPr>
              <w:t xml:space="preserve"> signed up to this Agreement will:</w:t>
            </w:r>
          </w:p>
          <w:p w14:paraId="43E59BEA" w14:textId="77777777" w:rsidR="00574FBA" w:rsidRPr="00626C53" w:rsidRDefault="00574FBA" w:rsidP="009E040F">
            <w:pPr>
              <w:rPr>
                <w:rFonts w:cstheme="minorHAnsi"/>
              </w:rPr>
            </w:pPr>
          </w:p>
          <w:p w14:paraId="5A9B38DF"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Use the information shared solely for the purposes identified and shall not access the information for any incompatible purpose.</w:t>
            </w:r>
          </w:p>
          <w:p w14:paraId="0FE1AD30"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 xml:space="preserve">Apply appropriate security measures, commensurate with the requirements of Principle 5(f) of the GDPR, which states that: “appropriate technical and </w:t>
            </w:r>
            <w:proofErr w:type="spellStart"/>
            <w:r w:rsidRPr="00626C53">
              <w:rPr>
                <w:rFonts w:cstheme="minorHAnsi"/>
              </w:rPr>
              <w:t>organisational</w:t>
            </w:r>
            <w:proofErr w:type="spellEnd"/>
            <w:r w:rsidRPr="00626C53">
              <w:rPr>
                <w:rFonts w:cstheme="minorHAnsi"/>
              </w:rPr>
              <w:t xml:space="preserve"> measures shall be taken against </w:t>
            </w:r>
            <w:proofErr w:type="spellStart"/>
            <w:r w:rsidRPr="00626C53">
              <w:rPr>
                <w:rFonts w:cstheme="minorHAnsi"/>
              </w:rPr>
              <w:t>unauthorised</w:t>
            </w:r>
            <w:proofErr w:type="spellEnd"/>
            <w:r w:rsidRPr="00626C53">
              <w:rPr>
                <w:rFonts w:cstheme="minorHAnsi"/>
              </w:rPr>
              <w:t xml:space="preserve"> or unlawful processing of personal data and against accidental loss or destruction of, or damage to, personal data”. </w:t>
            </w:r>
            <w:proofErr w:type="gramStart"/>
            <w:r w:rsidRPr="00626C53">
              <w:rPr>
                <w:rFonts w:cstheme="minorHAnsi"/>
              </w:rPr>
              <w:t>In particular, they</w:t>
            </w:r>
            <w:proofErr w:type="gramEnd"/>
            <w:r w:rsidRPr="00626C53">
              <w:rPr>
                <w:rFonts w:cstheme="minorHAnsi"/>
              </w:rPr>
              <w:t xml:space="preserve"> shall ensure that measures are in place to do everything reasonable to:</w:t>
            </w:r>
          </w:p>
          <w:p w14:paraId="5FBDCCAC"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make accidental compromise or damage unlikely during storage, handling, use, processing transmission or transport</w:t>
            </w:r>
          </w:p>
          <w:p w14:paraId="0F61D235"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deter deliberate compromise or opportunist attack, and</w:t>
            </w:r>
          </w:p>
          <w:p w14:paraId="36C9E810" w14:textId="77777777" w:rsidR="00574FBA" w:rsidRPr="00626C53" w:rsidRDefault="00574FBA" w:rsidP="00DB7429">
            <w:pPr>
              <w:pStyle w:val="ListParagraph"/>
              <w:numPr>
                <w:ilvl w:val="0"/>
                <w:numId w:val="31"/>
              </w:numPr>
              <w:spacing w:after="0" w:line="240" w:lineRule="auto"/>
              <w:ind w:left="1038" w:hanging="284"/>
              <w:rPr>
                <w:rFonts w:cstheme="minorHAnsi"/>
              </w:rPr>
            </w:pPr>
            <w:r w:rsidRPr="00626C53">
              <w:rPr>
                <w:rFonts w:cstheme="minorHAnsi"/>
              </w:rPr>
              <w:t xml:space="preserve">promote discretion </w:t>
            </w:r>
            <w:proofErr w:type="gramStart"/>
            <w:r w:rsidRPr="00626C53">
              <w:rPr>
                <w:rFonts w:cstheme="minorHAnsi"/>
              </w:rPr>
              <w:t>in order to</w:t>
            </w:r>
            <w:proofErr w:type="gramEnd"/>
            <w:r w:rsidRPr="00626C53">
              <w:rPr>
                <w:rFonts w:cstheme="minorHAnsi"/>
              </w:rPr>
              <w:t xml:space="preserve"> avoid </w:t>
            </w:r>
            <w:proofErr w:type="spellStart"/>
            <w:r w:rsidRPr="00626C53">
              <w:rPr>
                <w:rFonts w:cstheme="minorHAnsi"/>
              </w:rPr>
              <w:t>unauthorised</w:t>
            </w:r>
            <w:proofErr w:type="spellEnd"/>
            <w:r w:rsidRPr="00626C53">
              <w:rPr>
                <w:rFonts w:cstheme="minorHAnsi"/>
              </w:rPr>
              <w:t xml:space="preserve"> access.</w:t>
            </w:r>
          </w:p>
          <w:p w14:paraId="7AD8791D" w14:textId="77777777" w:rsidR="00574FBA" w:rsidRPr="00626C53" w:rsidRDefault="00574FBA" w:rsidP="00DB7429">
            <w:pPr>
              <w:pStyle w:val="ListParagraph"/>
              <w:numPr>
                <w:ilvl w:val="0"/>
                <w:numId w:val="30"/>
              </w:numPr>
              <w:spacing w:after="0" w:line="240" w:lineRule="auto"/>
              <w:rPr>
                <w:rFonts w:cstheme="minorHAnsi"/>
              </w:rPr>
            </w:pPr>
            <w:r w:rsidRPr="00626C53">
              <w:rPr>
                <w:rFonts w:cstheme="minorHAnsi"/>
              </w:rPr>
              <w:t>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5DAB3C6D" w14:textId="77777777" w:rsidR="00574FBA" w:rsidRPr="00626C53" w:rsidRDefault="00574FBA" w:rsidP="009E040F">
            <w:pPr>
              <w:ind w:left="329" w:hanging="284"/>
              <w:rPr>
                <w:rFonts w:cstheme="minorHAnsi"/>
              </w:rPr>
            </w:pPr>
            <w:r w:rsidRPr="00626C53">
              <w:rPr>
                <w:rFonts w:cstheme="minorHAnsi"/>
              </w:rPr>
              <w:t xml:space="preserve">4. Take appropriate </w:t>
            </w:r>
            <w:proofErr w:type="spellStart"/>
            <w:r w:rsidRPr="00626C53">
              <w:rPr>
                <w:rFonts w:cstheme="minorHAnsi"/>
              </w:rPr>
              <w:t>organisational</w:t>
            </w:r>
            <w:proofErr w:type="spellEnd"/>
            <w:r w:rsidRPr="00626C53">
              <w:rPr>
                <w:rFonts w:cstheme="minorHAnsi"/>
              </w:rPr>
              <w:t xml:space="preserve">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0D3A1B36" w14:textId="77777777" w:rsidR="00574FBA" w:rsidRPr="00626C53" w:rsidRDefault="00574FBA" w:rsidP="009E040F">
            <w:pPr>
              <w:ind w:left="329" w:hanging="284"/>
              <w:rPr>
                <w:rFonts w:cstheme="minorHAnsi"/>
              </w:rPr>
            </w:pPr>
            <w:r w:rsidRPr="00626C53">
              <w:rPr>
                <w:rFonts w:cstheme="minorHAnsi"/>
              </w:rPr>
              <w:t xml:space="preserve">5. Commit to ensuring staff are appropriately trained and comply with </w:t>
            </w:r>
            <w:proofErr w:type="spellStart"/>
            <w:r w:rsidRPr="00626C53">
              <w:rPr>
                <w:rFonts w:cstheme="minorHAnsi"/>
              </w:rPr>
              <w:t>organisational</w:t>
            </w:r>
            <w:proofErr w:type="spellEnd"/>
            <w:r w:rsidRPr="00626C53">
              <w:rPr>
                <w:rFonts w:cstheme="minorHAnsi"/>
              </w:rPr>
              <w:t xml:space="preserve"> policies in relation to Information Governance, including data protection, confidentiality, Caldicott, Information Security, Records Management and FOI requests.</w:t>
            </w:r>
          </w:p>
          <w:p w14:paraId="09329287" w14:textId="77777777" w:rsidR="00574FBA" w:rsidRPr="00626C53" w:rsidRDefault="00574FBA" w:rsidP="009E040F">
            <w:pPr>
              <w:ind w:left="329" w:hanging="284"/>
              <w:rPr>
                <w:rFonts w:cstheme="minorHAnsi"/>
              </w:rPr>
            </w:pPr>
            <w:r w:rsidRPr="00626C53">
              <w:rPr>
                <w:rFonts w:cstheme="minorHAnsi"/>
              </w:rPr>
              <w:t xml:space="preserve">6. Promptly notify any other relevant co-signees of this protocol of any Information Governance breach resulting out of information shared under this Agreement.   All </w:t>
            </w:r>
            <w:proofErr w:type="spellStart"/>
            <w:r w:rsidRPr="00626C53">
              <w:rPr>
                <w:rFonts w:cstheme="minorHAnsi"/>
              </w:rPr>
              <w:t>organisations</w:t>
            </w:r>
            <w:proofErr w:type="spellEnd"/>
            <w:r w:rsidRPr="00626C53">
              <w:rPr>
                <w:rFonts w:cstheme="minorHAnsi"/>
              </w:rPr>
              <w:t xml:space="preserve">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relevant partner signatories.  </w:t>
            </w:r>
          </w:p>
          <w:p w14:paraId="742C0973" w14:textId="77777777" w:rsidR="00574FBA" w:rsidRPr="00626C53" w:rsidRDefault="00574FBA" w:rsidP="009E040F">
            <w:pPr>
              <w:ind w:left="329" w:hanging="284"/>
              <w:rPr>
                <w:rFonts w:cstheme="minorHAnsi"/>
              </w:rPr>
            </w:pPr>
            <w:r w:rsidRPr="00626C53">
              <w:rPr>
                <w:rFonts w:cstheme="minorHAnsi"/>
              </w:rPr>
              <w:t xml:space="preserve">7. Assist each other, in responding to Data Protection, FOI requests or Environmental Information Regulations requests where necessary, in relation to the information shared under this Agreement to ensure a </w:t>
            </w:r>
            <w:proofErr w:type="spellStart"/>
            <w:r w:rsidRPr="00626C53">
              <w:rPr>
                <w:rFonts w:cstheme="minorHAnsi"/>
              </w:rPr>
              <w:t>co-ordinated</w:t>
            </w:r>
            <w:proofErr w:type="spellEnd"/>
            <w:r w:rsidRPr="00626C53">
              <w:rPr>
                <w:rFonts w:cstheme="minorHAnsi"/>
              </w:rPr>
              <w:t xml:space="preserve"> and consistent response.</w:t>
            </w:r>
          </w:p>
          <w:p w14:paraId="58737AC2" w14:textId="77777777" w:rsidR="00574FBA" w:rsidRPr="00626C53" w:rsidRDefault="00574FBA" w:rsidP="009E040F">
            <w:pPr>
              <w:ind w:left="329" w:hanging="284"/>
              <w:rPr>
                <w:rFonts w:cstheme="minorHAnsi"/>
              </w:rPr>
            </w:pPr>
            <w:r w:rsidRPr="00626C53">
              <w:rPr>
                <w:rFonts w:cstheme="minorHAnsi"/>
              </w:rPr>
              <w:t>8. This Agreement shall be governed and construed in accordance with English Law and the parties agree to submit to the exclusive jurisdiction of the English Court.</w:t>
            </w:r>
          </w:p>
        </w:tc>
      </w:tr>
      <w:tr w:rsidR="00574FBA" w:rsidRPr="00626C53" w14:paraId="1234A7A3" w14:textId="77777777" w:rsidTr="009E040F">
        <w:tc>
          <w:tcPr>
            <w:tcW w:w="550" w:type="dxa"/>
          </w:tcPr>
          <w:p w14:paraId="702ECC05" w14:textId="77777777" w:rsidR="00574FBA" w:rsidRPr="00626C53" w:rsidRDefault="00574FBA" w:rsidP="009E040F">
            <w:pPr>
              <w:rPr>
                <w:rFonts w:cstheme="minorHAnsi"/>
                <w:b/>
              </w:rPr>
            </w:pPr>
            <w:r w:rsidRPr="00626C53">
              <w:rPr>
                <w:rFonts w:cstheme="minorHAnsi"/>
                <w:b/>
              </w:rPr>
              <w:lastRenderedPageBreak/>
              <w:t>13.</w:t>
            </w:r>
          </w:p>
        </w:tc>
        <w:tc>
          <w:tcPr>
            <w:tcW w:w="10077" w:type="dxa"/>
          </w:tcPr>
          <w:p w14:paraId="4E55D7AC" w14:textId="77777777" w:rsidR="00574FBA" w:rsidRPr="00626C53" w:rsidRDefault="00574FBA" w:rsidP="009E040F">
            <w:pPr>
              <w:rPr>
                <w:rFonts w:cstheme="minorHAnsi"/>
                <w:b/>
              </w:rPr>
            </w:pPr>
            <w:r w:rsidRPr="00626C53">
              <w:rPr>
                <w:rFonts w:cstheme="minorHAnsi"/>
                <w:b/>
              </w:rPr>
              <w:t xml:space="preserve">Specify any </w:t>
            </w:r>
            <w:proofErr w:type="gramStart"/>
            <w:r w:rsidRPr="00626C53">
              <w:rPr>
                <w:rFonts w:cstheme="minorHAnsi"/>
                <w:b/>
              </w:rPr>
              <w:t>particular obligations</w:t>
            </w:r>
            <w:proofErr w:type="gramEnd"/>
            <w:r w:rsidRPr="00626C53">
              <w:rPr>
                <w:rFonts w:cstheme="minorHAnsi"/>
                <w:b/>
              </w:rPr>
              <w:t xml:space="preserve"> on any individual party:</w:t>
            </w:r>
          </w:p>
          <w:p w14:paraId="4E3FC510" w14:textId="77777777" w:rsidR="00574FBA" w:rsidRPr="00626C53" w:rsidRDefault="00574FBA" w:rsidP="009E040F">
            <w:pPr>
              <w:rPr>
                <w:rFonts w:cstheme="minorHAnsi"/>
              </w:rPr>
            </w:pPr>
          </w:p>
          <w:p w14:paraId="7F77E002" w14:textId="77777777" w:rsidR="00574FBA" w:rsidRPr="00626C53" w:rsidRDefault="00574FBA" w:rsidP="009E040F">
            <w:pPr>
              <w:rPr>
                <w:rFonts w:cstheme="minorHAnsi"/>
                <w:i/>
                <w:iCs/>
              </w:rPr>
            </w:pPr>
            <w:proofErr w:type="gramStart"/>
            <w:r w:rsidRPr="00626C53">
              <w:rPr>
                <w:rFonts w:cstheme="minorHAnsi"/>
                <w:i/>
                <w:iCs/>
              </w:rPr>
              <w:t>e.g.</w:t>
            </w:r>
            <w:proofErr w:type="gramEnd"/>
            <w:r w:rsidRPr="00626C53">
              <w:rPr>
                <w:rFonts w:cstheme="minorHAnsi"/>
                <w:i/>
                <w:iCs/>
              </w:rPr>
              <w:t xml:space="preserve"> submission of data, incident reporting, handling of queries/complaints from individuals affected by the information sharing</w:t>
            </w:r>
          </w:p>
          <w:p w14:paraId="34D9ADD4" w14:textId="77777777" w:rsidR="00574FBA" w:rsidRPr="00626C53" w:rsidRDefault="00574FBA" w:rsidP="009E040F">
            <w:pPr>
              <w:rPr>
                <w:rFonts w:cstheme="minorHAnsi"/>
              </w:rPr>
            </w:pPr>
          </w:p>
          <w:p w14:paraId="1DEE76A8"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lastRenderedPageBreak/>
              <w:t>Data will be shared internally within HEE in line with this Information Sharing Agreement. The handling of any queries/complaints resulting from sharing of this information will be managed by HEE.</w:t>
            </w:r>
          </w:p>
          <w:p w14:paraId="604AE04C"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Aggregated figures (excluding planned recruitment numbers) may be shared with other NHS partnership </w:t>
            </w:r>
            <w:proofErr w:type="spellStart"/>
            <w:r w:rsidRPr="00626C53">
              <w:rPr>
                <w:rFonts w:cstheme="minorHAnsi"/>
              </w:rPr>
              <w:t>organisations</w:t>
            </w:r>
            <w:proofErr w:type="spellEnd"/>
            <w:r w:rsidRPr="00626C53">
              <w:rPr>
                <w:rFonts w:cstheme="minorHAnsi"/>
              </w:rPr>
              <w:t xml:space="preserve"> such as service providers, CCGs, NHSE/I, ICSs, STPs, and DHSC to aid future workforce planning. </w:t>
            </w:r>
          </w:p>
          <w:p w14:paraId="338BB893" w14:textId="77777777" w:rsidR="00574FBA" w:rsidRPr="00626C53" w:rsidRDefault="00574FBA" w:rsidP="00DB7429">
            <w:pPr>
              <w:pStyle w:val="ListParagraph"/>
              <w:numPr>
                <w:ilvl w:val="0"/>
                <w:numId w:val="36"/>
              </w:numPr>
              <w:spacing w:after="0" w:line="240" w:lineRule="auto"/>
              <w:rPr>
                <w:rFonts w:cstheme="minorHAnsi"/>
              </w:rPr>
            </w:pPr>
            <w:r w:rsidRPr="00626C53">
              <w:rPr>
                <w:rFonts w:cstheme="minorHAnsi"/>
              </w:rPr>
              <w:t xml:space="preserve">Any incidents arising from the sharing of this data will be reported by the parties to this agreement in line with their respective standard procedures and shared between the parties. </w:t>
            </w:r>
          </w:p>
        </w:tc>
      </w:tr>
    </w:tbl>
    <w:p w14:paraId="090FCF97" w14:textId="77777777" w:rsidR="00574FBA" w:rsidRPr="00626C53" w:rsidRDefault="00574FBA" w:rsidP="00574FBA">
      <w:pPr>
        <w:rPr>
          <w:rFonts w:cstheme="minorHAnsi"/>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626C53" w14:paraId="72A51B00" w14:textId="77777777" w:rsidTr="009E040F">
        <w:tc>
          <w:tcPr>
            <w:tcW w:w="550" w:type="dxa"/>
          </w:tcPr>
          <w:p w14:paraId="3E9B9040" w14:textId="77777777" w:rsidR="00574FBA" w:rsidRPr="00626C53" w:rsidRDefault="00574FBA" w:rsidP="009E040F">
            <w:pPr>
              <w:rPr>
                <w:rFonts w:cstheme="minorHAnsi"/>
                <w:b/>
              </w:rPr>
            </w:pPr>
            <w:r w:rsidRPr="00626C53">
              <w:rPr>
                <w:rFonts w:cstheme="minorHAnsi"/>
                <w:b/>
              </w:rPr>
              <w:t>14.</w:t>
            </w:r>
          </w:p>
        </w:tc>
        <w:tc>
          <w:tcPr>
            <w:tcW w:w="10077" w:type="dxa"/>
          </w:tcPr>
          <w:p w14:paraId="70F9AA29" w14:textId="77777777" w:rsidR="00574FBA" w:rsidRPr="00626C53" w:rsidRDefault="00574FBA" w:rsidP="009E040F">
            <w:pPr>
              <w:rPr>
                <w:rFonts w:cstheme="minorHAnsi"/>
                <w:b/>
              </w:rPr>
            </w:pPr>
            <w:r w:rsidRPr="00626C53">
              <w:rPr>
                <w:rFonts w:cstheme="minorHAnsi"/>
                <w:b/>
              </w:rPr>
              <w:t>Review of Agreement</w:t>
            </w:r>
          </w:p>
          <w:p w14:paraId="3501C89A" w14:textId="77777777" w:rsidR="00574FBA" w:rsidRPr="00626C53" w:rsidRDefault="00574FBA" w:rsidP="009E040F">
            <w:pPr>
              <w:rPr>
                <w:rFonts w:cstheme="minorHAnsi"/>
                <w:b/>
              </w:rPr>
            </w:pPr>
          </w:p>
          <w:p w14:paraId="20799064" w14:textId="77777777" w:rsidR="00574FBA" w:rsidRPr="00626C53" w:rsidRDefault="00574FBA" w:rsidP="009E040F">
            <w:pPr>
              <w:rPr>
                <w:rFonts w:cstheme="minorHAnsi"/>
              </w:rPr>
            </w:pPr>
            <w:r w:rsidRPr="00626C53">
              <w:rPr>
                <w:rFonts w:cstheme="minorHAnsi"/>
              </w:rPr>
              <w:t xml:space="preserve">A review of this Agreement shall take place every three years from date of commencement or </w:t>
            </w:r>
            <w:r w:rsidRPr="00626C53">
              <w:rPr>
                <w:rFonts w:cstheme="minorHAnsi"/>
                <w:b/>
                <w:bCs/>
              </w:rPr>
              <w:t xml:space="preserve">in the event of significant change.   </w:t>
            </w:r>
            <w:r w:rsidRPr="00626C53">
              <w:rPr>
                <w:rFonts w:cstheme="minorHAnsi"/>
              </w:rPr>
              <w:t>All parties to this Agreement agree to take part and to fully co-operate in this review.</w:t>
            </w:r>
          </w:p>
        </w:tc>
      </w:tr>
      <w:tr w:rsidR="00574FBA" w:rsidRPr="00626C53" w14:paraId="27120DBF" w14:textId="77777777" w:rsidTr="009E040F">
        <w:tc>
          <w:tcPr>
            <w:tcW w:w="550" w:type="dxa"/>
          </w:tcPr>
          <w:p w14:paraId="4309C490" w14:textId="77777777" w:rsidR="00574FBA" w:rsidRPr="00626C53" w:rsidRDefault="00574FBA" w:rsidP="009E040F">
            <w:pPr>
              <w:rPr>
                <w:rFonts w:cstheme="minorHAnsi"/>
                <w:b/>
              </w:rPr>
            </w:pPr>
            <w:r w:rsidRPr="00626C53">
              <w:rPr>
                <w:rFonts w:cstheme="minorHAnsi"/>
                <w:b/>
              </w:rPr>
              <w:t>15.</w:t>
            </w:r>
          </w:p>
        </w:tc>
        <w:tc>
          <w:tcPr>
            <w:tcW w:w="10077" w:type="dxa"/>
          </w:tcPr>
          <w:p w14:paraId="68C6A200" w14:textId="77777777" w:rsidR="00574FBA" w:rsidRPr="00626C53" w:rsidRDefault="00574FBA" w:rsidP="009E040F">
            <w:pPr>
              <w:rPr>
                <w:rFonts w:cstheme="minorHAnsi"/>
                <w:b/>
              </w:rPr>
            </w:pPr>
            <w:r w:rsidRPr="00626C53">
              <w:rPr>
                <w:rFonts w:cstheme="minorHAnsi"/>
                <w:b/>
              </w:rPr>
              <w:t xml:space="preserve">Term, </w:t>
            </w:r>
            <w:proofErr w:type="gramStart"/>
            <w:r w:rsidRPr="00626C53">
              <w:rPr>
                <w:rFonts w:cstheme="minorHAnsi"/>
                <w:b/>
              </w:rPr>
              <w:t>termination</w:t>
            </w:r>
            <w:proofErr w:type="gramEnd"/>
            <w:r w:rsidRPr="00626C53">
              <w:rPr>
                <w:rFonts w:cstheme="minorHAnsi"/>
                <w:b/>
              </w:rPr>
              <w:t xml:space="preserve"> and variation</w:t>
            </w:r>
          </w:p>
          <w:p w14:paraId="2741C41A" w14:textId="77777777" w:rsidR="00574FBA" w:rsidRPr="00626C53" w:rsidRDefault="00574FBA" w:rsidP="009E040F">
            <w:pPr>
              <w:rPr>
                <w:rFonts w:cstheme="minorHAnsi"/>
                <w:b/>
              </w:rPr>
            </w:pPr>
          </w:p>
          <w:p w14:paraId="210CD4B7"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as amended from time to time shall remain in force for the duration of the NHS Education Contract with the Provider. </w:t>
            </w:r>
          </w:p>
          <w:p w14:paraId="04493DF6"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This Agreement shall terminate when the NHS Education Contract with the Provider is terminated or expires.</w:t>
            </w:r>
          </w:p>
          <w:p w14:paraId="08DAB2CE" w14:textId="77777777" w:rsidR="00574FBA" w:rsidRPr="00626C53" w:rsidRDefault="00574FBA" w:rsidP="00DB7429">
            <w:pPr>
              <w:pStyle w:val="ListParagraph"/>
              <w:numPr>
                <w:ilvl w:val="0"/>
                <w:numId w:val="72"/>
              </w:numPr>
              <w:spacing w:after="0" w:line="240" w:lineRule="auto"/>
              <w:rPr>
                <w:rFonts w:cstheme="minorHAnsi"/>
              </w:rPr>
            </w:pPr>
            <w:r w:rsidRPr="00626C53">
              <w:rPr>
                <w:rFonts w:cstheme="minorHAnsi"/>
              </w:rPr>
              <w:t xml:space="preserve">This Agreement may be varied by the completion of the change control notice set out at Appendix C and this being signed by the </w:t>
            </w:r>
            <w:proofErr w:type="spellStart"/>
            <w:r w:rsidRPr="00626C53">
              <w:rPr>
                <w:rFonts w:cstheme="minorHAnsi"/>
              </w:rPr>
              <w:t>authorised</w:t>
            </w:r>
            <w:proofErr w:type="spellEnd"/>
            <w:r w:rsidRPr="00626C53">
              <w:rPr>
                <w:rFonts w:cstheme="minorHAnsi"/>
              </w:rPr>
              <w:t xml:space="preserve"> representatives of the parties.</w:t>
            </w:r>
          </w:p>
          <w:p w14:paraId="490A314C" w14:textId="77777777" w:rsidR="00574FBA" w:rsidRPr="00626C53" w:rsidRDefault="00574FBA" w:rsidP="009E040F">
            <w:pPr>
              <w:pStyle w:val="ListParagraph"/>
              <w:rPr>
                <w:rFonts w:cstheme="minorHAnsi"/>
              </w:rPr>
            </w:pPr>
          </w:p>
        </w:tc>
      </w:tr>
      <w:tr w:rsidR="00574FBA" w:rsidRPr="00626C53" w14:paraId="61AFD479" w14:textId="77777777" w:rsidTr="009E040F">
        <w:tc>
          <w:tcPr>
            <w:tcW w:w="550" w:type="dxa"/>
          </w:tcPr>
          <w:p w14:paraId="7AA629C1" w14:textId="77777777" w:rsidR="00574FBA" w:rsidRPr="00626C53" w:rsidRDefault="00574FBA" w:rsidP="009E040F">
            <w:pPr>
              <w:rPr>
                <w:rFonts w:cstheme="minorHAnsi"/>
                <w:b/>
              </w:rPr>
            </w:pPr>
            <w:r w:rsidRPr="00626C53">
              <w:rPr>
                <w:rFonts w:cstheme="minorHAnsi"/>
                <w:b/>
              </w:rPr>
              <w:t>16</w:t>
            </w:r>
          </w:p>
        </w:tc>
        <w:tc>
          <w:tcPr>
            <w:tcW w:w="10077" w:type="dxa"/>
          </w:tcPr>
          <w:p w14:paraId="539CDB5B" w14:textId="77777777" w:rsidR="00574FBA" w:rsidRPr="00626C53" w:rsidRDefault="00574FBA" w:rsidP="009E040F">
            <w:pPr>
              <w:rPr>
                <w:rFonts w:cstheme="minorHAnsi"/>
                <w:b/>
              </w:rPr>
            </w:pPr>
            <w:r w:rsidRPr="00626C53">
              <w:rPr>
                <w:rFonts w:cstheme="minorHAnsi"/>
                <w:b/>
              </w:rPr>
              <w:t>Dispute resolution</w:t>
            </w:r>
          </w:p>
          <w:p w14:paraId="439810D8" w14:textId="77777777" w:rsidR="00574FBA" w:rsidRPr="00626C53" w:rsidRDefault="00574FBA" w:rsidP="009E040F">
            <w:pPr>
              <w:rPr>
                <w:rFonts w:cstheme="minorHAnsi"/>
                <w:b/>
              </w:rPr>
            </w:pPr>
          </w:p>
          <w:p w14:paraId="3BCAFFB1" w14:textId="77777777" w:rsidR="00574FBA" w:rsidRPr="00626C53" w:rsidRDefault="00574FBA" w:rsidP="009E040F">
            <w:pPr>
              <w:rPr>
                <w:rFonts w:cstheme="minorHAnsi"/>
              </w:rPr>
            </w:pPr>
            <w:r w:rsidRPr="00626C53">
              <w:rPr>
                <w:rFonts w:cstheme="minorHAnsi"/>
              </w:rPr>
              <w:t xml:space="preserve">Any dispute regarding this Agreement shall be dealt with in accordance with the dispute resolution clause set out in the NHS Education Contract </w:t>
            </w:r>
            <w:proofErr w:type="gramStart"/>
            <w:r w:rsidRPr="00626C53">
              <w:rPr>
                <w:rFonts w:cstheme="minorHAnsi"/>
              </w:rPr>
              <w:t>entered into</w:t>
            </w:r>
            <w:proofErr w:type="gramEnd"/>
            <w:r w:rsidRPr="00626C53">
              <w:rPr>
                <w:rFonts w:cstheme="minorHAnsi"/>
              </w:rPr>
              <w:t xml:space="preserve"> by the parties.</w:t>
            </w:r>
          </w:p>
          <w:p w14:paraId="75BFFF3E" w14:textId="77777777" w:rsidR="00574FBA" w:rsidRPr="00626C53" w:rsidRDefault="00574FBA" w:rsidP="009E040F">
            <w:pPr>
              <w:rPr>
                <w:rFonts w:cstheme="minorHAnsi"/>
              </w:rPr>
            </w:pPr>
          </w:p>
        </w:tc>
      </w:tr>
      <w:tr w:rsidR="00574FBA" w:rsidRPr="00626C53" w14:paraId="6107F066" w14:textId="77777777" w:rsidTr="009E040F">
        <w:tc>
          <w:tcPr>
            <w:tcW w:w="550" w:type="dxa"/>
          </w:tcPr>
          <w:p w14:paraId="317715FA" w14:textId="77777777" w:rsidR="00574FBA" w:rsidRPr="00626C53" w:rsidRDefault="00574FBA" w:rsidP="009E040F">
            <w:pPr>
              <w:rPr>
                <w:rFonts w:cstheme="minorHAnsi"/>
                <w:b/>
              </w:rPr>
            </w:pPr>
            <w:r w:rsidRPr="00626C53">
              <w:rPr>
                <w:rFonts w:cstheme="minorHAnsi"/>
                <w:b/>
              </w:rPr>
              <w:t>17</w:t>
            </w:r>
          </w:p>
          <w:p w14:paraId="4092E080" w14:textId="77777777" w:rsidR="00574FBA" w:rsidRPr="00626C53" w:rsidRDefault="00574FBA" w:rsidP="009E040F">
            <w:pPr>
              <w:rPr>
                <w:rFonts w:cstheme="minorHAnsi"/>
                <w:b/>
              </w:rPr>
            </w:pPr>
          </w:p>
        </w:tc>
        <w:tc>
          <w:tcPr>
            <w:tcW w:w="10077" w:type="dxa"/>
          </w:tcPr>
          <w:p w14:paraId="5DBB6FAE" w14:textId="77777777" w:rsidR="00574FBA" w:rsidRPr="00626C53" w:rsidRDefault="00574FBA" w:rsidP="009E040F">
            <w:pPr>
              <w:rPr>
                <w:rFonts w:cstheme="minorHAnsi"/>
                <w:b/>
              </w:rPr>
            </w:pPr>
            <w:r w:rsidRPr="00626C53">
              <w:rPr>
                <w:rFonts w:cstheme="minorHAnsi"/>
                <w:b/>
              </w:rPr>
              <w:t>General</w:t>
            </w:r>
          </w:p>
          <w:p w14:paraId="7AB8569A" w14:textId="77777777" w:rsidR="00574FBA" w:rsidRPr="00626C53" w:rsidRDefault="00574FBA" w:rsidP="009E040F">
            <w:pPr>
              <w:rPr>
                <w:rFonts w:cstheme="minorHAnsi"/>
                <w:b/>
              </w:rPr>
            </w:pPr>
          </w:p>
          <w:p w14:paraId="0CDF3D79" w14:textId="77777777" w:rsidR="00574FBA" w:rsidRPr="00626C53" w:rsidRDefault="00574FBA" w:rsidP="009E040F">
            <w:pPr>
              <w:rPr>
                <w:rFonts w:cstheme="minorHAnsi"/>
              </w:rPr>
            </w:pPr>
            <w:r w:rsidRPr="00626C53">
              <w:rPr>
                <w:rFonts w:cstheme="minorHAnsi"/>
              </w:rPr>
              <w:t>The parties agree that the following terms will be incorporated and construed as applying as between the parties pursuant to this Agreement:</w:t>
            </w:r>
          </w:p>
          <w:p w14:paraId="6B45F13E" w14:textId="77777777" w:rsidR="00574FBA" w:rsidRPr="00626C53" w:rsidRDefault="00574FBA" w:rsidP="009E040F">
            <w:pPr>
              <w:rPr>
                <w:rFonts w:cstheme="minorHAnsi"/>
              </w:rPr>
            </w:pPr>
          </w:p>
          <w:p w14:paraId="7544D0C1"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35.2(d) (Insurance) of the NHS Education Contract</w:t>
            </w:r>
          </w:p>
          <w:p w14:paraId="6C09786B" w14:textId="77777777" w:rsidR="00574FBA" w:rsidRPr="00626C53" w:rsidRDefault="00574FBA" w:rsidP="00DB7429">
            <w:pPr>
              <w:pStyle w:val="ListParagraph"/>
              <w:numPr>
                <w:ilvl w:val="0"/>
                <w:numId w:val="75"/>
              </w:numPr>
              <w:spacing w:after="0" w:line="240" w:lineRule="auto"/>
              <w:rPr>
                <w:rFonts w:cstheme="minorHAnsi"/>
              </w:rPr>
            </w:pPr>
            <w:r w:rsidRPr="00626C53">
              <w:rPr>
                <w:rFonts w:cstheme="minorHAnsi"/>
              </w:rPr>
              <w:t>Clause 36.5(e) (Indemnity) of the NHS Education Contract</w:t>
            </w:r>
          </w:p>
          <w:p w14:paraId="425D87E6" w14:textId="77777777" w:rsidR="00574FBA" w:rsidRPr="00626C53" w:rsidRDefault="00574FBA" w:rsidP="009E040F">
            <w:pPr>
              <w:pStyle w:val="ListParagraph"/>
              <w:rPr>
                <w:rFonts w:cstheme="minorHAnsi"/>
                <w:b/>
              </w:rPr>
            </w:pPr>
          </w:p>
          <w:p w14:paraId="1933531B" w14:textId="77777777" w:rsidR="00574FBA" w:rsidRPr="00626C53" w:rsidRDefault="00574FBA" w:rsidP="009E040F">
            <w:pPr>
              <w:rPr>
                <w:rFonts w:cstheme="minorHAnsi"/>
                <w:b/>
              </w:rPr>
            </w:pPr>
            <w:r w:rsidRPr="00626C53">
              <w:rPr>
                <w:rFonts w:cstheme="minorHAnsi"/>
                <w:b/>
              </w:rPr>
              <w:t xml:space="preserve"> </w:t>
            </w:r>
          </w:p>
        </w:tc>
      </w:tr>
    </w:tbl>
    <w:p w14:paraId="089E5EBC" w14:textId="77777777" w:rsidR="00574FBA" w:rsidRPr="00626C53" w:rsidRDefault="00574FBA" w:rsidP="00574FBA">
      <w:pPr>
        <w:rPr>
          <w:rFonts w:cstheme="minorHAnsi"/>
          <w:b/>
        </w:rPr>
      </w:pPr>
    </w:p>
    <w:p w14:paraId="3EA5186E" w14:textId="77777777" w:rsidR="00574FBA" w:rsidRPr="00626C53" w:rsidRDefault="00574FBA" w:rsidP="00574FBA">
      <w:pPr>
        <w:spacing w:after="0"/>
        <w:rPr>
          <w:rFonts w:cstheme="minorHAnsi"/>
          <w:b/>
        </w:rPr>
      </w:pPr>
    </w:p>
    <w:p w14:paraId="33901BD9" w14:textId="77777777" w:rsidR="00D97A5A" w:rsidRPr="00626C53" w:rsidRDefault="00D97A5A">
      <w:pPr>
        <w:spacing w:after="0" w:line="240" w:lineRule="auto"/>
        <w:rPr>
          <w:rFonts w:cstheme="minorHAnsi"/>
          <w:b/>
        </w:rPr>
      </w:pPr>
      <w:r w:rsidRPr="00626C53">
        <w:rPr>
          <w:rFonts w:cstheme="minorHAnsi"/>
          <w:b/>
        </w:rPr>
        <w:br w:type="page"/>
      </w:r>
    </w:p>
    <w:p w14:paraId="5EA70E66" w14:textId="31B62402" w:rsidR="00574FBA" w:rsidRPr="00626C53" w:rsidRDefault="00574FBA" w:rsidP="00574FBA">
      <w:pPr>
        <w:spacing w:after="0"/>
        <w:rPr>
          <w:rFonts w:cstheme="minorHAnsi"/>
          <w:b/>
        </w:rPr>
      </w:pPr>
      <w:r w:rsidRPr="00626C53">
        <w:rPr>
          <w:rFonts w:cstheme="minorHAnsi"/>
          <w:b/>
        </w:rPr>
        <w:lastRenderedPageBreak/>
        <w:t>Appendix A</w:t>
      </w:r>
    </w:p>
    <w:p w14:paraId="49E0421C" w14:textId="77777777" w:rsidR="00574FBA" w:rsidRPr="00626C53" w:rsidRDefault="00574FBA" w:rsidP="00574FBA">
      <w:pPr>
        <w:rPr>
          <w:rFonts w:cstheme="minorHAnsi"/>
          <w:b/>
        </w:rPr>
      </w:pPr>
      <w:r w:rsidRPr="00626C53">
        <w:rPr>
          <w:rFonts w:cstheme="minorHAnsi"/>
          <w:b/>
        </w:rPr>
        <w:t>Definitions</w:t>
      </w:r>
    </w:p>
    <w:p w14:paraId="3B550AF5" w14:textId="77777777" w:rsidR="00574FBA" w:rsidRPr="00626C53" w:rsidRDefault="00574FBA" w:rsidP="00574FBA">
      <w:pPr>
        <w:spacing w:after="120"/>
        <w:rPr>
          <w:rFonts w:cstheme="minorHAnsi"/>
          <w:b/>
        </w:rPr>
      </w:pPr>
      <w:r w:rsidRPr="00626C53">
        <w:rPr>
          <w:rFonts w:cstheme="minorHAnsi"/>
          <w:b/>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76"/>
        <w:gridCol w:w="7674"/>
      </w:tblGrid>
      <w:tr w:rsidR="00574FBA" w:rsidRPr="00626C53" w14:paraId="5DAE5F0A" w14:textId="77777777" w:rsidTr="009E040F">
        <w:tc>
          <w:tcPr>
            <w:tcW w:w="1715" w:type="dxa"/>
            <w:tcBorders>
              <w:left w:val="single" w:sz="4" w:space="0" w:color="auto"/>
            </w:tcBorders>
          </w:tcPr>
          <w:p w14:paraId="48922A3A" w14:textId="77777777" w:rsidR="00574FBA" w:rsidRPr="00626C53" w:rsidRDefault="00574FBA" w:rsidP="009E040F">
            <w:pPr>
              <w:rPr>
                <w:rFonts w:cstheme="minorHAnsi"/>
              </w:rPr>
            </w:pPr>
            <w:r w:rsidRPr="00626C53">
              <w:rPr>
                <w:rFonts w:cstheme="minorHAnsi"/>
              </w:rPr>
              <w:t>General Data Protection Regulation (GDPR)</w:t>
            </w:r>
          </w:p>
        </w:tc>
        <w:tc>
          <w:tcPr>
            <w:tcW w:w="8299" w:type="dxa"/>
          </w:tcPr>
          <w:p w14:paraId="2A6AC904" w14:textId="77777777" w:rsidR="00574FBA" w:rsidRPr="00626C53" w:rsidRDefault="00574FBA" w:rsidP="009E040F">
            <w:pPr>
              <w:rPr>
                <w:rFonts w:cstheme="minorHAnsi"/>
                <w:color w:val="000000" w:themeColor="text1"/>
              </w:rPr>
            </w:pPr>
            <w:r w:rsidRPr="00626C53">
              <w:rPr>
                <w:rFonts w:cstheme="minorHAnsi"/>
                <w:lang w:val="en"/>
              </w:rPr>
              <w:t>The General Data Protection Regulation (GDPR) as defined in the Data Protection Act 2018</w:t>
            </w:r>
          </w:p>
        </w:tc>
      </w:tr>
      <w:tr w:rsidR="00574FBA" w:rsidRPr="00626C53" w14:paraId="4AEB98BB" w14:textId="77777777" w:rsidTr="009E040F">
        <w:tc>
          <w:tcPr>
            <w:tcW w:w="1715" w:type="dxa"/>
            <w:tcBorders>
              <w:left w:val="single" w:sz="4" w:space="0" w:color="auto"/>
            </w:tcBorders>
          </w:tcPr>
          <w:p w14:paraId="0580F281" w14:textId="77777777" w:rsidR="00574FBA" w:rsidRPr="00626C53" w:rsidRDefault="00574FBA" w:rsidP="009E040F">
            <w:pPr>
              <w:rPr>
                <w:rFonts w:cstheme="minorHAnsi"/>
              </w:rPr>
            </w:pPr>
            <w:r w:rsidRPr="00626C53">
              <w:rPr>
                <w:rFonts w:cstheme="minorHAnsi"/>
              </w:rPr>
              <w:t>“Joint” Controller</w:t>
            </w:r>
          </w:p>
        </w:tc>
        <w:tc>
          <w:tcPr>
            <w:tcW w:w="8299" w:type="dxa"/>
          </w:tcPr>
          <w:p w14:paraId="3EE3F99C" w14:textId="77777777" w:rsidR="00574FBA" w:rsidRPr="00626C53" w:rsidRDefault="00574FBA" w:rsidP="009E040F">
            <w:pPr>
              <w:rPr>
                <w:rFonts w:cstheme="minorHAnsi"/>
                <w:color w:val="000000" w:themeColor="text1"/>
              </w:rPr>
            </w:pPr>
            <w:r w:rsidRPr="00626C53">
              <w:rPr>
                <w:rFonts w:cstheme="minorHAnsi"/>
                <w:color w:val="000000" w:themeColor="text1"/>
              </w:rPr>
              <w:t>Has the meaning given in the Data Protection Legislation</w:t>
            </w:r>
          </w:p>
        </w:tc>
      </w:tr>
      <w:tr w:rsidR="00574FBA" w:rsidRPr="00626C53" w14:paraId="393C8D79" w14:textId="77777777" w:rsidTr="009E040F">
        <w:tc>
          <w:tcPr>
            <w:tcW w:w="1715" w:type="dxa"/>
            <w:tcBorders>
              <w:left w:val="single" w:sz="4" w:space="0" w:color="auto"/>
            </w:tcBorders>
          </w:tcPr>
          <w:p w14:paraId="4B4F2D94" w14:textId="77777777" w:rsidR="00574FBA" w:rsidRPr="00626C53" w:rsidRDefault="00574FBA" w:rsidP="009E040F">
            <w:pPr>
              <w:rPr>
                <w:rFonts w:cstheme="minorHAnsi"/>
              </w:rPr>
            </w:pPr>
            <w:r w:rsidRPr="00626C53">
              <w:rPr>
                <w:rFonts w:cstheme="minorHAnsi"/>
              </w:rPr>
              <w:t xml:space="preserve">Data Protection Impact Assessment </w:t>
            </w:r>
          </w:p>
          <w:p w14:paraId="379452F8" w14:textId="77777777" w:rsidR="00574FBA" w:rsidRPr="00626C53" w:rsidRDefault="00574FBA" w:rsidP="009E040F">
            <w:pPr>
              <w:rPr>
                <w:rFonts w:cstheme="minorHAnsi"/>
              </w:rPr>
            </w:pPr>
            <w:r w:rsidRPr="00626C53">
              <w:rPr>
                <w:rFonts w:cstheme="minorHAnsi"/>
              </w:rPr>
              <w:t>(DPIA)</w:t>
            </w:r>
          </w:p>
        </w:tc>
        <w:tc>
          <w:tcPr>
            <w:tcW w:w="8299" w:type="dxa"/>
          </w:tcPr>
          <w:p w14:paraId="503FC384" w14:textId="77777777" w:rsidR="00574FBA" w:rsidRPr="00626C53" w:rsidRDefault="00574FBA" w:rsidP="009E040F">
            <w:pPr>
              <w:rPr>
                <w:rFonts w:cstheme="minorHAnsi"/>
              </w:rPr>
            </w:pPr>
            <w:r w:rsidRPr="00626C53">
              <w:rPr>
                <w:rFonts w:eastAsia="Arial" w:cstheme="minorHAnsi"/>
              </w:rPr>
              <w:t>Has the meaning given in the Data Protection Legislation</w:t>
            </w:r>
          </w:p>
        </w:tc>
      </w:tr>
      <w:tr w:rsidR="00574FBA" w:rsidRPr="00626C53" w14:paraId="5451A787" w14:textId="77777777" w:rsidTr="009E040F">
        <w:tc>
          <w:tcPr>
            <w:tcW w:w="1715" w:type="dxa"/>
            <w:tcBorders>
              <w:left w:val="single" w:sz="4" w:space="0" w:color="auto"/>
            </w:tcBorders>
          </w:tcPr>
          <w:p w14:paraId="630C31B9" w14:textId="77777777" w:rsidR="00574FBA" w:rsidRPr="00626C53" w:rsidRDefault="00574FBA" w:rsidP="009E040F">
            <w:pPr>
              <w:rPr>
                <w:rFonts w:cstheme="minorHAnsi"/>
              </w:rPr>
            </w:pPr>
            <w:r w:rsidRPr="00626C53">
              <w:rPr>
                <w:rFonts w:cstheme="minorHAnsi"/>
              </w:rPr>
              <w:t>Special category data</w:t>
            </w:r>
          </w:p>
        </w:tc>
        <w:tc>
          <w:tcPr>
            <w:tcW w:w="8299" w:type="dxa"/>
          </w:tcPr>
          <w:p w14:paraId="65DC6D15" w14:textId="77777777" w:rsidR="00574FBA" w:rsidRPr="00626C53" w:rsidRDefault="00574FBA" w:rsidP="009E040F">
            <w:pPr>
              <w:pStyle w:val="NoSpacing"/>
              <w:rPr>
                <w:rFonts w:cstheme="minorHAnsi"/>
                <w:color w:val="FF0000"/>
              </w:rPr>
            </w:pPr>
            <w:r w:rsidRPr="00626C53">
              <w:rPr>
                <w:rFonts w:cstheme="minorHAnsi"/>
              </w:rPr>
              <w:t>Has the meaning given to it in the Data Protection Legislation</w:t>
            </w:r>
          </w:p>
        </w:tc>
      </w:tr>
    </w:tbl>
    <w:p w14:paraId="5B94CB45" w14:textId="77777777" w:rsidR="00574FBA" w:rsidRPr="00626C53" w:rsidRDefault="00574FBA" w:rsidP="00574FBA">
      <w:pPr>
        <w:spacing w:after="0"/>
        <w:rPr>
          <w:rFonts w:cstheme="minorHAnsi"/>
          <w:b/>
        </w:rPr>
      </w:pPr>
      <w:r w:rsidRPr="00626C53">
        <w:rPr>
          <w:rFonts w:cstheme="minorHAnsi"/>
          <w:b/>
        </w:rPr>
        <w:br w:type="textWrapping" w:clear="all"/>
      </w:r>
    </w:p>
    <w:p w14:paraId="7646FF1D" w14:textId="77777777" w:rsidR="00574FBA" w:rsidRPr="00626C53" w:rsidRDefault="00574FBA" w:rsidP="00574FBA">
      <w:pPr>
        <w:spacing w:after="0"/>
        <w:rPr>
          <w:rFonts w:cstheme="minorHAnsi"/>
          <w:b/>
        </w:rPr>
      </w:pPr>
    </w:p>
    <w:p w14:paraId="1CB5EEB4" w14:textId="77777777" w:rsidR="00574FBA" w:rsidRPr="00626C53" w:rsidRDefault="00574FBA" w:rsidP="00574FBA">
      <w:pPr>
        <w:spacing w:after="0"/>
        <w:rPr>
          <w:rFonts w:cstheme="minorHAnsi"/>
          <w:b/>
        </w:rPr>
      </w:pPr>
    </w:p>
    <w:p w14:paraId="0A9329EA" w14:textId="77777777" w:rsidR="00574FBA" w:rsidRPr="00626C53" w:rsidRDefault="00574FBA" w:rsidP="00574FBA">
      <w:pPr>
        <w:rPr>
          <w:rFonts w:eastAsiaTheme="minorEastAsia" w:cstheme="minorHAnsi"/>
          <w:b/>
          <w:lang w:eastAsia="ja-JP"/>
        </w:rPr>
      </w:pPr>
    </w:p>
    <w:p w14:paraId="4ABBA42A" w14:textId="77777777" w:rsidR="00574FBA" w:rsidRPr="00626C53" w:rsidRDefault="00574FBA" w:rsidP="00574FBA">
      <w:pPr>
        <w:pStyle w:val="NoSpacing"/>
        <w:ind w:left="540" w:hanging="540"/>
        <w:rPr>
          <w:rFonts w:cstheme="minorHAnsi"/>
          <w:lang w:val="en-GB"/>
        </w:rPr>
      </w:pPr>
    </w:p>
    <w:p w14:paraId="1B95B4E7" w14:textId="77777777" w:rsidR="00574FBA" w:rsidRPr="00626C53" w:rsidRDefault="00574FBA" w:rsidP="00574FBA">
      <w:pPr>
        <w:pStyle w:val="NoSpacing"/>
        <w:ind w:left="540" w:hanging="540"/>
        <w:rPr>
          <w:rFonts w:cstheme="minorHAnsi"/>
          <w:lang w:val="en-GB"/>
        </w:rPr>
      </w:pPr>
    </w:p>
    <w:p w14:paraId="5949CCFF" w14:textId="77777777" w:rsidR="00574FBA" w:rsidRPr="00626C53" w:rsidRDefault="00574FBA" w:rsidP="00574FBA">
      <w:pPr>
        <w:pStyle w:val="NoSpacing"/>
        <w:ind w:left="540" w:hanging="540"/>
        <w:rPr>
          <w:rFonts w:cstheme="minorHAnsi"/>
          <w:lang w:val="en-GB"/>
        </w:rPr>
      </w:pPr>
    </w:p>
    <w:p w14:paraId="7F4A2C9F" w14:textId="77777777" w:rsidR="00574FBA" w:rsidRPr="00626C53" w:rsidRDefault="00574FBA" w:rsidP="00574FBA">
      <w:pPr>
        <w:pStyle w:val="NoSpacing"/>
        <w:ind w:left="540" w:hanging="540"/>
        <w:rPr>
          <w:rFonts w:cstheme="minorHAnsi"/>
          <w:lang w:val="en-GB"/>
        </w:rPr>
      </w:pPr>
    </w:p>
    <w:p w14:paraId="5B9ED5BB" w14:textId="77777777" w:rsidR="00574FBA" w:rsidRPr="00626C53" w:rsidRDefault="00574FBA" w:rsidP="00574FBA">
      <w:pPr>
        <w:pStyle w:val="NoSpacing"/>
        <w:ind w:left="540" w:hanging="540"/>
        <w:rPr>
          <w:rFonts w:cstheme="minorHAnsi"/>
          <w:lang w:val="en-GB"/>
        </w:rPr>
      </w:pPr>
    </w:p>
    <w:p w14:paraId="777A5E71" w14:textId="77777777" w:rsidR="00574FBA" w:rsidRPr="00626C53" w:rsidRDefault="00574FBA" w:rsidP="00574FBA">
      <w:pPr>
        <w:pStyle w:val="NoSpacing"/>
        <w:ind w:left="540" w:hanging="540"/>
        <w:rPr>
          <w:rFonts w:cstheme="minorHAnsi"/>
          <w:lang w:val="en-GB"/>
        </w:rPr>
      </w:pPr>
    </w:p>
    <w:p w14:paraId="2C860A64" w14:textId="77777777" w:rsidR="00574FBA" w:rsidRPr="00626C53" w:rsidRDefault="00574FBA" w:rsidP="00574FBA">
      <w:pPr>
        <w:pStyle w:val="NoSpacing"/>
        <w:ind w:left="540" w:hanging="540"/>
        <w:rPr>
          <w:rFonts w:cstheme="minorHAnsi"/>
          <w:lang w:val="en-GB"/>
        </w:rPr>
      </w:pPr>
    </w:p>
    <w:p w14:paraId="2D496330" w14:textId="77777777" w:rsidR="00574FBA" w:rsidRPr="00626C53" w:rsidRDefault="00574FBA" w:rsidP="00574FBA">
      <w:pPr>
        <w:pStyle w:val="NoSpacing"/>
        <w:ind w:left="540" w:hanging="540"/>
        <w:rPr>
          <w:rFonts w:cstheme="minorHAnsi"/>
          <w:lang w:val="en-GB"/>
        </w:rPr>
      </w:pPr>
    </w:p>
    <w:p w14:paraId="736EFF80" w14:textId="77777777" w:rsidR="00574FBA" w:rsidRPr="00626C53" w:rsidRDefault="00574FBA" w:rsidP="00574FBA">
      <w:pPr>
        <w:pStyle w:val="NoSpacing"/>
        <w:ind w:left="540" w:hanging="540"/>
        <w:rPr>
          <w:rFonts w:cstheme="minorHAnsi"/>
          <w:lang w:val="en-GB"/>
        </w:rPr>
      </w:pPr>
    </w:p>
    <w:p w14:paraId="044CD441" w14:textId="77777777" w:rsidR="00574FBA" w:rsidRPr="00626C53" w:rsidRDefault="00574FBA" w:rsidP="00574FBA">
      <w:pPr>
        <w:pStyle w:val="NoSpacing"/>
        <w:ind w:left="540" w:hanging="540"/>
        <w:rPr>
          <w:rFonts w:cstheme="minorHAnsi"/>
          <w:lang w:val="en-GB"/>
        </w:rPr>
      </w:pPr>
    </w:p>
    <w:p w14:paraId="127773BE" w14:textId="77777777" w:rsidR="00574FBA" w:rsidRPr="00626C53" w:rsidRDefault="00574FBA" w:rsidP="00574FBA">
      <w:pPr>
        <w:rPr>
          <w:rFonts w:eastAsiaTheme="minorEastAsia" w:cstheme="minorHAnsi"/>
          <w:lang w:eastAsia="ja-JP"/>
        </w:rPr>
      </w:pPr>
      <w:r w:rsidRPr="00626C53">
        <w:rPr>
          <w:rFonts w:cstheme="minorHAnsi"/>
        </w:rPr>
        <w:br w:type="page"/>
      </w:r>
    </w:p>
    <w:p w14:paraId="0BA0075C" w14:textId="77777777" w:rsidR="00574FBA" w:rsidRPr="00626C53" w:rsidRDefault="00574FBA" w:rsidP="00574FBA">
      <w:pPr>
        <w:rPr>
          <w:rFonts w:cstheme="minorHAnsi"/>
          <w:b/>
        </w:rPr>
      </w:pPr>
      <w:r w:rsidRPr="00626C53">
        <w:rPr>
          <w:rFonts w:cstheme="minorHAnsi"/>
          <w:b/>
        </w:rPr>
        <w:lastRenderedPageBreak/>
        <w:t xml:space="preserve">Appendix B </w:t>
      </w:r>
    </w:p>
    <w:p w14:paraId="154704E7" w14:textId="77777777" w:rsidR="00574FBA" w:rsidRPr="00626C53" w:rsidRDefault="00574FBA" w:rsidP="00574FBA">
      <w:pPr>
        <w:spacing w:after="0"/>
        <w:rPr>
          <w:rFonts w:cstheme="minorHAnsi"/>
          <w:b/>
        </w:rPr>
      </w:pPr>
      <w:r w:rsidRPr="00626C53">
        <w:rPr>
          <w:rFonts w:cstheme="minorHAnsi"/>
          <w:b/>
        </w:rPr>
        <w:t>Guidance Notes for completing the model data sharing agreement</w:t>
      </w:r>
    </w:p>
    <w:p w14:paraId="6093D966" w14:textId="77777777" w:rsidR="00574FBA" w:rsidRPr="00626C53" w:rsidRDefault="00574FBA" w:rsidP="00574FBA">
      <w:pPr>
        <w:spacing w:after="0"/>
        <w:rPr>
          <w:rFonts w:cstheme="minorHAnsi"/>
        </w:rPr>
      </w:pPr>
    </w:p>
    <w:p w14:paraId="230802D6" w14:textId="77777777" w:rsidR="00574FBA" w:rsidRPr="00626C53" w:rsidRDefault="00574FBA" w:rsidP="00574FBA">
      <w:pPr>
        <w:spacing w:after="0"/>
        <w:rPr>
          <w:rFonts w:cstheme="minorHAnsi"/>
          <w:b/>
        </w:rPr>
      </w:pPr>
      <w:r w:rsidRPr="00626C53">
        <w:rPr>
          <w:rFonts w:cstheme="minorHAnsi"/>
          <w:b/>
        </w:rPr>
        <w:t>Section 4: Data Protection Impact Assessment (DPIA)</w:t>
      </w:r>
    </w:p>
    <w:p w14:paraId="05618AFC" w14:textId="77777777" w:rsidR="00574FBA" w:rsidRPr="00626C53" w:rsidRDefault="00574FBA" w:rsidP="00574FBA">
      <w:pPr>
        <w:spacing w:after="0"/>
        <w:rPr>
          <w:rFonts w:cstheme="minorHAnsi"/>
        </w:rPr>
      </w:pPr>
      <w:r w:rsidRPr="00626C53">
        <w:rPr>
          <w:rFonts w:cstheme="minorHAnsi"/>
        </w:rPr>
        <w:t xml:space="preserve">The ICO advises in its Data Sharing Code of Practice ‘Before entering into any data sharing arrangement, it is good practice to carry out a data protection impact assessment. This will help you to assess the benefits that the data sharing might bring to </w:t>
      </w:r>
      <w:proofErr w:type="gramStart"/>
      <w:r w:rsidRPr="00626C53">
        <w:rPr>
          <w:rFonts w:cstheme="minorHAnsi"/>
        </w:rPr>
        <w:t>particular individuals</w:t>
      </w:r>
      <w:proofErr w:type="gramEnd"/>
      <w:r w:rsidRPr="00626C53">
        <w:rPr>
          <w:rFonts w:cstheme="minorHAnsi"/>
        </w:rPr>
        <w:t xml:space="preserve">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w:t>
      </w:r>
      <w:proofErr w:type="spellStart"/>
      <w:r w:rsidRPr="00626C53">
        <w:rPr>
          <w:rFonts w:cstheme="minorHAnsi"/>
        </w:rPr>
        <w:t>organisation’s</w:t>
      </w:r>
      <w:proofErr w:type="spellEnd"/>
      <w:r w:rsidRPr="00626C53">
        <w:rPr>
          <w:rFonts w:cstheme="minorHAnsi"/>
        </w:rPr>
        <w:t xml:space="preserve">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Pr="00626C53" w:rsidRDefault="00574FBA" w:rsidP="00574FBA">
      <w:pPr>
        <w:spacing w:after="0"/>
        <w:rPr>
          <w:rFonts w:cstheme="minorHAnsi"/>
          <w:b/>
        </w:rPr>
      </w:pPr>
    </w:p>
    <w:p w14:paraId="2E44B8AE" w14:textId="77777777" w:rsidR="00574FBA" w:rsidRPr="00626C53" w:rsidRDefault="00574FBA" w:rsidP="00574FBA">
      <w:pPr>
        <w:spacing w:after="0"/>
        <w:rPr>
          <w:rFonts w:cstheme="minorHAnsi"/>
          <w:b/>
        </w:rPr>
      </w:pPr>
      <w:r w:rsidRPr="00626C53">
        <w:rPr>
          <w:rFonts w:cstheme="minorHAnsi"/>
          <w:b/>
        </w:rPr>
        <w:t>Section 5: General Data Protection Regulation – principles</w:t>
      </w:r>
    </w:p>
    <w:p w14:paraId="1D6DA788" w14:textId="77777777" w:rsidR="00574FBA" w:rsidRPr="00626C53" w:rsidRDefault="00574FBA" w:rsidP="00574FBA">
      <w:pPr>
        <w:rPr>
          <w:rFonts w:cstheme="minorHAnsi"/>
        </w:rPr>
      </w:pPr>
      <w:r w:rsidRPr="00626C53">
        <w:rPr>
          <w:rFonts w:cstheme="minorHAnsi"/>
        </w:rPr>
        <w:t>Specify how you will meet the ‘fair’ processing requirements</w:t>
      </w:r>
    </w:p>
    <w:p w14:paraId="12C0C85A" w14:textId="77777777" w:rsidR="00574FBA" w:rsidRPr="00626C53" w:rsidRDefault="00574FBA" w:rsidP="00574FBA">
      <w:pPr>
        <w:rPr>
          <w:rFonts w:cstheme="minorHAnsi"/>
        </w:rPr>
      </w:pPr>
      <w:r w:rsidRPr="00626C53">
        <w:rPr>
          <w:rFonts w:cstheme="minorHAnsi"/>
        </w:rPr>
        <w:t>See the Information Commissioner website for further information</w:t>
      </w:r>
    </w:p>
    <w:p w14:paraId="08D2E42A" w14:textId="77777777" w:rsidR="00574FBA" w:rsidRPr="00626C53" w:rsidRDefault="00574FBA" w:rsidP="00574FBA">
      <w:pPr>
        <w:pStyle w:val="NoSpacing"/>
        <w:spacing w:line="256" w:lineRule="auto"/>
        <w:rPr>
          <w:rFonts w:cstheme="minorHAnsi"/>
        </w:rPr>
      </w:pPr>
      <w:r w:rsidRPr="00626C53">
        <w:rPr>
          <w:rFonts w:cstheme="minorHAnsi"/>
        </w:rPr>
        <w:t xml:space="preserve">Principle (a) </w:t>
      </w:r>
      <w:r w:rsidRPr="00626C53">
        <w:rPr>
          <w:rFonts w:cstheme="minorHAnsi"/>
          <w:b/>
          <w:bCs/>
        </w:rPr>
        <w:t>‘Lawfulness, fairness and transparency’</w:t>
      </w:r>
      <w:r w:rsidRPr="00626C53">
        <w:rPr>
          <w:rFonts w:cstheme="minorHAnsi"/>
        </w:rPr>
        <w:t xml:space="preserve">.  </w:t>
      </w:r>
      <w:r w:rsidRPr="00626C53">
        <w:rPr>
          <w:rFonts w:cstheme="minorHAnsi"/>
        </w:rPr>
        <w:tab/>
        <w:t>Personal data shall be processed lawfully, fairly and in a transparent manner in relation to the data subject.</w:t>
      </w:r>
      <w:r w:rsidRPr="00626C53">
        <w:rPr>
          <w:rFonts w:cstheme="minorHAnsi"/>
        </w:rPr>
        <w:tab/>
      </w:r>
      <w:r w:rsidRPr="00626C53">
        <w:rPr>
          <w:rFonts w:cstheme="minorHAnsi"/>
        </w:rPr>
        <w:tab/>
      </w:r>
      <w:r w:rsidRPr="00626C53">
        <w:rPr>
          <w:rFonts w:cstheme="minorHAnsi"/>
        </w:rPr>
        <w:tab/>
      </w:r>
      <w:r w:rsidRPr="00626C53">
        <w:rPr>
          <w:rFonts w:cstheme="minorHAnsi"/>
        </w:rPr>
        <w:tab/>
      </w:r>
    </w:p>
    <w:p w14:paraId="1D87CCF7" w14:textId="77777777" w:rsidR="00574FBA" w:rsidRPr="00626C53" w:rsidRDefault="00574FBA" w:rsidP="00574FBA">
      <w:pPr>
        <w:pStyle w:val="NoSpacing"/>
        <w:rPr>
          <w:rFonts w:cstheme="minorHAnsi"/>
          <w:color w:val="FF0000"/>
        </w:rPr>
      </w:pPr>
    </w:p>
    <w:p w14:paraId="7DCEF1EC" w14:textId="77777777" w:rsidR="00574FBA" w:rsidRPr="00626C53" w:rsidRDefault="00574FBA" w:rsidP="00574FBA">
      <w:pPr>
        <w:pStyle w:val="NoSpacing"/>
        <w:rPr>
          <w:rFonts w:cstheme="minorHAnsi"/>
        </w:rPr>
      </w:pPr>
      <w:r w:rsidRPr="00626C53">
        <w:rPr>
          <w:rFonts w:cstheme="minorHAnsi"/>
        </w:rPr>
        <w:t xml:space="preserve">Principle (b) </w:t>
      </w:r>
      <w:r w:rsidRPr="00626C53">
        <w:rPr>
          <w:rFonts w:cstheme="minorHAnsi"/>
          <w:b/>
          <w:bCs/>
        </w:rPr>
        <w:t>‘Purpose limitation’</w:t>
      </w:r>
      <w:r w:rsidRPr="00626C53">
        <w:rPr>
          <w:rFonts w:cstheme="minorHAnsi"/>
        </w:rPr>
        <w:t xml:space="preserve">.  </w:t>
      </w:r>
      <w:r w:rsidRPr="00626C53">
        <w:rPr>
          <w:rFonts w:cstheme="minorHAnsi"/>
        </w:rPr>
        <w:tab/>
        <w:t>Personal data shall be collected for specified, explicit and legitimate purposes and not further processed in a manner that is incompatible with those purposes.</w:t>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rPr>
        <w:tab/>
      </w:r>
      <w:r w:rsidRPr="00626C53">
        <w:rPr>
          <w:rFonts w:cstheme="minorHAnsi"/>
          <w:color w:val="FF0000"/>
        </w:rPr>
        <w:t>.</w:t>
      </w:r>
    </w:p>
    <w:p w14:paraId="0723F4E8" w14:textId="77777777" w:rsidR="00574FBA" w:rsidRPr="00626C53" w:rsidRDefault="00574FBA" w:rsidP="00574FBA">
      <w:pPr>
        <w:pStyle w:val="NoSpacing"/>
        <w:rPr>
          <w:rFonts w:cstheme="minorHAnsi"/>
        </w:rPr>
      </w:pPr>
      <w:r w:rsidRPr="00626C53">
        <w:rPr>
          <w:rFonts w:cstheme="minorHAnsi"/>
        </w:rPr>
        <w:t xml:space="preserve">Principle (c) </w:t>
      </w:r>
      <w:r w:rsidRPr="00626C53">
        <w:rPr>
          <w:rFonts w:cstheme="minorHAnsi"/>
          <w:b/>
          <w:bCs/>
        </w:rPr>
        <w:t xml:space="preserve">‘Data </w:t>
      </w:r>
      <w:proofErr w:type="spellStart"/>
      <w:r w:rsidRPr="00626C53">
        <w:rPr>
          <w:rFonts w:cstheme="minorHAnsi"/>
          <w:b/>
          <w:bCs/>
        </w:rPr>
        <w:t>minimisation</w:t>
      </w:r>
      <w:proofErr w:type="spellEnd"/>
      <w:r w:rsidRPr="00626C53">
        <w:rPr>
          <w:rFonts w:cstheme="minorHAnsi"/>
          <w:b/>
          <w:bCs/>
        </w:rPr>
        <w:t>’</w:t>
      </w:r>
      <w:r w:rsidRPr="00626C53">
        <w:rPr>
          <w:rFonts w:cstheme="minorHAnsi"/>
        </w:rPr>
        <w:t xml:space="preserve">.  Personal data shall be adequate, </w:t>
      </w:r>
      <w:proofErr w:type="gramStart"/>
      <w:r w:rsidRPr="00626C53">
        <w:rPr>
          <w:rFonts w:cstheme="minorHAnsi"/>
        </w:rPr>
        <w:t>relevant</w:t>
      </w:r>
      <w:proofErr w:type="gramEnd"/>
      <w:r w:rsidRPr="00626C53">
        <w:rPr>
          <w:rFonts w:cstheme="minorHAnsi"/>
        </w:rPr>
        <w:t xml:space="preserve"> and limited to what is necessary in relation to the purposes for which they are processed</w:t>
      </w:r>
      <w:r w:rsidRPr="00626C53">
        <w:rPr>
          <w:rFonts w:cstheme="minorHAnsi"/>
        </w:rPr>
        <w:tab/>
        <w:t>.</w:t>
      </w:r>
    </w:p>
    <w:p w14:paraId="097719AA" w14:textId="77777777" w:rsidR="00574FBA" w:rsidRPr="00626C53" w:rsidRDefault="00574FBA" w:rsidP="00574FBA">
      <w:pPr>
        <w:pStyle w:val="NoSpacing"/>
        <w:rPr>
          <w:rFonts w:cstheme="minorHAnsi"/>
          <w:color w:val="FF0000"/>
        </w:rPr>
      </w:pPr>
    </w:p>
    <w:p w14:paraId="392036C5" w14:textId="77777777" w:rsidR="00574FBA" w:rsidRPr="00626C53" w:rsidRDefault="00574FBA" w:rsidP="00574FBA">
      <w:pPr>
        <w:pStyle w:val="NoSpacing"/>
        <w:rPr>
          <w:rFonts w:cstheme="minorHAnsi"/>
        </w:rPr>
      </w:pPr>
      <w:r w:rsidRPr="00626C53">
        <w:rPr>
          <w:rFonts w:cstheme="minorHAnsi"/>
        </w:rPr>
        <w:t xml:space="preserve">Principle (d) </w:t>
      </w:r>
      <w:r w:rsidRPr="00626C53">
        <w:rPr>
          <w:rFonts w:cstheme="minorHAnsi"/>
          <w:b/>
          <w:bCs/>
        </w:rPr>
        <w:t>‘Accuracy’</w:t>
      </w:r>
      <w:r w:rsidRPr="00626C53">
        <w:rPr>
          <w:rFonts w:cstheme="minorHAnsi"/>
        </w:rPr>
        <w:t xml:space="preserve">.  </w:t>
      </w:r>
      <w:r w:rsidRPr="00626C53">
        <w:rPr>
          <w:rFonts w:cstheme="minorHAnsi"/>
        </w:rPr>
        <w:tab/>
        <w:t>Personal data shall be accurate and, where necessary, kept up to date</w:t>
      </w:r>
      <w:r w:rsidRPr="00626C53">
        <w:rPr>
          <w:rFonts w:cstheme="minorHAnsi"/>
          <w:color w:val="FF0000"/>
        </w:rPr>
        <w:t>.</w:t>
      </w:r>
    </w:p>
    <w:p w14:paraId="23E1FD42" w14:textId="77777777" w:rsidR="00574FBA" w:rsidRPr="00626C53" w:rsidRDefault="00574FBA" w:rsidP="00574FBA">
      <w:pPr>
        <w:pStyle w:val="NoSpacing"/>
        <w:rPr>
          <w:rFonts w:cstheme="minorHAnsi"/>
          <w:color w:val="FF0000"/>
        </w:rPr>
      </w:pPr>
    </w:p>
    <w:p w14:paraId="2FBD90B7" w14:textId="77777777" w:rsidR="00574FBA" w:rsidRPr="00626C53" w:rsidRDefault="00574FBA" w:rsidP="00574FBA">
      <w:pPr>
        <w:pStyle w:val="NoSpacing"/>
        <w:rPr>
          <w:rFonts w:cstheme="minorHAnsi"/>
        </w:rPr>
      </w:pPr>
      <w:r w:rsidRPr="00626C53">
        <w:rPr>
          <w:rFonts w:cstheme="minorHAnsi"/>
          <w:color w:val="000000"/>
        </w:rPr>
        <w:t xml:space="preserve">Principle (e) </w:t>
      </w:r>
      <w:r w:rsidRPr="00626C53">
        <w:rPr>
          <w:rFonts w:cstheme="minorHAnsi"/>
          <w:b/>
          <w:bCs/>
          <w:color w:val="000000"/>
        </w:rPr>
        <w:t>‘Storage limitation’</w:t>
      </w:r>
      <w:r w:rsidRPr="00626C53">
        <w:rPr>
          <w:rFonts w:cstheme="minorHAnsi"/>
          <w:color w:val="000000"/>
        </w:rPr>
        <w:t>.  Personal data shall be kept in a form which permits identification of data subjects for no longer than is necessary for the purpose for which the personal data are processed.</w:t>
      </w:r>
      <w:r w:rsidRPr="00626C53">
        <w:rPr>
          <w:rFonts w:cstheme="minorHAnsi"/>
        </w:rPr>
        <w:tab/>
      </w:r>
    </w:p>
    <w:p w14:paraId="166577C0" w14:textId="77777777" w:rsidR="00574FBA" w:rsidRPr="00626C53" w:rsidRDefault="00574FBA" w:rsidP="00574FBA">
      <w:pPr>
        <w:spacing w:after="0"/>
        <w:rPr>
          <w:rFonts w:cstheme="minorHAnsi"/>
          <w:color w:val="000000"/>
        </w:rPr>
      </w:pPr>
    </w:p>
    <w:p w14:paraId="4DAFCE3A" w14:textId="77777777" w:rsidR="00574FBA" w:rsidRPr="00626C53" w:rsidRDefault="00574FBA" w:rsidP="00574FBA">
      <w:pPr>
        <w:spacing w:after="0"/>
        <w:rPr>
          <w:rFonts w:cstheme="minorHAnsi"/>
        </w:rPr>
      </w:pPr>
      <w:r w:rsidRPr="00626C53">
        <w:rPr>
          <w:rFonts w:cstheme="minorHAnsi"/>
          <w:color w:val="000000"/>
        </w:rPr>
        <w:t xml:space="preserve">Principle (f) </w:t>
      </w:r>
      <w:r w:rsidRPr="00626C53">
        <w:rPr>
          <w:rFonts w:cstheme="minorHAnsi"/>
          <w:b/>
          <w:bCs/>
          <w:color w:val="000000"/>
        </w:rPr>
        <w:t>‘Integrity and confidentiality’</w:t>
      </w:r>
      <w:r w:rsidRPr="00626C53">
        <w:rPr>
          <w:rFonts w:cstheme="minorHAnsi"/>
          <w:color w:val="000000"/>
        </w:rPr>
        <w:t xml:space="preserve">.  Personal data shall be processed in a manner that ensures appropriate security of the personal data, including protection against </w:t>
      </w:r>
      <w:proofErr w:type="spellStart"/>
      <w:r w:rsidRPr="00626C53">
        <w:rPr>
          <w:rFonts w:cstheme="minorHAnsi"/>
          <w:color w:val="000000"/>
        </w:rPr>
        <w:t>unauthorised</w:t>
      </w:r>
      <w:proofErr w:type="spellEnd"/>
      <w:r w:rsidRPr="00626C53">
        <w:rPr>
          <w:rFonts w:cstheme="minorHAnsi"/>
          <w:color w:val="000000"/>
        </w:rPr>
        <w:t xml:space="preserve"> or unlawful processing and against accidental loss, destruction or damage using appropriate technical or </w:t>
      </w:r>
      <w:proofErr w:type="spellStart"/>
      <w:r w:rsidRPr="00626C53">
        <w:rPr>
          <w:rFonts w:cstheme="minorHAnsi"/>
          <w:color w:val="000000"/>
        </w:rPr>
        <w:t>organisational</w:t>
      </w:r>
      <w:proofErr w:type="spellEnd"/>
      <w:r w:rsidRPr="00626C53">
        <w:rPr>
          <w:rFonts w:cstheme="minorHAnsi"/>
          <w:color w:val="000000"/>
        </w:rPr>
        <w:t xml:space="preserve"> measures</w:t>
      </w:r>
    </w:p>
    <w:p w14:paraId="6C8759DD" w14:textId="77777777" w:rsidR="00574FBA" w:rsidRPr="00626C53" w:rsidRDefault="00574FBA" w:rsidP="00574FBA">
      <w:pPr>
        <w:spacing w:after="0"/>
        <w:rPr>
          <w:rFonts w:cstheme="minorHAnsi"/>
          <w:b/>
          <w:color w:val="000000"/>
        </w:rPr>
      </w:pPr>
    </w:p>
    <w:p w14:paraId="37B8FE8D" w14:textId="77777777" w:rsidR="00D97A5A" w:rsidRPr="00626C53" w:rsidRDefault="00D97A5A">
      <w:pPr>
        <w:spacing w:after="0" w:line="240" w:lineRule="auto"/>
        <w:rPr>
          <w:rFonts w:cstheme="minorHAnsi"/>
          <w:b/>
          <w:color w:val="000000"/>
        </w:rPr>
      </w:pPr>
      <w:r w:rsidRPr="00626C53">
        <w:rPr>
          <w:rFonts w:cstheme="minorHAnsi"/>
          <w:b/>
          <w:color w:val="000000"/>
        </w:rPr>
        <w:br w:type="page"/>
      </w:r>
    </w:p>
    <w:p w14:paraId="1F8F687A" w14:textId="3A89135F" w:rsidR="00574FBA" w:rsidRPr="00626C53" w:rsidRDefault="00574FBA" w:rsidP="00574FBA">
      <w:pPr>
        <w:spacing w:after="0"/>
        <w:rPr>
          <w:rFonts w:cstheme="minorHAnsi"/>
          <w:b/>
          <w:color w:val="000000"/>
        </w:rPr>
      </w:pPr>
      <w:r w:rsidRPr="00626C53">
        <w:rPr>
          <w:rFonts w:cstheme="minorHAnsi"/>
          <w:b/>
          <w:color w:val="000000"/>
        </w:rPr>
        <w:lastRenderedPageBreak/>
        <w:t xml:space="preserve">Section 7 – Data Items to be Processed </w:t>
      </w:r>
    </w:p>
    <w:p w14:paraId="5BA7C717" w14:textId="77777777" w:rsidR="00574FBA" w:rsidRPr="00626C53" w:rsidRDefault="00574FBA" w:rsidP="00574FBA">
      <w:pPr>
        <w:spacing w:after="0"/>
        <w:rPr>
          <w:rFonts w:cstheme="minorHAnsi"/>
        </w:rPr>
      </w:pPr>
      <w:r w:rsidRPr="00626C53">
        <w:rPr>
          <w:rFonts w:cstheme="minorHAnsi"/>
        </w:rPr>
        <w:t xml:space="preserve">Specify the data items or attach as an appendix: N.B. to comply with principle (c) of the GDPR the items should be adequate, </w:t>
      </w:r>
      <w:proofErr w:type="gramStart"/>
      <w:r w:rsidRPr="00626C53">
        <w:rPr>
          <w:rFonts w:cstheme="minorHAnsi"/>
        </w:rPr>
        <w:t>relevant</w:t>
      </w:r>
      <w:proofErr w:type="gramEnd"/>
      <w:r w:rsidRPr="00626C53">
        <w:rPr>
          <w:rFonts w:cstheme="minorHAnsi"/>
        </w:rPr>
        <w:t xml:space="preserve"> and limited to what is necessary.  The justification for processing the specific data items should be documented here or attached as an appendix with the justification for all the data items documented.</w:t>
      </w:r>
    </w:p>
    <w:p w14:paraId="4E8DB517" w14:textId="77777777" w:rsidR="00574FBA" w:rsidRPr="00626C53" w:rsidRDefault="00574FBA" w:rsidP="00574FBA">
      <w:pPr>
        <w:spacing w:after="0"/>
        <w:rPr>
          <w:rFonts w:cstheme="minorHAnsi"/>
          <w:b/>
        </w:rPr>
      </w:pPr>
    </w:p>
    <w:p w14:paraId="2D69173D" w14:textId="77777777" w:rsidR="00574FBA" w:rsidRPr="00626C53" w:rsidRDefault="00574FBA" w:rsidP="00574FBA">
      <w:pPr>
        <w:spacing w:after="0"/>
        <w:rPr>
          <w:rFonts w:cstheme="minorHAnsi"/>
          <w:b/>
        </w:rPr>
      </w:pPr>
      <w:r w:rsidRPr="00626C53">
        <w:rPr>
          <w:rFonts w:cstheme="minorHAnsi"/>
          <w:b/>
        </w:rPr>
        <w:t xml:space="preserve">Section 8 </w:t>
      </w:r>
    </w:p>
    <w:p w14:paraId="33AD3782" w14:textId="77777777" w:rsidR="00574FBA" w:rsidRPr="00626C53" w:rsidRDefault="00574FBA" w:rsidP="00574FBA">
      <w:pPr>
        <w:spacing w:after="0"/>
        <w:rPr>
          <w:rFonts w:cstheme="minorHAnsi"/>
        </w:rPr>
      </w:pPr>
      <w:r w:rsidRPr="00626C53">
        <w:rPr>
          <w:rFonts w:cstheme="minorHAnsi"/>
        </w:rPr>
        <w:t xml:space="preserve">Document the arrangements for processing the information </w:t>
      </w:r>
      <w:proofErr w:type="gramStart"/>
      <w:r w:rsidRPr="00626C53">
        <w:rPr>
          <w:rFonts w:cstheme="minorHAnsi"/>
        </w:rPr>
        <w:t>i.e.</w:t>
      </w:r>
      <w:proofErr w:type="gramEnd"/>
      <w:r w:rsidRPr="00626C53">
        <w:rPr>
          <w:rFonts w:cstheme="minorHAnsi"/>
        </w:rPr>
        <w:t xml:space="preserve"> who – Job title and </w:t>
      </w:r>
      <w:proofErr w:type="spellStart"/>
      <w:r w:rsidRPr="00626C53">
        <w:rPr>
          <w:rFonts w:cstheme="minorHAnsi"/>
        </w:rPr>
        <w:t>organisation</w:t>
      </w:r>
      <w:proofErr w:type="spellEnd"/>
      <w:r w:rsidRPr="00626C53">
        <w:rPr>
          <w:rFonts w:cstheme="minorHAnsi"/>
        </w:rPr>
        <w:t>, how, including:</w:t>
      </w:r>
    </w:p>
    <w:p w14:paraId="1737407C"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How any data will be kept accurate and up to date – this is to ensure compliance with the GDPR principle (d)</w:t>
      </w:r>
    </w:p>
    <w:p w14:paraId="3DB188BF" w14:textId="77777777" w:rsidR="00574FBA" w:rsidRPr="00626C53"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cstheme="minorHAnsi"/>
        </w:rPr>
      </w:pPr>
      <w:r w:rsidRPr="00626C53">
        <w:rPr>
          <w:rFonts w:cstheme="minorHAnsi"/>
        </w:rPr>
        <w:t>Explain how the processing will ensure compliance with principal (f)</w:t>
      </w:r>
    </w:p>
    <w:p w14:paraId="5ED7EDF6" w14:textId="77777777" w:rsidR="00574FBA" w:rsidRPr="00626C53" w:rsidRDefault="00574FBA" w:rsidP="00DB7429">
      <w:pPr>
        <w:pStyle w:val="ListParagraph"/>
        <w:numPr>
          <w:ilvl w:val="0"/>
          <w:numId w:val="42"/>
        </w:numPr>
        <w:suppressAutoHyphens/>
        <w:autoSpaceDN w:val="0"/>
        <w:spacing w:after="0" w:line="240" w:lineRule="auto"/>
        <w:contextualSpacing w:val="0"/>
        <w:textAlignment w:val="baseline"/>
        <w:rPr>
          <w:rFonts w:cstheme="minorHAnsi"/>
          <w:lang w:eastAsia="ja-JP"/>
        </w:rPr>
      </w:pPr>
      <w:r w:rsidRPr="00626C53">
        <w:rPr>
          <w:rFonts w:cstheme="minorHAnsi"/>
        </w:rPr>
        <w:t xml:space="preserve">Whether any information is being transferred outside the UK– this it to ensure compliance with Article 30 of the GDPR. </w:t>
      </w:r>
    </w:p>
    <w:p w14:paraId="1CD0E9C2" w14:textId="77777777" w:rsidR="00574FBA" w:rsidRPr="00626C53" w:rsidRDefault="00574FBA" w:rsidP="00574FBA">
      <w:pPr>
        <w:spacing w:before="240"/>
        <w:ind w:left="360"/>
        <w:rPr>
          <w:rFonts w:cstheme="minorHAnsi"/>
          <w:b/>
        </w:rPr>
      </w:pPr>
      <w:r w:rsidRPr="00626C53">
        <w:rPr>
          <w:rFonts w:cstheme="minorHAnsi"/>
          <w:b/>
        </w:rPr>
        <w:t>Appendix C - 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626C53" w14:paraId="054089C8" w14:textId="77777777" w:rsidTr="009E040F">
        <w:tc>
          <w:tcPr>
            <w:tcW w:w="2943" w:type="dxa"/>
            <w:shd w:val="clear" w:color="auto" w:fill="auto"/>
          </w:tcPr>
          <w:p w14:paraId="15A486D4" w14:textId="77777777" w:rsidR="00574FBA" w:rsidRPr="00626C53" w:rsidRDefault="00574FBA" w:rsidP="009E040F">
            <w:pPr>
              <w:ind w:left="360"/>
              <w:rPr>
                <w:rFonts w:cstheme="minorHAnsi"/>
                <w:b/>
              </w:rPr>
            </w:pPr>
            <w:r w:rsidRPr="00626C53">
              <w:rPr>
                <w:rFonts w:cstheme="minorHAnsi"/>
                <w:b/>
              </w:rPr>
              <w:t>Title of Change</w:t>
            </w:r>
          </w:p>
        </w:tc>
        <w:tc>
          <w:tcPr>
            <w:tcW w:w="6299" w:type="dxa"/>
            <w:shd w:val="clear" w:color="auto" w:fill="auto"/>
          </w:tcPr>
          <w:p w14:paraId="63D53434" w14:textId="77777777" w:rsidR="00574FBA" w:rsidRPr="00626C53" w:rsidRDefault="00574FBA" w:rsidP="009E040F">
            <w:pPr>
              <w:ind w:left="360"/>
              <w:rPr>
                <w:rFonts w:cstheme="minorHAnsi"/>
              </w:rPr>
            </w:pPr>
          </w:p>
        </w:tc>
      </w:tr>
    </w:tbl>
    <w:p w14:paraId="17F27DCC"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626C53" w14:paraId="7F8F6216" w14:textId="77777777" w:rsidTr="009E040F">
        <w:tc>
          <w:tcPr>
            <w:tcW w:w="9242" w:type="dxa"/>
            <w:gridSpan w:val="3"/>
            <w:shd w:val="clear" w:color="auto" w:fill="FFFFFF"/>
          </w:tcPr>
          <w:p w14:paraId="4CD0C12B" w14:textId="77777777" w:rsidR="00574FBA" w:rsidRPr="00626C53" w:rsidRDefault="00574FBA" w:rsidP="009E040F">
            <w:pPr>
              <w:ind w:left="360"/>
              <w:rPr>
                <w:rFonts w:cstheme="minorHAnsi"/>
                <w:b/>
              </w:rPr>
            </w:pPr>
            <w:r w:rsidRPr="00626C53">
              <w:rPr>
                <w:rFonts w:cstheme="minorHAnsi"/>
                <w:b/>
              </w:rPr>
              <w:t>Change Control Notice (CCN to the following agreement):</w:t>
            </w:r>
          </w:p>
        </w:tc>
      </w:tr>
      <w:tr w:rsidR="00574FBA" w:rsidRPr="00626C53" w14:paraId="6684B48A" w14:textId="77777777" w:rsidTr="009E040F">
        <w:tc>
          <w:tcPr>
            <w:tcW w:w="6345" w:type="dxa"/>
            <w:gridSpan w:val="2"/>
            <w:shd w:val="clear" w:color="auto" w:fill="FFFFFF"/>
          </w:tcPr>
          <w:p w14:paraId="3AB2F388" w14:textId="77777777" w:rsidR="00574FBA" w:rsidRPr="00626C53" w:rsidRDefault="00574FBA" w:rsidP="009E040F">
            <w:pPr>
              <w:ind w:left="360"/>
              <w:rPr>
                <w:rFonts w:cstheme="minorHAnsi"/>
                <w:b/>
              </w:rPr>
            </w:pPr>
            <w:r w:rsidRPr="00626C53">
              <w:rPr>
                <w:rFonts w:cstheme="minorHAnsi"/>
                <w:b/>
              </w:rPr>
              <w:t>Agreement name</w:t>
            </w:r>
          </w:p>
        </w:tc>
        <w:tc>
          <w:tcPr>
            <w:tcW w:w="2897" w:type="dxa"/>
            <w:shd w:val="clear" w:color="auto" w:fill="FFFFFF"/>
          </w:tcPr>
          <w:p w14:paraId="7E3586E3" w14:textId="77777777" w:rsidR="00574FBA" w:rsidRPr="00626C53" w:rsidRDefault="00574FBA" w:rsidP="009E040F">
            <w:pPr>
              <w:ind w:left="360"/>
              <w:rPr>
                <w:rFonts w:cstheme="minorHAnsi"/>
                <w:b/>
              </w:rPr>
            </w:pPr>
            <w:r w:rsidRPr="00626C53">
              <w:rPr>
                <w:rFonts w:cstheme="minorHAnsi"/>
                <w:b/>
              </w:rPr>
              <w:t>Date of Agreement</w:t>
            </w:r>
          </w:p>
        </w:tc>
      </w:tr>
      <w:tr w:rsidR="00574FBA" w:rsidRPr="00626C53" w14:paraId="1BBF2603" w14:textId="77777777" w:rsidTr="009E040F">
        <w:tc>
          <w:tcPr>
            <w:tcW w:w="6345" w:type="dxa"/>
            <w:gridSpan w:val="2"/>
            <w:shd w:val="clear" w:color="auto" w:fill="FFFFFF"/>
          </w:tcPr>
          <w:p w14:paraId="0C0EF890" w14:textId="77777777" w:rsidR="00574FBA" w:rsidRPr="00626C53" w:rsidRDefault="00574FBA" w:rsidP="009E040F">
            <w:pPr>
              <w:ind w:left="360"/>
              <w:rPr>
                <w:rFonts w:cstheme="minorHAnsi"/>
              </w:rPr>
            </w:pPr>
            <w:r w:rsidRPr="00626C53">
              <w:rPr>
                <w:rFonts w:cstheme="minorHAnsi"/>
              </w:rPr>
              <w:t xml:space="preserve">Data Sharing Agreement </w:t>
            </w:r>
          </w:p>
        </w:tc>
        <w:tc>
          <w:tcPr>
            <w:tcW w:w="2897" w:type="dxa"/>
            <w:shd w:val="clear" w:color="auto" w:fill="FFFFFF"/>
          </w:tcPr>
          <w:p w14:paraId="35626B67" w14:textId="77777777" w:rsidR="00574FBA" w:rsidRPr="00626C53" w:rsidRDefault="00574FBA" w:rsidP="009E040F">
            <w:pPr>
              <w:ind w:left="360"/>
              <w:rPr>
                <w:rFonts w:cstheme="minorHAnsi"/>
              </w:rPr>
            </w:pPr>
            <w:r w:rsidRPr="00626C53">
              <w:rPr>
                <w:rFonts w:cstheme="minorHAnsi"/>
              </w:rPr>
              <w:t>1 April 2021</w:t>
            </w:r>
          </w:p>
        </w:tc>
      </w:tr>
      <w:tr w:rsidR="00574FBA" w:rsidRPr="00626C53" w14:paraId="42FD7D83" w14:textId="77777777" w:rsidTr="009E040F">
        <w:tc>
          <w:tcPr>
            <w:tcW w:w="3172" w:type="dxa"/>
            <w:shd w:val="clear" w:color="auto" w:fill="FFFFFF"/>
          </w:tcPr>
          <w:p w14:paraId="0F220188" w14:textId="77777777" w:rsidR="00574FBA" w:rsidRPr="00626C53" w:rsidRDefault="00574FBA" w:rsidP="009E040F">
            <w:pPr>
              <w:ind w:left="360"/>
              <w:rPr>
                <w:rFonts w:cstheme="minorHAnsi"/>
                <w:b/>
              </w:rPr>
            </w:pPr>
            <w:r w:rsidRPr="00626C53">
              <w:rPr>
                <w:rFonts w:cstheme="minorHAnsi"/>
                <w:b/>
              </w:rPr>
              <w:t>Date Change Requested</w:t>
            </w:r>
          </w:p>
        </w:tc>
        <w:tc>
          <w:tcPr>
            <w:tcW w:w="3173" w:type="dxa"/>
            <w:shd w:val="clear" w:color="auto" w:fill="FFFFFF"/>
          </w:tcPr>
          <w:p w14:paraId="26A179FA" w14:textId="77777777" w:rsidR="00574FBA" w:rsidRPr="00626C53" w:rsidRDefault="00574FBA" w:rsidP="009E040F">
            <w:pPr>
              <w:ind w:left="360"/>
              <w:rPr>
                <w:rFonts w:cstheme="minorHAnsi"/>
                <w:b/>
              </w:rPr>
            </w:pPr>
            <w:r w:rsidRPr="00626C53">
              <w:rPr>
                <w:rFonts w:cstheme="minorHAnsi"/>
                <w:b/>
              </w:rPr>
              <w:t>Date CCN Raised</w:t>
            </w:r>
          </w:p>
        </w:tc>
        <w:tc>
          <w:tcPr>
            <w:tcW w:w="2897" w:type="dxa"/>
            <w:shd w:val="clear" w:color="auto" w:fill="FFFFFF"/>
          </w:tcPr>
          <w:p w14:paraId="1BD12ECF" w14:textId="77777777" w:rsidR="00574FBA" w:rsidRPr="00626C53" w:rsidRDefault="00574FBA" w:rsidP="009E040F">
            <w:pPr>
              <w:ind w:left="360"/>
              <w:rPr>
                <w:rFonts w:cstheme="minorHAnsi"/>
                <w:b/>
              </w:rPr>
            </w:pPr>
            <w:r w:rsidRPr="00626C53">
              <w:rPr>
                <w:rFonts w:cstheme="minorHAnsi"/>
                <w:b/>
              </w:rPr>
              <w:t>Expiry date of CCN</w:t>
            </w:r>
          </w:p>
        </w:tc>
      </w:tr>
      <w:tr w:rsidR="00574FBA" w:rsidRPr="00626C53" w14:paraId="4D49D7FF" w14:textId="77777777" w:rsidTr="009E040F">
        <w:tc>
          <w:tcPr>
            <w:tcW w:w="3172" w:type="dxa"/>
            <w:shd w:val="clear" w:color="auto" w:fill="FFFFFF"/>
          </w:tcPr>
          <w:p w14:paraId="11C4DAEB" w14:textId="77777777" w:rsidR="00574FBA" w:rsidRPr="00626C53" w:rsidRDefault="00574FBA" w:rsidP="009E040F">
            <w:pPr>
              <w:ind w:left="360"/>
              <w:rPr>
                <w:rFonts w:cstheme="minorHAnsi"/>
              </w:rPr>
            </w:pPr>
          </w:p>
        </w:tc>
        <w:tc>
          <w:tcPr>
            <w:tcW w:w="3173" w:type="dxa"/>
            <w:shd w:val="clear" w:color="auto" w:fill="FFFFFF"/>
          </w:tcPr>
          <w:p w14:paraId="480F120F" w14:textId="77777777" w:rsidR="00574FBA" w:rsidRPr="00626C53" w:rsidRDefault="00574FBA" w:rsidP="009E040F">
            <w:pPr>
              <w:ind w:left="360"/>
              <w:rPr>
                <w:rFonts w:cstheme="minorHAnsi"/>
              </w:rPr>
            </w:pPr>
          </w:p>
        </w:tc>
        <w:tc>
          <w:tcPr>
            <w:tcW w:w="2897" w:type="dxa"/>
            <w:shd w:val="clear" w:color="auto" w:fill="FFFFFF"/>
          </w:tcPr>
          <w:p w14:paraId="05349521" w14:textId="77777777" w:rsidR="00574FBA" w:rsidRPr="00626C53" w:rsidRDefault="00574FBA" w:rsidP="009E040F">
            <w:pPr>
              <w:ind w:left="360"/>
              <w:rPr>
                <w:rFonts w:cstheme="minorHAnsi"/>
              </w:rPr>
            </w:pPr>
          </w:p>
        </w:tc>
      </w:tr>
    </w:tbl>
    <w:p w14:paraId="24F036A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626C53" w14:paraId="27816360" w14:textId="77777777" w:rsidTr="009E040F">
        <w:tc>
          <w:tcPr>
            <w:tcW w:w="9242" w:type="dxa"/>
            <w:gridSpan w:val="2"/>
            <w:shd w:val="clear" w:color="auto" w:fill="FFFFFF"/>
          </w:tcPr>
          <w:p w14:paraId="2E6D05B9" w14:textId="77777777" w:rsidR="00574FBA" w:rsidRPr="00626C53" w:rsidRDefault="00574FBA" w:rsidP="009E040F">
            <w:pPr>
              <w:ind w:left="360"/>
              <w:rPr>
                <w:rFonts w:cstheme="minorHAnsi"/>
                <w:b/>
              </w:rPr>
            </w:pPr>
            <w:r w:rsidRPr="00626C53">
              <w:rPr>
                <w:rFonts w:cstheme="minorHAnsi"/>
                <w:b/>
              </w:rPr>
              <w:t>Contact Information for the proposed change</w:t>
            </w:r>
          </w:p>
        </w:tc>
      </w:tr>
      <w:tr w:rsidR="00574FBA" w:rsidRPr="00626C53" w14:paraId="1A12BE03" w14:textId="77777777" w:rsidTr="009E040F">
        <w:tc>
          <w:tcPr>
            <w:tcW w:w="4621" w:type="dxa"/>
            <w:shd w:val="clear" w:color="auto" w:fill="FFFFFF"/>
          </w:tcPr>
          <w:p w14:paraId="29CE1332" w14:textId="77777777" w:rsidR="00574FBA" w:rsidRPr="00626C53" w:rsidRDefault="00574FBA" w:rsidP="009E040F">
            <w:pPr>
              <w:ind w:left="360"/>
              <w:rPr>
                <w:rFonts w:cstheme="minorHAnsi"/>
                <w:b/>
              </w:rPr>
            </w:pPr>
            <w:r w:rsidRPr="00626C53">
              <w:rPr>
                <w:rFonts w:cstheme="minorHAnsi"/>
                <w:b/>
              </w:rPr>
              <w:t>Originator</w:t>
            </w:r>
          </w:p>
        </w:tc>
        <w:tc>
          <w:tcPr>
            <w:tcW w:w="4621" w:type="dxa"/>
            <w:shd w:val="clear" w:color="auto" w:fill="FFFFFF"/>
          </w:tcPr>
          <w:p w14:paraId="61C33D47" w14:textId="77777777" w:rsidR="00574FBA" w:rsidRPr="00626C53" w:rsidRDefault="00574FBA" w:rsidP="009E040F">
            <w:pPr>
              <w:ind w:left="360"/>
              <w:rPr>
                <w:rFonts w:cstheme="minorHAnsi"/>
                <w:b/>
              </w:rPr>
            </w:pPr>
            <w:r w:rsidRPr="00626C53">
              <w:rPr>
                <w:rFonts w:cstheme="minorHAnsi"/>
                <w:b/>
              </w:rPr>
              <w:t>Other Parties</w:t>
            </w:r>
          </w:p>
        </w:tc>
      </w:tr>
      <w:tr w:rsidR="00574FBA" w:rsidRPr="00626C53" w14:paraId="6481162E" w14:textId="77777777" w:rsidTr="009E040F">
        <w:tc>
          <w:tcPr>
            <w:tcW w:w="4621" w:type="dxa"/>
            <w:shd w:val="clear" w:color="auto" w:fill="FFFFFF"/>
          </w:tcPr>
          <w:p w14:paraId="5C103E2C" w14:textId="77777777" w:rsidR="00574FBA" w:rsidRPr="00626C53" w:rsidRDefault="00574FBA" w:rsidP="009E040F">
            <w:pPr>
              <w:ind w:left="360"/>
              <w:rPr>
                <w:rFonts w:cstheme="minorHAnsi"/>
                <w:b/>
              </w:rPr>
            </w:pPr>
            <w:r w:rsidRPr="00626C53">
              <w:rPr>
                <w:rFonts w:cstheme="minorHAnsi"/>
                <w:b/>
              </w:rPr>
              <w:t>Name:</w:t>
            </w:r>
          </w:p>
          <w:p w14:paraId="762E09F4" w14:textId="77777777" w:rsidR="00574FBA" w:rsidRPr="00626C53" w:rsidRDefault="00574FBA" w:rsidP="009E040F">
            <w:pPr>
              <w:ind w:left="360"/>
              <w:rPr>
                <w:rFonts w:cstheme="minorHAnsi"/>
                <w:b/>
              </w:rPr>
            </w:pPr>
            <w:r w:rsidRPr="00626C53">
              <w:rPr>
                <w:rFonts w:cstheme="minorHAnsi"/>
                <w:b/>
              </w:rPr>
              <w:t>Company:</w:t>
            </w:r>
          </w:p>
          <w:p w14:paraId="5F40CC07" w14:textId="77777777" w:rsidR="00574FBA" w:rsidRPr="00626C53" w:rsidRDefault="00574FBA" w:rsidP="009E040F">
            <w:pPr>
              <w:ind w:left="360"/>
              <w:rPr>
                <w:rFonts w:cstheme="minorHAnsi"/>
                <w:b/>
              </w:rPr>
            </w:pPr>
            <w:r w:rsidRPr="00626C53">
              <w:rPr>
                <w:rFonts w:cstheme="minorHAnsi"/>
                <w:b/>
              </w:rPr>
              <w:t>Telephone:</w:t>
            </w:r>
          </w:p>
          <w:p w14:paraId="53E00215" w14:textId="77777777" w:rsidR="00574FBA" w:rsidRPr="00626C53" w:rsidRDefault="00574FBA" w:rsidP="009E040F">
            <w:pPr>
              <w:ind w:left="360"/>
              <w:rPr>
                <w:rFonts w:cstheme="minorHAnsi"/>
                <w:b/>
              </w:rPr>
            </w:pPr>
            <w:r w:rsidRPr="00626C53">
              <w:rPr>
                <w:rFonts w:cstheme="minorHAnsi"/>
                <w:b/>
              </w:rPr>
              <w:t>Email:</w:t>
            </w:r>
          </w:p>
        </w:tc>
        <w:tc>
          <w:tcPr>
            <w:tcW w:w="4621" w:type="dxa"/>
            <w:shd w:val="clear" w:color="auto" w:fill="FFFFFF"/>
          </w:tcPr>
          <w:p w14:paraId="53BCBBCA" w14:textId="77777777" w:rsidR="00574FBA" w:rsidRPr="00626C53" w:rsidRDefault="00574FBA" w:rsidP="009E040F">
            <w:pPr>
              <w:ind w:left="360"/>
              <w:rPr>
                <w:rFonts w:cstheme="minorHAnsi"/>
                <w:b/>
              </w:rPr>
            </w:pPr>
            <w:r w:rsidRPr="00626C53">
              <w:rPr>
                <w:rFonts w:cstheme="minorHAnsi"/>
                <w:b/>
              </w:rPr>
              <w:t>Name:</w:t>
            </w:r>
          </w:p>
          <w:p w14:paraId="0A7D1E43" w14:textId="77777777" w:rsidR="00574FBA" w:rsidRPr="00626C53" w:rsidRDefault="00574FBA" w:rsidP="009E040F">
            <w:pPr>
              <w:ind w:left="360"/>
              <w:rPr>
                <w:rFonts w:cstheme="minorHAnsi"/>
                <w:b/>
              </w:rPr>
            </w:pPr>
            <w:r w:rsidRPr="00626C53">
              <w:rPr>
                <w:rFonts w:cstheme="minorHAnsi"/>
                <w:b/>
              </w:rPr>
              <w:t>Company:</w:t>
            </w:r>
          </w:p>
          <w:p w14:paraId="7CFE96B3" w14:textId="77777777" w:rsidR="00574FBA" w:rsidRPr="00626C53" w:rsidRDefault="00574FBA" w:rsidP="009E040F">
            <w:pPr>
              <w:ind w:left="360"/>
              <w:rPr>
                <w:rFonts w:cstheme="minorHAnsi"/>
                <w:b/>
              </w:rPr>
            </w:pPr>
            <w:r w:rsidRPr="00626C53">
              <w:rPr>
                <w:rFonts w:cstheme="minorHAnsi"/>
                <w:b/>
              </w:rPr>
              <w:t>Telephone:</w:t>
            </w:r>
          </w:p>
          <w:p w14:paraId="4DE8513B" w14:textId="77777777" w:rsidR="00574FBA" w:rsidRPr="00626C53" w:rsidRDefault="00574FBA" w:rsidP="009E040F">
            <w:pPr>
              <w:ind w:left="360"/>
              <w:rPr>
                <w:rFonts w:cstheme="minorHAnsi"/>
              </w:rPr>
            </w:pPr>
            <w:r w:rsidRPr="00626C53">
              <w:rPr>
                <w:rFonts w:cstheme="minorHAnsi"/>
                <w:b/>
              </w:rPr>
              <w:t>Email:</w:t>
            </w:r>
          </w:p>
        </w:tc>
      </w:tr>
    </w:tbl>
    <w:p w14:paraId="473CC31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3D9AD13" w14:textId="77777777" w:rsidTr="009E040F">
        <w:tc>
          <w:tcPr>
            <w:tcW w:w="9242" w:type="dxa"/>
            <w:shd w:val="clear" w:color="auto" w:fill="FFFFFF"/>
          </w:tcPr>
          <w:p w14:paraId="011453A6" w14:textId="77777777" w:rsidR="00574FBA" w:rsidRPr="00626C53" w:rsidRDefault="00574FBA" w:rsidP="009E040F">
            <w:pPr>
              <w:ind w:left="360"/>
              <w:rPr>
                <w:rFonts w:cstheme="minorHAnsi"/>
                <w:b/>
              </w:rPr>
            </w:pPr>
            <w:r w:rsidRPr="00626C53">
              <w:rPr>
                <w:rFonts w:cstheme="minorHAnsi"/>
                <w:b/>
              </w:rPr>
              <w:t>Clauses and Schedules affected</w:t>
            </w:r>
          </w:p>
        </w:tc>
      </w:tr>
      <w:tr w:rsidR="00574FBA" w:rsidRPr="00626C53" w14:paraId="0990356A" w14:textId="77777777" w:rsidTr="009E040F">
        <w:tc>
          <w:tcPr>
            <w:tcW w:w="9242" w:type="dxa"/>
            <w:shd w:val="clear" w:color="auto" w:fill="FFFFFF"/>
          </w:tcPr>
          <w:p w14:paraId="50D153FF" w14:textId="77777777" w:rsidR="00574FBA" w:rsidRPr="00626C53" w:rsidRDefault="00574FBA" w:rsidP="009E040F">
            <w:pPr>
              <w:ind w:left="360"/>
              <w:rPr>
                <w:rFonts w:cstheme="minorHAnsi"/>
              </w:rPr>
            </w:pPr>
          </w:p>
        </w:tc>
      </w:tr>
    </w:tbl>
    <w:p w14:paraId="7C5DDA94"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626C53" w14:paraId="42723FA3" w14:textId="77777777" w:rsidTr="009E040F">
        <w:tc>
          <w:tcPr>
            <w:tcW w:w="9242" w:type="dxa"/>
            <w:gridSpan w:val="3"/>
            <w:shd w:val="clear" w:color="auto" w:fill="FFFFFF"/>
          </w:tcPr>
          <w:p w14:paraId="37974D03" w14:textId="77777777" w:rsidR="00574FBA" w:rsidRPr="00626C53" w:rsidRDefault="00574FBA" w:rsidP="009E040F">
            <w:pPr>
              <w:ind w:left="360"/>
              <w:rPr>
                <w:rFonts w:cstheme="minorHAnsi"/>
                <w:b/>
              </w:rPr>
            </w:pPr>
            <w:r w:rsidRPr="00626C53">
              <w:rPr>
                <w:rFonts w:cstheme="minorHAnsi"/>
                <w:b/>
              </w:rPr>
              <w:lastRenderedPageBreak/>
              <w:t>Associated Change Control Notices</w:t>
            </w:r>
          </w:p>
        </w:tc>
      </w:tr>
      <w:tr w:rsidR="00574FBA" w:rsidRPr="00626C53" w14:paraId="31BB7D03" w14:textId="77777777" w:rsidTr="009E040F">
        <w:tc>
          <w:tcPr>
            <w:tcW w:w="2376" w:type="dxa"/>
            <w:shd w:val="clear" w:color="auto" w:fill="FFFFFF"/>
          </w:tcPr>
          <w:p w14:paraId="340017FF" w14:textId="77777777" w:rsidR="00574FBA" w:rsidRPr="00626C53" w:rsidRDefault="00574FBA" w:rsidP="009E040F">
            <w:pPr>
              <w:ind w:left="360"/>
              <w:rPr>
                <w:rFonts w:cstheme="minorHAnsi"/>
                <w:b/>
                <w:i/>
              </w:rPr>
            </w:pPr>
            <w:r w:rsidRPr="00626C53">
              <w:rPr>
                <w:rFonts w:cstheme="minorHAnsi"/>
                <w:b/>
                <w:i/>
              </w:rPr>
              <w:t>CCN No.</w:t>
            </w:r>
          </w:p>
        </w:tc>
        <w:tc>
          <w:tcPr>
            <w:tcW w:w="4820" w:type="dxa"/>
            <w:shd w:val="clear" w:color="auto" w:fill="FFFFFF"/>
          </w:tcPr>
          <w:p w14:paraId="02A56BEE" w14:textId="77777777" w:rsidR="00574FBA" w:rsidRPr="00626C53" w:rsidRDefault="00574FBA" w:rsidP="009E040F">
            <w:pPr>
              <w:ind w:left="360"/>
              <w:rPr>
                <w:rFonts w:cstheme="minorHAnsi"/>
                <w:b/>
                <w:i/>
              </w:rPr>
            </w:pPr>
            <w:r w:rsidRPr="00626C53">
              <w:rPr>
                <w:rFonts w:cstheme="minorHAnsi"/>
                <w:b/>
                <w:i/>
              </w:rPr>
              <w:t>Name of Agreement</w:t>
            </w:r>
          </w:p>
        </w:tc>
        <w:tc>
          <w:tcPr>
            <w:tcW w:w="2046" w:type="dxa"/>
            <w:shd w:val="clear" w:color="auto" w:fill="FFFFFF"/>
          </w:tcPr>
          <w:p w14:paraId="1F2A3838" w14:textId="77777777" w:rsidR="00574FBA" w:rsidRPr="00626C53" w:rsidRDefault="00574FBA" w:rsidP="009E040F">
            <w:pPr>
              <w:ind w:left="360"/>
              <w:rPr>
                <w:rFonts w:cstheme="minorHAnsi"/>
                <w:b/>
                <w:i/>
              </w:rPr>
            </w:pPr>
            <w:r w:rsidRPr="00626C53">
              <w:rPr>
                <w:rFonts w:cstheme="minorHAnsi"/>
                <w:b/>
                <w:i/>
              </w:rPr>
              <w:t>Date of Agreement</w:t>
            </w:r>
          </w:p>
        </w:tc>
      </w:tr>
      <w:tr w:rsidR="00574FBA" w:rsidRPr="00626C53" w14:paraId="3AB061D6" w14:textId="77777777" w:rsidTr="009E040F">
        <w:tc>
          <w:tcPr>
            <w:tcW w:w="2376" w:type="dxa"/>
            <w:shd w:val="clear" w:color="auto" w:fill="FFFFFF"/>
          </w:tcPr>
          <w:p w14:paraId="00B79D35" w14:textId="77777777" w:rsidR="00574FBA" w:rsidRPr="00626C53" w:rsidRDefault="00574FBA" w:rsidP="009E040F">
            <w:pPr>
              <w:ind w:left="360"/>
              <w:rPr>
                <w:rFonts w:cstheme="minorHAnsi"/>
              </w:rPr>
            </w:pPr>
          </w:p>
        </w:tc>
        <w:tc>
          <w:tcPr>
            <w:tcW w:w="4820" w:type="dxa"/>
            <w:shd w:val="clear" w:color="auto" w:fill="FFFFFF"/>
          </w:tcPr>
          <w:p w14:paraId="1F16A7D0" w14:textId="77777777" w:rsidR="00574FBA" w:rsidRPr="00626C53" w:rsidRDefault="00574FBA" w:rsidP="009E040F">
            <w:pPr>
              <w:ind w:left="360"/>
              <w:rPr>
                <w:rFonts w:cstheme="minorHAnsi"/>
              </w:rPr>
            </w:pPr>
          </w:p>
        </w:tc>
        <w:tc>
          <w:tcPr>
            <w:tcW w:w="2046" w:type="dxa"/>
            <w:shd w:val="clear" w:color="auto" w:fill="FFFFFF"/>
          </w:tcPr>
          <w:p w14:paraId="43309AD3" w14:textId="77777777" w:rsidR="00574FBA" w:rsidRPr="00626C53" w:rsidRDefault="00574FBA" w:rsidP="009E040F">
            <w:pPr>
              <w:ind w:left="360"/>
              <w:rPr>
                <w:rFonts w:cstheme="minorHAnsi"/>
              </w:rPr>
            </w:pPr>
          </w:p>
        </w:tc>
      </w:tr>
    </w:tbl>
    <w:p w14:paraId="1BA6345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089A5BB3" w14:textId="77777777" w:rsidTr="009E040F">
        <w:tc>
          <w:tcPr>
            <w:tcW w:w="9242" w:type="dxa"/>
            <w:shd w:val="clear" w:color="auto" w:fill="FFFFFF"/>
          </w:tcPr>
          <w:p w14:paraId="5232F97F" w14:textId="77777777" w:rsidR="00574FBA" w:rsidRPr="00626C53" w:rsidRDefault="00574FBA" w:rsidP="009E040F">
            <w:pPr>
              <w:ind w:left="360"/>
              <w:rPr>
                <w:rFonts w:cstheme="minorHAnsi"/>
                <w:b/>
              </w:rPr>
            </w:pPr>
            <w:r w:rsidRPr="00626C53">
              <w:rPr>
                <w:rFonts w:cstheme="minorHAnsi"/>
                <w:b/>
              </w:rPr>
              <w:t>Reason for change</w:t>
            </w:r>
          </w:p>
        </w:tc>
      </w:tr>
      <w:tr w:rsidR="00574FBA" w:rsidRPr="00626C53" w14:paraId="73137846" w14:textId="77777777" w:rsidTr="009E040F">
        <w:tc>
          <w:tcPr>
            <w:tcW w:w="9242" w:type="dxa"/>
            <w:shd w:val="clear" w:color="auto" w:fill="FFFFFF"/>
          </w:tcPr>
          <w:p w14:paraId="24BC9E59" w14:textId="77777777" w:rsidR="00574FBA" w:rsidRPr="00626C53" w:rsidRDefault="00574FBA" w:rsidP="009E040F">
            <w:pPr>
              <w:rPr>
                <w:rFonts w:cstheme="minorHAnsi"/>
              </w:rPr>
            </w:pPr>
          </w:p>
        </w:tc>
      </w:tr>
    </w:tbl>
    <w:p w14:paraId="4CF9FB42"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537696E" w14:textId="77777777" w:rsidTr="009E040F">
        <w:tc>
          <w:tcPr>
            <w:tcW w:w="9242" w:type="dxa"/>
            <w:shd w:val="clear" w:color="auto" w:fill="FFFFFF"/>
          </w:tcPr>
          <w:p w14:paraId="2D28E71F" w14:textId="77777777" w:rsidR="00574FBA" w:rsidRPr="00626C53" w:rsidRDefault="00574FBA" w:rsidP="009E040F">
            <w:pPr>
              <w:ind w:left="360"/>
              <w:rPr>
                <w:rFonts w:cstheme="minorHAnsi"/>
                <w:b/>
              </w:rPr>
            </w:pPr>
            <w:r w:rsidRPr="00626C53">
              <w:rPr>
                <w:rFonts w:cstheme="minorHAnsi"/>
                <w:b/>
              </w:rPr>
              <w:t>Description of Change</w:t>
            </w:r>
          </w:p>
        </w:tc>
      </w:tr>
      <w:tr w:rsidR="00574FBA" w:rsidRPr="00626C53" w14:paraId="32985446" w14:textId="77777777" w:rsidTr="009E040F">
        <w:tc>
          <w:tcPr>
            <w:tcW w:w="9242" w:type="dxa"/>
            <w:shd w:val="clear" w:color="auto" w:fill="FFFFFF"/>
          </w:tcPr>
          <w:p w14:paraId="09D45A49" w14:textId="77777777" w:rsidR="00574FBA" w:rsidRPr="00626C53" w:rsidRDefault="00574FBA" w:rsidP="009E040F">
            <w:pPr>
              <w:rPr>
                <w:rFonts w:cstheme="minorHAnsi"/>
              </w:rPr>
            </w:pPr>
          </w:p>
        </w:tc>
      </w:tr>
    </w:tbl>
    <w:p w14:paraId="18E5CC4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FA7ECEA" w14:textId="77777777" w:rsidTr="009E040F">
        <w:tc>
          <w:tcPr>
            <w:tcW w:w="9242" w:type="dxa"/>
            <w:shd w:val="clear" w:color="auto" w:fill="FFFFFF"/>
          </w:tcPr>
          <w:p w14:paraId="42DAD19B" w14:textId="77777777" w:rsidR="00574FBA" w:rsidRPr="00626C53" w:rsidRDefault="00574FBA" w:rsidP="009E040F">
            <w:pPr>
              <w:ind w:left="360"/>
              <w:rPr>
                <w:rFonts w:cstheme="minorHAnsi"/>
                <w:b/>
              </w:rPr>
            </w:pPr>
            <w:r w:rsidRPr="00626C53">
              <w:rPr>
                <w:rFonts w:cstheme="minorHAnsi"/>
                <w:b/>
              </w:rPr>
              <w:t xml:space="preserve">Changes to contract </w:t>
            </w:r>
          </w:p>
        </w:tc>
      </w:tr>
      <w:tr w:rsidR="00574FBA" w:rsidRPr="00626C53" w14:paraId="44ACD33B" w14:textId="77777777" w:rsidTr="009E040F">
        <w:tc>
          <w:tcPr>
            <w:tcW w:w="9242" w:type="dxa"/>
            <w:shd w:val="clear" w:color="auto" w:fill="FFFFFF"/>
          </w:tcPr>
          <w:p w14:paraId="4838C365" w14:textId="77777777" w:rsidR="00574FBA" w:rsidRPr="00626C53" w:rsidRDefault="00574FBA" w:rsidP="009E040F">
            <w:pPr>
              <w:rPr>
                <w:rFonts w:cstheme="minorHAnsi"/>
              </w:rPr>
            </w:pPr>
          </w:p>
        </w:tc>
      </w:tr>
    </w:tbl>
    <w:p w14:paraId="35305A99" w14:textId="77777777" w:rsidR="00574FBA" w:rsidRPr="00626C53" w:rsidRDefault="00574FBA" w:rsidP="00574FBA">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5EB65C72" w14:textId="77777777" w:rsidTr="009E040F">
        <w:tc>
          <w:tcPr>
            <w:tcW w:w="9242" w:type="dxa"/>
            <w:shd w:val="clear" w:color="auto" w:fill="FFFFFF"/>
          </w:tcPr>
          <w:p w14:paraId="1B106318" w14:textId="77777777" w:rsidR="00574FBA" w:rsidRPr="00626C53" w:rsidRDefault="00574FBA" w:rsidP="009E040F">
            <w:pPr>
              <w:ind w:left="360"/>
              <w:rPr>
                <w:rFonts w:cstheme="minorHAnsi"/>
                <w:b/>
              </w:rPr>
            </w:pPr>
            <w:r w:rsidRPr="00626C53">
              <w:rPr>
                <w:rFonts w:cstheme="minorHAnsi"/>
                <w:b/>
              </w:rPr>
              <w:t>Impact of change on other agreement provisions</w:t>
            </w:r>
          </w:p>
        </w:tc>
      </w:tr>
      <w:tr w:rsidR="00574FBA" w:rsidRPr="00626C53" w14:paraId="098A9E4A" w14:textId="77777777" w:rsidTr="009E040F">
        <w:tc>
          <w:tcPr>
            <w:tcW w:w="9242" w:type="dxa"/>
            <w:shd w:val="clear" w:color="auto" w:fill="FFFFFF"/>
          </w:tcPr>
          <w:p w14:paraId="15055B42" w14:textId="77777777" w:rsidR="00574FBA" w:rsidRPr="00626C53" w:rsidRDefault="00574FBA" w:rsidP="009E040F">
            <w:pPr>
              <w:rPr>
                <w:rFonts w:cstheme="minorHAnsi"/>
              </w:rPr>
            </w:pPr>
          </w:p>
        </w:tc>
      </w:tr>
    </w:tbl>
    <w:p w14:paraId="25E72FE9"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626C53" w14:paraId="120AF5C4" w14:textId="77777777" w:rsidTr="009E040F">
        <w:tc>
          <w:tcPr>
            <w:tcW w:w="9242" w:type="dxa"/>
            <w:shd w:val="clear" w:color="auto" w:fill="FFFFFF"/>
          </w:tcPr>
          <w:p w14:paraId="3125CBDF" w14:textId="77777777" w:rsidR="00574FBA" w:rsidRPr="00626C53" w:rsidRDefault="00574FBA" w:rsidP="009E040F">
            <w:pPr>
              <w:ind w:left="360"/>
              <w:rPr>
                <w:rFonts w:cstheme="minorHAnsi"/>
                <w:b/>
              </w:rPr>
            </w:pPr>
            <w:r w:rsidRPr="00626C53">
              <w:rPr>
                <w:rFonts w:cstheme="minorHAnsi"/>
                <w:b/>
              </w:rPr>
              <w:t>Timetable for implementation</w:t>
            </w:r>
          </w:p>
        </w:tc>
      </w:tr>
      <w:tr w:rsidR="00574FBA" w:rsidRPr="00626C53" w14:paraId="4842C198" w14:textId="77777777" w:rsidTr="009E040F">
        <w:tc>
          <w:tcPr>
            <w:tcW w:w="9242" w:type="dxa"/>
            <w:shd w:val="clear" w:color="auto" w:fill="FFFFFF"/>
          </w:tcPr>
          <w:p w14:paraId="49832C2E" w14:textId="77777777" w:rsidR="00574FBA" w:rsidRPr="00626C53" w:rsidRDefault="00574FBA" w:rsidP="009E040F">
            <w:pPr>
              <w:rPr>
                <w:rFonts w:cstheme="minorHAnsi"/>
              </w:rPr>
            </w:pPr>
          </w:p>
        </w:tc>
      </w:tr>
    </w:tbl>
    <w:p w14:paraId="4409B8BD" w14:textId="30AB819A" w:rsidR="00D97A5A" w:rsidRPr="00626C53" w:rsidRDefault="00D97A5A" w:rsidP="00574FBA">
      <w:pPr>
        <w:ind w:left="360"/>
        <w:rPr>
          <w:rFonts w:cstheme="minorHAnsi"/>
        </w:rPr>
      </w:pPr>
    </w:p>
    <w:p w14:paraId="3E97D114" w14:textId="77777777" w:rsidR="00D97A5A" w:rsidRPr="00626C53" w:rsidRDefault="00D97A5A">
      <w:pPr>
        <w:spacing w:after="0" w:line="240" w:lineRule="auto"/>
        <w:rPr>
          <w:rFonts w:cstheme="minorHAnsi"/>
        </w:rPr>
      </w:pPr>
      <w:r w:rsidRPr="00626C53">
        <w:rPr>
          <w:rFonts w:cstheme="minorHAnsi"/>
        </w:rPr>
        <w:br w:type="page"/>
      </w:r>
    </w:p>
    <w:p w14:paraId="55AB88CA" w14:textId="77777777" w:rsidR="00574FBA" w:rsidRPr="00626C53" w:rsidRDefault="00574FBA" w:rsidP="00574FBA">
      <w:pPr>
        <w:ind w:left="36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626C53" w14:paraId="75757B69" w14:textId="77777777" w:rsidTr="009E040F">
        <w:tc>
          <w:tcPr>
            <w:tcW w:w="9242" w:type="dxa"/>
            <w:gridSpan w:val="2"/>
            <w:shd w:val="clear" w:color="auto" w:fill="FFFFFF"/>
          </w:tcPr>
          <w:p w14:paraId="4401004E" w14:textId="77777777" w:rsidR="00574FBA" w:rsidRPr="00626C53" w:rsidRDefault="00574FBA" w:rsidP="009E040F">
            <w:pPr>
              <w:ind w:left="360"/>
              <w:rPr>
                <w:rFonts w:cstheme="minorHAnsi"/>
                <w:b/>
              </w:rPr>
            </w:pPr>
            <w:r w:rsidRPr="00626C53">
              <w:rPr>
                <w:rFonts w:cstheme="minorHAnsi"/>
                <w:b/>
              </w:rPr>
              <w:t>Acceptance</w:t>
            </w:r>
          </w:p>
        </w:tc>
      </w:tr>
      <w:tr w:rsidR="00574FBA" w:rsidRPr="00626C53" w14:paraId="199EEF74" w14:textId="77777777" w:rsidTr="009E040F">
        <w:tc>
          <w:tcPr>
            <w:tcW w:w="3227" w:type="dxa"/>
            <w:shd w:val="clear" w:color="auto" w:fill="FFFFFF"/>
          </w:tcPr>
          <w:p w14:paraId="370C6B7F" w14:textId="77777777" w:rsidR="00574FBA" w:rsidRPr="00626C53" w:rsidRDefault="00574FBA" w:rsidP="009E040F">
            <w:pPr>
              <w:rPr>
                <w:rFonts w:cstheme="minorHAnsi"/>
                <w:b/>
              </w:rPr>
            </w:pPr>
            <w:r w:rsidRPr="00626C53">
              <w:rPr>
                <w:rFonts w:cstheme="minorHAnsi"/>
                <w:b/>
              </w:rPr>
              <w:t>Signed for and on behalf of PROVIDER</w:t>
            </w:r>
          </w:p>
        </w:tc>
        <w:tc>
          <w:tcPr>
            <w:tcW w:w="6015" w:type="dxa"/>
            <w:shd w:val="clear" w:color="auto" w:fill="FFFFFF"/>
          </w:tcPr>
          <w:p w14:paraId="7284C6D1" w14:textId="77777777" w:rsidR="00574FBA" w:rsidRPr="00626C53" w:rsidRDefault="00574FBA" w:rsidP="009E040F">
            <w:pPr>
              <w:ind w:left="360"/>
              <w:rPr>
                <w:rFonts w:cstheme="minorHAnsi"/>
                <w:b/>
              </w:rPr>
            </w:pPr>
            <w:r w:rsidRPr="00626C53">
              <w:rPr>
                <w:rFonts w:cstheme="minorHAnsi"/>
                <w:b/>
              </w:rPr>
              <w:t>Signed:</w:t>
            </w:r>
          </w:p>
          <w:p w14:paraId="6ACC3E67" w14:textId="77777777" w:rsidR="00574FBA" w:rsidRPr="00626C53" w:rsidRDefault="00574FBA" w:rsidP="009E040F">
            <w:pPr>
              <w:ind w:left="360"/>
              <w:rPr>
                <w:rFonts w:cstheme="minorHAnsi"/>
                <w:b/>
              </w:rPr>
            </w:pPr>
            <w:r w:rsidRPr="00626C53">
              <w:rPr>
                <w:rFonts w:cstheme="minorHAnsi"/>
                <w:b/>
              </w:rPr>
              <w:t>Print name</w:t>
            </w:r>
          </w:p>
          <w:p w14:paraId="3882E6A3" w14:textId="77777777" w:rsidR="00574FBA" w:rsidRPr="00626C53" w:rsidRDefault="00574FBA" w:rsidP="009E040F">
            <w:pPr>
              <w:ind w:left="360"/>
              <w:rPr>
                <w:rFonts w:cstheme="minorHAnsi"/>
                <w:b/>
              </w:rPr>
            </w:pPr>
            <w:r w:rsidRPr="00626C53">
              <w:rPr>
                <w:rFonts w:cstheme="minorHAnsi"/>
                <w:b/>
              </w:rPr>
              <w:t>Title:</w:t>
            </w:r>
          </w:p>
          <w:p w14:paraId="10D6C060" w14:textId="77777777" w:rsidR="00574FBA" w:rsidRPr="00626C53" w:rsidRDefault="00574FBA" w:rsidP="009E040F">
            <w:pPr>
              <w:ind w:left="360"/>
              <w:rPr>
                <w:rFonts w:cstheme="minorHAnsi"/>
              </w:rPr>
            </w:pPr>
            <w:r w:rsidRPr="00626C53">
              <w:rPr>
                <w:rFonts w:cstheme="minorHAnsi"/>
                <w:b/>
              </w:rPr>
              <w:t>Date:</w:t>
            </w:r>
          </w:p>
        </w:tc>
      </w:tr>
      <w:tr w:rsidR="00574FBA" w:rsidRPr="00626C53" w14:paraId="02E2E928" w14:textId="77777777" w:rsidTr="009E040F">
        <w:tc>
          <w:tcPr>
            <w:tcW w:w="3227" w:type="dxa"/>
            <w:shd w:val="clear" w:color="auto" w:fill="FFFFFF"/>
          </w:tcPr>
          <w:p w14:paraId="0155010C" w14:textId="77777777" w:rsidR="00574FBA" w:rsidRPr="00626C53" w:rsidRDefault="00574FBA" w:rsidP="009E040F">
            <w:pPr>
              <w:rPr>
                <w:rFonts w:cstheme="minorHAnsi"/>
              </w:rPr>
            </w:pPr>
            <w:r w:rsidRPr="00626C53">
              <w:rPr>
                <w:rFonts w:cstheme="minorHAnsi"/>
                <w:b/>
              </w:rPr>
              <w:t>Signed for and on behalf of HEE</w:t>
            </w:r>
          </w:p>
        </w:tc>
        <w:tc>
          <w:tcPr>
            <w:tcW w:w="6015" w:type="dxa"/>
            <w:shd w:val="clear" w:color="auto" w:fill="FFFFFF"/>
          </w:tcPr>
          <w:p w14:paraId="3515DCE9" w14:textId="77777777" w:rsidR="00574FBA" w:rsidRPr="00626C53" w:rsidRDefault="00574FBA" w:rsidP="009E040F">
            <w:pPr>
              <w:ind w:left="360"/>
              <w:rPr>
                <w:rFonts w:cstheme="minorHAnsi"/>
              </w:rPr>
            </w:pPr>
          </w:p>
          <w:p w14:paraId="22C8AF4A" w14:textId="77777777" w:rsidR="00574FBA" w:rsidRPr="00626C53" w:rsidRDefault="00574FBA" w:rsidP="009E040F">
            <w:pPr>
              <w:ind w:left="360"/>
              <w:rPr>
                <w:rFonts w:cstheme="minorHAnsi"/>
                <w:b/>
              </w:rPr>
            </w:pPr>
            <w:r w:rsidRPr="00626C53">
              <w:rPr>
                <w:rFonts w:cstheme="minorHAnsi"/>
                <w:b/>
              </w:rPr>
              <w:t>Signed:</w:t>
            </w:r>
          </w:p>
          <w:p w14:paraId="07F9644B" w14:textId="77777777" w:rsidR="00574FBA" w:rsidRPr="00626C53" w:rsidRDefault="00574FBA" w:rsidP="009E040F">
            <w:pPr>
              <w:ind w:left="360"/>
              <w:rPr>
                <w:rFonts w:cstheme="minorHAnsi"/>
                <w:b/>
              </w:rPr>
            </w:pPr>
            <w:r w:rsidRPr="00626C53">
              <w:rPr>
                <w:rFonts w:cstheme="minorHAnsi"/>
                <w:b/>
              </w:rPr>
              <w:t>Print name</w:t>
            </w:r>
          </w:p>
          <w:p w14:paraId="05894823" w14:textId="77777777" w:rsidR="00574FBA" w:rsidRPr="00626C53" w:rsidRDefault="00574FBA" w:rsidP="009E040F">
            <w:pPr>
              <w:ind w:left="360"/>
              <w:rPr>
                <w:rFonts w:cstheme="minorHAnsi"/>
                <w:b/>
              </w:rPr>
            </w:pPr>
            <w:r w:rsidRPr="00626C53">
              <w:rPr>
                <w:rFonts w:cstheme="minorHAnsi"/>
                <w:b/>
              </w:rPr>
              <w:t>Title:</w:t>
            </w:r>
          </w:p>
          <w:p w14:paraId="7EA108FE" w14:textId="77777777" w:rsidR="00574FBA" w:rsidRPr="00626C53" w:rsidRDefault="00574FBA" w:rsidP="009E040F">
            <w:pPr>
              <w:ind w:left="360"/>
              <w:rPr>
                <w:rFonts w:cstheme="minorHAnsi"/>
              </w:rPr>
            </w:pPr>
            <w:r w:rsidRPr="00626C53">
              <w:rPr>
                <w:rFonts w:cstheme="minorHAnsi"/>
                <w:b/>
              </w:rPr>
              <w:t>Date:</w:t>
            </w:r>
          </w:p>
        </w:tc>
      </w:tr>
    </w:tbl>
    <w:p w14:paraId="56175C8D" w14:textId="77777777" w:rsidR="00574FBA" w:rsidRPr="00626C53" w:rsidRDefault="00574FBA" w:rsidP="00574FBA">
      <w:pPr>
        <w:ind w:left="360"/>
        <w:rPr>
          <w:rFonts w:cstheme="minorHAnsi"/>
        </w:rPr>
      </w:pPr>
    </w:p>
    <w:p w14:paraId="59466FD4" w14:textId="77777777" w:rsidR="00574FBA" w:rsidRPr="00626C53" w:rsidRDefault="00574FBA" w:rsidP="00574FBA">
      <w:pPr>
        <w:suppressAutoHyphens/>
        <w:autoSpaceDN w:val="0"/>
        <w:spacing w:after="0"/>
        <w:ind w:left="360"/>
        <w:textAlignment w:val="baseline"/>
        <w:rPr>
          <w:rFonts w:cstheme="minorHAnsi"/>
          <w:lang w:eastAsia="ja-JP"/>
        </w:rPr>
      </w:pPr>
    </w:p>
    <w:p w14:paraId="09EBAB51" w14:textId="77777777" w:rsidR="00971750" w:rsidRPr="00626C53" w:rsidRDefault="00971750" w:rsidP="00971750">
      <w:pPr>
        <w:spacing w:after="0" w:line="240" w:lineRule="auto"/>
        <w:rPr>
          <w:rFonts w:eastAsia="Times New Roman" w:cstheme="minorHAnsi"/>
          <w:lang w:val="en-GB" w:eastAsia="en-GB"/>
        </w:rPr>
      </w:pPr>
    </w:p>
    <w:p w14:paraId="3E293D00" w14:textId="77777777" w:rsidR="00971750" w:rsidRPr="00626C53" w:rsidRDefault="00971750" w:rsidP="00971750">
      <w:pPr>
        <w:spacing w:after="0" w:line="240" w:lineRule="auto"/>
        <w:rPr>
          <w:rFonts w:eastAsia="Times New Roman" w:cstheme="minorHAnsi"/>
          <w:lang w:val="en-GB" w:eastAsia="en-GB"/>
        </w:rPr>
      </w:pPr>
    </w:p>
    <w:p w14:paraId="4F1604F0" w14:textId="77777777" w:rsidR="00971750" w:rsidRPr="00626C53" w:rsidRDefault="00971750" w:rsidP="00971750">
      <w:pPr>
        <w:spacing w:after="0" w:line="240" w:lineRule="auto"/>
        <w:rPr>
          <w:rFonts w:eastAsia="Times New Roman" w:cstheme="minorHAnsi"/>
          <w:lang w:val="en-GB" w:eastAsia="en-GB"/>
        </w:rPr>
      </w:pPr>
    </w:p>
    <w:p w14:paraId="18BD15C2" w14:textId="77777777" w:rsidR="00F66E28" w:rsidRPr="00626C53" w:rsidRDefault="00F66E28">
      <w:pPr>
        <w:spacing w:after="0" w:line="240" w:lineRule="auto"/>
        <w:rPr>
          <w:rFonts w:eastAsia="Arial Unicode MS" w:cstheme="minorHAnsi"/>
          <w:b/>
          <w:color w:val="000000"/>
        </w:rPr>
      </w:pPr>
    </w:p>
    <w:sectPr w:rsidR="00F66E28" w:rsidRPr="00626C53" w:rsidSect="009C5AF1">
      <w:footerReference w:type="default" r:id="rId124"/>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1622" w14:textId="77777777" w:rsidR="0061313A" w:rsidRDefault="0061313A">
      <w:pPr>
        <w:spacing w:after="0" w:line="240" w:lineRule="auto"/>
      </w:pPr>
      <w:r>
        <w:separator/>
      </w:r>
    </w:p>
  </w:endnote>
  <w:endnote w:type="continuationSeparator" w:id="0">
    <w:p w14:paraId="1C8743A3" w14:textId="77777777" w:rsidR="0061313A" w:rsidRDefault="0061313A">
      <w:pPr>
        <w:spacing w:after="0" w:line="240" w:lineRule="auto"/>
      </w:pPr>
      <w:r>
        <w:continuationSeparator/>
      </w:r>
    </w:p>
  </w:endnote>
  <w:endnote w:type="continuationNotice" w:id="1">
    <w:p w14:paraId="3A1A1275" w14:textId="77777777" w:rsidR="0061313A" w:rsidRDefault="00613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90D1" w14:textId="77777777" w:rsidR="00A25FEE" w:rsidRDefault="00A25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36C" w14:textId="77777777" w:rsidR="00A25FEE" w:rsidRDefault="00A2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A3E7" w14:textId="77777777" w:rsidR="00A25FEE" w:rsidRDefault="00A25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CF5F479" w:rsidR="00AF2200" w:rsidRPr="00AF74CF" w:rsidRDefault="00A25FEE" w:rsidP="00A25FEE">
    <w:pPr>
      <w:tabs>
        <w:tab w:val="left" w:pos="4455"/>
        <w:tab w:val="center" w:pos="4680"/>
      </w:tabs>
      <w:rPr>
        <w:rFonts w:cs="Arial"/>
      </w:rPr>
    </w:pPr>
    <w:r>
      <w:rPr>
        <w:rFonts w:cs="Arial"/>
      </w:rPr>
      <w:tab/>
    </w:r>
    <w:r>
      <w:rPr>
        <w:rFonts w:cs="Arial"/>
      </w:rPr>
      <w:tab/>
    </w:r>
    <w:r w:rsidR="00AF2200" w:rsidRPr="00AF74CF">
      <w:rPr>
        <w:rFonts w:cs="Arial"/>
      </w:rPr>
      <w:fldChar w:fldCharType="begin"/>
    </w:r>
    <w:r w:rsidR="00AF2200" w:rsidRPr="00AF74CF">
      <w:rPr>
        <w:rFonts w:cs="Arial"/>
      </w:rPr>
      <w:instrText>PAGE</w:instrText>
    </w:r>
    <w:r w:rsidR="00AF2200" w:rsidRPr="00AF74CF">
      <w:rPr>
        <w:rFonts w:cs="Arial"/>
      </w:rPr>
      <w:fldChar w:fldCharType="separate"/>
    </w:r>
    <w:r w:rsidR="00AF2200">
      <w:rPr>
        <w:rFonts w:cs="Arial"/>
        <w:noProof/>
      </w:rPr>
      <w:t>61</w:t>
    </w:r>
    <w:r w:rsidR="00AF2200"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47E4" w14:textId="77777777" w:rsidR="0061313A" w:rsidRDefault="0061313A">
      <w:pPr>
        <w:spacing w:after="0" w:line="240" w:lineRule="auto"/>
      </w:pPr>
      <w:r>
        <w:separator/>
      </w:r>
    </w:p>
  </w:footnote>
  <w:footnote w:type="continuationSeparator" w:id="0">
    <w:p w14:paraId="35D953ED" w14:textId="77777777" w:rsidR="0061313A" w:rsidRDefault="0061313A">
      <w:pPr>
        <w:spacing w:after="0" w:line="240" w:lineRule="auto"/>
      </w:pPr>
      <w:r>
        <w:continuationSeparator/>
      </w:r>
    </w:p>
  </w:footnote>
  <w:footnote w:type="continuationNotice" w:id="1">
    <w:p w14:paraId="4DED3A37" w14:textId="77777777" w:rsidR="0061313A" w:rsidRDefault="00613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B724" w14:textId="77777777" w:rsidR="00A25FEE" w:rsidRDefault="00A2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6372" w14:textId="77777777" w:rsidR="00A25FEE" w:rsidRDefault="00A25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311563"/>
    <w:multiLevelType w:val="multilevel"/>
    <w:tmpl w:val="2CA04F70"/>
    <w:lvl w:ilvl="0">
      <w:start w:val="1"/>
      <w:numFmt w:val="decimal"/>
      <w:lvlText w:val="%1"/>
      <w:lvlJc w:val="left"/>
      <w:pPr>
        <w:tabs>
          <w:tab w:val="num" w:pos="720"/>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25"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7"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9"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7"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8"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9"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2"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3"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4"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5"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6"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8"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1"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2"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4"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5"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6"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7"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8"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0"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4"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5"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7"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0"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60"/>
  </w:num>
  <w:num w:numId="3">
    <w:abstractNumId w:val="29"/>
  </w:num>
  <w:num w:numId="4">
    <w:abstractNumId w:val="71"/>
  </w:num>
  <w:num w:numId="5">
    <w:abstractNumId w:val="66"/>
  </w:num>
  <w:num w:numId="6">
    <w:abstractNumId w:val="21"/>
  </w:num>
  <w:num w:numId="7">
    <w:abstractNumId w:val="36"/>
  </w:num>
  <w:num w:numId="8">
    <w:abstractNumId w:val="31"/>
  </w:num>
  <w:num w:numId="9">
    <w:abstractNumId w:val="26"/>
  </w:num>
  <w:num w:numId="10">
    <w:abstractNumId w:val="51"/>
  </w:num>
  <w:num w:numId="11">
    <w:abstractNumId w:val="23"/>
  </w:num>
  <w:num w:numId="12">
    <w:abstractNumId w:val="50"/>
  </w:num>
  <w:num w:numId="13">
    <w:abstractNumId w:val="53"/>
  </w:num>
  <w:num w:numId="14">
    <w:abstractNumId w:val="37"/>
  </w:num>
  <w:num w:numId="15">
    <w:abstractNumId w:val="44"/>
  </w:num>
  <w:num w:numId="16">
    <w:abstractNumId w:val="42"/>
  </w:num>
  <w:num w:numId="17">
    <w:abstractNumId w:val="43"/>
  </w:num>
  <w:num w:numId="18">
    <w:abstractNumId w:val="41"/>
  </w:num>
  <w:num w:numId="19">
    <w:abstractNumId w:val="28"/>
  </w:num>
  <w:num w:numId="20">
    <w:abstractNumId w:val="56"/>
  </w:num>
  <w:num w:numId="21">
    <w:abstractNumId w:val="3"/>
  </w:num>
  <w:num w:numId="22">
    <w:abstractNumId w:val="10"/>
  </w:num>
  <w:num w:numId="23">
    <w:abstractNumId w:val="61"/>
  </w:num>
  <w:num w:numId="24">
    <w:abstractNumId w:val="63"/>
  </w:num>
  <w:num w:numId="25">
    <w:abstractNumId w:val="62"/>
  </w:num>
  <w:num w:numId="26">
    <w:abstractNumId w:val="62"/>
    <w:lvlOverride w:ilvl="0">
      <w:startOverride w:val="36"/>
    </w:lvlOverride>
    <w:lvlOverride w:ilvl="1">
      <w:startOverride w:val="2"/>
    </w:lvlOverride>
  </w:num>
  <w:num w:numId="27">
    <w:abstractNumId w:val="7"/>
  </w:num>
  <w:num w:numId="28">
    <w:abstractNumId w:val="18"/>
  </w:num>
  <w:num w:numId="29">
    <w:abstractNumId w:val="39"/>
  </w:num>
  <w:num w:numId="30">
    <w:abstractNumId w:val="59"/>
  </w:num>
  <w:num w:numId="31">
    <w:abstractNumId w:val="54"/>
  </w:num>
  <w:num w:numId="32">
    <w:abstractNumId w:val="70"/>
  </w:num>
  <w:num w:numId="33">
    <w:abstractNumId w:val="20"/>
  </w:num>
  <w:num w:numId="34">
    <w:abstractNumId w:val="48"/>
  </w:num>
  <w:num w:numId="35">
    <w:abstractNumId w:val="13"/>
  </w:num>
  <w:num w:numId="36">
    <w:abstractNumId w:val="5"/>
  </w:num>
  <w:num w:numId="37">
    <w:abstractNumId w:val="40"/>
  </w:num>
  <w:num w:numId="38">
    <w:abstractNumId w:val="49"/>
  </w:num>
  <w:num w:numId="39">
    <w:abstractNumId w:val="4"/>
  </w:num>
  <w:num w:numId="40">
    <w:abstractNumId w:val="35"/>
  </w:num>
  <w:num w:numId="41">
    <w:abstractNumId w:val="32"/>
  </w:num>
  <w:num w:numId="42">
    <w:abstractNumId w:val="47"/>
  </w:num>
  <w:num w:numId="43">
    <w:abstractNumId w:val="45"/>
  </w:num>
  <w:num w:numId="44">
    <w:abstractNumId w:val="11"/>
  </w:num>
  <w:num w:numId="45">
    <w:abstractNumId w:val="1"/>
  </w:num>
  <w:num w:numId="46">
    <w:abstractNumId w:val="33"/>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5"/>
  </w:num>
  <w:num w:numId="50">
    <w:abstractNumId w:val="17"/>
  </w:num>
  <w:num w:numId="51">
    <w:abstractNumId w:val="67"/>
  </w:num>
  <w:num w:numId="52">
    <w:abstractNumId w:val="52"/>
  </w:num>
  <w:num w:numId="53">
    <w:abstractNumId w:val="19"/>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64"/>
  </w:num>
  <w:num w:numId="58">
    <w:abstractNumId w:val="8"/>
  </w:num>
  <w:num w:numId="59">
    <w:abstractNumId w:val="25"/>
  </w:num>
  <w:num w:numId="60">
    <w:abstractNumId w:val="6"/>
  </w:num>
  <w:num w:numId="61">
    <w:abstractNumId w:val="27"/>
  </w:num>
  <w:num w:numId="62">
    <w:abstractNumId w:val="68"/>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4"/>
  </w:num>
  <w:num w:numId="68">
    <w:abstractNumId w:val="12"/>
  </w:num>
  <w:num w:numId="69">
    <w:abstractNumId w:val="65"/>
  </w:num>
  <w:num w:numId="70">
    <w:abstractNumId w:val="16"/>
  </w:num>
  <w:num w:numId="71">
    <w:abstractNumId w:val="0"/>
  </w:num>
  <w:num w:numId="72">
    <w:abstractNumId w:val="14"/>
  </w:num>
  <w:num w:numId="73">
    <w:abstractNumId w:val="46"/>
  </w:num>
  <w:num w:numId="74">
    <w:abstractNumId w:val="69"/>
  </w:num>
  <w:num w:numId="75">
    <w:abstractNumId w:val="58"/>
  </w:num>
  <w:num w:numId="76">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13FA"/>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9A5"/>
    <w:rsid w:val="00085EB1"/>
    <w:rsid w:val="00086700"/>
    <w:rsid w:val="000868BD"/>
    <w:rsid w:val="00086DC9"/>
    <w:rsid w:val="0008752B"/>
    <w:rsid w:val="000908C9"/>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066D"/>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179B"/>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21D"/>
    <w:rsid w:val="002E4756"/>
    <w:rsid w:val="002E669F"/>
    <w:rsid w:val="002F0565"/>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C32"/>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596E"/>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3704"/>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6430"/>
    <w:rsid w:val="005579A2"/>
    <w:rsid w:val="00557A15"/>
    <w:rsid w:val="00560BE2"/>
    <w:rsid w:val="00561C7B"/>
    <w:rsid w:val="005621A3"/>
    <w:rsid w:val="00562852"/>
    <w:rsid w:val="00562EEC"/>
    <w:rsid w:val="00564DC6"/>
    <w:rsid w:val="00565BBD"/>
    <w:rsid w:val="005664D1"/>
    <w:rsid w:val="005716CE"/>
    <w:rsid w:val="00572F91"/>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106"/>
    <w:rsid w:val="005B0380"/>
    <w:rsid w:val="005B0821"/>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13A"/>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6C53"/>
    <w:rsid w:val="006272E9"/>
    <w:rsid w:val="00630CC1"/>
    <w:rsid w:val="0063141C"/>
    <w:rsid w:val="00632068"/>
    <w:rsid w:val="00632697"/>
    <w:rsid w:val="0063301E"/>
    <w:rsid w:val="0063627E"/>
    <w:rsid w:val="00636455"/>
    <w:rsid w:val="00637656"/>
    <w:rsid w:val="0064122D"/>
    <w:rsid w:val="006445C2"/>
    <w:rsid w:val="0064547C"/>
    <w:rsid w:val="00645C4A"/>
    <w:rsid w:val="00651513"/>
    <w:rsid w:val="00652302"/>
    <w:rsid w:val="006548C4"/>
    <w:rsid w:val="00656301"/>
    <w:rsid w:val="00656FBF"/>
    <w:rsid w:val="00660632"/>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05A0"/>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9A1"/>
    <w:rsid w:val="006A3A15"/>
    <w:rsid w:val="006A4D16"/>
    <w:rsid w:val="006A5F42"/>
    <w:rsid w:val="006A6B19"/>
    <w:rsid w:val="006A70A6"/>
    <w:rsid w:val="006B208E"/>
    <w:rsid w:val="006B28F8"/>
    <w:rsid w:val="006B6176"/>
    <w:rsid w:val="006B78D2"/>
    <w:rsid w:val="006C043C"/>
    <w:rsid w:val="006C0B2A"/>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0529"/>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176B"/>
    <w:rsid w:val="007C2B01"/>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3DF0"/>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0B25"/>
    <w:rsid w:val="00871C8A"/>
    <w:rsid w:val="00872ABF"/>
    <w:rsid w:val="00872C8D"/>
    <w:rsid w:val="008731D7"/>
    <w:rsid w:val="00873A3A"/>
    <w:rsid w:val="00876FE2"/>
    <w:rsid w:val="00877C72"/>
    <w:rsid w:val="00880845"/>
    <w:rsid w:val="00883B41"/>
    <w:rsid w:val="008846F3"/>
    <w:rsid w:val="00885979"/>
    <w:rsid w:val="00885CAF"/>
    <w:rsid w:val="00885CCB"/>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47E34"/>
    <w:rsid w:val="00952595"/>
    <w:rsid w:val="00954121"/>
    <w:rsid w:val="009553D6"/>
    <w:rsid w:val="0095564A"/>
    <w:rsid w:val="00956272"/>
    <w:rsid w:val="00956BEB"/>
    <w:rsid w:val="00956E10"/>
    <w:rsid w:val="00956E81"/>
    <w:rsid w:val="00957E34"/>
    <w:rsid w:val="009620E7"/>
    <w:rsid w:val="009629F2"/>
    <w:rsid w:val="00962F09"/>
    <w:rsid w:val="00967A5C"/>
    <w:rsid w:val="0097017F"/>
    <w:rsid w:val="0097107B"/>
    <w:rsid w:val="00971750"/>
    <w:rsid w:val="00972453"/>
    <w:rsid w:val="00972D84"/>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35EF"/>
    <w:rsid w:val="00A242F7"/>
    <w:rsid w:val="00A24D0D"/>
    <w:rsid w:val="00A253DB"/>
    <w:rsid w:val="00A25B2D"/>
    <w:rsid w:val="00A25FEE"/>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65076"/>
    <w:rsid w:val="00A7041D"/>
    <w:rsid w:val="00A71505"/>
    <w:rsid w:val="00A72A4F"/>
    <w:rsid w:val="00A75A9F"/>
    <w:rsid w:val="00A763B8"/>
    <w:rsid w:val="00A76629"/>
    <w:rsid w:val="00A77730"/>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3FFE"/>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3DD1"/>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6C2"/>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065"/>
    <w:rsid w:val="00C35D7F"/>
    <w:rsid w:val="00C3610F"/>
    <w:rsid w:val="00C36A4B"/>
    <w:rsid w:val="00C36DDA"/>
    <w:rsid w:val="00C41050"/>
    <w:rsid w:val="00C41D79"/>
    <w:rsid w:val="00C41FEA"/>
    <w:rsid w:val="00C4221B"/>
    <w:rsid w:val="00C431B3"/>
    <w:rsid w:val="00C4480A"/>
    <w:rsid w:val="00C44A08"/>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A58"/>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D7B9D"/>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A5A"/>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052"/>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0FFE"/>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9A1"/>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9A5"/>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0859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59A5"/>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http://www.hee.nhs.uk/our-work/ecollection/eworkforce"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mailto:dataservice@hee.nhs.uk" TargetMode="External"/><Relationship Id="rId16" Type="http://schemas.openxmlformats.org/officeDocument/2006/relationships/customXml" Target="../customXml/item16.xml"/><Relationship Id="rId107" Type="http://schemas.openxmlformats.org/officeDocument/2006/relationships/hyperlink" Target="https://www.hee.nhs.uk/sites/default/files/documents/HEE%20Policy%20for%20NHS%20Library%20Learning%20Space.pdf"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heestar.e-lfh.org.uk/" TargetMode="External"/><Relationship Id="rId123" Type="http://schemas.openxmlformats.org/officeDocument/2006/relationships/hyperlink" Target="mailto:dataservice@hee.nhs.uk"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footer" Target="footer2.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www.equalityhumanrights.com" TargetMode="External"/><Relationship Id="rId118" Type="http://schemas.openxmlformats.org/officeDocument/2006/relationships/hyperlink" Target="https://www.hee.nhs.uk/our-work/hee-national-data-service/ecollection/placement-gap-data-collection"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mailto:kfh.england@hee.nhs.uk" TargetMode="External"/><Relationship Id="rId108" Type="http://schemas.openxmlformats.org/officeDocument/2006/relationships/hyperlink" Target="https://www.hee.nhs.uk/sites/default/files/documents/HEE%20Policy%20for%20psychological%20support%20for%20embedded%20clinical%20librarians.pdf" TargetMode="External"/><Relationship Id="rId124" Type="http://schemas.openxmlformats.org/officeDocument/2006/relationships/footer" Target="footer4.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ecollection/mental-health-data-collection" TargetMode="External"/><Relationship Id="rId119" Type="http://schemas.openxmlformats.org/officeDocument/2006/relationships/hyperlink" Target="https://www.hee.nhs.uk/our-work/hee-national-data-service/ecollection/trainee-nursing-associates-data-collection-pilot"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sites/default/files/documents/HEE%20Quality%20and%20Improvement%20Outcomes%20Framework.pdf"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er" Target="footer3.xml"/><Relationship Id="rId104" Type="http://schemas.openxmlformats.org/officeDocument/2006/relationships/hyperlink" Target="https://www.hee.nhs.uk/our-work/knowledge-for-healthcare" TargetMode="External"/><Relationship Id="rId120" Type="http://schemas.openxmlformats.org/officeDocument/2006/relationships/hyperlink" Target="https://www.hee.nhs.uk/our-work/hee-national-data-service/ecollection/adult-improving-access-psychological-therapies-data-collection" TargetMode="External"/><Relationship Id="rId125"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medschools.ac.uk/media/1203/selecting-for-excellence-final-report.pdf" TargetMode="External"/><Relationship Id="rId115" Type="http://schemas.openxmlformats.org/officeDocument/2006/relationships/hyperlink" Target="https://www.hee.nhs.uk/our-work/ecollection/student-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www.copdend.org.uk" TargetMode="External"/><Relationship Id="rId105" Type="http://schemas.openxmlformats.org/officeDocument/2006/relationships/hyperlink" Target="https://www.hee.nhs.uk/sites/default/files/documents/NHS%20Library%20and%20Knowledge%20Services%20in%20England%20Policy.pdf" TargetMode="External"/><Relationship Id="rId12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eader" Target="header2.xml"/><Relationship Id="rId98" Type="http://schemas.openxmlformats.org/officeDocument/2006/relationships/hyperlink" Target="https://www.gdc-uk.org/education-cpd/quality-assurance" TargetMode="External"/><Relationship Id="rId121" Type="http://schemas.openxmlformats.org/officeDocument/2006/relationships/hyperlink" Target="mailto:dpa@hee.nhs.uk" TargetMode="Externa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s://www.hee.nhs.uk/our-work/ecollection/eworkforce"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www.gmc-uk.org/education/standards.asp"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www.hee.nhs.uk/sites/default/files/documents/HEE%20LKS%20Staff%20Ratio%20Policy%20January%202020.pdf"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footer" Target="footer1.xml"/><Relationship Id="rId99" Type="http://schemas.openxmlformats.org/officeDocument/2006/relationships/hyperlink" Target="http://www.gmc-uk.org" TargetMode="External"/><Relationship Id="rId101" Type="http://schemas.openxmlformats.org/officeDocument/2006/relationships/hyperlink" Target="https://www.medicaleducators.org/Professional-Standards" TargetMode="External"/><Relationship Id="rId122" Type="http://schemas.openxmlformats.org/officeDocument/2006/relationships/hyperlink" Target="mailto:foia@hee.nhs.uk"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mso-contentType ?>
<FormTemplates xmlns="http://schemas.microsoft.com/sharepoint/v3/contenttype/forms">
  <Display>DocumentLibraryForm</Display>
  <Edit>DocumentLibraryForm</Edit>
  <New>DocumentLibraryForm</New>
</FormTemplates>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cdm:cachedDataManifest xmlns:cdm="http://schemas.microsoft.com/2004/VisualStudio/Tools/Applications/CachedDataManifest.xsd" cdm:revision="1"/>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6" ma:contentTypeDescription="Create a new document." ma:contentTypeScope="" ma:versionID="3859128c498511493fc97915083c8c39">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448f05b99aa38b9a18b71928e13a34c8"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27.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s>
</ds:datastoreItem>
</file>

<file path=customXml/itemProps40.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2.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1947D3C6-C1AA-4581-A6F7-4727CE7A21C3}"/>
</file>

<file path=customXml/itemProps72.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4.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A95781D2-753D-4FE6-81E7-35E9B246136B}">
  <ds:schemaRefs>
    <ds:schemaRef ds:uri="http://www.w3.org/2001/XMLSchema"/>
  </ds:schemaRefs>
</ds:datastoreItem>
</file>

<file path=customXml/itemProps9.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188</Pages>
  <Words>57714</Words>
  <Characters>328973</Characters>
  <Application>Microsoft Office Word</Application>
  <DocSecurity>0</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6</cp:revision>
  <cp:lastPrinted>2021-04-15T10:31:00Z</cp:lastPrinted>
  <dcterms:created xsi:type="dcterms:W3CDTF">2021-12-23T11:23:00Z</dcterms:created>
  <dcterms:modified xsi:type="dcterms:W3CDTF">2021-12-23T11:25:00Z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