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C1" w:rsidRDefault="00A830C1" w:rsidP="00960DB7">
      <w:pPr>
        <w:pStyle w:val="Default"/>
      </w:pPr>
      <w:bookmarkStart w:id="0" w:name="_GoBack"/>
      <w:bookmarkEnd w:id="0"/>
    </w:p>
    <w:tbl>
      <w:tblPr>
        <w:tblpPr w:leftFromText="180" w:rightFromText="180" w:vertAnchor="page" w:horzAnchor="margin" w:tblpY="5266"/>
        <w:tblW w:w="9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9"/>
      </w:tblGrid>
      <w:tr w:rsidR="00A830C1" w:rsidRPr="00BE14E4" w:rsidTr="00A830C1">
        <w:trPr>
          <w:trHeight w:val="5925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</w:p>
          <w:p w:rsidR="00A830C1" w:rsidRPr="00BE14E4" w:rsidRDefault="00A830C1" w:rsidP="00A830C1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5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</w:p>
          <w:p w:rsidR="00A830C1" w:rsidRPr="00BE14E4" w:rsidRDefault="00A830C1" w:rsidP="00A830C1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5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7AC3"/>
                <w:szCs w:val="20"/>
              </w:rPr>
              <w:t>DYNAMIC PURCHASING SYSTEM</w:t>
            </w:r>
            <w:r w:rsidRPr="00BE14E4">
              <w:rPr>
                <w:rFonts w:ascii="Arial" w:eastAsia="Times New Roman" w:hAnsi="Arial" w:cs="Arial"/>
                <w:b/>
                <w:color w:val="007AC3"/>
                <w:szCs w:val="20"/>
              </w:rPr>
              <w:t xml:space="preserve"> </w:t>
            </w:r>
            <w:r w:rsidRPr="00A830C1">
              <w:rPr>
                <w:b/>
              </w:rPr>
              <w:t xml:space="preserve"> </w:t>
            </w:r>
            <w:r w:rsidRPr="00A830C1">
              <w:rPr>
                <w:rFonts w:ascii="Arial" w:eastAsia="Times New Roman" w:hAnsi="Arial" w:cs="Arial"/>
                <w:b/>
                <w:color w:val="007AC3"/>
                <w:szCs w:val="20"/>
              </w:rPr>
              <w:t>LIST OF ELIGIBLE USERS</w:t>
            </w: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7AC3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Cs w:val="20"/>
              </w:rPr>
            </w:pPr>
          </w:p>
          <w:p w:rsidR="00A830C1" w:rsidRPr="00BE14E4" w:rsidRDefault="00A830C1" w:rsidP="00A830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</w:tr>
    </w:tbl>
    <w:p w:rsidR="00A830C1" w:rsidRDefault="00A830C1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:rsidR="00A830C1" w:rsidRDefault="00A830C1">
      <w:pPr>
        <w:rPr>
          <w:rFonts w:ascii="Arial" w:hAnsi="Arial" w:cs="Arial"/>
          <w:color w:val="000000"/>
          <w:sz w:val="24"/>
          <w:szCs w:val="24"/>
        </w:rPr>
      </w:pPr>
    </w:p>
    <w:p w:rsidR="00960DB7" w:rsidRPr="00960DB7" w:rsidRDefault="00960DB7" w:rsidP="00960DB7">
      <w:pPr>
        <w:pStyle w:val="Default"/>
      </w:pPr>
    </w:p>
    <w:p w:rsidR="00960DB7" w:rsidRPr="00960DB7" w:rsidRDefault="00A87E4B" w:rsidP="00960DB7">
      <w:pPr>
        <w:pStyle w:val="Default"/>
        <w:rPr>
          <w:b/>
        </w:rPr>
      </w:pPr>
      <w:r>
        <w:rPr>
          <w:b/>
        </w:rPr>
        <w:t>Dynamic Purchasing System</w:t>
      </w:r>
      <w:r w:rsidR="00960DB7" w:rsidRPr="00960DB7">
        <w:rPr>
          <w:b/>
        </w:rPr>
        <w:t xml:space="preserve"> for </w:t>
      </w:r>
      <w:r w:rsidR="00AC52CB" w:rsidRPr="00AC52CB">
        <w:rPr>
          <w:b/>
          <w:bCs/>
        </w:rPr>
        <w:t>Provision of Sterile Services</w:t>
      </w:r>
      <w:r w:rsidR="00960DB7" w:rsidRPr="00960DB7">
        <w:rPr>
          <w:b/>
          <w:bCs/>
        </w:rPr>
        <w:t xml:space="preserve"> </w:t>
      </w:r>
    </w:p>
    <w:p w:rsidR="00960DB7" w:rsidRDefault="00960DB7" w:rsidP="00960DB7">
      <w:pPr>
        <w:pStyle w:val="Default"/>
        <w:rPr>
          <w:b/>
          <w:bCs/>
          <w:sz w:val="22"/>
          <w:szCs w:val="22"/>
        </w:rPr>
      </w:pPr>
    </w:p>
    <w:p w:rsidR="00960DB7" w:rsidRPr="00960DB7" w:rsidRDefault="00A87E4B" w:rsidP="00960DB7">
      <w:pPr>
        <w:pStyle w:val="Default"/>
      </w:pPr>
      <w:r>
        <w:rPr>
          <w:b/>
          <w:bCs/>
        </w:rPr>
        <w:t xml:space="preserve">DPS </w:t>
      </w:r>
      <w:r w:rsidR="00960DB7" w:rsidRPr="00960DB7">
        <w:rPr>
          <w:b/>
          <w:bCs/>
        </w:rPr>
        <w:t xml:space="preserve">Ref: </w:t>
      </w:r>
      <w:r w:rsidR="00AC52CB" w:rsidRPr="00AC52CB">
        <w:rPr>
          <w:b/>
          <w:bCs/>
        </w:rPr>
        <w:t>DPS02/OSSD/19/IB</w:t>
      </w:r>
    </w:p>
    <w:p w:rsidR="00960DB7" w:rsidRPr="00960DB7" w:rsidRDefault="00960DB7" w:rsidP="00960DB7">
      <w:pPr>
        <w:pStyle w:val="Default"/>
      </w:pPr>
    </w:p>
    <w:p w:rsidR="00960DB7" w:rsidRDefault="00960DB7" w:rsidP="00960DB7">
      <w:pPr>
        <w:pStyle w:val="Default"/>
        <w:rPr>
          <w:b/>
        </w:rPr>
      </w:pPr>
      <w:r>
        <w:rPr>
          <w:b/>
        </w:rPr>
        <w:t xml:space="preserve">OJEU Contract Notice ref: </w:t>
      </w:r>
      <w:r w:rsidR="00A87E4B" w:rsidRPr="00A87E4B">
        <w:rPr>
          <w:b/>
          <w:highlight w:val="green"/>
        </w:rPr>
        <w:t>[Insert]</w:t>
      </w:r>
    </w:p>
    <w:p w:rsidR="00960DB7" w:rsidRDefault="00960DB7" w:rsidP="00960DB7">
      <w:pPr>
        <w:pStyle w:val="Default"/>
        <w:rPr>
          <w:b/>
        </w:rPr>
      </w:pPr>
    </w:p>
    <w:p w:rsidR="00960DB7" w:rsidRPr="00960DB7" w:rsidRDefault="00960DB7" w:rsidP="00960DB7">
      <w:pPr>
        <w:pStyle w:val="Default"/>
        <w:rPr>
          <w:b/>
        </w:rPr>
      </w:pPr>
      <w:r w:rsidRPr="00960DB7">
        <w:rPr>
          <w:b/>
        </w:rPr>
        <w:t xml:space="preserve">Eligible Users of the </w:t>
      </w:r>
      <w:r w:rsidR="00A87E4B">
        <w:rPr>
          <w:b/>
        </w:rPr>
        <w:t>Dynamic Purchasing System</w:t>
      </w:r>
    </w:p>
    <w:p w:rsidR="00960DB7" w:rsidRDefault="00960DB7" w:rsidP="00960DB7">
      <w:pPr>
        <w:pStyle w:val="Default"/>
        <w:rPr>
          <w:sz w:val="22"/>
          <w:szCs w:val="22"/>
        </w:rPr>
      </w:pPr>
    </w:p>
    <w:p w:rsidR="00960DB7" w:rsidRDefault="00960DB7" w:rsidP="00960D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promote transparency, The Countess of Chester Hospital NHS Foundation Trust wishes to establish a </w:t>
      </w:r>
      <w:r w:rsidR="00A87E4B" w:rsidRPr="00A87E4B">
        <w:rPr>
          <w:sz w:val="22"/>
          <w:szCs w:val="22"/>
        </w:rPr>
        <w:t>Dynamic Purchasing System</w:t>
      </w:r>
      <w:r>
        <w:rPr>
          <w:sz w:val="22"/>
          <w:szCs w:val="22"/>
        </w:rPr>
        <w:t xml:space="preserve"> for use by all UK NHS bodies (and any future successors to these organisations). To provide bidders with information on potential users of the </w:t>
      </w:r>
      <w:r w:rsidR="00A87E4B" w:rsidRPr="00A87E4B">
        <w:rPr>
          <w:sz w:val="22"/>
          <w:szCs w:val="22"/>
        </w:rPr>
        <w:t>Dynamic Purchasing System</w:t>
      </w:r>
      <w:r>
        <w:rPr>
          <w:sz w:val="22"/>
          <w:szCs w:val="22"/>
        </w:rPr>
        <w:t xml:space="preserve"> the following organisations are considered the core client base: </w:t>
      </w:r>
    </w:p>
    <w:p w:rsidR="00960DB7" w:rsidRDefault="00960DB7" w:rsidP="00960DB7">
      <w:pPr>
        <w:pStyle w:val="Default"/>
        <w:rPr>
          <w:sz w:val="22"/>
          <w:szCs w:val="22"/>
        </w:rPr>
      </w:pPr>
    </w:p>
    <w:p w:rsidR="00960DB7" w:rsidRDefault="00960DB7" w:rsidP="00960D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NHS Bodies England </w:t>
      </w:r>
    </w:p>
    <w:p w:rsidR="00960DB7" w:rsidRDefault="00960DB7" w:rsidP="00960DB7">
      <w:pPr>
        <w:pStyle w:val="Default"/>
        <w:rPr>
          <w:sz w:val="22"/>
          <w:szCs w:val="22"/>
        </w:rPr>
      </w:pPr>
    </w:p>
    <w:p w:rsidR="00960DB7" w:rsidRDefault="00F502F3" w:rsidP="00960DB7">
      <w:pPr>
        <w:pStyle w:val="Default"/>
        <w:rPr>
          <w:sz w:val="22"/>
          <w:szCs w:val="22"/>
        </w:rPr>
      </w:pPr>
      <w:hyperlink r:id="rId7" w:history="1">
        <w:r w:rsidR="00960DB7" w:rsidRPr="009F533F">
          <w:rPr>
            <w:rStyle w:val="Hyperlink"/>
            <w:sz w:val="22"/>
            <w:szCs w:val="22"/>
          </w:rPr>
          <w:t>http://www.nhs.uk/ServiceDirectories/Pages/AcuteTrustListing.aspx</w:t>
        </w:r>
      </w:hyperlink>
      <w:r w:rsidR="00960DB7">
        <w:rPr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sz w:val="22"/>
          <w:szCs w:val="22"/>
        </w:rPr>
      </w:pPr>
    </w:p>
    <w:p w:rsidR="00960DB7" w:rsidRDefault="00F502F3" w:rsidP="00960DB7">
      <w:pPr>
        <w:pStyle w:val="Default"/>
        <w:rPr>
          <w:sz w:val="22"/>
          <w:szCs w:val="22"/>
        </w:rPr>
      </w:pPr>
      <w:hyperlink r:id="rId8" w:history="1">
        <w:r w:rsidR="00960DB7" w:rsidRPr="009F533F">
          <w:rPr>
            <w:rStyle w:val="Hyperlink"/>
            <w:sz w:val="22"/>
            <w:szCs w:val="22"/>
          </w:rPr>
          <w:t>http://www.nhs.uk/ServiceDirectories/Pages/CCGListing.aspx</w:t>
        </w:r>
      </w:hyperlink>
      <w:r w:rsidR="00960DB7">
        <w:rPr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sz w:val="22"/>
          <w:szCs w:val="22"/>
        </w:rPr>
      </w:pPr>
    </w:p>
    <w:p w:rsidR="00960DB7" w:rsidRDefault="00F502F3" w:rsidP="00960DB7">
      <w:pPr>
        <w:pStyle w:val="Default"/>
        <w:rPr>
          <w:sz w:val="22"/>
          <w:szCs w:val="22"/>
        </w:rPr>
      </w:pPr>
      <w:hyperlink r:id="rId9" w:history="1">
        <w:r w:rsidR="00960DB7" w:rsidRPr="009F533F">
          <w:rPr>
            <w:rStyle w:val="Hyperlink"/>
            <w:sz w:val="22"/>
            <w:szCs w:val="22"/>
          </w:rPr>
          <w:t>http://www.nhs.uk/ServiceDirectories/Pages/MentalHealthTrustListing.aspx</w:t>
        </w:r>
      </w:hyperlink>
      <w:r w:rsidR="00960DB7">
        <w:rPr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sz w:val="22"/>
          <w:szCs w:val="22"/>
        </w:rPr>
      </w:pPr>
    </w:p>
    <w:p w:rsidR="00960DB7" w:rsidRDefault="00F502F3" w:rsidP="00960DB7">
      <w:pPr>
        <w:pStyle w:val="Default"/>
        <w:rPr>
          <w:sz w:val="22"/>
          <w:szCs w:val="22"/>
        </w:rPr>
      </w:pPr>
      <w:hyperlink r:id="rId10" w:history="1">
        <w:r w:rsidR="00960DB7" w:rsidRPr="009F533F">
          <w:rPr>
            <w:rStyle w:val="Hyperlink"/>
            <w:sz w:val="22"/>
            <w:szCs w:val="22"/>
          </w:rPr>
          <w:t>http://www.nhs.uk/ServiceDirectories/Pages/CareTrustListing.aspx</w:t>
        </w:r>
      </w:hyperlink>
      <w:r w:rsidR="00960DB7">
        <w:rPr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sz w:val="22"/>
          <w:szCs w:val="22"/>
        </w:rPr>
      </w:pPr>
    </w:p>
    <w:p w:rsidR="00960DB7" w:rsidRDefault="00F502F3" w:rsidP="00960DB7">
      <w:pPr>
        <w:pStyle w:val="Default"/>
        <w:rPr>
          <w:sz w:val="22"/>
          <w:szCs w:val="22"/>
        </w:rPr>
      </w:pPr>
      <w:hyperlink r:id="rId11" w:history="1">
        <w:r w:rsidR="00960DB7" w:rsidRPr="009F533F">
          <w:rPr>
            <w:rStyle w:val="Hyperlink"/>
            <w:sz w:val="22"/>
            <w:szCs w:val="22"/>
          </w:rPr>
          <w:t>http://www.nhs.uk/ServiceDirectories/Pages/AreaTeamListing.aspx</w:t>
        </w:r>
      </w:hyperlink>
      <w:r w:rsidR="00960DB7">
        <w:rPr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sz w:val="22"/>
          <w:szCs w:val="22"/>
        </w:rPr>
      </w:pPr>
    </w:p>
    <w:p w:rsidR="00960DB7" w:rsidRDefault="00F502F3" w:rsidP="00960DB7">
      <w:pPr>
        <w:pStyle w:val="Default"/>
        <w:rPr>
          <w:sz w:val="22"/>
          <w:szCs w:val="22"/>
        </w:rPr>
      </w:pPr>
      <w:hyperlink r:id="rId12" w:history="1">
        <w:r w:rsidR="00960DB7" w:rsidRPr="009F533F">
          <w:rPr>
            <w:rStyle w:val="Hyperlink"/>
            <w:sz w:val="22"/>
            <w:szCs w:val="22"/>
          </w:rPr>
          <w:t>http://www.nhs.uk/ServiceDirectories/Pages/SpecialHealthAuthorityListing.aspx</w:t>
        </w:r>
      </w:hyperlink>
      <w:r w:rsidR="00960DB7">
        <w:rPr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sz w:val="22"/>
          <w:szCs w:val="22"/>
        </w:rPr>
      </w:pPr>
    </w:p>
    <w:p w:rsidR="00960DB7" w:rsidRDefault="00F502F3" w:rsidP="00960DB7">
      <w:pPr>
        <w:pStyle w:val="Default"/>
        <w:rPr>
          <w:sz w:val="22"/>
          <w:szCs w:val="22"/>
        </w:rPr>
      </w:pPr>
      <w:hyperlink r:id="rId13" w:history="1">
        <w:r w:rsidR="00960DB7" w:rsidRPr="009F533F">
          <w:rPr>
            <w:rStyle w:val="Hyperlink"/>
            <w:sz w:val="22"/>
            <w:szCs w:val="22"/>
          </w:rPr>
          <w:t>http://www.nhs.uk/ServiceDirectories/Pages/OtherListing.aspx</w:t>
        </w:r>
      </w:hyperlink>
      <w:r w:rsidR="00960DB7">
        <w:rPr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Scottish NHS Bodies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F502F3" w:rsidP="00960DB7">
      <w:pPr>
        <w:pStyle w:val="Default"/>
        <w:rPr>
          <w:color w:val="auto"/>
          <w:sz w:val="22"/>
          <w:szCs w:val="22"/>
        </w:rPr>
      </w:pPr>
      <w:hyperlink r:id="rId14" w:history="1">
        <w:r w:rsidR="00960DB7" w:rsidRPr="009F533F">
          <w:rPr>
            <w:rStyle w:val="Hyperlink"/>
            <w:sz w:val="22"/>
            <w:szCs w:val="22"/>
          </w:rPr>
          <w:t>http://www.gov.scot/Topics/Health/NHS-Workforce/NHS-Boards</w:t>
        </w:r>
      </w:hyperlink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960DB7" w:rsidRDefault="00F502F3" w:rsidP="00960DB7">
      <w:pPr>
        <w:pStyle w:val="Default"/>
        <w:rPr>
          <w:color w:val="auto"/>
          <w:sz w:val="22"/>
          <w:szCs w:val="22"/>
        </w:rPr>
      </w:pPr>
      <w:hyperlink r:id="rId15" w:history="1">
        <w:r w:rsidR="00960DB7" w:rsidRPr="009F533F">
          <w:rPr>
            <w:rStyle w:val="Hyperlink"/>
            <w:sz w:val="22"/>
            <w:szCs w:val="22"/>
          </w:rPr>
          <w:t>http://www.show.scot.nhs.uk/organisations/</w:t>
        </w:r>
      </w:hyperlink>
      <w:r w:rsidR="00960DB7">
        <w:rPr>
          <w:color w:val="auto"/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NHS Wales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960DB7" w:rsidRDefault="00F502F3" w:rsidP="00960DB7">
      <w:pPr>
        <w:pStyle w:val="Default"/>
        <w:rPr>
          <w:color w:val="auto"/>
          <w:sz w:val="22"/>
          <w:szCs w:val="22"/>
        </w:rPr>
      </w:pPr>
      <w:hyperlink r:id="rId16" w:history="1">
        <w:r w:rsidR="00960DB7" w:rsidRPr="009F533F">
          <w:rPr>
            <w:rStyle w:val="Hyperlink"/>
            <w:sz w:val="22"/>
            <w:szCs w:val="22"/>
          </w:rPr>
          <w:t>http://www.wales.nhs.uk/ourservices/directory</w:t>
        </w:r>
      </w:hyperlink>
      <w:r w:rsidR="00960DB7">
        <w:rPr>
          <w:color w:val="auto"/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Health Bodies in Northern Ireland listed at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F502F3" w:rsidP="00960DB7">
      <w:pPr>
        <w:pStyle w:val="Default"/>
        <w:rPr>
          <w:color w:val="auto"/>
          <w:sz w:val="22"/>
          <w:szCs w:val="22"/>
        </w:rPr>
      </w:pPr>
      <w:hyperlink r:id="rId17" w:history="1">
        <w:r w:rsidR="0094172D" w:rsidRPr="00261DF9">
          <w:rPr>
            <w:rStyle w:val="Hyperlink"/>
            <w:sz w:val="22"/>
            <w:szCs w:val="22"/>
          </w:rPr>
          <w:t>http://www.hscni.net/</w:t>
        </w:r>
      </w:hyperlink>
      <w:r w:rsidR="0094172D">
        <w:rPr>
          <w:color w:val="auto"/>
          <w:sz w:val="22"/>
          <w:szCs w:val="22"/>
        </w:rPr>
        <w:t xml:space="preserve"> </w:t>
      </w:r>
      <w:r w:rsidR="00960DB7">
        <w:rPr>
          <w:color w:val="auto"/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DB668B" w:rsidRDefault="00DB668B" w:rsidP="00960DB7">
      <w:pPr>
        <w:pStyle w:val="Default"/>
        <w:rPr>
          <w:bCs/>
          <w:color w:val="auto"/>
          <w:sz w:val="22"/>
          <w:szCs w:val="22"/>
        </w:rPr>
      </w:pPr>
      <w:r w:rsidRPr="00DB668B">
        <w:rPr>
          <w:bCs/>
          <w:color w:val="auto"/>
          <w:sz w:val="22"/>
          <w:szCs w:val="22"/>
        </w:rPr>
        <w:t>NHS bodies in the Isle of Man</w:t>
      </w:r>
    </w:p>
    <w:p w:rsidR="00DB668B" w:rsidRDefault="00DB668B" w:rsidP="00960DB7">
      <w:pPr>
        <w:pStyle w:val="Default"/>
        <w:rPr>
          <w:bCs/>
          <w:color w:val="auto"/>
          <w:sz w:val="22"/>
          <w:szCs w:val="22"/>
        </w:rPr>
      </w:pPr>
    </w:p>
    <w:p w:rsidR="00DB668B" w:rsidRDefault="00DB668B" w:rsidP="00960DB7">
      <w:pPr>
        <w:pStyle w:val="Default"/>
        <w:rPr>
          <w:color w:val="auto"/>
          <w:sz w:val="22"/>
          <w:szCs w:val="22"/>
        </w:rPr>
      </w:pPr>
      <w:r w:rsidRPr="00DB668B">
        <w:rPr>
          <w:bCs/>
          <w:color w:val="auto"/>
          <w:sz w:val="22"/>
          <w:szCs w:val="22"/>
        </w:rPr>
        <w:t>NHS bodies in the Channel Isles</w:t>
      </w:r>
    </w:p>
    <w:p w:rsidR="00DB668B" w:rsidRDefault="00DB668B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Any corporation established, or a group of individuals appointed to act together, for the specific purpose of meeting needs in the general interest, not having an industrial or commercial character, and (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) financed wholly or mainly by another contracting authority listed above;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(ii) </w:t>
      </w:r>
      <w:proofErr w:type="gramStart"/>
      <w:r>
        <w:rPr>
          <w:color w:val="auto"/>
          <w:sz w:val="22"/>
          <w:szCs w:val="22"/>
        </w:rPr>
        <w:t>subject</w:t>
      </w:r>
      <w:proofErr w:type="gramEnd"/>
      <w:r>
        <w:rPr>
          <w:color w:val="auto"/>
          <w:sz w:val="22"/>
          <w:szCs w:val="22"/>
        </w:rPr>
        <w:t xml:space="preserve"> to management supervision by another contracting authority listed above; or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(iii) </w:t>
      </w:r>
      <w:proofErr w:type="gramStart"/>
      <w:r>
        <w:rPr>
          <w:color w:val="auto"/>
          <w:sz w:val="22"/>
          <w:szCs w:val="22"/>
        </w:rPr>
        <w:t>more</w:t>
      </w:r>
      <w:proofErr w:type="gramEnd"/>
      <w:r>
        <w:rPr>
          <w:color w:val="auto"/>
          <w:sz w:val="22"/>
          <w:szCs w:val="22"/>
        </w:rPr>
        <w:t xml:space="preserve"> than half of the board of directors or members of which, or, in the case of a group of individuals, more than half of those individuals, are appointed by another contracting authority listed above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(iv) </w:t>
      </w:r>
      <w:proofErr w:type="gramStart"/>
      <w:r>
        <w:rPr>
          <w:color w:val="auto"/>
          <w:sz w:val="22"/>
          <w:szCs w:val="22"/>
        </w:rPr>
        <w:t>an</w:t>
      </w:r>
      <w:proofErr w:type="gramEnd"/>
      <w:r>
        <w:rPr>
          <w:color w:val="auto"/>
          <w:sz w:val="22"/>
          <w:szCs w:val="22"/>
        </w:rPr>
        <w:t xml:space="preserve"> association of or formed by one or more of the Contracting Authorities listed above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Entities which are not public sector bodies may also use the </w:t>
      </w:r>
      <w:r w:rsidR="00A87E4B" w:rsidRPr="00A87E4B">
        <w:rPr>
          <w:color w:val="auto"/>
          <w:sz w:val="22"/>
          <w:szCs w:val="22"/>
        </w:rPr>
        <w:t>Dynamic Purchasing System</w:t>
      </w:r>
      <w:r>
        <w:rPr>
          <w:color w:val="auto"/>
          <w:sz w:val="22"/>
          <w:szCs w:val="22"/>
        </w:rPr>
        <w:t xml:space="preserve"> if the Authority is satisfied that: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such entity is calling-off goods and/or services directly, solely and exclusively in order to satisfy contractual obligations to one or more public sector bodies, all of which are entitled to use the </w:t>
      </w:r>
      <w:r w:rsidR="00A87E4B" w:rsidRPr="00A87E4B">
        <w:rPr>
          <w:color w:val="auto"/>
          <w:sz w:val="22"/>
          <w:szCs w:val="22"/>
        </w:rPr>
        <w:t>Dynamic Purchasing System</w:t>
      </w:r>
      <w:r>
        <w:rPr>
          <w:color w:val="auto"/>
          <w:sz w:val="22"/>
          <w:szCs w:val="22"/>
        </w:rPr>
        <w:t xml:space="preserve"> on their own account;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• all goods</w:t>
      </w:r>
      <w:r w:rsidR="00A87E4B">
        <w:rPr>
          <w:color w:val="auto"/>
          <w:sz w:val="22"/>
          <w:szCs w:val="22"/>
        </w:rPr>
        <w:t xml:space="preserve"> and/or services</w:t>
      </w:r>
      <w:r>
        <w:rPr>
          <w:color w:val="auto"/>
          <w:sz w:val="22"/>
          <w:szCs w:val="22"/>
        </w:rPr>
        <w:t xml:space="preserve"> to be called-off by it are to be used directly, solely and exclusively to provide goods and/or services at sites occupied by such public sector body(</w:t>
      </w:r>
      <w:proofErr w:type="spellStart"/>
      <w:r>
        <w:rPr>
          <w:color w:val="auto"/>
          <w:sz w:val="22"/>
          <w:szCs w:val="22"/>
        </w:rPr>
        <w:t>ies</w:t>
      </w:r>
      <w:proofErr w:type="spellEnd"/>
      <w:r>
        <w:rPr>
          <w:color w:val="auto"/>
          <w:sz w:val="22"/>
          <w:szCs w:val="22"/>
        </w:rPr>
        <w:t xml:space="preserve">); and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• it will pass the benefit of the call-off contract to such public sector body(</w:t>
      </w:r>
      <w:proofErr w:type="spellStart"/>
      <w:r>
        <w:rPr>
          <w:color w:val="auto"/>
          <w:sz w:val="22"/>
          <w:szCs w:val="22"/>
        </w:rPr>
        <w:t>ies</w:t>
      </w:r>
      <w:proofErr w:type="spellEnd"/>
      <w:r>
        <w:rPr>
          <w:color w:val="auto"/>
          <w:sz w:val="22"/>
          <w:szCs w:val="22"/>
        </w:rPr>
        <w:t xml:space="preserve">) directly, in full and on a purely “pass-through” basis. Accordingly there must be no mark-up, management fee, service charge or any similar cost solely in relation to the supply of goods and/or services imposed on the relevant public sector </w:t>
      </w:r>
      <w:proofErr w:type="gramStart"/>
      <w:r>
        <w:rPr>
          <w:color w:val="auto"/>
          <w:sz w:val="22"/>
          <w:szCs w:val="22"/>
        </w:rPr>
        <w:t>body(</w:t>
      </w:r>
      <w:proofErr w:type="spellStart"/>
      <w:proofErr w:type="gramEnd"/>
      <w:r>
        <w:rPr>
          <w:color w:val="auto"/>
          <w:sz w:val="22"/>
          <w:szCs w:val="22"/>
        </w:rPr>
        <w:t>ies</w:t>
      </w:r>
      <w:proofErr w:type="spellEnd"/>
      <w:r>
        <w:rPr>
          <w:color w:val="auto"/>
          <w:sz w:val="22"/>
          <w:szCs w:val="22"/>
        </w:rPr>
        <w:t xml:space="preserve">), who must be able to benefit from the terms of the </w:t>
      </w:r>
      <w:r w:rsidR="00A87E4B" w:rsidRPr="00A87E4B">
        <w:rPr>
          <w:color w:val="auto"/>
          <w:sz w:val="22"/>
          <w:szCs w:val="22"/>
        </w:rPr>
        <w:t>Dynamic Purchasing System</w:t>
      </w:r>
      <w:r>
        <w:rPr>
          <w:color w:val="auto"/>
          <w:sz w:val="22"/>
          <w:szCs w:val="22"/>
        </w:rPr>
        <w:t xml:space="preserve"> in a like manner and to the same extent as if using the </w:t>
      </w:r>
      <w:r w:rsidR="00A87E4B" w:rsidRPr="00A87E4B">
        <w:rPr>
          <w:color w:val="auto"/>
          <w:sz w:val="22"/>
          <w:szCs w:val="22"/>
        </w:rPr>
        <w:t>Dynamic Purchasing System</w:t>
      </w:r>
      <w:r>
        <w:rPr>
          <w:color w:val="auto"/>
          <w:sz w:val="22"/>
          <w:szCs w:val="22"/>
        </w:rPr>
        <w:t xml:space="preserve"> on its/their own account.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Any ‘bodies governed by public law’ which under the Public Contracts Regulations 2015 means bodies that have all of the following characteristics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(a) </w:t>
      </w:r>
      <w:proofErr w:type="gramStart"/>
      <w:r>
        <w:rPr>
          <w:color w:val="auto"/>
          <w:sz w:val="22"/>
          <w:szCs w:val="22"/>
        </w:rPr>
        <w:t>they</w:t>
      </w:r>
      <w:proofErr w:type="gramEnd"/>
      <w:r>
        <w:rPr>
          <w:color w:val="auto"/>
          <w:sz w:val="22"/>
          <w:szCs w:val="22"/>
        </w:rPr>
        <w:t xml:space="preserve"> are established for the specific purpose of meeting needs in the general interest, not having an industrial or commercial character;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</w:rPr>
      </w:pPr>
      <w:r>
        <w:rPr>
          <w:color w:val="auto"/>
          <w:sz w:val="22"/>
          <w:szCs w:val="22"/>
        </w:rPr>
        <w:t xml:space="preserve">(b) </w:t>
      </w:r>
      <w:proofErr w:type="gramStart"/>
      <w:r>
        <w:rPr>
          <w:color w:val="auto"/>
          <w:sz w:val="22"/>
          <w:szCs w:val="22"/>
        </w:rPr>
        <w:t>they</w:t>
      </w:r>
      <w:proofErr w:type="gramEnd"/>
      <w:r>
        <w:rPr>
          <w:color w:val="auto"/>
          <w:sz w:val="22"/>
          <w:szCs w:val="22"/>
        </w:rPr>
        <w:t xml:space="preserve"> have legal personality; </w:t>
      </w:r>
      <w:proofErr w:type="gramStart"/>
      <w:r>
        <w:rPr>
          <w:color w:val="auto"/>
          <w:sz w:val="22"/>
          <w:szCs w:val="22"/>
        </w:rPr>
        <w:t>and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(c) </w:t>
      </w:r>
      <w:proofErr w:type="gramStart"/>
      <w:r>
        <w:rPr>
          <w:color w:val="auto"/>
          <w:sz w:val="22"/>
          <w:szCs w:val="22"/>
        </w:rPr>
        <w:t>they</w:t>
      </w:r>
      <w:proofErr w:type="gramEnd"/>
      <w:r>
        <w:rPr>
          <w:color w:val="auto"/>
          <w:sz w:val="22"/>
          <w:szCs w:val="22"/>
        </w:rPr>
        <w:t xml:space="preserve"> have any of the following characteristics:— </w:t>
      </w:r>
    </w:p>
    <w:p w:rsidR="00960DB7" w:rsidRDefault="00960DB7" w:rsidP="00960DB7">
      <w:pPr>
        <w:pStyle w:val="Default"/>
        <w:spacing w:after="14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spacing w:after="1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) </w:t>
      </w:r>
      <w:proofErr w:type="gramStart"/>
      <w:r>
        <w:rPr>
          <w:color w:val="auto"/>
          <w:sz w:val="22"/>
          <w:szCs w:val="22"/>
        </w:rPr>
        <w:t>they</w:t>
      </w:r>
      <w:proofErr w:type="gramEnd"/>
      <w:r>
        <w:rPr>
          <w:color w:val="auto"/>
          <w:sz w:val="22"/>
          <w:szCs w:val="22"/>
        </w:rPr>
        <w:t xml:space="preserve"> are financed, for the most part, by the State, regional or local authorities, or by other bodies governed by public law; </w:t>
      </w:r>
    </w:p>
    <w:p w:rsidR="00960DB7" w:rsidRDefault="00960DB7" w:rsidP="00960DB7">
      <w:pPr>
        <w:pStyle w:val="Default"/>
        <w:spacing w:after="14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spacing w:after="1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(ii) </w:t>
      </w:r>
      <w:proofErr w:type="gramStart"/>
      <w:r>
        <w:rPr>
          <w:color w:val="auto"/>
          <w:sz w:val="22"/>
          <w:szCs w:val="22"/>
        </w:rPr>
        <w:t>they</w:t>
      </w:r>
      <w:proofErr w:type="gramEnd"/>
      <w:r>
        <w:rPr>
          <w:color w:val="auto"/>
          <w:sz w:val="22"/>
          <w:szCs w:val="22"/>
        </w:rPr>
        <w:t xml:space="preserve"> are subject to management supervision by those authorities or bodies; </w:t>
      </w:r>
      <w:proofErr w:type="gramStart"/>
      <w:r>
        <w:rPr>
          <w:color w:val="auto"/>
          <w:sz w:val="22"/>
          <w:szCs w:val="22"/>
        </w:rPr>
        <w:t>or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</w:p>
    <w:p w:rsidR="00960DB7" w:rsidRDefault="00960DB7" w:rsidP="00960D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(iii) </w:t>
      </w:r>
      <w:proofErr w:type="gramStart"/>
      <w:r>
        <w:rPr>
          <w:color w:val="auto"/>
          <w:sz w:val="22"/>
          <w:szCs w:val="22"/>
        </w:rPr>
        <w:t>they</w:t>
      </w:r>
      <w:proofErr w:type="gramEnd"/>
      <w:r>
        <w:rPr>
          <w:color w:val="auto"/>
          <w:sz w:val="22"/>
          <w:szCs w:val="22"/>
        </w:rPr>
        <w:t xml:space="preserve"> have an administrative, managerial or supervisory board, more than half of whose members are appointed by the State, regional or local authorities, or by other bodies governed by public law. </w:t>
      </w:r>
    </w:p>
    <w:p w:rsidR="007623B6" w:rsidRDefault="00F502F3"/>
    <w:sectPr w:rsidR="007623B6" w:rsidSect="000B6EB1">
      <w:headerReference w:type="default" r:id="rId18"/>
      <w:pgSz w:w="11906" w:h="17338"/>
      <w:pgMar w:top="1220" w:right="946" w:bottom="643" w:left="119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C1" w:rsidRDefault="00A830C1" w:rsidP="00A830C1">
      <w:pPr>
        <w:spacing w:after="0" w:line="240" w:lineRule="auto"/>
      </w:pPr>
      <w:r>
        <w:separator/>
      </w:r>
    </w:p>
  </w:endnote>
  <w:endnote w:type="continuationSeparator" w:id="0">
    <w:p w:rsidR="00A830C1" w:rsidRDefault="00A830C1" w:rsidP="00A8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C1" w:rsidRDefault="00A830C1" w:rsidP="00A830C1">
      <w:pPr>
        <w:spacing w:after="0" w:line="240" w:lineRule="auto"/>
      </w:pPr>
      <w:r>
        <w:separator/>
      </w:r>
    </w:p>
  </w:footnote>
  <w:footnote w:type="continuationSeparator" w:id="0">
    <w:p w:rsidR="00A830C1" w:rsidRDefault="00A830C1" w:rsidP="00A8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C1" w:rsidRDefault="00A830C1">
    <w:pPr>
      <w:pStyle w:val="Header"/>
    </w:pPr>
    <w:r>
      <w:rPr>
        <w:noProof/>
        <w:lang w:eastAsia="en-GB"/>
      </w:rPr>
      <w:drawing>
        <wp:inline distT="0" distB="0" distL="0" distR="0" wp14:anchorId="3F1F4055" wp14:editId="2CF3E2EF">
          <wp:extent cx="5731514" cy="471172"/>
          <wp:effectExtent l="0" t="0" r="2536" b="5078"/>
          <wp:docPr id="1" name="Picture 6" descr="Countess Of Chester Hospital NHS Foundation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4" cy="4711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B7"/>
    <w:rsid w:val="00046844"/>
    <w:rsid w:val="000F0DBA"/>
    <w:rsid w:val="00114AA1"/>
    <w:rsid w:val="0036684B"/>
    <w:rsid w:val="003D6EDA"/>
    <w:rsid w:val="004F2048"/>
    <w:rsid w:val="008B19A7"/>
    <w:rsid w:val="00931A8D"/>
    <w:rsid w:val="0094172D"/>
    <w:rsid w:val="00960DB7"/>
    <w:rsid w:val="00A7218E"/>
    <w:rsid w:val="00A830C1"/>
    <w:rsid w:val="00A87E4B"/>
    <w:rsid w:val="00AC52CB"/>
    <w:rsid w:val="00B57912"/>
    <w:rsid w:val="00BD2C53"/>
    <w:rsid w:val="00DB668B"/>
    <w:rsid w:val="00F502F3"/>
    <w:rsid w:val="00F9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D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D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C1"/>
  </w:style>
  <w:style w:type="paragraph" w:styleId="Footer">
    <w:name w:val="footer"/>
    <w:basedOn w:val="Normal"/>
    <w:link w:val="FooterChar"/>
    <w:uiPriority w:val="99"/>
    <w:unhideWhenUsed/>
    <w:rsid w:val="00A83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0C1"/>
  </w:style>
  <w:style w:type="paragraph" w:styleId="BalloonText">
    <w:name w:val="Balloon Text"/>
    <w:basedOn w:val="Normal"/>
    <w:link w:val="BalloonTextChar"/>
    <w:uiPriority w:val="99"/>
    <w:semiHidden/>
    <w:unhideWhenUsed/>
    <w:rsid w:val="00A8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D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D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C1"/>
  </w:style>
  <w:style w:type="paragraph" w:styleId="Footer">
    <w:name w:val="footer"/>
    <w:basedOn w:val="Normal"/>
    <w:link w:val="FooterChar"/>
    <w:uiPriority w:val="99"/>
    <w:unhideWhenUsed/>
    <w:rsid w:val="00A83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0C1"/>
  </w:style>
  <w:style w:type="paragraph" w:styleId="BalloonText">
    <w:name w:val="Balloon Text"/>
    <w:basedOn w:val="Normal"/>
    <w:link w:val="BalloonTextChar"/>
    <w:uiPriority w:val="99"/>
    <w:semiHidden/>
    <w:unhideWhenUsed/>
    <w:rsid w:val="00A8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ServiceDirectories/Pages/CCGListing.aspx" TargetMode="External"/><Relationship Id="rId13" Type="http://schemas.openxmlformats.org/officeDocument/2006/relationships/hyperlink" Target="http://www.nhs.uk/ServiceDirectories/Pages/OtherListing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s.uk/ServiceDirectories/Pages/AcuteTrustListing.aspx" TargetMode="External"/><Relationship Id="rId12" Type="http://schemas.openxmlformats.org/officeDocument/2006/relationships/hyperlink" Target="http://www.nhs.uk/ServiceDirectories/Pages/SpecialHealthAuthorityListing.aspx" TargetMode="External"/><Relationship Id="rId17" Type="http://schemas.openxmlformats.org/officeDocument/2006/relationships/hyperlink" Target="http://www.hscni.ne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wales.nhs.uk/ourservices/director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hs.uk/ServiceDirectories/Pages/AreaTeamListing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how.scot.nhs.uk/organisations/" TargetMode="External"/><Relationship Id="rId10" Type="http://schemas.openxmlformats.org/officeDocument/2006/relationships/hyperlink" Target="http://www.nhs.uk/ServiceDirectories/Pages/CareTrustListing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hs.uk/ServiceDirectories/Pages/MentalHealthTrustListing.aspx" TargetMode="External"/><Relationship Id="rId14" Type="http://schemas.openxmlformats.org/officeDocument/2006/relationships/hyperlink" Target="http://www.gov.scot/Topics/Health/NHS-Workforce/NHS-Boa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Countess of Chester Hospital NHS Foundation Trust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Bailiff, Ian</dc:creator>
  <cp:lastModifiedBy>Bailiff, Ian</cp:lastModifiedBy>
  <cp:revision>2</cp:revision>
  <dcterms:created xsi:type="dcterms:W3CDTF">2019-04-02T08:43:00Z</dcterms:created>
  <dcterms:modified xsi:type="dcterms:W3CDTF">2019-04-02T08:43:00Z</dcterms:modified>
</cp:coreProperties>
</file>