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E08B0" w14:textId="77777777" w:rsidR="00D3263C" w:rsidRPr="00A8526E" w:rsidRDefault="00D3263C" w:rsidP="0093247A">
      <w:pPr>
        <w:pStyle w:val="StyleJustifiedLeft127cm"/>
        <w:spacing w:before="0" w:after="120"/>
        <w:ind w:left="0"/>
        <w:jc w:val="center"/>
        <w:rPr>
          <w:rFonts w:cs="Arial"/>
          <w:b/>
          <w:sz w:val="28"/>
          <w:szCs w:val="28"/>
        </w:rPr>
      </w:pPr>
    </w:p>
    <w:p w14:paraId="6BBFF498" w14:textId="77777777" w:rsidR="00D3263C" w:rsidRPr="00A8526E" w:rsidRDefault="00D3263C" w:rsidP="0093247A">
      <w:pPr>
        <w:pStyle w:val="StyleJustifiedLeft127cm"/>
        <w:spacing w:before="0" w:after="120"/>
        <w:ind w:left="0"/>
        <w:jc w:val="center"/>
        <w:rPr>
          <w:rFonts w:cs="Arial"/>
          <w:b/>
          <w:sz w:val="28"/>
          <w:szCs w:val="28"/>
        </w:rPr>
      </w:pPr>
    </w:p>
    <w:p w14:paraId="3E174EF3" w14:textId="77777777" w:rsidR="0093247A" w:rsidRPr="00A8526E" w:rsidRDefault="0093247A" w:rsidP="0093247A">
      <w:pPr>
        <w:pStyle w:val="StyleJustifiedLeft127cm"/>
        <w:spacing w:before="0" w:after="120"/>
        <w:ind w:left="0"/>
        <w:jc w:val="center"/>
        <w:rPr>
          <w:rFonts w:cs="Arial"/>
          <w:b/>
          <w:sz w:val="28"/>
          <w:szCs w:val="28"/>
        </w:rPr>
      </w:pPr>
      <w:r w:rsidRPr="00A8526E">
        <w:rPr>
          <w:rFonts w:cs="Arial"/>
          <w:b/>
          <w:sz w:val="28"/>
          <w:szCs w:val="28"/>
        </w:rPr>
        <w:t xml:space="preserve">NHS </w:t>
      </w:r>
      <w:proofErr w:type="spellStart"/>
      <w:r w:rsidRPr="00A8526E">
        <w:rPr>
          <w:rFonts w:cs="Arial"/>
          <w:b/>
          <w:sz w:val="28"/>
          <w:szCs w:val="28"/>
        </w:rPr>
        <w:t>South,</w:t>
      </w:r>
      <w:proofErr w:type="spellEnd"/>
      <w:r w:rsidRPr="00A8526E">
        <w:rPr>
          <w:rFonts w:cs="Arial"/>
          <w:b/>
          <w:sz w:val="28"/>
          <w:szCs w:val="28"/>
        </w:rPr>
        <w:t xml:space="preserve"> Central &amp; West Commissioning Support Unit</w:t>
      </w:r>
    </w:p>
    <w:p w14:paraId="0D037D79" w14:textId="77777777" w:rsidR="0091184D" w:rsidRDefault="0091184D" w:rsidP="0093247A">
      <w:pPr>
        <w:pStyle w:val="StyleJustifiedLeft127cm"/>
        <w:spacing w:before="0" w:after="120"/>
        <w:ind w:left="0"/>
        <w:jc w:val="center"/>
        <w:rPr>
          <w:rFonts w:cs="Arial"/>
          <w:b/>
          <w:sz w:val="28"/>
          <w:szCs w:val="28"/>
        </w:rPr>
      </w:pPr>
      <w:r w:rsidRPr="0091184D">
        <w:rPr>
          <w:rFonts w:cs="Arial"/>
          <w:b/>
          <w:sz w:val="28"/>
          <w:szCs w:val="28"/>
        </w:rPr>
        <w:t xml:space="preserve">School Aged Immunisation in </w:t>
      </w:r>
      <w:proofErr w:type="spellStart"/>
      <w:r w:rsidRPr="0091184D">
        <w:rPr>
          <w:rFonts w:cs="Arial"/>
          <w:b/>
          <w:sz w:val="28"/>
          <w:szCs w:val="28"/>
        </w:rPr>
        <w:t>BaNES</w:t>
      </w:r>
      <w:proofErr w:type="spellEnd"/>
      <w:r w:rsidRPr="0091184D">
        <w:rPr>
          <w:rFonts w:cs="Arial"/>
          <w:b/>
          <w:sz w:val="28"/>
          <w:szCs w:val="28"/>
        </w:rPr>
        <w:t xml:space="preserve">, Swindon &amp; Wiltshire (BSW), Gloucestershire, </w:t>
      </w:r>
      <w:proofErr w:type="gramStart"/>
      <w:r w:rsidRPr="0091184D">
        <w:rPr>
          <w:rFonts w:cs="Arial"/>
          <w:b/>
          <w:sz w:val="28"/>
          <w:szCs w:val="28"/>
        </w:rPr>
        <w:t>Somerset</w:t>
      </w:r>
      <w:proofErr w:type="gramEnd"/>
      <w:r w:rsidRPr="0091184D">
        <w:rPr>
          <w:rFonts w:cs="Arial"/>
          <w:b/>
          <w:sz w:val="28"/>
          <w:szCs w:val="28"/>
        </w:rPr>
        <w:t xml:space="preserve"> and Cornwall for NHS England</w:t>
      </w:r>
      <w:r w:rsidRPr="0091184D">
        <w:rPr>
          <w:rFonts w:cs="Arial"/>
          <w:b/>
          <w:sz w:val="28"/>
          <w:szCs w:val="28"/>
        </w:rPr>
        <w:t xml:space="preserve"> </w:t>
      </w:r>
    </w:p>
    <w:p w14:paraId="71985216" w14:textId="41F91E12" w:rsidR="0093247A" w:rsidRPr="00A8526E" w:rsidRDefault="00C33734" w:rsidP="0093247A">
      <w:pPr>
        <w:pStyle w:val="StyleJustifiedLeft127cm"/>
        <w:spacing w:before="0" w:after="120"/>
        <w:ind w:left="0"/>
        <w:jc w:val="center"/>
        <w:rPr>
          <w:rFonts w:cs="Arial"/>
          <w:b/>
          <w:sz w:val="28"/>
          <w:szCs w:val="28"/>
        </w:rPr>
      </w:pPr>
      <w:r w:rsidRPr="00A8526E">
        <w:rPr>
          <w:rFonts w:cs="Arial"/>
          <w:b/>
          <w:sz w:val="28"/>
          <w:szCs w:val="28"/>
        </w:rPr>
        <w:t>Contracts Finder –</w:t>
      </w:r>
      <w:r w:rsidR="000D4105">
        <w:rPr>
          <w:rFonts w:cs="Arial"/>
          <w:b/>
          <w:sz w:val="28"/>
          <w:szCs w:val="28"/>
        </w:rPr>
        <w:t xml:space="preserve"> </w:t>
      </w:r>
      <w:proofErr w:type="spellStart"/>
      <w:r w:rsidR="00BC3185">
        <w:rPr>
          <w:rFonts w:cs="Arial"/>
          <w:b/>
          <w:sz w:val="28"/>
          <w:szCs w:val="28"/>
        </w:rPr>
        <w:t>Additonal</w:t>
      </w:r>
      <w:proofErr w:type="spellEnd"/>
      <w:r w:rsidR="00BC3185">
        <w:rPr>
          <w:rFonts w:cs="Arial"/>
          <w:b/>
          <w:sz w:val="28"/>
          <w:szCs w:val="28"/>
        </w:rPr>
        <w:t xml:space="preserve"> Information</w:t>
      </w:r>
      <w:r w:rsidRPr="00A8526E">
        <w:rPr>
          <w:rFonts w:cs="Arial"/>
          <w:b/>
          <w:sz w:val="28"/>
          <w:szCs w:val="28"/>
        </w:rPr>
        <w:t xml:space="preserve"> </w:t>
      </w:r>
    </w:p>
    <w:p w14:paraId="1FAE26BB" w14:textId="77777777" w:rsidR="005E4A49" w:rsidRPr="003F32A0" w:rsidRDefault="005E4A49" w:rsidP="00955E0A">
      <w:pPr>
        <w:rPr>
          <w:rFonts w:cs="Arial"/>
          <w:b/>
        </w:rPr>
      </w:pPr>
    </w:p>
    <w:p w14:paraId="77109887" w14:textId="3276E4D4" w:rsidR="004C2677" w:rsidRPr="003F32A0" w:rsidRDefault="005E4A49" w:rsidP="004C2677">
      <w:pPr>
        <w:rPr>
          <w:rFonts w:cs="Arial"/>
        </w:rPr>
      </w:pPr>
      <w:r w:rsidRPr="003F32A0">
        <w:rPr>
          <w:rFonts w:cs="Arial"/>
          <w:b/>
        </w:rPr>
        <w:t xml:space="preserve">Additional text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4C2677" w:rsidRPr="0091184D" w14:paraId="15CA7440" w14:textId="77777777" w:rsidTr="008F24DD">
        <w:trPr>
          <w:trHeight w:val="375"/>
        </w:trPr>
        <w:tc>
          <w:tcPr>
            <w:tcW w:w="9072" w:type="dxa"/>
            <w:shd w:val="clear" w:color="auto" w:fill="auto"/>
          </w:tcPr>
          <w:p w14:paraId="318FA35C" w14:textId="77777777" w:rsidR="0091184D" w:rsidRPr="0091184D" w:rsidRDefault="0091184D" w:rsidP="0091184D">
            <w:pPr>
              <w:rPr>
                <w:rFonts w:cs="Arial"/>
                <w:sz w:val="22"/>
                <w:szCs w:val="22"/>
                <w:lang w:val="en"/>
              </w:rPr>
            </w:pPr>
            <w:bookmarkStart w:id="0" w:name="_Hlk102987713"/>
            <w:r w:rsidRPr="0091184D">
              <w:rPr>
                <w:rFonts w:cs="Arial"/>
                <w:sz w:val="22"/>
                <w:szCs w:val="22"/>
              </w:rPr>
              <w:t xml:space="preserve">NHS England South West are re-commissioning the School Aged Immunisations Programme in </w:t>
            </w:r>
            <w:proofErr w:type="spellStart"/>
            <w:r w:rsidRPr="0091184D">
              <w:rPr>
                <w:rFonts w:cs="Arial"/>
                <w:sz w:val="22"/>
                <w:szCs w:val="22"/>
              </w:rPr>
              <w:t>BaNES</w:t>
            </w:r>
            <w:proofErr w:type="spellEnd"/>
            <w:r w:rsidRPr="0091184D">
              <w:rPr>
                <w:rFonts w:cs="Arial"/>
                <w:sz w:val="22"/>
                <w:szCs w:val="22"/>
              </w:rPr>
              <w:t xml:space="preserve">, Swindon &amp; Wiltshire (BSW), Gloucestershire, </w:t>
            </w:r>
            <w:proofErr w:type="gramStart"/>
            <w:r w:rsidRPr="0091184D">
              <w:rPr>
                <w:rFonts w:cs="Arial"/>
                <w:sz w:val="22"/>
                <w:szCs w:val="22"/>
              </w:rPr>
              <w:t>Somerset</w:t>
            </w:r>
            <w:proofErr w:type="gramEnd"/>
            <w:r w:rsidRPr="0091184D">
              <w:rPr>
                <w:rFonts w:cs="Arial"/>
                <w:sz w:val="22"/>
                <w:szCs w:val="22"/>
              </w:rPr>
              <w:t xml:space="preserve"> and Cornwall.</w:t>
            </w:r>
            <w:r w:rsidRPr="0091184D">
              <w:rPr>
                <w:rFonts w:cs="Arial"/>
                <w:b/>
                <w:bCs/>
                <w:sz w:val="22"/>
                <w:szCs w:val="22"/>
              </w:rPr>
              <w:t xml:space="preserve"> </w:t>
            </w:r>
            <w:r w:rsidRPr="0091184D">
              <w:rPr>
                <w:rFonts w:cs="Arial"/>
                <w:sz w:val="22"/>
                <w:szCs w:val="22"/>
              </w:rPr>
              <w:t xml:space="preserve">This notice is an information gathering exercise and therefore publication or response does not commit NHS England or respondents to a future procurement, nor provide any process exemptions or preferential treatment to any parties expressing an interest. </w:t>
            </w:r>
            <w:r w:rsidRPr="0091184D">
              <w:rPr>
                <w:rFonts w:cs="Arial"/>
                <w:sz w:val="22"/>
                <w:szCs w:val="22"/>
                <w:lang w:val="en"/>
              </w:rPr>
              <w:t xml:space="preserve">Commissioners are looking to establish what interest there might be in providing such a service from suitably qualified, </w:t>
            </w:r>
            <w:proofErr w:type="gramStart"/>
            <w:r w:rsidRPr="0091184D">
              <w:rPr>
                <w:rFonts w:cs="Arial"/>
                <w:sz w:val="22"/>
                <w:szCs w:val="22"/>
                <w:lang w:val="en"/>
              </w:rPr>
              <w:t>capable</w:t>
            </w:r>
            <w:proofErr w:type="gramEnd"/>
            <w:r w:rsidRPr="0091184D">
              <w:rPr>
                <w:rFonts w:cs="Arial"/>
                <w:sz w:val="22"/>
                <w:szCs w:val="22"/>
                <w:lang w:val="en"/>
              </w:rPr>
              <w:t xml:space="preserve"> and </w:t>
            </w:r>
            <w:r w:rsidRPr="0091184D">
              <w:rPr>
                <w:rFonts w:cs="Arial"/>
                <w:color w:val="0B0C0C"/>
                <w:sz w:val="22"/>
                <w:szCs w:val="22"/>
                <w:lang w:val="en"/>
              </w:rPr>
              <w:t xml:space="preserve">competent organisations. </w:t>
            </w:r>
            <w:r w:rsidRPr="0091184D">
              <w:rPr>
                <w:rFonts w:cs="Arial"/>
                <w:color w:val="0B0C0C"/>
                <w:sz w:val="22"/>
                <w:szCs w:val="22"/>
                <w:lang w:val="en"/>
              </w:rPr>
              <w:br/>
            </w:r>
          </w:p>
          <w:p w14:paraId="13E6885C" w14:textId="77777777" w:rsidR="0091184D" w:rsidRPr="0091184D" w:rsidRDefault="0091184D" w:rsidP="0091184D">
            <w:pPr>
              <w:pStyle w:val="paragraph"/>
              <w:spacing w:before="0" w:beforeAutospacing="0" w:after="0" w:afterAutospacing="0"/>
              <w:jc w:val="both"/>
              <w:textAlignment w:val="baseline"/>
              <w:rPr>
                <w:rStyle w:val="normaltextrun"/>
                <w:rFonts w:ascii="Arial" w:eastAsia="Arial" w:hAnsi="Arial" w:cs="Arial"/>
                <w:sz w:val="22"/>
                <w:szCs w:val="22"/>
              </w:rPr>
            </w:pPr>
            <w:r w:rsidRPr="0091184D">
              <w:rPr>
                <w:rStyle w:val="normaltextrun"/>
                <w:rFonts w:ascii="Arial" w:eastAsia="Arial" w:hAnsi="Arial" w:cs="Arial"/>
                <w:sz w:val="22"/>
                <w:szCs w:val="22"/>
              </w:rPr>
              <w:t>School Aged Immunisation (SAI) programmes provide vaccinations to all children and young people of school age, whether they attend state school, independent school, complex needs schools or alternative settings. Children and young people that are educated at home can attend community clinics. Vaccinations are provided, on behalf of the NHS, in line with the Routine childhood Immunisation programme which aims to prevent school aged children from developing vaccine preventable childhood diseases that are associated with significant mortality and morbidity.</w:t>
            </w:r>
          </w:p>
          <w:p w14:paraId="0E09E919" w14:textId="77777777" w:rsidR="0091184D" w:rsidRPr="0091184D" w:rsidRDefault="0091184D" w:rsidP="0091184D">
            <w:pPr>
              <w:pStyle w:val="paragraph"/>
              <w:spacing w:before="0" w:beforeAutospacing="0" w:after="0" w:afterAutospacing="0"/>
              <w:jc w:val="both"/>
              <w:textAlignment w:val="baseline"/>
              <w:rPr>
                <w:rStyle w:val="normaltextrun"/>
                <w:rFonts w:ascii="Arial" w:eastAsia="Arial" w:hAnsi="Arial" w:cs="Arial"/>
                <w:sz w:val="22"/>
                <w:szCs w:val="22"/>
              </w:rPr>
            </w:pPr>
          </w:p>
          <w:p w14:paraId="2D4015FC" w14:textId="77777777" w:rsidR="0091184D" w:rsidRPr="0091184D" w:rsidRDefault="0091184D" w:rsidP="0091184D">
            <w:pPr>
              <w:pStyle w:val="paragraph"/>
              <w:spacing w:before="0" w:beforeAutospacing="0" w:after="0" w:afterAutospacing="0"/>
              <w:jc w:val="both"/>
              <w:textAlignment w:val="baseline"/>
              <w:rPr>
                <w:rStyle w:val="normaltextrun"/>
                <w:rFonts w:ascii="Arial" w:eastAsia="Arial" w:hAnsi="Arial" w:cs="Arial"/>
                <w:sz w:val="22"/>
                <w:szCs w:val="22"/>
              </w:rPr>
            </w:pPr>
            <w:r w:rsidRPr="0091184D">
              <w:rPr>
                <w:rStyle w:val="normaltextrun"/>
                <w:rFonts w:ascii="Arial" w:eastAsia="Arial" w:hAnsi="Arial" w:cs="Arial"/>
                <w:sz w:val="22"/>
                <w:szCs w:val="22"/>
              </w:rPr>
              <w:t>The school aged immunisation programme includes</w:t>
            </w:r>
          </w:p>
          <w:p w14:paraId="0E983D57" w14:textId="77777777" w:rsidR="0091184D" w:rsidRPr="0091184D" w:rsidRDefault="0091184D" w:rsidP="0091184D">
            <w:pPr>
              <w:pStyle w:val="paragraph"/>
              <w:numPr>
                <w:ilvl w:val="0"/>
                <w:numId w:val="16"/>
              </w:numPr>
              <w:spacing w:before="0" w:beforeAutospacing="0" w:after="0" w:afterAutospacing="0"/>
              <w:jc w:val="both"/>
              <w:textAlignment w:val="baseline"/>
              <w:rPr>
                <w:rStyle w:val="normaltextrun"/>
                <w:rFonts w:ascii="Arial" w:eastAsia="Arial" w:hAnsi="Arial" w:cs="Arial"/>
                <w:sz w:val="22"/>
                <w:szCs w:val="22"/>
              </w:rPr>
            </w:pPr>
            <w:r w:rsidRPr="0091184D">
              <w:rPr>
                <w:rStyle w:val="normaltextrun"/>
                <w:rFonts w:ascii="Arial" w:eastAsia="Arial" w:hAnsi="Arial" w:cs="Arial"/>
                <w:sz w:val="22"/>
                <w:szCs w:val="22"/>
              </w:rPr>
              <w:t xml:space="preserve">Human Papillomavirus (HPV) vaccinations </w:t>
            </w:r>
          </w:p>
          <w:p w14:paraId="0175EF74" w14:textId="77777777" w:rsidR="0091184D" w:rsidRPr="0091184D" w:rsidRDefault="0091184D" w:rsidP="0091184D">
            <w:pPr>
              <w:pStyle w:val="paragraph"/>
              <w:numPr>
                <w:ilvl w:val="0"/>
                <w:numId w:val="16"/>
              </w:numPr>
              <w:spacing w:before="0" w:beforeAutospacing="0" w:after="0" w:afterAutospacing="0"/>
              <w:jc w:val="both"/>
              <w:textAlignment w:val="baseline"/>
              <w:rPr>
                <w:rStyle w:val="normaltextrun"/>
                <w:rFonts w:ascii="Arial" w:eastAsia="Arial" w:hAnsi="Arial" w:cs="Arial"/>
                <w:sz w:val="22"/>
                <w:szCs w:val="22"/>
              </w:rPr>
            </w:pPr>
            <w:r w:rsidRPr="0091184D">
              <w:rPr>
                <w:rStyle w:val="normaltextrun"/>
                <w:rFonts w:ascii="Arial" w:eastAsia="Arial" w:hAnsi="Arial" w:cs="Arial"/>
                <w:sz w:val="22"/>
                <w:szCs w:val="22"/>
              </w:rPr>
              <w:t>Diphtheria, Tetanus and Poliomyelitis (Td/IPV) booster</w:t>
            </w:r>
          </w:p>
          <w:p w14:paraId="246FD523" w14:textId="77777777" w:rsidR="0091184D" w:rsidRPr="0091184D" w:rsidRDefault="0091184D" w:rsidP="0091184D">
            <w:pPr>
              <w:pStyle w:val="paragraph"/>
              <w:numPr>
                <w:ilvl w:val="0"/>
                <w:numId w:val="16"/>
              </w:numPr>
              <w:spacing w:before="0" w:beforeAutospacing="0" w:after="0" w:afterAutospacing="0"/>
              <w:jc w:val="both"/>
              <w:textAlignment w:val="baseline"/>
              <w:rPr>
                <w:rStyle w:val="normaltextrun"/>
                <w:rFonts w:ascii="Arial" w:eastAsia="Arial" w:hAnsi="Arial" w:cs="Arial"/>
                <w:sz w:val="22"/>
                <w:szCs w:val="22"/>
              </w:rPr>
            </w:pPr>
            <w:r w:rsidRPr="0091184D">
              <w:rPr>
                <w:rStyle w:val="normaltextrun"/>
                <w:rFonts w:ascii="Arial" w:eastAsia="Arial" w:hAnsi="Arial" w:cs="Arial"/>
                <w:sz w:val="22"/>
                <w:szCs w:val="22"/>
              </w:rPr>
              <w:t>Meningococcal ACWY (</w:t>
            </w:r>
            <w:proofErr w:type="spellStart"/>
            <w:r w:rsidRPr="0091184D">
              <w:rPr>
                <w:rStyle w:val="normaltextrun"/>
                <w:rFonts w:ascii="Arial" w:eastAsia="Arial" w:hAnsi="Arial" w:cs="Arial"/>
                <w:sz w:val="22"/>
                <w:szCs w:val="22"/>
              </w:rPr>
              <w:t>MenACWY</w:t>
            </w:r>
            <w:proofErr w:type="spellEnd"/>
            <w:r w:rsidRPr="0091184D">
              <w:rPr>
                <w:rStyle w:val="normaltextrun"/>
                <w:rFonts w:ascii="Arial" w:eastAsia="Arial" w:hAnsi="Arial" w:cs="Arial"/>
                <w:sz w:val="22"/>
                <w:szCs w:val="22"/>
              </w:rPr>
              <w:t>) conjugate vaccine</w:t>
            </w:r>
          </w:p>
          <w:p w14:paraId="715068B2" w14:textId="77777777" w:rsidR="0091184D" w:rsidRPr="0091184D" w:rsidRDefault="0091184D" w:rsidP="0091184D">
            <w:pPr>
              <w:pStyle w:val="paragraph"/>
              <w:numPr>
                <w:ilvl w:val="0"/>
                <w:numId w:val="16"/>
              </w:numPr>
              <w:spacing w:before="0" w:beforeAutospacing="0" w:after="0" w:afterAutospacing="0"/>
              <w:jc w:val="both"/>
              <w:textAlignment w:val="baseline"/>
              <w:rPr>
                <w:rStyle w:val="normaltextrun"/>
                <w:rFonts w:ascii="Arial" w:eastAsia="Arial" w:hAnsi="Arial" w:cs="Arial"/>
                <w:sz w:val="22"/>
                <w:szCs w:val="22"/>
              </w:rPr>
            </w:pPr>
            <w:r w:rsidRPr="0091184D">
              <w:rPr>
                <w:rStyle w:val="normaltextrun"/>
                <w:rFonts w:ascii="Arial" w:eastAsia="Arial" w:hAnsi="Arial" w:cs="Arial"/>
                <w:sz w:val="22"/>
                <w:szCs w:val="22"/>
              </w:rPr>
              <w:t xml:space="preserve">School-aged children’s Seasonal influenza (flu) vaccinations </w:t>
            </w:r>
          </w:p>
          <w:p w14:paraId="34CD56DC" w14:textId="77777777" w:rsidR="0091184D" w:rsidRPr="0091184D" w:rsidRDefault="0091184D" w:rsidP="0091184D">
            <w:pPr>
              <w:pStyle w:val="paragraph"/>
              <w:numPr>
                <w:ilvl w:val="0"/>
                <w:numId w:val="16"/>
              </w:numPr>
              <w:spacing w:before="0" w:beforeAutospacing="0" w:after="0" w:afterAutospacing="0"/>
              <w:jc w:val="both"/>
              <w:textAlignment w:val="baseline"/>
              <w:rPr>
                <w:rStyle w:val="normaltextrun"/>
                <w:rFonts w:ascii="Arial" w:eastAsia="Arial" w:hAnsi="Arial" w:cs="Arial"/>
                <w:sz w:val="22"/>
                <w:szCs w:val="22"/>
              </w:rPr>
            </w:pPr>
            <w:r w:rsidRPr="0091184D">
              <w:rPr>
                <w:rStyle w:val="normaltextrun"/>
                <w:rFonts w:ascii="Arial" w:eastAsia="Arial" w:hAnsi="Arial" w:cs="Arial"/>
                <w:sz w:val="22"/>
                <w:szCs w:val="22"/>
              </w:rPr>
              <w:t>Measles, Mumps and Rubella (MMR) catch up vaccinations</w:t>
            </w:r>
          </w:p>
          <w:p w14:paraId="4489FE3A" w14:textId="77777777" w:rsidR="0091184D" w:rsidRPr="0091184D" w:rsidRDefault="0091184D" w:rsidP="0091184D">
            <w:pPr>
              <w:pStyle w:val="paragraph"/>
              <w:spacing w:before="0" w:beforeAutospacing="0" w:after="0" w:afterAutospacing="0"/>
              <w:jc w:val="both"/>
              <w:textAlignment w:val="baseline"/>
              <w:rPr>
                <w:rStyle w:val="normaltextrun"/>
                <w:rFonts w:ascii="Arial" w:eastAsia="Arial" w:hAnsi="Arial" w:cs="Arial"/>
                <w:sz w:val="22"/>
                <w:szCs w:val="22"/>
              </w:rPr>
            </w:pPr>
          </w:p>
          <w:p w14:paraId="7CEADBC5" w14:textId="77777777" w:rsidR="0091184D" w:rsidRPr="0091184D" w:rsidRDefault="0091184D" w:rsidP="0091184D">
            <w:pPr>
              <w:rPr>
                <w:rFonts w:cs="Arial"/>
                <w:sz w:val="22"/>
                <w:szCs w:val="22"/>
                <w:lang w:eastAsia="en-GB"/>
              </w:rPr>
            </w:pPr>
            <w:r w:rsidRPr="0091184D">
              <w:rPr>
                <w:rFonts w:cs="Arial"/>
                <w:sz w:val="22"/>
                <w:szCs w:val="22"/>
                <w:lang w:eastAsia="en-GB"/>
              </w:rPr>
              <w:t>We are looking for a</w:t>
            </w:r>
            <w:r w:rsidRPr="0091184D">
              <w:rPr>
                <w:rFonts w:cs="Arial"/>
                <w:sz w:val="22"/>
                <w:szCs w:val="22"/>
              </w:rPr>
              <w:t xml:space="preserve"> provider(s) that can provide School aged immunisation vaccination services to the School Aged Population. The provider(s) will seek to </w:t>
            </w:r>
            <w:r w:rsidRPr="0091184D">
              <w:rPr>
                <w:rFonts w:cs="Arial"/>
                <w:sz w:val="22"/>
                <w:szCs w:val="22"/>
                <w:lang w:eastAsia="en-GB"/>
              </w:rPr>
              <w:t xml:space="preserve"> </w:t>
            </w:r>
          </w:p>
          <w:p w14:paraId="58FE1990" w14:textId="77777777" w:rsidR="0091184D" w:rsidRPr="0091184D" w:rsidRDefault="0091184D" w:rsidP="0091184D">
            <w:pPr>
              <w:pStyle w:val="ListParagraph"/>
              <w:numPr>
                <w:ilvl w:val="0"/>
                <w:numId w:val="17"/>
              </w:numPr>
              <w:ind w:left="1335" w:hanging="615"/>
              <w:rPr>
                <w:rFonts w:cs="Arial"/>
                <w:sz w:val="22"/>
                <w:szCs w:val="22"/>
                <w:lang w:eastAsia="en-GB"/>
              </w:rPr>
            </w:pPr>
            <w:r w:rsidRPr="0091184D">
              <w:rPr>
                <w:rFonts w:cs="Arial"/>
                <w:sz w:val="22"/>
                <w:szCs w:val="22"/>
                <w:lang w:eastAsia="en-GB"/>
              </w:rPr>
              <w:t xml:space="preserve">achieve uptake in line with national standards </w:t>
            </w:r>
          </w:p>
          <w:p w14:paraId="2727930A" w14:textId="77777777" w:rsidR="0091184D" w:rsidRPr="0091184D" w:rsidRDefault="0091184D" w:rsidP="0091184D">
            <w:pPr>
              <w:pStyle w:val="ListParagraph"/>
              <w:numPr>
                <w:ilvl w:val="0"/>
                <w:numId w:val="17"/>
              </w:numPr>
              <w:ind w:left="1335" w:hanging="615"/>
              <w:rPr>
                <w:rFonts w:cs="Arial"/>
                <w:sz w:val="22"/>
                <w:szCs w:val="22"/>
                <w:lang w:eastAsia="en-GB"/>
              </w:rPr>
            </w:pPr>
            <w:r w:rsidRPr="0091184D">
              <w:rPr>
                <w:rFonts w:cs="Arial"/>
                <w:sz w:val="22"/>
                <w:szCs w:val="22"/>
                <w:lang w:eastAsia="en-GB"/>
              </w:rPr>
              <w:t>ensure maximum coverage of service including 100% offer to the eligible cohort</w:t>
            </w:r>
          </w:p>
          <w:p w14:paraId="3440A56C" w14:textId="77777777" w:rsidR="0091184D" w:rsidRPr="0091184D" w:rsidRDefault="0091184D" w:rsidP="0091184D">
            <w:pPr>
              <w:pStyle w:val="ListParagraph"/>
              <w:numPr>
                <w:ilvl w:val="0"/>
                <w:numId w:val="17"/>
              </w:numPr>
              <w:ind w:left="1335" w:hanging="615"/>
              <w:rPr>
                <w:rFonts w:cs="Arial"/>
                <w:sz w:val="22"/>
                <w:szCs w:val="22"/>
                <w:lang w:eastAsia="en-GB"/>
              </w:rPr>
            </w:pPr>
            <w:r w:rsidRPr="0091184D">
              <w:rPr>
                <w:rFonts w:cs="Arial"/>
                <w:sz w:val="22"/>
                <w:szCs w:val="22"/>
                <w:lang w:eastAsia="en-GB"/>
              </w:rPr>
              <w:t xml:space="preserve">meet the national service specification in full, where there has been inconsistent approach for instance to MMR in the different lots in the past. </w:t>
            </w:r>
          </w:p>
          <w:p w14:paraId="2F170251" w14:textId="77777777" w:rsidR="0091184D" w:rsidRPr="0091184D" w:rsidRDefault="0091184D" w:rsidP="0091184D">
            <w:pPr>
              <w:pStyle w:val="ListParagraph"/>
              <w:numPr>
                <w:ilvl w:val="0"/>
                <w:numId w:val="17"/>
              </w:numPr>
              <w:ind w:left="1335" w:hanging="615"/>
              <w:rPr>
                <w:rFonts w:cs="Arial"/>
                <w:sz w:val="22"/>
                <w:szCs w:val="22"/>
                <w:lang w:eastAsia="en-GB"/>
              </w:rPr>
            </w:pPr>
            <w:r w:rsidRPr="0091184D">
              <w:rPr>
                <w:rFonts w:cs="Arial"/>
                <w:sz w:val="22"/>
                <w:szCs w:val="22"/>
                <w:lang w:eastAsia="en-GB"/>
              </w:rPr>
              <w:t>provide targeted interventions and innovative, flexible solutions that are known to improve uptake in vulnerable groups, in line with NICE guidance</w:t>
            </w:r>
          </w:p>
          <w:p w14:paraId="20C0AE5A" w14:textId="77777777" w:rsidR="0091184D" w:rsidRPr="0091184D" w:rsidRDefault="0091184D" w:rsidP="0091184D">
            <w:pPr>
              <w:pStyle w:val="ListParagraph"/>
              <w:numPr>
                <w:ilvl w:val="0"/>
                <w:numId w:val="17"/>
              </w:numPr>
              <w:ind w:left="1335" w:hanging="615"/>
              <w:rPr>
                <w:rFonts w:cs="Arial"/>
                <w:sz w:val="22"/>
                <w:szCs w:val="22"/>
                <w:lang w:eastAsia="en-GB"/>
              </w:rPr>
            </w:pPr>
            <w:r w:rsidRPr="0091184D">
              <w:rPr>
                <w:rFonts w:cs="Arial"/>
                <w:sz w:val="22"/>
                <w:szCs w:val="22"/>
                <w:lang w:eastAsia="en-GB"/>
              </w:rPr>
              <w:t xml:space="preserve">maintain and build excellent relationships with schools </w:t>
            </w:r>
          </w:p>
          <w:p w14:paraId="1AED6CC4" w14:textId="77777777" w:rsidR="0091184D" w:rsidRPr="0091184D" w:rsidRDefault="0091184D" w:rsidP="0091184D">
            <w:pPr>
              <w:pStyle w:val="ListParagraph"/>
              <w:numPr>
                <w:ilvl w:val="0"/>
                <w:numId w:val="17"/>
              </w:numPr>
              <w:ind w:left="1335" w:hanging="615"/>
              <w:rPr>
                <w:rFonts w:cs="Arial"/>
                <w:sz w:val="22"/>
                <w:szCs w:val="22"/>
                <w:lang w:eastAsia="en-GB"/>
              </w:rPr>
            </w:pPr>
            <w:r w:rsidRPr="0091184D">
              <w:rPr>
                <w:rFonts w:cs="Arial"/>
                <w:sz w:val="22"/>
                <w:szCs w:val="22"/>
                <w:lang w:eastAsia="en-GB"/>
              </w:rPr>
              <w:t xml:space="preserve">establish excellent engagement with stakeholders including service users to ensure the best service model is offered </w:t>
            </w:r>
          </w:p>
          <w:p w14:paraId="21726C47" w14:textId="77777777" w:rsidR="0091184D" w:rsidRPr="0091184D" w:rsidRDefault="0091184D" w:rsidP="0091184D">
            <w:pPr>
              <w:pStyle w:val="ListParagraph"/>
              <w:numPr>
                <w:ilvl w:val="0"/>
                <w:numId w:val="17"/>
              </w:numPr>
              <w:ind w:left="1335" w:hanging="615"/>
              <w:rPr>
                <w:rFonts w:cs="Arial"/>
                <w:sz w:val="22"/>
                <w:szCs w:val="22"/>
                <w:lang w:eastAsia="en-GB"/>
              </w:rPr>
            </w:pPr>
            <w:r w:rsidRPr="0091184D">
              <w:rPr>
                <w:rFonts w:cs="Arial"/>
                <w:sz w:val="22"/>
                <w:szCs w:val="22"/>
                <w:lang w:eastAsia="en-GB"/>
              </w:rPr>
              <w:t xml:space="preserve">ensure service delivery model can be aligned with the future   recommendations of the national immunisation strategy </w:t>
            </w:r>
          </w:p>
          <w:p w14:paraId="3DB0A7CD" w14:textId="77777777" w:rsidR="0091184D" w:rsidRPr="0091184D" w:rsidRDefault="0091184D" w:rsidP="0091184D">
            <w:pPr>
              <w:rPr>
                <w:rFonts w:cs="Arial"/>
                <w:sz w:val="22"/>
                <w:szCs w:val="22"/>
                <w:lang w:eastAsia="en-GB"/>
              </w:rPr>
            </w:pPr>
          </w:p>
          <w:p w14:paraId="3D222C4E" w14:textId="77777777" w:rsidR="0091184D" w:rsidRPr="0091184D" w:rsidRDefault="0091184D" w:rsidP="0091184D">
            <w:pPr>
              <w:rPr>
                <w:rFonts w:cs="Arial"/>
                <w:sz w:val="22"/>
                <w:szCs w:val="22"/>
                <w:lang w:eastAsia="en-GB"/>
              </w:rPr>
            </w:pPr>
            <w:r w:rsidRPr="0091184D">
              <w:rPr>
                <w:rFonts w:cs="Arial"/>
                <w:sz w:val="22"/>
                <w:szCs w:val="22"/>
                <w:lang w:eastAsia="en-GB"/>
              </w:rPr>
              <w:t>In addition to above the provider will work with NHSE to identify opportunities to-</w:t>
            </w:r>
          </w:p>
          <w:p w14:paraId="630A7517" w14:textId="77777777" w:rsidR="0091184D" w:rsidRPr="0091184D" w:rsidRDefault="0091184D" w:rsidP="0091184D">
            <w:pPr>
              <w:pStyle w:val="ListParagraph"/>
              <w:numPr>
                <w:ilvl w:val="0"/>
                <w:numId w:val="17"/>
              </w:numPr>
              <w:ind w:left="1335" w:hanging="698"/>
              <w:rPr>
                <w:rFonts w:cs="Arial"/>
                <w:sz w:val="22"/>
                <w:szCs w:val="22"/>
                <w:lang w:eastAsia="en-GB"/>
              </w:rPr>
            </w:pPr>
            <w:r w:rsidRPr="0091184D">
              <w:rPr>
                <w:rFonts w:cs="Arial"/>
                <w:sz w:val="22"/>
                <w:szCs w:val="22"/>
                <w:lang w:eastAsia="en-GB"/>
              </w:rPr>
              <w:t xml:space="preserve">identify priority areas for targeted investment to improve uptake amongst vulnerable groups </w:t>
            </w:r>
          </w:p>
          <w:p w14:paraId="233ADB82" w14:textId="77777777" w:rsidR="0091184D" w:rsidRPr="0091184D" w:rsidRDefault="0091184D" w:rsidP="0091184D">
            <w:pPr>
              <w:pStyle w:val="ListParagraph"/>
              <w:numPr>
                <w:ilvl w:val="0"/>
                <w:numId w:val="17"/>
              </w:numPr>
              <w:ind w:left="1335" w:hanging="698"/>
              <w:rPr>
                <w:rFonts w:cs="Arial"/>
                <w:sz w:val="22"/>
                <w:szCs w:val="22"/>
                <w:lang w:eastAsia="en-GB"/>
              </w:rPr>
            </w:pPr>
            <w:r w:rsidRPr="0091184D">
              <w:rPr>
                <w:rFonts w:cs="Arial"/>
                <w:sz w:val="22"/>
                <w:szCs w:val="22"/>
                <w:lang w:eastAsia="en-GB"/>
              </w:rPr>
              <w:lastRenderedPageBreak/>
              <w:t>identify opportunities to invest in service development for the benefit of service users, should the re-procurement offer cost savings. For example, supporting investment in technology to increase connectivity with GP’s and Child Health Systems</w:t>
            </w:r>
          </w:p>
          <w:p w14:paraId="2403D023" w14:textId="77777777" w:rsidR="0091184D" w:rsidRPr="0091184D" w:rsidRDefault="0091184D" w:rsidP="0091184D">
            <w:pPr>
              <w:pStyle w:val="ListParagraph"/>
              <w:numPr>
                <w:ilvl w:val="0"/>
                <w:numId w:val="17"/>
              </w:numPr>
              <w:ind w:left="1335" w:hanging="709"/>
              <w:rPr>
                <w:rFonts w:cs="Arial"/>
                <w:sz w:val="22"/>
                <w:szCs w:val="22"/>
                <w:lang w:eastAsia="en-GB"/>
              </w:rPr>
            </w:pPr>
            <w:r w:rsidRPr="0091184D">
              <w:rPr>
                <w:rFonts w:cs="Arial"/>
                <w:sz w:val="22"/>
                <w:szCs w:val="22"/>
                <w:lang w:eastAsia="en-GB"/>
              </w:rPr>
              <w:t>reducing health inequalities by improving services</w:t>
            </w:r>
          </w:p>
          <w:p w14:paraId="41549440" w14:textId="77777777" w:rsidR="0091184D" w:rsidRPr="0091184D" w:rsidRDefault="0091184D" w:rsidP="0091184D">
            <w:pPr>
              <w:rPr>
                <w:rFonts w:cs="Arial"/>
                <w:sz w:val="22"/>
                <w:szCs w:val="22"/>
              </w:rPr>
            </w:pPr>
          </w:p>
          <w:p w14:paraId="64C8244E" w14:textId="77777777" w:rsidR="0091184D" w:rsidRPr="0091184D" w:rsidRDefault="0091184D" w:rsidP="0091184D">
            <w:pPr>
              <w:rPr>
                <w:rFonts w:cs="Arial"/>
                <w:sz w:val="22"/>
                <w:szCs w:val="22"/>
              </w:rPr>
            </w:pPr>
          </w:p>
          <w:p w14:paraId="6D25A1FE" w14:textId="77777777" w:rsidR="0091184D" w:rsidRPr="0091184D" w:rsidRDefault="0091184D" w:rsidP="0091184D">
            <w:pPr>
              <w:rPr>
                <w:rFonts w:cs="Arial"/>
                <w:sz w:val="22"/>
                <w:szCs w:val="22"/>
              </w:rPr>
            </w:pPr>
            <w:r w:rsidRPr="0091184D">
              <w:rPr>
                <w:rFonts w:cs="Arial"/>
                <w:sz w:val="22"/>
                <w:szCs w:val="22"/>
              </w:rPr>
              <w:t>The services within scope include:</w:t>
            </w:r>
          </w:p>
          <w:p w14:paraId="57C48F6C" w14:textId="77777777" w:rsidR="0091184D" w:rsidRPr="0091184D" w:rsidRDefault="0091184D" w:rsidP="0091184D">
            <w:pPr>
              <w:rPr>
                <w:rFonts w:cs="Arial"/>
                <w:sz w:val="22"/>
                <w:szCs w:val="22"/>
              </w:rPr>
            </w:pPr>
            <w:r w:rsidRPr="0091184D">
              <w:rPr>
                <w:rFonts w:cs="Arial"/>
                <w:sz w:val="22"/>
                <w:szCs w:val="22"/>
              </w:rPr>
              <w:t xml:space="preserve">The school aged immunisation programme within </w:t>
            </w:r>
            <w:proofErr w:type="spellStart"/>
            <w:r w:rsidRPr="0091184D">
              <w:rPr>
                <w:rFonts w:cs="Arial"/>
                <w:sz w:val="22"/>
                <w:szCs w:val="22"/>
              </w:rPr>
              <w:t>BaNES</w:t>
            </w:r>
            <w:proofErr w:type="spellEnd"/>
            <w:r w:rsidRPr="0091184D">
              <w:rPr>
                <w:rFonts w:cs="Arial"/>
                <w:sz w:val="22"/>
                <w:szCs w:val="22"/>
              </w:rPr>
              <w:t xml:space="preserve">, Swindon &amp; Wiltshire (BSW), Gloucestershire, Somerset and Cornwall including </w:t>
            </w:r>
          </w:p>
          <w:p w14:paraId="2ABF0FB5" w14:textId="77777777" w:rsidR="0091184D" w:rsidRPr="0091184D" w:rsidRDefault="0091184D" w:rsidP="0091184D">
            <w:pPr>
              <w:pStyle w:val="paragraph"/>
              <w:numPr>
                <w:ilvl w:val="0"/>
                <w:numId w:val="19"/>
              </w:numPr>
              <w:jc w:val="both"/>
              <w:textAlignment w:val="baseline"/>
              <w:rPr>
                <w:rStyle w:val="normaltextrun"/>
                <w:rFonts w:ascii="Arial" w:eastAsia="Arial" w:hAnsi="Arial" w:cs="Arial"/>
                <w:sz w:val="22"/>
                <w:szCs w:val="22"/>
              </w:rPr>
            </w:pPr>
            <w:r w:rsidRPr="0091184D">
              <w:rPr>
                <w:rStyle w:val="normaltextrun"/>
                <w:rFonts w:ascii="Arial" w:eastAsia="Arial" w:hAnsi="Arial" w:cs="Arial"/>
                <w:sz w:val="22"/>
                <w:szCs w:val="22"/>
              </w:rPr>
              <w:t xml:space="preserve">Human Papillomavirus (HPV) vaccinations </w:t>
            </w:r>
          </w:p>
          <w:p w14:paraId="7ECA54B0" w14:textId="77777777" w:rsidR="0091184D" w:rsidRPr="0091184D" w:rsidRDefault="0091184D" w:rsidP="0091184D">
            <w:pPr>
              <w:pStyle w:val="paragraph"/>
              <w:numPr>
                <w:ilvl w:val="0"/>
                <w:numId w:val="19"/>
              </w:numPr>
              <w:jc w:val="both"/>
              <w:textAlignment w:val="baseline"/>
              <w:rPr>
                <w:rStyle w:val="normaltextrun"/>
                <w:rFonts w:ascii="Arial" w:eastAsia="Arial" w:hAnsi="Arial" w:cs="Arial"/>
                <w:sz w:val="22"/>
                <w:szCs w:val="22"/>
              </w:rPr>
            </w:pPr>
            <w:r w:rsidRPr="0091184D">
              <w:rPr>
                <w:rStyle w:val="normaltextrun"/>
                <w:rFonts w:ascii="Arial" w:eastAsia="Arial" w:hAnsi="Arial" w:cs="Arial"/>
                <w:sz w:val="22"/>
                <w:szCs w:val="22"/>
              </w:rPr>
              <w:t>Diphtheria, Tetanus and Poliomyelitis (Td/IPV) booster</w:t>
            </w:r>
          </w:p>
          <w:p w14:paraId="331FDE26" w14:textId="77777777" w:rsidR="0091184D" w:rsidRPr="0091184D" w:rsidRDefault="0091184D" w:rsidP="0091184D">
            <w:pPr>
              <w:pStyle w:val="paragraph"/>
              <w:numPr>
                <w:ilvl w:val="0"/>
                <w:numId w:val="19"/>
              </w:numPr>
              <w:jc w:val="both"/>
              <w:textAlignment w:val="baseline"/>
              <w:rPr>
                <w:rStyle w:val="normaltextrun"/>
                <w:rFonts w:ascii="Arial" w:eastAsia="Arial" w:hAnsi="Arial" w:cs="Arial"/>
                <w:sz w:val="22"/>
                <w:szCs w:val="22"/>
              </w:rPr>
            </w:pPr>
            <w:r w:rsidRPr="0091184D">
              <w:rPr>
                <w:rStyle w:val="normaltextrun"/>
                <w:rFonts w:ascii="Arial" w:eastAsia="Arial" w:hAnsi="Arial" w:cs="Arial"/>
                <w:sz w:val="22"/>
                <w:szCs w:val="22"/>
              </w:rPr>
              <w:t>Meningococcal ACWY (</w:t>
            </w:r>
            <w:proofErr w:type="spellStart"/>
            <w:r w:rsidRPr="0091184D">
              <w:rPr>
                <w:rStyle w:val="normaltextrun"/>
                <w:rFonts w:ascii="Arial" w:eastAsia="Arial" w:hAnsi="Arial" w:cs="Arial"/>
                <w:sz w:val="22"/>
                <w:szCs w:val="22"/>
              </w:rPr>
              <w:t>MenACWY</w:t>
            </w:r>
            <w:proofErr w:type="spellEnd"/>
            <w:r w:rsidRPr="0091184D">
              <w:rPr>
                <w:rStyle w:val="normaltextrun"/>
                <w:rFonts w:ascii="Arial" w:eastAsia="Arial" w:hAnsi="Arial" w:cs="Arial"/>
                <w:sz w:val="22"/>
                <w:szCs w:val="22"/>
              </w:rPr>
              <w:t>) conjugate vaccine</w:t>
            </w:r>
          </w:p>
          <w:p w14:paraId="689A152B" w14:textId="77777777" w:rsidR="0091184D" w:rsidRPr="0091184D" w:rsidRDefault="0091184D" w:rsidP="0091184D">
            <w:pPr>
              <w:pStyle w:val="paragraph"/>
              <w:numPr>
                <w:ilvl w:val="0"/>
                <w:numId w:val="19"/>
              </w:numPr>
              <w:jc w:val="both"/>
              <w:textAlignment w:val="baseline"/>
              <w:rPr>
                <w:rStyle w:val="normaltextrun"/>
                <w:rFonts w:ascii="Arial" w:eastAsia="Arial" w:hAnsi="Arial" w:cs="Arial"/>
                <w:sz w:val="22"/>
                <w:szCs w:val="22"/>
              </w:rPr>
            </w:pPr>
            <w:r w:rsidRPr="0091184D">
              <w:rPr>
                <w:rStyle w:val="normaltextrun"/>
                <w:rFonts w:ascii="Arial" w:eastAsia="Arial" w:hAnsi="Arial" w:cs="Arial"/>
                <w:sz w:val="22"/>
                <w:szCs w:val="22"/>
              </w:rPr>
              <w:t xml:space="preserve">School-aged children’s Seasonal influenza (flu) vaccinations </w:t>
            </w:r>
          </w:p>
          <w:p w14:paraId="7A2B09C1" w14:textId="77777777" w:rsidR="0091184D" w:rsidRPr="0091184D" w:rsidRDefault="0091184D" w:rsidP="0091184D">
            <w:pPr>
              <w:pStyle w:val="paragraph"/>
              <w:numPr>
                <w:ilvl w:val="0"/>
                <w:numId w:val="19"/>
              </w:numPr>
              <w:spacing w:before="0" w:beforeAutospacing="0" w:after="0" w:afterAutospacing="0"/>
              <w:jc w:val="both"/>
              <w:textAlignment w:val="baseline"/>
              <w:rPr>
                <w:rStyle w:val="normaltextrun"/>
                <w:rFonts w:ascii="Arial" w:eastAsia="Arial" w:hAnsi="Arial" w:cs="Arial"/>
                <w:sz w:val="22"/>
                <w:szCs w:val="22"/>
              </w:rPr>
            </w:pPr>
            <w:r w:rsidRPr="0091184D">
              <w:rPr>
                <w:rStyle w:val="normaltextrun"/>
                <w:rFonts w:ascii="Arial" w:eastAsia="Arial" w:hAnsi="Arial" w:cs="Arial"/>
                <w:sz w:val="22"/>
                <w:szCs w:val="22"/>
              </w:rPr>
              <w:t>Measles, Mumps and Rubella (MMR) catch up vaccinations</w:t>
            </w:r>
          </w:p>
          <w:p w14:paraId="602229F9" w14:textId="77777777" w:rsidR="0091184D" w:rsidRPr="0091184D" w:rsidRDefault="0091184D" w:rsidP="0091184D">
            <w:pPr>
              <w:pStyle w:val="paragraph"/>
              <w:jc w:val="both"/>
              <w:textAlignment w:val="baseline"/>
              <w:rPr>
                <w:rStyle w:val="normaltextrun"/>
                <w:rFonts w:ascii="Arial" w:eastAsia="Arial" w:hAnsi="Arial" w:cs="Arial"/>
                <w:sz w:val="22"/>
                <w:szCs w:val="22"/>
              </w:rPr>
            </w:pPr>
            <w:r w:rsidRPr="0091184D">
              <w:rPr>
                <w:rStyle w:val="normaltextrun"/>
                <w:rFonts w:ascii="Arial" w:eastAsia="Arial" w:hAnsi="Arial" w:cs="Arial"/>
                <w:sz w:val="22"/>
                <w:szCs w:val="22"/>
              </w:rPr>
              <w:t xml:space="preserve">In May 2022 a NICE guideline was published with the aim of supporting to increase </w:t>
            </w:r>
            <w:r w:rsidRPr="0091184D">
              <w:rPr>
                <w:rStyle w:val="normaltextrun"/>
                <w:rFonts w:ascii="Arial" w:eastAsia="Arial" w:hAnsi="Arial" w:cs="Arial"/>
                <w:i/>
                <w:sz w:val="22"/>
                <w:szCs w:val="22"/>
              </w:rPr>
              <w:t>Vaccine uptake in the general population</w:t>
            </w:r>
            <w:r w:rsidRPr="0091184D">
              <w:rPr>
                <w:rStyle w:val="normaltextrun"/>
                <w:rFonts w:ascii="Arial" w:eastAsia="Arial" w:hAnsi="Arial" w:cs="Arial"/>
                <w:sz w:val="22"/>
                <w:szCs w:val="22"/>
              </w:rPr>
              <w:t xml:space="preserve"> [NG218]. Any new service must adhere to the recommendations of relevant NICE guidance</w:t>
            </w:r>
          </w:p>
          <w:p w14:paraId="19B10ED9" w14:textId="77777777" w:rsidR="0091184D" w:rsidRPr="0091184D" w:rsidRDefault="0091184D" w:rsidP="0091184D">
            <w:pPr>
              <w:rPr>
                <w:rFonts w:cs="Arial"/>
                <w:sz w:val="22"/>
                <w:szCs w:val="22"/>
              </w:rPr>
            </w:pPr>
            <w:r w:rsidRPr="0091184D">
              <w:rPr>
                <w:rFonts w:cs="Arial"/>
                <w:sz w:val="22"/>
                <w:szCs w:val="22"/>
              </w:rPr>
              <w:t xml:space="preserve">The following services are currently out of scope: </w:t>
            </w:r>
          </w:p>
          <w:p w14:paraId="3893690F" w14:textId="77777777" w:rsidR="0091184D" w:rsidRPr="0091184D" w:rsidRDefault="0091184D" w:rsidP="0091184D">
            <w:pPr>
              <w:pStyle w:val="ListParagraph"/>
              <w:numPr>
                <w:ilvl w:val="0"/>
                <w:numId w:val="18"/>
              </w:numPr>
              <w:rPr>
                <w:rFonts w:cs="Arial"/>
                <w:sz w:val="22"/>
                <w:szCs w:val="22"/>
              </w:rPr>
            </w:pPr>
            <w:r w:rsidRPr="0091184D">
              <w:rPr>
                <w:rFonts w:cs="Arial"/>
                <w:sz w:val="22"/>
                <w:szCs w:val="22"/>
              </w:rPr>
              <w:t>Covid-19 vaccination for the extremely vulnerable</w:t>
            </w:r>
          </w:p>
          <w:p w14:paraId="0A323035" w14:textId="77777777" w:rsidR="0091184D" w:rsidRPr="0091184D" w:rsidRDefault="0091184D" w:rsidP="0091184D">
            <w:pPr>
              <w:pStyle w:val="ListParagraph"/>
              <w:numPr>
                <w:ilvl w:val="0"/>
                <w:numId w:val="18"/>
              </w:numPr>
              <w:rPr>
                <w:rFonts w:cs="Arial"/>
                <w:sz w:val="22"/>
                <w:szCs w:val="22"/>
              </w:rPr>
            </w:pPr>
            <w:r w:rsidRPr="0091184D">
              <w:rPr>
                <w:rFonts w:cs="Arial"/>
                <w:sz w:val="22"/>
                <w:szCs w:val="22"/>
              </w:rPr>
              <w:t xml:space="preserve">School children attending schools outside of the designated local authorities. </w:t>
            </w:r>
          </w:p>
          <w:p w14:paraId="427006DE" w14:textId="77777777" w:rsidR="0091184D" w:rsidRPr="0091184D" w:rsidRDefault="0091184D" w:rsidP="0091184D">
            <w:pPr>
              <w:rPr>
                <w:rFonts w:cs="Arial"/>
                <w:sz w:val="22"/>
                <w:szCs w:val="22"/>
              </w:rPr>
            </w:pPr>
          </w:p>
          <w:p w14:paraId="5EC45387" w14:textId="77777777" w:rsidR="0091184D" w:rsidRPr="0091184D" w:rsidRDefault="0091184D" w:rsidP="0091184D">
            <w:pPr>
              <w:rPr>
                <w:rFonts w:cs="Arial"/>
                <w:sz w:val="22"/>
                <w:szCs w:val="22"/>
              </w:rPr>
            </w:pPr>
            <w:r w:rsidRPr="0091184D">
              <w:rPr>
                <w:rFonts w:cs="Arial"/>
                <w:sz w:val="22"/>
                <w:szCs w:val="22"/>
              </w:rPr>
              <w:t>References made to standards and guidance throughout the specifications are in line with existing and current guidance; where standards and guidance are reviewed and updated during the life of the contract, School Aged Immunisation services must maintain compliance with any changes and as such the contract may be varied accordingly.</w:t>
            </w:r>
          </w:p>
          <w:p w14:paraId="2CC55CED" w14:textId="77777777" w:rsidR="0091184D" w:rsidRPr="0091184D" w:rsidRDefault="0091184D" w:rsidP="0091184D">
            <w:pPr>
              <w:rPr>
                <w:rFonts w:cs="Arial"/>
                <w:color w:val="0B0C0C"/>
                <w:sz w:val="22"/>
                <w:szCs w:val="22"/>
              </w:rPr>
            </w:pPr>
          </w:p>
          <w:p w14:paraId="2A8AC5BE" w14:textId="77777777" w:rsidR="0091184D" w:rsidRPr="0091184D" w:rsidRDefault="0091184D" w:rsidP="0091184D">
            <w:pPr>
              <w:rPr>
                <w:rFonts w:cs="Arial"/>
                <w:color w:val="000000"/>
                <w:sz w:val="22"/>
                <w:szCs w:val="22"/>
                <w:lang w:eastAsia="en-GB"/>
              </w:rPr>
            </w:pPr>
            <w:r w:rsidRPr="0091184D">
              <w:rPr>
                <w:rFonts w:cs="Arial"/>
                <w:sz w:val="22"/>
                <w:szCs w:val="22"/>
              </w:rPr>
              <w:t xml:space="preserve">The total annual contract value for the 5 areas is in the region of </w:t>
            </w:r>
            <w:r w:rsidRPr="0091184D">
              <w:rPr>
                <w:rFonts w:cs="Arial"/>
                <w:color w:val="000000"/>
                <w:sz w:val="22"/>
                <w:szCs w:val="22"/>
              </w:rPr>
              <w:t xml:space="preserve">£ 4,380,000 </w:t>
            </w:r>
            <w:r w:rsidRPr="0091184D">
              <w:rPr>
                <w:rFonts w:cs="Arial"/>
                <w:color w:val="000000" w:themeColor="text1"/>
                <w:sz w:val="22"/>
                <w:szCs w:val="22"/>
                <w:lang w:eastAsia="en-GB"/>
              </w:rPr>
              <w:t xml:space="preserve">and the services are likely to be commissioned in 5 separate lots aligned with the Integrated Care System geographical footprints. The contract values in this notice are subject to change and the system level contract values will be detailed in the full ITT. </w:t>
            </w:r>
          </w:p>
          <w:p w14:paraId="28D0D51A" w14:textId="77777777" w:rsidR="0091184D" w:rsidRPr="0091184D" w:rsidRDefault="0091184D" w:rsidP="0091184D">
            <w:pPr>
              <w:rPr>
                <w:rFonts w:cs="Arial"/>
                <w:color w:val="0B0C0C"/>
                <w:sz w:val="22"/>
                <w:szCs w:val="22"/>
              </w:rPr>
            </w:pPr>
          </w:p>
          <w:p w14:paraId="044D34D0" w14:textId="77777777" w:rsidR="0091184D" w:rsidRPr="00232F32" w:rsidRDefault="0091184D" w:rsidP="0091184D">
            <w:pPr>
              <w:tabs>
                <w:tab w:val="left" w:pos="2975"/>
              </w:tabs>
              <w:rPr>
                <w:rFonts w:cs="Arial"/>
                <w:sz w:val="22"/>
                <w:szCs w:val="22"/>
              </w:rPr>
            </w:pPr>
            <w:r w:rsidRPr="00232F32">
              <w:rPr>
                <w:rFonts w:cs="Arial"/>
                <w:sz w:val="22"/>
                <w:szCs w:val="22"/>
              </w:rPr>
              <w:t xml:space="preserve">The services are healthcare services falling within Schedule 3 to the Public Contracts Regulations 2015 ("the Regulations") which are not subject to the full regime of the </w:t>
            </w:r>
            <w:proofErr w:type="gramStart"/>
            <w:r w:rsidRPr="00232F32">
              <w:rPr>
                <w:rFonts w:cs="Arial"/>
                <w:sz w:val="22"/>
                <w:szCs w:val="22"/>
              </w:rPr>
              <w:t>Regulations, but</w:t>
            </w:r>
            <w:proofErr w:type="gramEnd"/>
            <w:r w:rsidRPr="00232F32">
              <w:rPr>
                <w:rFonts w:cs="Arial"/>
                <w:sz w:val="22"/>
                <w:szCs w:val="22"/>
              </w:rPr>
              <w:t xml:space="preserve"> is instead governed by the "Light Touch Regime" contained within Chapter 3, Section 7 of the Regulations (Regulations 74 to 77).</w:t>
            </w:r>
          </w:p>
          <w:p w14:paraId="20EFB27B" w14:textId="77777777" w:rsidR="0091184D" w:rsidRPr="00232F32" w:rsidRDefault="0091184D" w:rsidP="0091184D">
            <w:pPr>
              <w:tabs>
                <w:tab w:val="left" w:pos="2975"/>
              </w:tabs>
              <w:rPr>
                <w:rFonts w:cs="Arial"/>
                <w:sz w:val="22"/>
                <w:szCs w:val="22"/>
              </w:rPr>
            </w:pPr>
            <w:r w:rsidRPr="00232F32">
              <w:rPr>
                <w:rFonts w:cs="Arial"/>
                <w:sz w:val="22"/>
                <w:szCs w:val="22"/>
              </w:rPr>
              <w:t>The contract value of this procurement is under the Light Touch Regime threshold and therefore the rules of this Regime do not apply.</w:t>
            </w:r>
          </w:p>
          <w:p w14:paraId="5BEC5D77" w14:textId="77777777" w:rsidR="006D2A64" w:rsidRPr="0091184D" w:rsidRDefault="006D2A64" w:rsidP="0091184D">
            <w:pPr>
              <w:rPr>
                <w:rFonts w:cs="Arial"/>
                <w:sz w:val="22"/>
                <w:szCs w:val="22"/>
              </w:rPr>
            </w:pPr>
          </w:p>
        </w:tc>
      </w:tr>
      <w:bookmarkEnd w:id="0"/>
    </w:tbl>
    <w:p w14:paraId="12DA82CF" w14:textId="77777777" w:rsidR="00C02865" w:rsidRPr="00A8526E" w:rsidRDefault="00C02865" w:rsidP="00955E0A">
      <w:pPr>
        <w:spacing w:after="200" w:line="276" w:lineRule="auto"/>
        <w:rPr>
          <w:rFonts w:cs="Arial"/>
        </w:rPr>
      </w:pPr>
    </w:p>
    <w:p w14:paraId="63D90495" w14:textId="060BD246" w:rsidR="005E4A49" w:rsidRPr="00A8526E" w:rsidRDefault="005E4A49">
      <w:pPr>
        <w:spacing w:after="200" w:line="276" w:lineRule="auto"/>
        <w:rPr>
          <w:rFonts w:cs="Arial"/>
        </w:rPr>
      </w:pPr>
    </w:p>
    <w:sectPr w:rsidR="005E4A49" w:rsidRPr="00A8526E" w:rsidSect="00D3263C">
      <w:footerReference w:type="default" r:id="rId11"/>
      <w:headerReference w:type="first" r:id="rId12"/>
      <w:pgSz w:w="11906" w:h="16838"/>
      <w:pgMar w:top="127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95AF3" w14:textId="77777777" w:rsidR="00EC1539" w:rsidRDefault="00EC1539" w:rsidP="0093247A">
      <w:r>
        <w:separator/>
      </w:r>
    </w:p>
  </w:endnote>
  <w:endnote w:type="continuationSeparator" w:id="0">
    <w:p w14:paraId="04396704" w14:textId="77777777" w:rsidR="00EC1539" w:rsidRDefault="00EC1539" w:rsidP="00932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2334684"/>
      <w:docPartObj>
        <w:docPartGallery w:val="Page Numbers (Bottom of Page)"/>
        <w:docPartUnique/>
      </w:docPartObj>
    </w:sdtPr>
    <w:sdtEndPr/>
    <w:sdtContent>
      <w:sdt>
        <w:sdtPr>
          <w:id w:val="-1669238322"/>
          <w:docPartObj>
            <w:docPartGallery w:val="Page Numbers (Top of Page)"/>
            <w:docPartUnique/>
          </w:docPartObj>
        </w:sdtPr>
        <w:sdtEndPr/>
        <w:sdtContent>
          <w:p w14:paraId="4FC2187D" w14:textId="77777777" w:rsidR="00C33734" w:rsidRDefault="00C33734">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A41869">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A41869">
              <w:rPr>
                <w:b/>
                <w:bCs/>
                <w:noProof/>
              </w:rPr>
              <w:t>7</w:t>
            </w:r>
            <w:r>
              <w:rPr>
                <w:b/>
                <w:bCs/>
                <w:szCs w:val="24"/>
              </w:rPr>
              <w:fldChar w:fldCharType="end"/>
            </w:r>
          </w:p>
        </w:sdtContent>
      </w:sdt>
    </w:sdtContent>
  </w:sdt>
  <w:p w14:paraId="64324681" w14:textId="77777777" w:rsidR="00C33734" w:rsidRDefault="00C33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5919D" w14:textId="77777777" w:rsidR="00EC1539" w:rsidRDefault="00EC1539" w:rsidP="0093247A">
      <w:r>
        <w:separator/>
      </w:r>
    </w:p>
  </w:footnote>
  <w:footnote w:type="continuationSeparator" w:id="0">
    <w:p w14:paraId="44242147" w14:textId="77777777" w:rsidR="00EC1539" w:rsidRDefault="00EC1539" w:rsidP="00932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A39F7" w14:textId="77777777" w:rsidR="00C33734" w:rsidRDefault="00C33734">
    <w:pPr>
      <w:pStyle w:val="Header"/>
    </w:pPr>
    <w:r>
      <w:rPr>
        <w:noProof/>
        <w:lang w:eastAsia="en-GB"/>
      </w:rPr>
      <w:drawing>
        <wp:anchor distT="0" distB="0" distL="114300" distR="114300" simplePos="0" relativeHeight="251659264" behindDoc="1" locked="0" layoutInCell="1" allowOverlap="1" wp14:anchorId="1B054FF3" wp14:editId="35D8D2C7">
          <wp:simplePos x="0" y="0"/>
          <wp:positionH relativeFrom="column">
            <wp:posOffset>-898410</wp:posOffset>
          </wp:positionH>
          <wp:positionV relativeFrom="paragraph">
            <wp:posOffset>-446405</wp:posOffset>
          </wp:positionV>
          <wp:extent cx="7560606" cy="1323833"/>
          <wp:effectExtent l="0" t="0" r="2540" b="0"/>
          <wp:wrapNone/>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
                    <a:extLst>
                      <a:ext uri="{28A0092B-C50C-407E-A947-70E740481C1C}">
                        <a14:useLocalDpi xmlns:a14="http://schemas.microsoft.com/office/drawing/2010/main" val="0"/>
                      </a:ext>
                    </a:extLst>
                  </a:blip>
                  <a:srcRect b="87548"/>
                  <a:stretch/>
                </pic:blipFill>
                <pic:spPr bwMode="auto">
                  <a:xfrm>
                    <a:off x="0" y="0"/>
                    <a:ext cx="7560606" cy="132383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335A"/>
    <w:multiLevelType w:val="hybridMultilevel"/>
    <w:tmpl w:val="63087FFA"/>
    <w:lvl w:ilvl="0" w:tplc="08090001">
      <w:start w:val="1"/>
      <w:numFmt w:val="bullet"/>
      <w:lvlText w:val=""/>
      <w:lvlJc w:val="left"/>
      <w:rPr>
        <w:rFonts w:ascii="Symbol" w:hAnsi="Symbol" w:hint="default"/>
      </w:rPr>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 w15:restartNumberingAfterBreak="0">
    <w:nsid w:val="250B4A8A"/>
    <w:multiLevelType w:val="hybridMultilevel"/>
    <w:tmpl w:val="83BC3AB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A8C79A9"/>
    <w:multiLevelType w:val="hybridMultilevel"/>
    <w:tmpl w:val="343EC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44614C"/>
    <w:multiLevelType w:val="hybridMultilevel"/>
    <w:tmpl w:val="DDDA6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EF73EF"/>
    <w:multiLevelType w:val="hybridMultilevel"/>
    <w:tmpl w:val="9E2A25D4"/>
    <w:lvl w:ilvl="0" w:tplc="9AA64284">
      <w:numFmt w:val="bullet"/>
      <w:lvlText w:val=""/>
      <w:lvlJc w:val="left"/>
      <w:pPr>
        <w:ind w:left="940" w:hanging="360"/>
      </w:pPr>
      <w:rPr>
        <w:rFonts w:ascii="Symbol" w:eastAsia="Symbol" w:hAnsi="Symbol" w:cs="Symbol" w:hint="default"/>
        <w:color w:val="auto"/>
        <w:w w:val="100"/>
        <w:sz w:val="22"/>
        <w:szCs w:val="22"/>
        <w:lang w:val="en-GB" w:eastAsia="en-GB" w:bidi="en-GB"/>
      </w:rPr>
    </w:lvl>
    <w:lvl w:ilvl="1" w:tplc="BC30F332">
      <w:numFmt w:val="bullet"/>
      <w:lvlText w:val="•"/>
      <w:lvlJc w:val="left"/>
      <w:pPr>
        <w:ind w:left="1792" w:hanging="360"/>
      </w:pPr>
      <w:rPr>
        <w:rFonts w:hint="default"/>
        <w:lang w:val="en-GB" w:eastAsia="en-GB" w:bidi="en-GB"/>
      </w:rPr>
    </w:lvl>
    <w:lvl w:ilvl="2" w:tplc="70CCD30A">
      <w:numFmt w:val="bullet"/>
      <w:lvlText w:val="•"/>
      <w:lvlJc w:val="left"/>
      <w:pPr>
        <w:ind w:left="2645" w:hanging="360"/>
      </w:pPr>
      <w:rPr>
        <w:rFonts w:hint="default"/>
        <w:lang w:val="en-GB" w:eastAsia="en-GB" w:bidi="en-GB"/>
      </w:rPr>
    </w:lvl>
    <w:lvl w:ilvl="3" w:tplc="CBB09D8E">
      <w:numFmt w:val="bullet"/>
      <w:lvlText w:val="•"/>
      <w:lvlJc w:val="left"/>
      <w:pPr>
        <w:ind w:left="3497" w:hanging="360"/>
      </w:pPr>
      <w:rPr>
        <w:rFonts w:hint="default"/>
        <w:lang w:val="en-GB" w:eastAsia="en-GB" w:bidi="en-GB"/>
      </w:rPr>
    </w:lvl>
    <w:lvl w:ilvl="4" w:tplc="E8303454">
      <w:numFmt w:val="bullet"/>
      <w:lvlText w:val="•"/>
      <w:lvlJc w:val="left"/>
      <w:pPr>
        <w:ind w:left="4350" w:hanging="360"/>
      </w:pPr>
      <w:rPr>
        <w:rFonts w:hint="default"/>
        <w:lang w:val="en-GB" w:eastAsia="en-GB" w:bidi="en-GB"/>
      </w:rPr>
    </w:lvl>
    <w:lvl w:ilvl="5" w:tplc="F03825BC">
      <w:numFmt w:val="bullet"/>
      <w:lvlText w:val="•"/>
      <w:lvlJc w:val="left"/>
      <w:pPr>
        <w:ind w:left="5203" w:hanging="360"/>
      </w:pPr>
      <w:rPr>
        <w:rFonts w:hint="default"/>
        <w:lang w:val="en-GB" w:eastAsia="en-GB" w:bidi="en-GB"/>
      </w:rPr>
    </w:lvl>
    <w:lvl w:ilvl="6" w:tplc="F8520372">
      <w:numFmt w:val="bullet"/>
      <w:lvlText w:val="•"/>
      <w:lvlJc w:val="left"/>
      <w:pPr>
        <w:ind w:left="6055" w:hanging="360"/>
      </w:pPr>
      <w:rPr>
        <w:rFonts w:hint="default"/>
        <w:lang w:val="en-GB" w:eastAsia="en-GB" w:bidi="en-GB"/>
      </w:rPr>
    </w:lvl>
    <w:lvl w:ilvl="7" w:tplc="6D364454">
      <w:numFmt w:val="bullet"/>
      <w:lvlText w:val="•"/>
      <w:lvlJc w:val="left"/>
      <w:pPr>
        <w:ind w:left="6908" w:hanging="360"/>
      </w:pPr>
      <w:rPr>
        <w:rFonts w:hint="default"/>
        <w:lang w:val="en-GB" w:eastAsia="en-GB" w:bidi="en-GB"/>
      </w:rPr>
    </w:lvl>
    <w:lvl w:ilvl="8" w:tplc="D67E2420">
      <w:numFmt w:val="bullet"/>
      <w:lvlText w:val="•"/>
      <w:lvlJc w:val="left"/>
      <w:pPr>
        <w:ind w:left="7761" w:hanging="360"/>
      </w:pPr>
      <w:rPr>
        <w:rFonts w:hint="default"/>
        <w:lang w:val="en-GB" w:eastAsia="en-GB" w:bidi="en-GB"/>
      </w:rPr>
    </w:lvl>
  </w:abstractNum>
  <w:abstractNum w:abstractNumId="5" w15:restartNumberingAfterBreak="0">
    <w:nsid w:val="3A271E3E"/>
    <w:multiLevelType w:val="hybridMultilevel"/>
    <w:tmpl w:val="E8D0F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E235C4"/>
    <w:multiLevelType w:val="hybridMultilevel"/>
    <w:tmpl w:val="C9207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1C1EA6"/>
    <w:multiLevelType w:val="hybridMultilevel"/>
    <w:tmpl w:val="13E0B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630E6C"/>
    <w:multiLevelType w:val="hybridMultilevel"/>
    <w:tmpl w:val="48382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EC045D"/>
    <w:multiLevelType w:val="hybridMultilevel"/>
    <w:tmpl w:val="00E23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84E60F0"/>
    <w:multiLevelType w:val="hybridMultilevel"/>
    <w:tmpl w:val="584E1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F5454E"/>
    <w:multiLevelType w:val="hybridMultilevel"/>
    <w:tmpl w:val="24CCE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872CF1"/>
    <w:multiLevelType w:val="hybridMultilevel"/>
    <w:tmpl w:val="F81CC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0410BF"/>
    <w:multiLevelType w:val="hybridMultilevel"/>
    <w:tmpl w:val="F0209DA0"/>
    <w:lvl w:ilvl="0" w:tplc="2BE8C7BC">
      <w:start w:val="30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8603AD"/>
    <w:multiLevelType w:val="hybridMultilevel"/>
    <w:tmpl w:val="5CF8F69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5" w15:restartNumberingAfterBreak="0">
    <w:nsid w:val="74552347"/>
    <w:multiLevelType w:val="hybridMultilevel"/>
    <w:tmpl w:val="7BEA359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5230F24"/>
    <w:multiLevelType w:val="hybridMultilevel"/>
    <w:tmpl w:val="2CCCE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5A33CB"/>
    <w:multiLevelType w:val="hybridMultilevel"/>
    <w:tmpl w:val="3F761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239342">
    <w:abstractNumId w:val="17"/>
  </w:num>
  <w:num w:numId="2" w16cid:durableId="799760470">
    <w:abstractNumId w:val="15"/>
  </w:num>
  <w:num w:numId="3" w16cid:durableId="31541337">
    <w:abstractNumId w:val="14"/>
  </w:num>
  <w:num w:numId="4" w16cid:durableId="1627351578">
    <w:abstractNumId w:val="3"/>
  </w:num>
  <w:num w:numId="5" w16cid:durableId="1153640304">
    <w:abstractNumId w:val="7"/>
  </w:num>
  <w:num w:numId="6" w16cid:durableId="1664502846">
    <w:abstractNumId w:val="1"/>
  </w:num>
  <w:num w:numId="7" w16cid:durableId="1175919712">
    <w:abstractNumId w:val="13"/>
  </w:num>
  <w:num w:numId="8" w16cid:durableId="1845702129">
    <w:abstractNumId w:val="6"/>
  </w:num>
  <w:num w:numId="9" w16cid:durableId="204760503">
    <w:abstractNumId w:val="11"/>
  </w:num>
  <w:num w:numId="10" w16cid:durableId="771242200">
    <w:abstractNumId w:val="2"/>
  </w:num>
  <w:num w:numId="11" w16cid:durableId="1258176573">
    <w:abstractNumId w:val="5"/>
  </w:num>
  <w:num w:numId="12" w16cid:durableId="1121999986">
    <w:abstractNumId w:val="4"/>
  </w:num>
  <w:num w:numId="13" w16cid:durableId="2042851499">
    <w:abstractNumId w:val="12"/>
  </w:num>
  <w:num w:numId="14" w16cid:durableId="1698921712">
    <w:abstractNumId w:val="9"/>
  </w:num>
  <w:num w:numId="15" w16cid:durableId="823619440">
    <w:abstractNumId w:val="4"/>
  </w:num>
  <w:num w:numId="16" w16cid:durableId="1139230504">
    <w:abstractNumId w:val="8"/>
  </w:num>
  <w:num w:numId="17" w16cid:durableId="176315277">
    <w:abstractNumId w:val="0"/>
  </w:num>
  <w:num w:numId="18" w16cid:durableId="2123450742">
    <w:abstractNumId w:val="16"/>
  </w:num>
  <w:num w:numId="19" w16cid:durableId="21352520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6BC"/>
    <w:rsid w:val="0000752E"/>
    <w:rsid w:val="00021874"/>
    <w:rsid w:val="000230E1"/>
    <w:rsid w:val="00032DDA"/>
    <w:rsid w:val="00044265"/>
    <w:rsid w:val="00057235"/>
    <w:rsid w:val="00087597"/>
    <w:rsid w:val="0009192D"/>
    <w:rsid w:val="00096DD1"/>
    <w:rsid w:val="000C3B8D"/>
    <w:rsid w:val="000D4105"/>
    <w:rsid w:val="000E5719"/>
    <w:rsid w:val="000F5F77"/>
    <w:rsid w:val="00100145"/>
    <w:rsid w:val="00130487"/>
    <w:rsid w:val="00131C35"/>
    <w:rsid w:val="00140D0F"/>
    <w:rsid w:val="00141AB5"/>
    <w:rsid w:val="00156C2E"/>
    <w:rsid w:val="001629B2"/>
    <w:rsid w:val="00163D8D"/>
    <w:rsid w:val="00167CB2"/>
    <w:rsid w:val="001903DC"/>
    <w:rsid w:val="00196D62"/>
    <w:rsid w:val="00197F29"/>
    <w:rsid w:val="001A6F0C"/>
    <w:rsid w:val="001B2160"/>
    <w:rsid w:val="001B4E69"/>
    <w:rsid w:val="001D4A2B"/>
    <w:rsid w:val="001E5FC6"/>
    <w:rsid w:val="001F173C"/>
    <w:rsid w:val="00236D87"/>
    <w:rsid w:val="002728C7"/>
    <w:rsid w:val="00273776"/>
    <w:rsid w:val="002A5F66"/>
    <w:rsid w:val="002B541B"/>
    <w:rsid w:val="002C1871"/>
    <w:rsid w:val="002D2961"/>
    <w:rsid w:val="002D2A34"/>
    <w:rsid w:val="002E0561"/>
    <w:rsid w:val="002E1FE6"/>
    <w:rsid w:val="002E27FE"/>
    <w:rsid w:val="002F3342"/>
    <w:rsid w:val="00305EF4"/>
    <w:rsid w:val="00314D64"/>
    <w:rsid w:val="003367BF"/>
    <w:rsid w:val="00353247"/>
    <w:rsid w:val="00363374"/>
    <w:rsid w:val="00364014"/>
    <w:rsid w:val="0036493F"/>
    <w:rsid w:val="00366360"/>
    <w:rsid w:val="003734C8"/>
    <w:rsid w:val="003A5E26"/>
    <w:rsid w:val="003B68F4"/>
    <w:rsid w:val="003C0A45"/>
    <w:rsid w:val="003D047A"/>
    <w:rsid w:val="003F32A0"/>
    <w:rsid w:val="003F411C"/>
    <w:rsid w:val="0040212F"/>
    <w:rsid w:val="00412A4F"/>
    <w:rsid w:val="004648A9"/>
    <w:rsid w:val="0047153A"/>
    <w:rsid w:val="004819FD"/>
    <w:rsid w:val="004824E1"/>
    <w:rsid w:val="004B611B"/>
    <w:rsid w:val="004C2677"/>
    <w:rsid w:val="004C4016"/>
    <w:rsid w:val="004D1FBB"/>
    <w:rsid w:val="004E65C0"/>
    <w:rsid w:val="00505B2E"/>
    <w:rsid w:val="0051449A"/>
    <w:rsid w:val="00545EA0"/>
    <w:rsid w:val="00546800"/>
    <w:rsid w:val="00586F17"/>
    <w:rsid w:val="005A48C4"/>
    <w:rsid w:val="005B4757"/>
    <w:rsid w:val="005B76F3"/>
    <w:rsid w:val="005C3255"/>
    <w:rsid w:val="005D1C2C"/>
    <w:rsid w:val="005E4A49"/>
    <w:rsid w:val="005F4E85"/>
    <w:rsid w:val="0061213C"/>
    <w:rsid w:val="00627655"/>
    <w:rsid w:val="00633B82"/>
    <w:rsid w:val="00641838"/>
    <w:rsid w:val="0064573F"/>
    <w:rsid w:val="006512C2"/>
    <w:rsid w:val="006552BC"/>
    <w:rsid w:val="00664151"/>
    <w:rsid w:val="00683F83"/>
    <w:rsid w:val="00687D8B"/>
    <w:rsid w:val="006902F4"/>
    <w:rsid w:val="006946BC"/>
    <w:rsid w:val="006D2A64"/>
    <w:rsid w:val="006D4FD9"/>
    <w:rsid w:val="007078CA"/>
    <w:rsid w:val="00717A1B"/>
    <w:rsid w:val="00721419"/>
    <w:rsid w:val="007216FA"/>
    <w:rsid w:val="007402A0"/>
    <w:rsid w:val="007438DC"/>
    <w:rsid w:val="00744E11"/>
    <w:rsid w:val="007712B5"/>
    <w:rsid w:val="00771443"/>
    <w:rsid w:val="007C205E"/>
    <w:rsid w:val="007C400B"/>
    <w:rsid w:val="007C46EE"/>
    <w:rsid w:val="007E43DB"/>
    <w:rsid w:val="00835961"/>
    <w:rsid w:val="00843D33"/>
    <w:rsid w:val="00855788"/>
    <w:rsid w:val="00857AB3"/>
    <w:rsid w:val="00863C0C"/>
    <w:rsid w:val="00863F25"/>
    <w:rsid w:val="008A1487"/>
    <w:rsid w:val="008A1549"/>
    <w:rsid w:val="008A7150"/>
    <w:rsid w:val="0091184D"/>
    <w:rsid w:val="009204AA"/>
    <w:rsid w:val="0093247A"/>
    <w:rsid w:val="00933724"/>
    <w:rsid w:val="00934BE7"/>
    <w:rsid w:val="009360AD"/>
    <w:rsid w:val="00937037"/>
    <w:rsid w:val="00943E2B"/>
    <w:rsid w:val="009544D0"/>
    <w:rsid w:val="00955E0A"/>
    <w:rsid w:val="00960F7E"/>
    <w:rsid w:val="00966892"/>
    <w:rsid w:val="00967C7F"/>
    <w:rsid w:val="009A7D7B"/>
    <w:rsid w:val="009D4B32"/>
    <w:rsid w:val="009E30F9"/>
    <w:rsid w:val="00A008D9"/>
    <w:rsid w:val="00A3426A"/>
    <w:rsid w:val="00A34E38"/>
    <w:rsid w:val="00A360C2"/>
    <w:rsid w:val="00A41869"/>
    <w:rsid w:val="00A42635"/>
    <w:rsid w:val="00A539E7"/>
    <w:rsid w:val="00A56480"/>
    <w:rsid w:val="00A613FA"/>
    <w:rsid w:val="00A67C33"/>
    <w:rsid w:val="00A76CC6"/>
    <w:rsid w:val="00A771E9"/>
    <w:rsid w:val="00A8526E"/>
    <w:rsid w:val="00AD5512"/>
    <w:rsid w:val="00B02517"/>
    <w:rsid w:val="00B13C67"/>
    <w:rsid w:val="00B32A39"/>
    <w:rsid w:val="00B43064"/>
    <w:rsid w:val="00B5221E"/>
    <w:rsid w:val="00B5640E"/>
    <w:rsid w:val="00B5772E"/>
    <w:rsid w:val="00B856AD"/>
    <w:rsid w:val="00B875E8"/>
    <w:rsid w:val="00BB5137"/>
    <w:rsid w:val="00BB6A1C"/>
    <w:rsid w:val="00BC2545"/>
    <w:rsid w:val="00BC3185"/>
    <w:rsid w:val="00BC64ED"/>
    <w:rsid w:val="00BD16BA"/>
    <w:rsid w:val="00C02865"/>
    <w:rsid w:val="00C1614D"/>
    <w:rsid w:val="00C24160"/>
    <w:rsid w:val="00C26EBA"/>
    <w:rsid w:val="00C33734"/>
    <w:rsid w:val="00C379DD"/>
    <w:rsid w:val="00C40936"/>
    <w:rsid w:val="00C41DB9"/>
    <w:rsid w:val="00C4200B"/>
    <w:rsid w:val="00C46A8D"/>
    <w:rsid w:val="00C62D2D"/>
    <w:rsid w:val="00C74DD3"/>
    <w:rsid w:val="00CC4DF0"/>
    <w:rsid w:val="00CC571F"/>
    <w:rsid w:val="00CD1995"/>
    <w:rsid w:val="00D067E8"/>
    <w:rsid w:val="00D0703F"/>
    <w:rsid w:val="00D238C2"/>
    <w:rsid w:val="00D3263C"/>
    <w:rsid w:val="00D42E50"/>
    <w:rsid w:val="00D51D7B"/>
    <w:rsid w:val="00D60C9D"/>
    <w:rsid w:val="00D64E48"/>
    <w:rsid w:val="00D96FE4"/>
    <w:rsid w:val="00DA21E1"/>
    <w:rsid w:val="00DA6AE2"/>
    <w:rsid w:val="00DC48C2"/>
    <w:rsid w:val="00DD3CD0"/>
    <w:rsid w:val="00E30E4B"/>
    <w:rsid w:val="00E517E2"/>
    <w:rsid w:val="00E7770F"/>
    <w:rsid w:val="00E85412"/>
    <w:rsid w:val="00EA0E4A"/>
    <w:rsid w:val="00EC1539"/>
    <w:rsid w:val="00EC7660"/>
    <w:rsid w:val="00ED33A0"/>
    <w:rsid w:val="00EE4698"/>
    <w:rsid w:val="00EE4CCB"/>
    <w:rsid w:val="00F11FEC"/>
    <w:rsid w:val="00F152B6"/>
    <w:rsid w:val="00F20D27"/>
    <w:rsid w:val="00F2473A"/>
    <w:rsid w:val="00F3251D"/>
    <w:rsid w:val="00F4074F"/>
    <w:rsid w:val="00F91780"/>
    <w:rsid w:val="00FA46BF"/>
    <w:rsid w:val="00FB5FD4"/>
    <w:rsid w:val="00FC50C7"/>
    <w:rsid w:val="00FC51BC"/>
    <w:rsid w:val="00FC760B"/>
    <w:rsid w:val="00FD2402"/>
    <w:rsid w:val="00FE2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C1929"/>
  <w15:docId w15:val="{86426D93-D972-4F65-AB40-554D390A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A8D"/>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93247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247A"/>
    <w:pPr>
      <w:tabs>
        <w:tab w:val="center" w:pos="4513"/>
        <w:tab w:val="right" w:pos="9026"/>
      </w:tabs>
    </w:pPr>
  </w:style>
  <w:style w:type="character" w:customStyle="1" w:styleId="HeaderChar">
    <w:name w:val="Header Char"/>
    <w:basedOn w:val="DefaultParagraphFont"/>
    <w:link w:val="Header"/>
    <w:uiPriority w:val="99"/>
    <w:rsid w:val="0093247A"/>
  </w:style>
  <w:style w:type="paragraph" w:styleId="Footer">
    <w:name w:val="footer"/>
    <w:basedOn w:val="Normal"/>
    <w:link w:val="FooterChar"/>
    <w:uiPriority w:val="99"/>
    <w:unhideWhenUsed/>
    <w:rsid w:val="0093247A"/>
    <w:pPr>
      <w:tabs>
        <w:tab w:val="center" w:pos="4513"/>
        <w:tab w:val="right" w:pos="9026"/>
      </w:tabs>
    </w:pPr>
  </w:style>
  <w:style w:type="character" w:customStyle="1" w:styleId="FooterChar">
    <w:name w:val="Footer Char"/>
    <w:basedOn w:val="DefaultParagraphFont"/>
    <w:link w:val="Footer"/>
    <w:uiPriority w:val="99"/>
    <w:rsid w:val="0093247A"/>
  </w:style>
  <w:style w:type="paragraph" w:customStyle="1" w:styleId="StyleJustifiedLeft127cm">
    <w:name w:val="Style Justified Left:  1.27 cm"/>
    <w:basedOn w:val="Normal"/>
    <w:rsid w:val="0093247A"/>
    <w:pPr>
      <w:spacing w:before="60" w:after="60"/>
      <w:ind w:left="567"/>
      <w:jc w:val="both"/>
    </w:pPr>
    <w:rPr>
      <w:sz w:val="22"/>
      <w:lang w:eastAsia="en-GB"/>
    </w:rPr>
  </w:style>
  <w:style w:type="table" w:styleId="TableGrid">
    <w:name w:val="Table Grid"/>
    <w:basedOn w:val="TableNormal"/>
    <w:uiPriority w:val="59"/>
    <w:rsid w:val="00932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247A"/>
    <w:rPr>
      <w:rFonts w:ascii="Tahoma" w:hAnsi="Tahoma" w:cs="Tahoma"/>
      <w:sz w:val="16"/>
      <w:szCs w:val="16"/>
    </w:rPr>
  </w:style>
  <w:style w:type="character" w:customStyle="1" w:styleId="BalloonTextChar">
    <w:name w:val="Balloon Text Char"/>
    <w:basedOn w:val="DefaultParagraphFont"/>
    <w:link w:val="BalloonText"/>
    <w:uiPriority w:val="99"/>
    <w:semiHidden/>
    <w:rsid w:val="0093247A"/>
    <w:rPr>
      <w:rFonts w:ascii="Tahoma" w:eastAsia="Times New Roman" w:hAnsi="Tahoma" w:cs="Tahoma"/>
      <w:sz w:val="16"/>
      <w:szCs w:val="16"/>
    </w:rPr>
  </w:style>
  <w:style w:type="character" w:customStyle="1" w:styleId="Heading1Char">
    <w:name w:val="Heading 1 Char"/>
    <w:basedOn w:val="DefaultParagraphFont"/>
    <w:link w:val="Heading1"/>
    <w:uiPriority w:val="9"/>
    <w:rsid w:val="0093247A"/>
    <w:rPr>
      <w:rFonts w:asciiTheme="majorHAnsi" w:eastAsiaTheme="majorEastAsia" w:hAnsiTheme="majorHAnsi" w:cstheme="majorBidi"/>
      <w:b/>
      <w:bCs/>
      <w:color w:val="365F91" w:themeColor="accent1" w:themeShade="BF"/>
      <w:sz w:val="28"/>
      <w:szCs w:val="28"/>
    </w:rPr>
  </w:style>
  <w:style w:type="character" w:styleId="Hyperlink">
    <w:name w:val="Hyperlink"/>
    <w:uiPriority w:val="99"/>
    <w:unhideWhenUsed/>
    <w:rsid w:val="00D3263C"/>
    <w:rPr>
      <w:color w:val="0000FF"/>
      <w:u w:val="single"/>
    </w:rPr>
  </w:style>
  <w:style w:type="character" w:styleId="FollowedHyperlink">
    <w:name w:val="FollowedHyperlink"/>
    <w:basedOn w:val="DefaultParagraphFont"/>
    <w:uiPriority w:val="99"/>
    <w:semiHidden/>
    <w:unhideWhenUsed/>
    <w:rsid w:val="005C3255"/>
    <w:rPr>
      <w:color w:val="800080" w:themeColor="followedHyperlink"/>
      <w:u w:val="single"/>
    </w:rPr>
  </w:style>
  <w:style w:type="paragraph" w:styleId="ListParagraph">
    <w:name w:val="List Paragraph"/>
    <w:basedOn w:val="Normal"/>
    <w:uiPriority w:val="34"/>
    <w:qFormat/>
    <w:rsid w:val="00960F7E"/>
    <w:pPr>
      <w:ind w:left="720"/>
      <w:contextualSpacing/>
    </w:pPr>
  </w:style>
  <w:style w:type="character" w:customStyle="1" w:styleId="xforms-deselected">
    <w:name w:val="xforms-deselected"/>
    <w:basedOn w:val="DefaultParagraphFont"/>
    <w:rsid w:val="005B4757"/>
  </w:style>
  <w:style w:type="character" w:styleId="CommentReference">
    <w:name w:val="annotation reference"/>
    <w:basedOn w:val="DefaultParagraphFont"/>
    <w:uiPriority w:val="99"/>
    <w:semiHidden/>
    <w:unhideWhenUsed/>
    <w:rsid w:val="00C40936"/>
    <w:rPr>
      <w:sz w:val="16"/>
      <w:szCs w:val="16"/>
    </w:rPr>
  </w:style>
  <w:style w:type="paragraph" w:styleId="CommentText">
    <w:name w:val="annotation text"/>
    <w:basedOn w:val="Normal"/>
    <w:link w:val="CommentTextChar"/>
    <w:uiPriority w:val="99"/>
    <w:semiHidden/>
    <w:unhideWhenUsed/>
    <w:rsid w:val="00C40936"/>
    <w:rPr>
      <w:sz w:val="20"/>
    </w:rPr>
  </w:style>
  <w:style w:type="character" w:customStyle="1" w:styleId="CommentTextChar">
    <w:name w:val="Comment Text Char"/>
    <w:basedOn w:val="DefaultParagraphFont"/>
    <w:link w:val="CommentText"/>
    <w:uiPriority w:val="99"/>
    <w:semiHidden/>
    <w:rsid w:val="00C4093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40936"/>
    <w:rPr>
      <w:b/>
      <w:bCs/>
    </w:rPr>
  </w:style>
  <w:style w:type="character" w:customStyle="1" w:styleId="CommentSubjectChar">
    <w:name w:val="Comment Subject Char"/>
    <w:basedOn w:val="CommentTextChar"/>
    <w:link w:val="CommentSubject"/>
    <w:uiPriority w:val="99"/>
    <w:semiHidden/>
    <w:rsid w:val="00C40936"/>
    <w:rPr>
      <w:rFonts w:ascii="Arial" w:eastAsia="Times New Roman" w:hAnsi="Arial" w:cs="Times New Roman"/>
      <w:b/>
      <w:bCs/>
      <w:sz w:val="20"/>
      <w:szCs w:val="20"/>
    </w:rPr>
  </w:style>
  <w:style w:type="character" w:styleId="UnresolvedMention">
    <w:name w:val="Unresolved Mention"/>
    <w:basedOn w:val="DefaultParagraphFont"/>
    <w:uiPriority w:val="99"/>
    <w:semiHidden/>
    <w:unhideWhenUsed/>
    <w:rsid w:val="00545EA0"/>
    <w:rPr>
      <w:color w:val="605E5C"/>
      <w:shd w:val="clear" w:color="auto" w:fill="E1DFDD"/>
    </w:rPr>
  </w:style>
  <w:style w:type="paragraph" w:styleId="BodyText">
    <w:name w:val="Body Text"/>
    <w:basedOn w:val="Normal"/>
    <w:link w:val="BodyTextChar"/>
    <w:uiPriority w:val="1"/>
    <w:qFormat/>
    <w:rsid w:val="00A539E7"/>
    <w:pPr>
      <w:widowControl w:val="0"/>
      <w:autoSpaceDE w:val="0"/>
      <w:autoSpaceDN w:val="0"/>
      <w:ind w:left="220"/>
    </w:pPr>
    <w:rPr>
      <w:rFonts w:eastAsia="Arial" w:cs="Arial"/>
      <w:sz w:val="22"/>
      <w:szCs w:val="22"/>
      <w:lang w:eastAsia="en-GB" w:bidi="en-GB"/>
    </w:rPr>
  </w:style>
  <w:style w:type="character" w:customStyle="1" w:styleId="BodyTextChar">
    <w:name w:val="Body Text Char"/>
    <w:basedOn w:val="DefaultParagraphFont"/>
    <w:link w:val="BodyText"/>
    <w:uiPriority w:val="1"/>
    <w:rsid w:val="00A539E7"/>
    <w:rPr>
      <w:rFonts w:ascii="Arial" w:eastAsia="Arial" w:hAnsi="Arial" w:cs="Arial"/>
      <w:lang w:eastAsia="en-GB" w:bidi="en-GB"/>
    </w:rPr>
  </w:style>
  <w:style w:type="paragraph" w:styleId="Revision">
    <w:name w:val="Revision"/>
    <w:hidden/>
    <w:uiPriority w:val="99"/>
    <w:semiHidden/>
    <w:rsid w:val="00100145"/>
    <w:pPr>
      <w:spacing w:after="0" w:line="240" w:lineRule="auto"/>
    </w:pPr>
    <w:rPr>
      <w:rFonts w:ascii="Arial" w:eastAsia="Times New Roman" w:hAnsi="Arial" w:cs="Times New Roman"/>
      <w:sz w:val="24"/>
      <w:szCs w:val="20"/>
    </w:rPr>
  </w:style>
  <w:style w:type="paragraph" w:customStyle="1" w:styleId="paragraph">
    <w:name w:val="paragraph"/>
    <w:basedOn w:val="Normal"/>
    <w:rsid w:val="0091184D"/>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911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9866">
      <w:bodyDiv w:val="1"/>
      <w:marLeft w:val="0"/>
      <w:marRight w:val="0"/>
      <w:marTop w:val="0"/>
      <w:marBottom w:val="0"/>
      <w:divBdr>
        <w:top w:val="none" w:sz="0" w:space="0" w:color="auto"/>
        <w:left w:val="none" w:sz="0" w:space="0" w:color="auto"/>
        <w:bottom w:val="none" w:sz="0" w:space="0" w:color="auto"/>
        <w:right w:val="none" w:sz="0" w:space="0" w:color="auto"/>
      </w:divBdr>
    </w:div>
    <w:div w:id="24017371">
      <w:bodyDiv w:val="1"/>
      <w:marLeft w:val="0"/>
      <w:marRight w:val="0"/>
      <w:marTop w:val="0"/>
      <w:marBottom w:val="0"/>
      <w:divBdr>
        <w:top w:val="none" w:sz="0" w:space="0" w:color="auto"/>
        <w:left w:val="none" w:sz="0" w:space="0" w:color="auto"/>
        <w:bottom w:val="none" w:sz="0" w:space="0" w:color="auto"/>
        <w:right w:val="none" w:sz="0" w:space="0" w:color="auto"/>
      </w:divBdr>
    </w:div>
    <w:div w:id="35397838">
      <w:bodyDiv w:val="1"/>
      <w:marLeft w:val="0"/>
      <w:marRight w:val="0"/>
      <w:marTop w:val="0"/>
      <w:marBottom w:val="0"/>
      <w:divBdr>
        <w:top w:val="none" w:sz="0" w:space="0" w:color="auto"/>
        <w:left w:val="none" w:sz="0" w:space="0" w:color="auto"/>
        <w:bottom w:val="none" w:sz="0" w:space="0" w:color="auto"/>
        <w:right w:val="none" w:sz="0" w:space="0" w:color="auto"/>
      </w:divBdr>
      <w:divsChild>
        <w:div w:id="1549535786">
          <w:marLeft w:val="30"/>
          <w:marRight w:val="30"/>
          <w:marTop w:val="30"/>
          <w:marBottom w:val="30"/>
          <w:divBdr>
            <w:top w:val="none" w:sz="0" w:space="0" w:color="auto"/>
            <w:left w:val="none" w:sz="0" w:space="0" w:color="auto"/>
            <w:bottom w:val="none" w:sz="0" w:space="0" w:color="auto"/>
            <w:right w:val="none" w:sz="0" w:space="0" w:color="auto"/>
          </w:divBdr>
          <w:divsChild>
            <w:div w:id="1499269872">
              <w:marLeft w:val="75"/>
              <w:marRight w:val="0"/>
              <w:marTop w:val="675"/>
              <w:marBottom w:val="0"/>
              <w:divBdr>
                <w:top w:val="none" w:sz="0" w:space="0" w:color="auto"/>
                <w:left w:val="none" w:sz="0" w:space="0" w:color="auto"/>
                <w:bottom w:val="none" w:sz="0" w:space="0" w:color="auto"/>
                <w:right w:val="none" w:sz="0" w:space="0" w:color="auto"/>
              </w:divBdr>
              <w:divsChild>
                <w:div w:id="2049865592">
                  <w:marLeft w:val="0"/>
                  <w:marRight w:val="0"/>
                  <w:marTop w:val="0"/>
                  <w:marBottom w:val="0"/>
                  <w:divBdr>
                    <w:top w:val="none" w:sz="0" w:space="0" w:color="auto"/>
                    <w:left w:val="none" w:sz="0" w:space="0" w:color="auto"/>
                    <w:bottom w:val="none" w:sz="0" w:space="0" w:color="auto"/>
                    <w:right w:val="none" w:sz="0" w:space="0" w:color="auto"/>
                  </w:divBdr>
                  <w:divsChild>
                    <w:div w:id="1913151768">
                      <w:marLeft w:val="0"/>
                      <w:marRight w:val="0"/>
                      <w:marTop w:val="0"/>
                      <w:marBottom w:val="0"/>
                      <w:divBdr>
                        <w:top w:val="none" w:sz="0" w:space="0" w:color="auto"/>
                        <w:left w:val="none" w:sz="0" w:space="0" w:color="auto"/>
                        <w:bottom w:val="none" w:sz="0" w:space="0" w:color="auto"/>
                        <w:right w:val="none" w:sz="0" w:space="0" w:color="auto"/>
                      </w:divBdr>
                    </w:div>
                  </w:divsChild>
                </w:div>
                <w:div w:id="354693870">
                  <w:marLeft w:val="0"/>
                  <w:marRight w:val="0"/>
                  <w:marTop w:val="0"/>
                  <w:marBottom w:val="0"/>
                  <w:divBdr>
                    <w:top w:val="none" w:sz="0" w:space="0" w:color="auto"/>
                    <w:left w:val="none" w:sz="0" w:space="0" w:color="auto"/>
                    <w:bottom w:val="none" w:sz="0" w:space="0" w:color="auto"/>
                    <w:right w:val="none" w:sz="0" w:space="0" w:color="auto"/>
                  </w:divBdr>
                </w:div>
              </w:divsChild>
            </w:div>
            <w:div w:id="1003050803">
              <w:marLeft w:val="2850"/>
              <w:marRight w:val="0"/>
              <w:marTop w:val="675"/>
              <w:marBottom w:val="0"/>
              <w:divBdr>
                <w:top w:val="none" w:sz="0" w:space="0" w:color="auto"/>
                <w:left w:val="none" w:sz="0" w:space="0" w:color="auto"/>
                <w:bottom w:val="none" w:sz="0" w:space="0" w:color="auto"/>
                <w:right w:val="none" w:sz="0" w:space="0" w:color="auto"/>
              </w:divBdr>
              <w:divsChild>
                <w:div w:id="1193419572">
                  <w:marLeft w:val="0"/>
                  <w:marRight w:val="0"/>
                  <w:marTop w:val="0"/>
                  <w:marBottom w:val="0"/>
                  <w:divBdr>
                    <w:top w:val="none" w:sz="0" w:space="0" w:color="auto"/>
                    <w:left w:val="none" w:sz="0" w:space="0" w:color="auto"/>
                    <w:bottom w:val="none" w:sz="0" w:space="0" w:color="auto"/>
                    <w:right w:val="none" w:sz="0" w:space="0" w:color="auto"/>
                  </w:divBdr>
                  <w:divsChild>
                    <w:div w:id="1355577848">
                      <w:marLeft w:val="0"/>
                      <w:marRight w:val="0"/>
                      <w:marTop w:val="0"/>
                      <w:marBottom w:val="0"/>
                      <w:divBdr>
                        <w:top w:val="none" w:sz="0" w:space="0" w:color="auto"/>
                        <w:left w:val="none" w:sz="0" w:space="0" w:color="auto"/>
                        <w:bottom w:val="none" w:sz="0" w:space="0" w:color="auto"/>
                        <w:right w:val="none" w:sz="0" w:space="0" w:color="auto"/>
                      </w:divBdr>
                      <w:divsChild>
                        <w:div w:id="919631718">
                          <w:marLeft w:val="0"/>
                          <w:marRight w:val="0"/>
                          <w:marTop w:val="0"/>
                          <w:marBottom w:val="0"/>
                          <w:divBdr>
                            <w:top w:val="none" w:sz="0" w:space="0" w:color="auto"/>
                            <w:left w:val="none" w:sz="0" w:space="0" w:color="auto"/>
                            <w:bottom w:val="none" w:sz="0" w:space="0" w:color="auto"/>
                            <w:right w:val="none" w:sz="0" w:space="0" w:color="auto"/>
                          </w:divBdr>
                        </w:div>
                        <w:div w:id="577710996">
                          <w:marLeft w:val="0"/>
                          <w:marRight w:val="0"/>
                          <w:marTop w:val="0"/>
                          <w:marBottom w:val="0"/>
                          <w:divBdr>
                            <w:top w:val="none" w:sz="0" w:space="0" w:color="auto"/>
                            <w:left w:val="none" w:sz="0" w:space="0" w:color="auto"/>
                            <w:bottom w:val="none" w:sz="0" w:space="0" w:color="auto"/>
                            <w:right w:val="none" w:sz="0" w:space="0" w:color="auto"/>
                          </w:divBdr>
                        </w:div>
                        <w:div w:id="152046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27023">
                  <w:marLeft w:val="0"/>
                  <w:marRight w:val="0"/>
                  <w:marTop w:val="0"/>
                  <w:marBottom w:val="0"/>
                  <w:divBdr>
                    <w:top w:val="none" w:sz="0" w:space="0" w:color="auto"/>
                    <w:left w:val="none" w:sz="0" w:space="0" w:color="auto"/>
                    <w:bottom w:val="none" w:sz="0" w:space="0" w:color="auto"/>
                    <w:right w:val="none" w:sz="0" w:space="0" w:color="auto"/>
                  </w:divBdr>
                  <w:divsChild>
                    <w:div w:id="5809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27702">
      <w:bodyDiv w:val="1"/>
      <w:marLeft w:val="0"/>
      <w:marRight w:val="0"/>
      <w:marTop w:val="0"/>
      <w:marBottom w:val="0"/>
      <w:divBdr>
        <w:top w:val="none" w:sz="0" w:space="0" w:color="auto"/>
        <w:left w:val="none" w:sz="0" w:space="0" w:color="auto"/>
        <w:bottom w:val="none" w:sz="0" w:space="0" w:color="auto"/>
        <w:right w:val="none" w:sz="0" w:space="0" w:color="auto"/>
      </w:divBdr>
      <w:divsChild>
        <w:div w:id="460196498">
          <w:marLeft w:val="30"/>
          <w:marRight w:val="30"/>
          <w:marTop w:val="30"/>
          <w:marBottom w:val="30"/>
          <w:divBdr>
            <w:top w:val="none" w:sz="0" w:space="0" w:color="auto"/>
            <w:left w:val="none" w:sz="0" w:space="0" w:color="auto"/>
            <w:bottom w:val="none" w:sz="0" w:space="0" w:color="auto"/>
            <w:right w:val="none" w:sz="0" w:space="0" w:color="auto"/>
          </w:divBdr>
          <w:divsChild>
            <w:div w:id="713697123">
              <w:marLeft w:val="2850"/>
              <w:marRight w:val="0"/>
              <w:marTop w:val="675"/>
              <w:marBottom w:val="0"/>
              <w:divBdr>
                <w:top w:val="none" w:sz="0" w:space="0" w:color="auto"/>
                <w:left w:val="none" w:sz="0" w:space="0" w:color="auto"/>
                <w:bottom w:val="none" w:sz="0" w:space="0" w:color="auto"/>
                <w:right w:val="none" w:sz="0" w:space="0" w:color="auto"/>
              </w:divBdr>
            </w:div>
          </w:divsChild>
        </w:div>
      </w:divsChild>
    </w:div>
    <w:div w:id="470098576">
      <w:bodyDiv w:val="1"/>
      <w:marLeft w:val="0"/>
      <w:marRight w:val="0"/>
      <w:marTop w:val="0"/>
      <w:marBottom w:val="0"/>
      <w:divBdr>
        <w:top w:val="none" w:sz="0" w:space="0" w:color="auto"/>
        <w:left w:val="none" w:sz="0" w:space="0" w:color="auto"/>
        <w:bottom w:val="none" w:sz="0" w:space="0" w:color="auto"/>
        <w:right w:val="none" w:sz="0" w:space="0" w:color="auto"/>
      </w:divBdr>
      <w:divsChild>
        <w:div w:id="1982348460">
          <w:marLeft w:val="30"/>
          <w:marRight w:val="30"/>
          <w:marTop w:val="30"/>
          <w:marBottom w:val="30"/>
          <w:divBdr>
            <w:top w:val="none" w:sz="0" w:space="0" w:color="auto"/>
            <w:left w:val="none" w:sz="0" w:space="0" w:color="auto"/>
            <w:bottom w:val="none" w:sz="0" w:space="0" w:color="auto"/>
            <w:right w:val="none" w:sz="0" w:space="0" w:color="auto"/>
          </w:divBdr>
          <w:divsChild>
            <w:div w:id="465972831">
              <w:marLeft w:val="2850"/>
              <w:marRight w:val="0"/>
              <w:marTop w:val="675"/>
              <w:marBottom w:val="0"/>
              <w:divBdr>
                <w:top w:val="none" w:sz="0" w:space="0" w:color="auto"/>
                <w:left w:val="none" w:sz="0" w:space="0" w:color="auto"/>
                <w:bottom w:val="none" w:sz="0" w:space="0" w:color="auto"/>
                <w:right w:val="none" w:sz="0" w:space="0" w:color="auto"/>
              </w:divBdr>
            </w:div>
          </w:divsChild>
        </w:div>
      </w:divsChild>
    </w:div>
    <w:div w:id="651522555">
      <w:bodyDiv w:val="1"/>
      <w:marLeft w:val="0"/>
      <w:marRight w:val="0"/>
      <w:marTop w:val="0"/>
      <w:marBottom w:val="0"/>
      <w:divBdr>
        <w:top w:val="none" w:sz="0" w:space="0" w:color="auto"/>
        <w:left w:val="none" w:sz="0" w:space="0" w:color="auto"/>
        <w:bottom w:val="none" w:sz="0" w:space="0" w:color="auto"/>
        <w:right w:val="none" w:sz="0" w:space="0" w:color="auto"/>
      </w:divBdr>
    </w:div>
    <w:div w:id="1178883760">
      <w:bodyDiv w:val="1"/>
      <w:marLeft w:val="0"/>
      <w:marRight w:val="0"/>
      <w:marTop w:val="0"/>
      <w:marBottom w:val="0"/>
      <w:divBdr>
        <w:top w:val="none" w:sz="0" w:space="0" w:color="auto"/>
        <w:left w:val="none" w:sz="0" w:space="0" w:color="auto"/>
        <w:bottom w:val="none" w:sz="0" w:space="0" w:color="auto"/>
        <w:right w:val="none" w:sz="0" w:space="0" w:color="auto"/>
      </w:divBdr>
      <w:divsChild>
        <w:div w:id="771364079">
          <w:marLeft w:val="0"/>
          <w:marRight w:val="0"/>
          <w:marTop w:val="0"/>
          <w:marBottom w:val="0"/>
          <w:divBdr>
            <w:top w:val="none" w:sz="0" w:space="0" w:color="auto"/>
            <w:left w:val="none" w:sz="0" w:space="0" w:color="auto"/>
            <w:bottom w:val="none" w:sz="0" w:space="0" w:color="auto"/>
            <w:right w:val="none" w:sz="0" w:space="0" w:color="auto"/>
          </w:divBdr>
        </w:div>
        <w:div w:id="963578385">
          <w:marLeft w:val="0"/>
          <w:marRight w:val="0"/>
          <w:marTop w:val="0"/>
          <w:marBottom w:val="0"/>
          <w:divBdr>
            <w:top w:val="none" w:sz="0" w:space="0" w:color="auto"/>
            <w:left w:val="none" w:sz="0" w:space="0" w:color="auto"/>
            <w:bottom w:val="none" w:sz="0" w:space="0" w:color="auto"/>
            <w:right w:val="none" w:sz="0" w:space="0" w:color="auto"/>
          </w:divBdr>
        </w:div>
      </w:divsChild>
    </w:div>
    <w:div w:id="1259288206">
      <w:bodyDiv w:val="1"/>
      <w:marLeft w:val="0"/>
      <w:marRight w:val="0"/>
      <w:marTop w:val="0"/>
      <w:marBottom w:val="0"/>
      <w:divBdr>
        <w:top w:val="none" w:sz="0" w:space="0" w:color="auto"/>
        <w:left w:val="none" w:sz="0" w:space="0" w:color="auto"/>
        <w:bottom w:val="none" w:sz="0" w:space="0" w:color="auto"/>
        <w:right w:val="none" w:sz="0" w:space="0" w:color="auto"/>
      </w:divBdr>
    </w:div>
    <w:div w:id="1361473598">
      <w:bodyDiv w:val="1"/>
      <w:marLeft w:val="0"/>
      <w:marRight w:val="0"/>
      <w:marTop w:val="0"/>
      <w:marBottom w:val="0"/>
      <w:divBdr>
        <w:top w:val="none" w:sz="0" w:space="0" w:color="auto"/>
        <w:left w:val="none" w:sz="0" w:space="0" w:color="auto"/>
        <w:bottom w:val="none" w:sz="0" w:space="0" w:color="auto"/>
        <w:right w:val="none" w:sz="0" w:space="0" w:color="auto"/>
      </w:divBdr>
    </w:div>
    <w:div w:id="1396391517">
      <w:bodyDiv w:val="1"/>
      <w:marLeft w:val="0"/>
      <w:marRight w:val="0"/>
      <w:marTop w:val="0"/>
      <w:marBottom w:val="0"/>
      <w:divBdr>
        <w:top w:val="none" w:sz="0" w:space="0" w:color="auto"/>
        <w:left w:val="none" w:sz="0" w:space="0" w:color="auto"/>
        <w:bottom w:val="none" w:sz="0" w:space="0" w:color="auto"/>
        <w:right w:val="none" w:sz="0" w:space="0" w:color="auto"/>
      </w:divBdr>
      <w:divsChild>
        <w:div w:id="106900255">
          <w:marLeft w:val="30"/>
          <w:marRight w:val="30"/>
          <w:marTop w:val="30"/>
          <w:marBottom w:val="30"/>
          <w:divBdr>
            <w:top w:val="none" w:sz="0" w:space="0" w:color="auto"/>
            <w:left w:val="none" w:sz="0" w:space="0" w:color="auto"/>
            <w:bottom w:val="none" w:sz="0" w:space="0" w:color="auto"/>
            <w:right w:val="none" w:sz="0" w:space="0" w:color="auto"/>
          </w:divBdr>
          <w:divsChild>
            <w:div w:id="634993925">
              <w:marLeft w:val="2850"/>
              <w:marRight w:val="0"/>
              <w:marTop w:val="675"/>
              <w:marBottom w:val="0"/>
              <w:divBdr>
                <w:top w:val="none" w:sz="0" w:space="0" w:color="auto"/>
                <w:left w:val="none" w:sz="0" w:space="0" w:color="auto"/>
                <w:bottom w:val="none" w:sz="0" w:space="0" w:color="auto"/>
                <w:right w:val="none" w:sz="0" w:space="0" w:color="auto"/>
              </w:divBdr>
            </w:div>
          </w:divsChild>
        </w:div>
      </w:divsChild>
    </w:div>
    <w:div w:id="1666401083">
      <w:bodyDiv w:val="1"/>
      <w:marLeft w:val="0"/>
      <w:marRight w:val="0"/>
      <w:marTop w:val="0"/>
      <w:marBottom w:val="0"/>
      <w:divBdr>
        <w:top w:val="none" w:sz="0" w:space="0" w:color="auto"/>
        <w:left w:val="none" w:sz="0" w:space="0" w:color="auto"/>
        <w:bottom w:val="none" w:sz="0" w:space="0" w:color="auto"/>
        <w:right w:val="none" w:sz="0" w:space="0" w:color="auto"/>
      </w:divBdr>
    </w:div>
    <w:div w:id="2082290927">
      <w:bodyDiv w:val="1"/>
      <w:marLeft w:val="0"/>
      <w:marRight w:val="0"/>
      <w:marTop w:val="0"/>
      <w:marBottom w:val="0"/>
      <w:divBdr>
        <w:top w:val="none" w:sz="0" w:space="0" w:color="auto"/>
        <w:left w:val="none" w:sz="0" w:space="0" w:color="auto"/>
        <w:bottom w:val="none" w:sz="0" w:space="0" w:color="auto"/>
        <w:right w:val="none" w:sz="0" w:space="0" w:color="auto"/>
      </w:divBdr>
      <w:divsChild>
        <w:div w:id="878974287">
          <w:marLeft w:val="30"/>
          <w:marRight w:val="30"/>
          <w:marTop w:val="30"/>
          <w:marBottom w:val="30"/>
          <w:divBdr>
            <w:top w:val="none" w:sz="0" w:space="0" w:color="auto"/>
            <w:left w:val="none" w:sz="0" w:space="0" w:color="auto"/>
            <w:bottom w:val="none" w:sz="0" w:space="0" w:color="auto"/>
            <w:right w:val="none" w:sz="0" w:space="0" w:color="auto"/>
          </w:divBdr>
          <w:divsChild>
            <w:div w:id="1836341379">
              <w:marLeft w:val="2850"/>
              <w:marRight w:val="0"/>
              <w:marTop w:val="67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ccaf3ac-2de9-44d4-aa31-54302fceb5f7" xsi:nil="true"/>
    <lcf76f155ced4ddcb4097134ff3c332f xmlns="759a7e0b-9261-457a-9c56-2c68f0ee3d5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DF07BBA4C32747A15C94A1B6B20E61" ma:contentTypeVersion="17" ma:contentTypeDescription="Create a new document." ma:contentTypeScope="" ma:versionID="067e90d6dec8daa995545611b09ef784">
  <xsd:schema xmlns:xsd="http://www.w3.org/2001/XMLSchema" xmlns:xs="http://www.w3.org/2001/XMLSchema" xmlns:p="http://schemas.microsoft.com/office/2006/metadata/properties" xmlns:ns1="http://schemas.microsoft.com/sharepoint/v3" xmlns:ns2="759a7e0b-9261-457a-9c56-2c68f0ee3d52" xmlns:ns3="87944eae-7365-4af5-9066-e309bbb6050e" xmlns:ns4="cccaf3ac-2de9-44d4-aa31-54302fceb5f7" targetNamespace="http://schemas.microsoft.com/office/2006/metadata/properties" ma:root="true" ma:fieldsID="a0d07dd18113253b1896ed0f17c94e7d" ns1:_="" ns2:_="" ns3:_="" ns4:_="">
    <xsd:import namespace="http://schemas.microsoft.com/sharepoint/v3"/>
    <xsd:import namespace="759a7e0b-9261-457a-9c56-2c68f0ee3d52"/>
    <xsd:import namespace="87944eae-7365-4af5-9066-e309bbb6050e"/>
    <xsd:import namespace="cccaf3ac-2de9-44d4-aa31-54302fceb5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9a7e0b-9261-457a-9c56-2c68f0ee3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944eae-7365-4af5-9066-e309bbb6050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55dc3e0-006b-4a14-8025-d1713a9ddaf9}" ma:internalName="TaxCatchAll" ma:showField="CatchAllData" ma:web="87944eae-7365-4af5-9066-e309bbb605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247F26-977A-440C-80A4-D091DB8A231A}">
  <ds:schemaRefs>
    <ds:schemaRef ds:uri="http://schemas.openxmlformats.org/officeDocument/2006/bibliography"/>
  </ds:schemaRefs>
</ds:datastoreItem>
</file>

<file path=customXml/itemProps2.xml><?xml version="1.0" encoding="utf-8"?>
<ds:datastoreItem xmlns:ds="http://schemas.openxmlformats.org/officeDocument/2006/customXml" ds:itemID="{13003380-CA50-46ED-9347-C11DAEE71047}">
  <ds:schemaRefs>
    <ds:schemaRef ds:uri="http://schemas.microsoft.com/sharepoint/v3/contenttype/forms"/>
  </ds:schemaRefs>
</ds:datastoreItem>
</file>

<file path=customXml/itemProps3.xml><?xml version="1.0" encoding="utf-8"?>
<ds:datastoreItem xmlns:ds="http://schemas.openxmlformats.org/officeDocument/2006/customXml" ds:itemID="{1F22C64E-0158-41CA-A17A-9FAFD1540421}">
  <ds:schemaRefs>
    <ds:schemaRef ds:uri="http://schemas.microsoft.com/office/2006/metadata/properties"/>
    <ds:schemaRef ds:uri="http://schemas.microsoft.com/office/infopath/2007/PartnerControls"/>
    <ds:schemaRef ds:uri="http://schemas.microsoft.com/sharepoint/v3"/>
    <ds:schemaRef ds:uri="cccaf3ac-2de9-44d4-aa31-54302fceb5f7"/>
    <ds:schemaRef ds:uri="759a7e0b-9261-457a-9c56-2c68f0ee3d52"/>
  </ds:schemaRefs>
</ds:datastoreItem>
</file>

<file path=customXml/itemProps4.xml><?xml version="1.0" encoding="utf-8"?>
<ds:datastoreItem xmlns:ds="http://schemas.openxmlformats.org/officeDocument/2006/customXml" ds:itemID="{70134015-8769-4FEC-8B60-1C68FB883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9a7e0b-9261-457a-9c56-2c68f0ee3d52"/>
    <ds:schemaRef ds:uri="87944eae-7365-4af5-9066-e309bbb6050e"/>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743</Words>
  <Characters>4237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CF Future Opportunity Notice</vt:lpstr>
    </vt:vector>
  </TitlesOfParts>
  <Company>NHS South West Commissioning Support</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 Future Opportunity Notice</dc:title>
  <dc:creator>Morley Hannah (NHS SCWCSU)</dc:creator>
  <dc:description>Template approved JG 13102020</dc:description>
  <cp:lastModifiedBy>ROGERS, Rebecca (NHS SOUTH, CENTRAL AND WEST COMMISSIONING SUPPORT UNIT)</cp:lastModifiedBy>
  <cp:revision>2</cp:revision>
  <cp:lastPrinted>2019-07-15T11:24:00Z</cp:lastPrinted>
  <dcterms:created xsi:type="dcterms:W3CDTF">2022-11-24T09:43:00Z</dcterms:created>
  <dcterms:modified xsi:type="dcterms:W3CDTF">2022-11-24T09:43:00Z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0x01010090DF07BBA4C32747A15C94A1B6B20E61</vt:lpwstr>
  </property>
  <property fmtid="{D5CDD505-2E9C-101B-9397-08002B2CF9AE}" pid="3" name="MediaServiceImageTags">
    <vt:lpwstr/>
  </property>
</Properties>
</file>