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F0D" w:rsidRDefault="00B946FB">
      <w:pPr>
        <w:rPr>
          <w:rFonts w:ascii="Arial" w:eastAsia="Arial" w:hAnsi="Arial" w:cs="Arial"/>
          <w:sz w:val="20"/>
          <w:szCs w:val="20"/>
        </w:rPr>
      </w:pPr>
      <w:bookmarkStart w:id="0" w:name="_gjdgxs" w:colFirst="0" w:colLast="0"/>
      <w:bookmarkEnd w:id="0"/>
      <w:r>
        <w:rPr>
          <w:rFonts w:ascii="Arial" w:eastAsia="Arial" w:hAnsi="Arial" w:cs="Arial"/>
          <w:b/>
          <w:sz w:val="36"/>
          <w:szCs w:val="36"/>
        </w:rPr>
        <w:t>Joint Schedule 6 (Key Subcontractors)</w:t>
      </w:r>
    </w:p>
    <w:p w:rsidR="00C10F0D" w:rsidRDefault="00B946FB">
      <w:pPr>
        <w:numPr>
          <w:ilvl w:val="0"/>
          <w:numId w:val="1"/>
        </w:numPr>
        <w:pBdr>
          <w:top w:val="nil"/>
          <w:left w:val="nil"/>
          <w:bottom w:val="nil"/>
          <w:right w:val="nil"/>
          <w:between w:val="nil"/>
        </w:pBdr>
        <w:tabs>
          <w:tab w:val="left" w:pos="142"/>
        </w:tabs>
        <w:spacing w:before="120" w:after="240" w:line="240" w:lineRule="auto"/>
      </w:pPr>
      <w:r>
        <w:rPr>
          <w:rFonts w:ascii="Arial Bold" w:eastAsia="Arial Bold" w:hAnsi="Arial Bold" w:cs="Arial Bold"/>
          <w:b/>
          <w:color w:val="000000"/>
          <w:sz w:val="24"/>
          <w:szCs w:val="24"/>
        </w:rPr>
        <w:t>Restrictions on certain subcontractors</w:t>
      </w:r>
    </w:p>
    <w:p w:rsidR="00C10F0D" w:rsidRDefault="00B946FB">
      <w:pPr>
        <w:numPr>
          <w:ilvl w:val="1"/>
          <w:numId w:val="1"/>
        </w:numPr>
        <w:pBdr>
          <w:top w:val="nil"/>
          <w:left w:val="nil"/>
          <w:bottom w:val="nil"/>
          <w:right w:val="nil"/>
          <w:between w:val="nil"/>
        </w:pBdr>
        <w:spacing w:before="120" w:after="120" w:line="240" w:lineRule="auto"/>
        <w:ind w:left="900" w:hanging="540"/>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rsidR="00C10F0D" w:rsidRDefault="00B946FB">
      <w:pPr>
        <w:numPr>
          <w:ilvl w:val="1"/>
          <w:numId w:val="1"/>
        </w:numPr>
        <w:pBdr>
          <w:top w:val="nil"/>
          <w:left w:val="nil"/>
          <w:bottom w:val="nil"/>
          <w:right w:val="nil"/>
          <w:between w:val="nil"/>
        </w:pBdr>
        <w:spacing w:before="120" w:after="120" w:line="240" w:lineRule="auto"/>
        <w:ind w:left="900" w:hanging="540"/>
      </w:pPr>
      <w:bookmarkStart w:id="1" w:name="_30j0zll" w:colFirst="0" w:colLast="0"/>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rsidR="00C10F0D" w:rsidRDefault="00B946FB">
      <w:pPr>
        <w:numPr>
          <w:ilvl w:val="1"/>
          <w:numId w:val="1"/>
        </w:numPr>
        <w:pBdr>
          <w:top w:val="nil"/>
          <w:left w:val="nil"/>
          <w:bottom w:val="nil"/>
          <w:right w:val="nil"/>
          <w:between w:val="nil"/>
        </w:pBdr>
        <w:spacing w:before="120" w:after="120" w:line="240" w:lineRule="auto"/>
        <w:ind w:left="900" w:hanging="540"/>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50" w:hanging="850"/>
      </w:pPr>
      <w:r>
        <w:rPr>
          <w:rFonts w:ascii="Arial" w:eastAsia="Arial" w:hAnsi="Arial" w:cs="Arial"/>
          <w:color w:val="000000"/>
          <w:sz w:val="24"/>
          <w:szCs w:val="24"/>
        </w:rPr>
        <w:t>the appointment of a proposed Key Subcontractor may prejudice the provision of the Deliverables or may be contrary to its interests;</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50" w:hanging="850"/>
      </w:pPr>
      <w:r>
        <w:rPr>
          <w:rFonts w:ascii="Arial" w:eastAsia="Arial" w:hAnsi="Arial" w:cs="Arial"/>
          <w:color w:val="000000"/>
          <w:sz w:val="24"/>
          <w:szCs w:val="24"/>
        </w:rPr>
        <w:t>the proposed Key Subcontractor is unreliable and/or has not provided reliable goods and or reasonable services to its other customers; and/or</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50" w:hanging="850"/>
      </w:pPr>
      <w:r>
        <w:rPr>
          <w:rFonts w:ascii="Arial" w:eastAsia="Arial" w:hAnsi="Arial" w:cs="Arial"/>
          <w:color w:val="000000"/>
          <w:sz w:val="24"/>
          <w:szCs w:val="24"/>
        </w:rPr>
        <w:t>the proposed Key Subcontractor employs unfit persons.</w:t>
      </w:r>
    </w:p>
    <w:p w:rsidR="00C10F0D" w:rsidRDefault="00B946FB">
      <w:pPr>
        <w:keepNext/>
        <w:numPr>
          <w:ilvl w:val="1"/>
          <w:numId w:val="1"/>
        </w:numPr>
        <w:pBdr>
          <w:top w:val="nil"/>
          <w:left w:val="nil"/>
          <w:bottom w:val="nil"/>
          <w:right w:val="nil"/>
          <w:between w:val="nil"/>
        </w:pBdr>
        <w:spacing w:before="120" w:after="120" w:line="240" w:lineRule="auto"/>
        <w:ind w:left="900" w:hanging="540"/>
      </w:pPr>
      <w:bookmarkStart w:id="2" w:name="_1fob9te" w:colFirst="0" w:colLast="0"/>
      <w:bookmarkEnd w:id="2"/>
      <w:r>
        <w:rPr>
          <w:rFonts w:ascii="Arial" w:eastAsia="Arial" w:hAnsi="Arial" w:cs="Arial"/>
          <w:color w:val="000000"/>
          <w:sz w:val="24"/>
          <w:szCs w:val="24"/>
        </w:rPr>
        <w:t>The Supplier shall provide CCS and the Buyer with the following information in respect of the proposed Key Subcontractor:</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the proposed Key Subcontractor’s name, registered office and company registration number;</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 xml:space="preserve">the scope/description of any Deliverables to be provided by the proposed Key Subcontractor; </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for the Buyer, the Key Sub-Contract price expressed as a percentage of the total projected Charges over the Call Off Contract Period; and</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lastRenderedPageBreak/>
        <w:t>(where applicable) Credit Rating Threshold (as defined in Joint Schedule 7 (Financial Distress)) of the Key Subcontractor.</w:t>
      </w:r>
    </w:p>
    <w:p w:rsidR="00C10F0D" w:rsidRDefault="00B946FB">
      <w:pPr>
        <w:keepNext/>
        <w:numPr>
          <w:ilvl w:val="1"/>
          <w:numId w:val="1"/>
        </w:numPr>
        <w:pBdr>
          <w:top w:val="nil"/>
          <w:left w:val="nil"/>
          <w:bottom w:val="nil"/>
          <w:right w:val="nil"/>
          <w:between w:val="nil"/>
        </w:pBdr>
        <w:spacing w:before="120" w:after="120" w:line="240" w:lineRule="auto"/>
        <w:ind w:left="900" w:hanging="540"/>
      </w:pPr>
      <w:bookmarkStart w:id="3" w:name="_3znysh7" w:colFirst="0" w:colLast="0"/>
      <w:bookmarkEnd w:id="3"/>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rsidR="00C10F0D" w:rsidRDefault="00B946FB">
      <w:pPr>
        <w:numPr>
          <w:ilvl w:val="2"/>
          <w:numId w:val="1"/>
        </w:numPr>
        <w:pBdr>
          <w:top w:val="nil"/>
          <w:left w:val="nil"/>
          <w:bottom w:val="nil"/>
          <w:right w:val="nil"/>
          <w:between w:val="nil"/>
        </w:pBdr>
        <w:tabs>
          <w:tab w:val="left" w:pos="1985"/>
        </w:tabs>
        <w:spacing w:before="120" w:after="120" w:line="240" w:lineRule="auto"/>
        <w:ind w:left="1620"/>
      </w:pPr>
      <w:r>
        <w:rPr>
          <w:rFonts w:ascii="Arial" w:eastAsia="Arial" w:hAnsi="Arial" w:cs="Arial"/>
          <w:color w:val="000000"/>
          <w:sz w:val="24"/>
          <w:szCs w:val="24"/>
        </w:rPr>
        <w:t xml:space="preserve">a copy of the proposed Key Sub-Contract; and </w:t>
      </w:r>
    </w:p>
    <w:p w:rsidR="00C10F0D" w:rsidRDefault="00B946FB">
      <w:pPr>
        <w:numPr>
          <w:ilvl w:val="2"/>
          <w:numId w:val="1"/>
        </w:numPr>
        <w:pBdr>
          <w:top w:val="nil"/>
          <w:left w:val="nil"/>
          <w:bottom w:val="nil"/>
          <w:right w:val="nil"/>
          <w:between w:val="nil"/>
        </w:pBdr>
        <w:tabs>
          <w:tab w:val="left" w:pos="1985"/>
        </w:tabs>
        <w:spacing w:before="120" w:after="120" w:line="240" w:lineRule="auto"/>
        <w:ind w:left="1620"/>
      </w:pPr>
      <w:r>
        <w:rPr>
          <w:rFonts w:ascii="Arial" w:eastAsia="Arial" w:hAnsi="Arial" w:cs="Arial"/>
          <w:color w:val="000000"/>
          <w:sz w:val="24"/>
          <w:szCs w:val="24"/>
        </w:rPr>
        <w:t>any further information reasonably requested by CCS and/or the Buyer.</w:t>
      </w:r>
    </w:p>
    <w:p w:rsidR="00C10F0D" w:rsidRDefault="00B946FB">
      <w:pPr>
        <w:keepNext/>
        <w:numPr>
          <w:ilvl w:val="1"/>
          <w:numId w:val="1"/>
        </w:numPr>
        <w:pBdr>
          <w:top w:val="nil"/>
          <w:left w:val="nil"/>
          <w:bottom w:val="nil"/>
          <w:right w:val="nil"/>
          <w:between w:val="nil"/>
        </w:pBdr>
        <w:spacing w:before="120" w:after="120" w:line="240" w:lineRule="auto"/>
        <w:ind w:left="900" w:hanging="540"/>
      </w:pPr>
      <w:bookmarkStart w:id="4" w:name="_2et92p0" w:colFirst="0" w:colLast="0"/>
      <w:bookmarkEnd w:id="4"/>
      <w:r>
        <w:rPr>
          <w:rFonts w:ascii="Arial" w:eastAsia="Arial" w:hAnsi="Arial" w:cs="Arial"/>
          <w:color w:val="000000"/>
          <w:sz w:val="24"/>
          <w:szCs w:val="24"/>
        </w:rPr>
        <w:t xml:space="preserve">The Supplier shall ensure that each new or replacement Key Sub-Contract shall include: </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provisions which will enable the Supplier to discharge its obligations under the Contracts;</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 xml:space="preserve">a provision enabling CCS and the Buyer to enforce the Key Sub-Contract as if it were the Supplier; </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rsidR="00C10F0D" w:rsidRDefault="00B946FB">
      <w:pPr>
        <w:numPr>
          <w:ilvl w:val="2"/>
          <w:numId w:val="1"/>
        </w:numPr>
        <w:pBdr>
          <w:top w:val="nil"/>
          <w:left w:val="nil"/>
          <w:bottom w:val="nil"/>
          <w:right w:val="nil"/>
          <w:between w:val="nil"/>
        </w:pBdr>
        <w:tabs>
          <w:tab w:val="left" w:pos="1985"/>
        </w:tabs>
        <w:spacing w:before="120" w:after="120" w:line="240" w:lineRule="auto"/>
        <w:ind w:left="1710" w:hanging="810"/>
      </w:pPr>
      <w:r>
        <w:rPr>
          <w:rFonts w:ascii="Arial" w:eastAsia="Arial" w:hAnsi="Arial" w:cs="Arial"/>
          <w:color w:val="000000"/>
          <w:sz w:val="24"/>
          <w:szCs w:val="24"/>
        </w:rPr>
        <w:t>obligations no less onerous on the Key Subcontractor than those imposed on the Supplier under the Framework Contract in respect of:</w:t>
      </w:r>
    </w:p>
    <w:p w:rsidR="00C10F0D" w:rsidRDefault="00B946FB">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the data protection requirements set out in Clause 14 (Data protection);</w:t>
      </w:r>
    </w:p>
    <w:p w:rsidR="00C10F0D" w:rsidRDefault="00B946FB">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the FOIA and other access request requirements set out in Clause 16 (When you can share information);</w:t>
      </w:r>
    </w:p>
    <w:p w:rsidR="00C10F0D" w:rsidRDefault="00B946FB">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 xml:space="preserve">the obligation not to embarrass CCS or the Buyer or otherwise bring CCS or the Buyer into disrepute; </w:t>
      </w:r>
    </w:p>
    <w:p w:rsidR="00C10F0D" w:rsidRDefault="00B946FB">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rsidR="00C10F0D" w:rsidRDefault="00B946FB">
      <w:pPr>
        <w:numPr>
          <w:ilvl w:val="3"/>
          <w:numId w:val="1"/>
        </w:numPr>
        <w:pBdr>
          <w:top w:val="nil"/>
          <w:left w:val="nil"/>
          <w:bottom w:val="nil"/>
          <w:right w:val="nil"/>
          <w:between w:val="nil"/>
        </w:pBdr>
        <w:tabs>
          <w:tab w:val="left" w:pos="2552"/>
        </w:tabs>
        <w:spacing w:before="120" w:after="120" w:line="240" w:lineRule="auto"/>
        <w:ind w:left="2563" w:hanging="853"/>
      </w:pPr>
      <w:r>
        <w:rPr>
          <w:rFonts w:ascii="Arial" w:eastAsia="Arial" w:hAnsi="Arial" w:cs="Arial"/>
          <w:color w:val="000000"/>
          <w:sz w:val="24"/>
          <w:szCs w:val="24"/>
        </w:rPr>
        <w:t>the conduct of audits set out in Clause 6 (Record keeping and reporting);</w:t>
      </w:r>
    </w:p>
    <w:p w:rsidR="00C10F0D" w:rsidRDefault="00B946FB">
      <w:pPr>
        <w:numPr>
          <w:ilvl w:val="2"/>
          <w:numId w:val="1"/>
        </w:numPr>
        <w:pBdr>
          <w:top w:val="nil"/>
          <w:left w:val="nil"/>
          <w:bottom w:val="nil"/>
          <w:right w:val="nil"/>
          <w:between w:val="nil"/>
        </w:pBdr>
        <w:tabs>
          <w:tab w:val="left" w:pos="1985"/>
        </w:tabs>
        <w:spacing w:before="120" w:after="120" w:line="240" w:lineRule="auto"/>
        <w:ind w:left="1620"/>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C5005B" w:rsidRDefault="00B946FB">
      <w:pPr>
        <w:numPr>
          <w:ilvl w:val="2"/>
          <w:numId w:val="1"/>
        </w:numPr>
        <w:pBdr>
          <w:top w:val="nil"/>
          <w:left w:val="nil"/>
          <w:bottom w:val="nil"/>
          <w:right w:val="nil"/>
          <w:between w:val="nil"/>
        </w:pBdr>
        <w:tabs>
          <w:tab w:val="left" w:pos="1985"/>
        </w:tabs>
        <w:spacing w:before="120" w:after="120" w:line="240" w:lineRule="auto"/>
        <w:ind w:left="1620"/>
      </w:pPr>
      <w:r>
        <w:rPr>
          <w:rFonts w:ascii="Arial" w:eastAsia="Arial" w:hAnsi="Arial" w:cs="Arial"/>
          <w:color w:val="000000"/>
          <w:sz w:val="24"/>
          <w:szCs w:val="24"/>
        </w:rPr>
        <w:t xml:space="preserve">a provision restricting the ability of the Key Subcontractor to sub-contract all or any part of the provision of the Deliverables provided to </w:t>
      </w:r>
      <w:r>
        <w:rPr>
          <w:rFonts w:ascii="Arial" w:eastAsia="Arial" w:hAnsi="Arial" w:cs="Arial"/>
          <w:color w:val="000000"/>
          <w:sz w:val="24"/>
          <w:szCs w:val="24"/>
        </w:rPr>
        <w:lastRenderedPageBreak/>
        <w:t xml:space="preserve">the Supplier under the Key Sub-Contract without first seeking the written consent of CCS and the Buyer. </w:t>
      </w:r>
    </w:p>
    <w:p w:rsidR="00C5005B" w:rsidRPr="00C5005B" w:rsidRDefault="00C5005B" w:rsidP="00C5005B"/>
    <w:p w:rsidR="00C5005B" w:rsidRDefault="00C5005B" w:rsidP="00C5005B"/>
    <w:p w:rsidR="00C10F0D" w:rsidRDefault="00C5005B" w:rsidP="00C5005B">
      <w:pPr>
        <w:tabs>
          <w:tab w:val="left" w:pos="2454"/>
        </w:tabs>
        <w:rPr>
          <w:rFonts w:ascii="Arial" w:eastAsia="Arial" w:hAnsi="Arial" w:cs="Arial"/>
          <w:color w:val="000000"/>
          <w:sz w:val="24"/>
          <w:szCs w:val="24"/>
        </w:rPr>
      </w:pPr>
      <w:r>
        <w:tab/>
      </w:r>
      <w:bookmarkStart w:id="5" w:name="_GoBack"/>
      <w:bookmarkEnd w:id="5"/>
    </w:p>
    <w:sectPr w:rsidR="00C10F0D">
      <w:headerReference w:type="default" r:id="rId7"/>
      <w:footerReference w:type="default" r:id="rId8"/>
      <w:headerReference w:type="first" r:id="rId9"/>
      <w:footerReference w:type="firs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2A0" w:rsidRDefault="007732A0">
      <w:pPr>
        <w:spacing w:after="0" w:line="240" w:lineRule="auto"/>
      </w:pPr>
      <w:r>
        <w:separator/>
      </w:r>
    </w:p>
  </w:endnote>
  <w:endnote w:type="continuationSeparator" w:id="0">
    <w:p w:rsidR="007732A0" w:rsidRDefault="0077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F0D" w:rsidRDefault="00B946FB">
    <w:pPr>
      <w:tabs>
        <w:tab w:val="center" w:pos="4513"/>
        <w:tab w:val="right" w:pos="9026"/>
      </w:tabs>
      <w:spacing w:after="0"/>
      <w:rPr>
        <w:rFonts w:ascii="Arial" w:eastAsia="Arial" w:hAnsi="Arial" w:cs="Arial"/>
        <w:sz w:val="20"/>
        <w:szCs w:val="20"/>
      </w:rPr>
    </w:pPr>
    <w:bookmarkStart w:id="6" w:name="3dy6vkm" w:colFirst="0" w:colLast="0"/>
    <w:bookmarkStart w:id="7" w:name="tyjcwt" w:colFirst="0" w:colLast="0"/>
    <w:bookmarkStart w:id="8" w:name="1t3h5sf" w:colFirst="0" w:colLast="0"/>
    <w:bookmarkEnd w:id="6"/>
    <w:bookmarkEnd w:id="7"/>
    <w:bookmarkEnd w:id="8"/>
    <w:r>
      <w:rPr>
        <w:rFonts w:ascii="Arial" w:eastAsia="Arial" w:hAnsi="Arial" w:cs="Arial"/>
        <w:sz w:val="20"/>
        <w:szCs w:val="20"/>
      </w:rPr>
      <w:t xml:space="preserve">Framework Ref: RM6145 Learning and Development Framework </w:t>
    </w:r>
  </w:p>
  <w:p w:rsidR="00C10F0D" w:rsidRDefault="00B946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p>
  <w:p w:rsidR="00C10F0D" w:rsidRDefault="00B946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626FC">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C10F0D" w:rsidRDefault="00B946FB">
    <w:pPr>
      <w:spacing w:after="0" w:line="240" w:lineRule="auto"/>
      <w:jc w:val="both"/>
      <w:rPr>
        <w:rFonts w:ascii="Arial" w:eastAsia="Arial" w:hAnsi="Arial" w:cs="Arial"/>
        <w:color w:val="BFBFBF"/>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9" w:name="4d34og8" w:colFirst="0" w:colLast="0"/>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F0D" w:rsidRDefault="00C10F0D">
    <w:pPr>
      <w:tabs>
        <w:tab w:val="center" w:pos="4513"/>
        <w:tab w:val="right" w:pos="9026"/>
      </w:tabs>
      <w:spacing w:after="0"/>
      <w:jc w:val="both"/>
      <w:rPr>
        <w:rFonts w:ascii="Arial" w:eastAsia="Arial" w:hAnsi="Arial" w:cs="Arial"/>
        <w:sz w:val="20"/>
        <w:szCs w:val="20"/>
      </w:rPr>
    </w:pPr>
  </w:p>
  <w:p w:rsidR="00C10F0D" w:rsidRDefault="00B946F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C10F0D" w:rsidRDefault="00B946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C10F0D" w:rsidRDefault="00B946FB">
    <w:pPr>
      <w:spacing w:after="0" w:line="240" w:lineRule="auto"/>
      <w:jc w:val="both"/>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2A0" w:rsidRDefault="007732A0">
      <w:pPr>
        <w:spacing w:after="0" w:line="240" w:lineRule="auto"/>
      </w:pPr>
      <w:r>
        <w:separator/>
      </w:r>
    </w:p>
  </w:footnote>
  <w:footnote w:type="continuationSeparator" w:id="0">
    <w:p w:rsidR="007732A0" w:rsidRDefault="0077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F0D" w:rsidRDefault="00B946F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114300" distR="114300" simplePos="0" relativeHeight="251658240" behindDoc="1" locked="0" layoutInCell="1" hidden="0" allowOverlap="1">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rsidR="00C10F0D" w:rsidRDefault="00C10F0D">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rsidR="00C10F0D" w:rsidRDefault="00C10F0D">
                    <w:pPr>
                      <w:spacing w:after="0" w:line="240" w:lineRule="auto"/>
                      <w:jc w:val="center"/>
                      <w:textDirection w:val="btLr"/>
                    </w:pPr>
                  </w:p>
                </w:txbxContent>
              </v:textbox>
              <w10:wrap anchorx="margin" anchory="margin"/>
            </v:rect>
          </w:pict>
        </mc:Fallback>
      </mc:AlternateContent>
    </w:r>
    <w:r>
      <w:rPr>
        <w:rFonts w:ascii="Arial" w:eastAsia="Arial" w:hAnsi="Arial" w:cs="Arial"/>
        <w:b/>
        <w:color w:val="000000"/>
        <w:sz w:val="20"/>
        <w:szCs w:val="20"/>
      </w:rPr>
      <w:t>Joint Schedule 6 (Key Subcontractors) – RM6145</w:t>
    </w:r>
  </w:p>
  <w:p w:rsidR="00C10F0D" w:rsidRDefault="00B946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F0D" w:rsidRDefault="00C10F0D">
    <w:pPr>
      <w:pBdr>
        <w:top w:val="nil"/>
        <w:left w:val="nil"/>
        <w:bottom w:val="nil"/>
        <w:right w:val="nil"/>
        <w:between w:val="nil"/>
      </w:pBdr>
      <w:tabs>
        <w:tab w:val="center" w:pos="4513"/>
        <w:tab w:val="right" w:pos="9026"/>
      </w:tabs>
      <w:spacing w:after="0" w:line="240" w:lineRule="auto"/>
      <w:rPr>
        <w:color w:val="000000"/>
      </w:rPr>
    </w:pPr>
  </w:p>
  <w:p w:rsidR="00C10F0D" w:rsidRDefault="00C10F0D">
    <w:pPr>
      <w:pBdr>
        <w:top w:val="nil"/>
        <w:left w:val="nil"/>
        <w:bottom w:val="nil"/>
        <w:right w:val="nil"/>
        <w:between w:val="nil"/>
      </w:pBdr>
      <w:tabs>
        <w:tab w:val="center" w:pos="4513"/>
        <w:tab w:val="right" w:pos="9026"/>
      </w:tabs>
      <w:spacing w:after="0" w:line="240" w:lineRule="auto"/>
      <w:rPr>
        <w:color w:val="000000"/>
      </w:rPr>
    </w:pPr>
  </w:p>
  <w:p w:rsidR="00C10F0D" w:rsidRDefault="00C10F0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E95D1D"/>
    <w:multiLevelType w:val="multilevel"/>
    <w:tmpl w:val="E788DDA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0D"/>
    <w:rsid w:val="007732A0"/>
    <w:rsid w:val="00B946FB"/>
    <w:rsid w:val="00C10F0D"/>
    <w:rsid w:val="00C5005B"/>
    <w:rsid w:val="00D62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B0249-DB33-4732-A6FC-461DA057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62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6FC"/>
  </w:style>
  <w:style w:type="paragraph" w:styleId="Footer">
    <w:name w:val="footer"/>
    <w:basedOn w:val="Normal"/>
    <w:link w:val="FooterChar"/>
    <w:uiPriority w:val="99"/>
    <w:unhideWhenUsed/>
    <w:rsid w:val="00D62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cp:revision>
  <dcterms:created xsi:type="dcterms:W3CDTF">2022-11-18T10:26:00Z</dcterms:created>
  <dcterms:modified xsi:type="dcterms:W3CDTF">2022-11-18T11:15:00Z</dcterms:modified>
</cp:coreProperties>
</file>