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0DD494A4" w14:textId="3D4CEEA8" w:rsidR="001A179A" w:rsidRDefault="00E52B87" w:rsidP="001A179A">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1A179A">
        <w:t>Braking in snow conditions - T1144</w:t>
      </w:r>
    </w:p>
    <w:p w14:paraId="7FCD9CBF" w14:textId="4007751D" w:rsidR="0095659E" w:rsidRDefault="0095659E" w:rsidP="0095659E">
      <w:pPr>
        <w:pStyle w:val="CoverTitle"/>
      </w:pPr>
    </w:p>
    <w:p w14:paraId="367CB7EE" w14:textId="73683531" w:rsidR="00E52B87" w:rsidRPr="00E52B87" w:rsidRDefault="00E52B87" w:rsidP="00E52B87">
      <w:pPr>
        <w:pStyle w:val="CoverTitle"/>
      </w:pPr>
    </w:p>
    <w:p w14:paraId="69A8EB25" w14:textId="1D54BFB3" w:rsidR="00E52B87" w:rsidRPr="00E52B87" w:rsidRDefault="00E52B87" w:rsidP="00E52B87">
      <w:pPr>
        <w:pStyle w:val="CoverSubTitle"/>
      </w:pPr>
      <w:r w:rsidRPr="00E52B87">
        <w:t xml:space="preserve">Deadline: </w:t>
      </w:r>
      <w:r w:rsidR="001A179A">
        <w:t>Wednesday 11</w:t>
      </w:r>
      <w:r w:rsidR="001A179A" w:rsidRPr="001A179A">
        <w:rPr>
          <w:vertAlign w:val="superscript"/>
        </w:rPr>
        <w:t>th</w:t>
      </w:r>
      <w:r w:rsidR="001A179A">
        <w:t xml:space="preserve"> April 2018</w:t>
      </w:r>
      <w:r w:rsidRPr="00E52B87">
        <w:t xml:space="preserve"> </w:t>
      </w:r>
    </w:p>
    <w:p w14:paraId="1051D870" w14:textId="1019F653" w:rsidR="00E52B87" w:rsidRPr="00E52B87" w:rsidRDefault="00E52B87" w:rsidP="00E52B87">
      <w:pPr>
        <w:pStyle w:val="CoverSubTitle"/>
      </w:pPr>
      <w:r w:rsidRPr="00E52B87">
        <w:t>ITT Reference</w:t>
      </w:r>
      <w:r w:rsidR="0040055D" w:rsidRPr="0040055D">
        <w:t xml:space="preserve"> </w:t>
      </w:r>
      <w:r w:rsidR="001A179A">
        <w:t>Braking in snow conditions - T1144</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W w:w="4931" w:type="pct"/>
        <w:tblCellMar>
          <w:left w:w="0" w:type="dxa"/>
          <w:right w:w="0" w:type="dxa"/>
        </w:tblCellMar>
        <w:tblLook w:val="04A0" w:firstRow="1" w:lastRow="0" w:firstColumn="1" w:lastColumn="0" w:noHBand="0" w:noVBand="1"/>
      </w:tblPr>
      <w:tblGrid>
        <w:gridCol w:w="5058"/>
        <w:gridCol w:w="3114"/>
      </w:tblGrid>
      <w:tr w:rsidR="001A179A" w14:paraId="6437EAAD" w14:textId="77777777" w:rsidTr="001A179A">
        <w:trPr>
          <w:trHeight w:val="504"/>
        </w:trPr>
        <w:tc>
          <w:tcPr>
            <w:tcW w:w="3095"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D7A32EE" w14:textId="77777777" w:rsidR="001A179A" w:rsidRDefault="001A179A">
            <w:pPr>
              <w:spacing w:before="120" w:after="120"/>
              <w:rPr>
                <w:rFonts w:ascii="Calibri" w:hAnsi="Calibri" w:cs="Calibri"/>
                <w:b/>
                <w:bCs/>
                <w:lang w:eastAsia="en-GB"/>
              </w:rPr>
            </w:pPr>
          </w:p>
        </w:tc>
        <w:tc>
          <w:tcPr>
            <w:tcW w:w="190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4008D42" w14:textId="77777777" w:rsidR="001A179A" w:rsidRDefault="001A179A">
            <w:pPr>
              <w:spacing w:before="120" w:after="120"/>
              <w:jc w:val="center"/>
              <w:rPr>
                <w:b/>
                <w:bCs/>
                <w:lang w:eastAsia="en-GB"/>
              </w:rPr>
            </w:pPr>
            <w:r>
              <w:rPr>
                <w:b/>
                <w:bCs/>
                <w:lang w:eastAsia="en-GB"/>
              </w:rPr>
              <w:t>Start Date</w:t>
            </w:r>
          </w:p>
        </w:tc>
      </w:tr>
      <w:tr w:rsidR="001A179A" w14:paraId="281094D6" w14:textId="77777777" w:rsidTr="001A179A">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032D68C" w14:textId="77777777" w:rsidR="001A179A" w:rsidRDefault="001A179A">
            <w:pPr>
              <w:spacing w:before="120" w:after="120"/>
              <w:jc w:val="both"/>
              <w:rPr>
                <w:lang w:eastAsia="en-GB"/>
              </w:rPr>
            </w:pPr>
            <w:r>
              <w:rPr>
                <w:lang w:eastAsia="en-GB"/>
              </w:rPr>
              <w:t>I.T.T issued</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495DA1AF" w14:textId="77777777" w:rsidR="001A179A" w:rsidRDefault="001A179A">
            <w:pPr>
              <w:spacing w:before="120" w:after="120"/>
              <w:rPr>
                <w:lang w:eastAsia="en-GB"/>
              </w:rPr>
            </w:pPr>
            <w:r>
              <w:rPr>
                <w:lang w:eastAsia="en-GB"/>
              </w:rPr>
              <w:t>16 03 2018</w:t>
            </w:r>
          </w:p>
        </w:tc>
      </w:tr>
      <w:tr w:rsidR="001A179A" w14:paraId="514759A2" w14:textId="77777777" w:rsidTr="001A179A">
        <w:trPr>
          <w:trHeight w:val="516"/>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F2A9C8D" w14:textId="77777777" w:rsidR="001A179A" w:rsidRDefault="001A179A">
            <w:pPr>
              <w:spacing w:before="120" w:after="120"/>
              <w:jc w:val="both"/>
              <w:rPr>
                <w:lang w:eastAsia="en-GB"/>
              </w:rPr>
            </w:pPr>
            <w:r>
              <w:rPr>
                <w:lang w:eastAsia="en-GB"/>
              </w:rPr>
              <w:t xml:space="preserve">Supplier clarification questions deadline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40C499A6" w14:textId="77777777" w:rsidR="001A179A" w:rsidRDefault="001A179A">
            <w:pPr>
              <w:spacing w:before="120" w:after="120"/>
              <w:rPr>
                <w:lang w:eastAsia="en-GB"/>
              </w:rPr>
            </w:pPr>
            <w:r>
              <w:rPr>
                <w:lang w:eastAsia="en-GB"/>
              </w:rPr>
              <w:t xml:space="preserve">04 04 2018: 17:00 </w:t>
            </w:r>
          </w:p>
        </w:tc>
      </w:tr>
      <w:tr w:rsidR="001A179A" w14:paraId="67A18BB5" w14:textId="77777777" w:rsidTr="001A179A">
        <w:trPr>
          <w:trHeight w:val="280"/>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9467E02" w14:textId="77777777" w:rsidR="001A179A" w:rsidRDefault="001A179A">
            <w:pPr>
              <w:spacing w:before="120" w:after="120"/>
              <w:jc w:val="both"/>
              <w:rPr>
                <w:b/>
                <w:bCs/>
                <w:color w:val="FF0000"/>
                <w:lang w:eastAsia="en-GB"/>
              </w:rPr>
            </w:pPr>
            <w:r>
              <w:rPr>
                <w:b/>
                <w:bCs/>
                <w:color w:val="FF0000"/>
                <w:lang w:eastAsia="en-GB"/>
              </w:rPr>
              <w:t>Deadline for Submitting Tenders</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605CEA9E" w14:textId="77777777" w:rsidR="001A179A" w:rsidRDefault="001A179A">
            <w:pPr>
              <w:spacing w:before="120" w:after="120"/>
              <w:rPr>
                <w:b/>
                <w:bCs/>
                <w:color w:val="FF0000"/>
                <w:lang w:eastAsia="en-GB"/>
              </w:rPr>
            </w:pPr>
            <w:r>
              <w:rPr>
                <w:b/>
                <w:bCs/>
                <w:color w:val="FF0000"/>
                <w:lang w:eastAsia="en-GB"/>
              </w:rPr>
              <w:t xml:space="preserve">11 04 2018: 17:00 </w:t>
            </w:r>
          </w:p>
        </w:tc>
      </w:tr>
      <w:tr w:rsidR="001A179A" w14:paraId="75A9E87B" w14:textId="77777777" w:rsidTr="001A179A">
        <w:trPr>
          <w:trHeight w:val="62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799691" w14:textId="1512BD79" w:rsidR="001A179A" w:rsidRDefault="001A179A">
            <w:pPr>
              <w:spacing w:before="120" w:after="120"/>
              <w:jc w:val="both"/>
              <w:rPr>
                <w:lang w:eastAsia="en-GB"/>
              </w:rPr>
            </w:pPr>
            <w:r>
              <w:rPr>
                <w:lang w:eastAsia="en-GB"/>
              </w:rPr>
              <w:t xml:space="preserve">Post Tender Clarification &amp; </w:t>
            </w:r>
            <w:r w:rsidR="00722F33">
              <w:rPr>
                <w:lang w:eastAsia="en-GB"/>
              </w:rPr>
              <w:t>Evaluation</w:t>
            </w:r>
            <w:bookmarkStart w:id="2" w:name="_GoBack"/>
            <w:bookmarkEnd w:id="2"/>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4291FD29" w14:textId="77777777" w:rsidR="001A179A" w:rsidRDefault="001A179A">
            <w:pPr>
              <w:spacing w:before="120" w:after="120"/>
              <w:rPr>
                <w:lang w:eastAsia="en-GB"/>
              </w:rPr>
            </w:pPr>
            <w:r>
              <w:rPr>
                <w:lang w:eastAsia="en-GB"/>
              </w:rPr>
              <w:t>12 04 2018</w:t>
            </w:r>
          </w:p>
        </w:tc>
      </w:tr>
      <w:tr w:rsidR="001A179A" w14:paraId="5078C44D" w14:textId="77777777" w:rsidTr="001A179A">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248A7AE" w14:textId="77777777" w:rsidR="001A179A" w:rsidRDefault="001A179A">
            <w:pPr>
              <w:spacing w:before="120" w:after="120"/>
              <w:jc w:val="both"/>
              <w:rPr>
                <w:lang w:eastAsia="en-GB"/>
              </w:rPr>
            </w:pPr>
            <w:r>
              <w:rPr>
                <w:lang w:eastAsia="en-GB"/>
              </w:rPr>
              <w:t>Estimated notification of award decision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08556E65" w14:textId="77777777" w:rsidR="001A179A" w:rsidRDefault="001A179A">
            <w:pPr>
              <w:spacing w:before="120" w:after="120"/>
              <w:rPr>
                <w:lang w:eastAsia="en-GB"/>
              </w:rPr>
            </w:pPr>
            <w:r>
              <w:rPr>
                <w:lang w:eastAsia="en-GB"/>
              </w:rPr>
              <w:t>W/C 23 04 2018</w:t>
            </w:r>
          </w:p>
        </w:tc>
      </w:tr>
      <w:tr w:rsidR="001A179A" w14:paraId="392EEB26" w14:textId="77777777" w:rsidTr="001A179A">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40F8CDF" w14:textId="77777777" w:rsidR="001A179A" w:rsidRDefault="001A179A">
            <w:pPr>
              <w:spacing w:before="120" w:after="120"/>
              <w:jc w:val="both"/>
              <w:rPr>
                <w:lang w:eastAsia="en-GB"/>
              </w:rPr>
            </w:pPr>
            <w:r>
              <w:rPr>
                <w:lang w:eastAsia="en-GB"/>
              </w:rPr>
              <w:t>Target contract commencement date</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239C2B1E" w14:textId="77777777" w:rsidR="001A179A" w:rsidRDefault="001A179A">
            <w:pPr>
              <w:spacing w:before="120" w:after="120"/>
              <w:rPr>
                <w:lang w:eastAsia="en-GB"/>
              </w:rPr>
            </w:pPr>
            <w:r>
              <w:rPr>
                <w:lang w:eastAsia="en-GB"/>
              </w:rPr>
              <w:t>W/C 30 04 2018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lastRenderedPageBreak/>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your business is a registered company, charity or any other registered organisation (including limited, non-limited or Industrial and Provident Society), please state your </w:t>
      </w:r>
      <w:r w:rsidRPr="0072709F">
        <w:rPr>
          <w:rFonts w:asciiTheme="minorHAnsi" w:eastAsia="Times New Roman" w:hAnsiTheme="minorHAnsi" w:cs="Arial"/>
          <w:lang w:eastAsia="en-GB"/>
        </w:rPr>
        <w:lastRenderedPageBreak/>
        <w:t>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08CE1FB" w14:textId="1313C9B5" w:rsidR="0040055D" w:rsidRDefault="000140D4" w:rsidP="0040055D">
      <w:pPr>
        <w:pStyle w:val="Heading1"/>
        <w:numPr>
          <w:ilvl w:val="0"/>
          <w:numId w:val="0"/>
        </w:numPr>
        <w:ind w:left="-993"/>
      </w:pPr>
      <w:r>
        <w:lastRenderedPageBreak/>
        <w:t xml:space="preserve">7.0 TENDER EVALUATION </w:t>
      </w:r>
      <w:r w:rsidRPr="00E52B87">
        <w:t>(</w:t>
      </w:r>
      <w:r>
        <w:t>SELECTION CRITERIA)</w:t>
      </w:r>
    </w:p>
    <w:p w14:paraId="792DDCDF" w14:textId="1A3DA2A9" w:rsidR="0040055D" w:rsidRDefault="0040055D" w:rsidP="0040055D">
      <w:pPr>
        <w:pStyle w:val="Body"/>
      </w:pPr>
    </w:p>
    <w:tbl>
      <w:tblPr>
        <w:tblStyle w:val="TableGrid"/>
        <w:tblW w:w="4788"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27"/>
        <w:gridCol w:w="4842"/>
        <w:gridCol w:w="6738"/>
      </w:tblGrid>
      <w:tr w:rsidR="00177521" w:rsidRPr="00A073A1" w14:paraId="7D3B6016" w14:textId="77777777" w:rsidTr="00177521">
        <w:trPr>
          <w:trHeight w:val="846"/>
          <w:tblHeader/>
        </w:trPr>
        <w:tc>
          <w:tcPr>
            <w:tcW w:w="8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2032375" w14:textId="77777777" w:rsidR="00177521" w:rsidRPr="00A073A1" w:rsidRDefault="00177521" w:rsidP="00FB6356">
            <w:pPr>
              <w:spacing w:after="120" w:line="300" w:lineRule="exact"/>
              <w:rPr>
                <w:rFonts w:asciiTheme="minorHAnsi" w:hAnsiTheme="minorHAnsi" w:cs="Arial"/>
                <w:b/>
              </w:rPr>
            </w:pPr>
            <w:r>
              <w:rPr>
                <w:rFonts w:asciiTheme="minorHAnsi" w:hAnsiTheme="minorHAnsi" w:cs="Arial"/>
                <w:b/>
              </w:rPr>
              <w:t>Heading</w:t>
            </w:r>
          </w:p>
        </w:tc>
        <w:tc>
          <w:tcPr>
            <w:tcW w:w="171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74284A" w14:textId="77777777" w:rsidR="00177521" w:rsidRPr="00A073A1" w:rsidRDefault="00177521" w:rsidP="00FB6356">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3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C3A8CE1" w14:textId="77777777" w:rsidR="00177521" w:rsidRPr="00A073A1" w:rsidRDefault="00177521" w:rsidP="00FB6356">
            <w:pPr>
              <w:spacing w:after="120" w:line="300" w:lineRule="exact"/>
              <w:rPr>
                <w:rFonts w:asciiTheme="minorHAnsi" w:hAnsiTheme="minorHAnsi" w:cs="Arial"/>
                <w:b/>
              </w:rPr>
            </w:pPr>
            <w:r w:rsidRPr="00A073A1">
              <w:rPr>
                <w:rFonts w:asciiTheme="minorHAnsi" w:hAnsiTheme="minorHAnsi" w:cs="Arial"/>
                <w:b/>
              </w:rPr>
              <w:t>Evaluation Criteria</w:t>
            </w:r>
          </w:p>
        </w:tc>
      </w:tr>
      <w:tr w:rsidR="00177521" w:rsidRPr="00A073A1" w14:paraId="1F85EF08" w14:textId="77777777" w:rsidTr="00177521">
        <w:trPr>
          <w:trHeight w:val="699"/>
          <w:tblHeader/>
        </w:trPr>
        <w:tc>
          <w:tcPr>
            <w:tcW w:w="8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E22FB7" w14:textId="77777777" w:rsidR="00177521" w:rsidRDefault="00177521" w:rsidP="00FB6356">
            <w:pPr>
              <w:spacing w:after="120" w:line="300" w:lineRule="exact"/>
              <w:rPr>
                <w:rFonts w:asciiTheme="minorHAnsi" w:hAnsiTheme="minorHAnsi" w:cs="Arial"/>
              </w:rPr>
            </w:pPr>
            <w:r w:rsidRPr="00A073A1">
              <w:rPr>
                <w:rFonts w:asciiTheme="minorHAnsi" w:hAnsiTheme="minorHAnsi" w:cs="Arial"/>
              </w:rPr>
              <w:t xml:space="preserve">S1 Experience of the </w:t>
            </w:r>
            <w:r>
              <w:rPr>
                <w:rFonts w:asciiTheme="minorHAnsi" w:hAnsiTheme="minorHAnsi" w:cs="Arial"/>
              </w:rPr>
              <w:t>supplier in collating international research and best practices</w:t>
            </w:r>
            <w:r w:rsidRPr="00A073A1">
              <w:rPr>
                <w:rFonts w:asciiTheme="minorHAnsi" w:hAnsiTheme="minorHAnsi" w:cs="Arial"/>
              </w:rPr>
              <w:t xml:space="preserve"> </w:t>
            </w:r>
          </w:p>
          <w:p w14:paraId="254D65E9" w14:textId="77777777" w:rsidR="00177521" w:rsidRPr="00A073A1" w:rsidRDefault="00177521" w:rsidP="00FB6356">
            <w:pPr>
              <w:spacing w:after="120" w:line="300" w:lineRule="exact"/>
              <w:rPr>
                <w:rFonts w:asciiTheme="minorHAnsi" w:hAnsiTheme="minorHAnsi" w:cs="Arial"/>
              </w:rPr>
            </w:pPr>
            <w:r>
              <w:rPr>
                <w:rFonts w:asciiTheme="minorHAnsi" w:hAnsiTheme="minorHAnsi" w:cs="Arial"/>
              </w:rPr>
              <w:t>[Max 1 page]</w:t>
            </w:r>
          </w:p>
        </w:tc>
        <w:tc>
          <w:tcPr>
            <w:tcW w:w="171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54B5ABC" w14:textId="77777777" w:rsidR="00177521" w:rsidRDefault="00177521" w:rsidP="00FB6356">
            <w:pPr>
              <w:spacing w:after="120" w:line="300" w:lineRule="exact"/>
              <w:rPr>
                <w:rFonts w:asciiTheme="minorHAnsi" w:hAnsiTheme="minorHAnsi" w:cs="Arial"/>
              </w:rPr>
            </w:pPr>
            <w:r>
              <w:rPr>
                <w:rFonts w:asciiTheme="minorHAnsi" w:hAnsiTheme="minorHAnsi" w:cs="Arial"/>
              </w:rPr>
              <w:t>Please provide a description of two</w:t>
            </w:r>
            <w:r w:rsidRPr="00A073A1">
              <w:rPr>
                <w:rFonts w:asciiTheme="minorHAnsi" w:hAnsiTheme="minorHAnsi" w:cs="Arial"/>
              </w:rPr>
              <w:t xml:space="preserve"> projects</w:t>
            </w:r>
            <w:r>
              <w:rPr>
                <w:rFonts w:asciiTheme="minorHAnsi" w:hAnsiTheme="minorHAnsi" w:cs="Arial"/>
              </w:rPr>
              <w:t xml:space="preserve"> in which you have collated international best standards and research, synthesising the information to make recommendations. Please provide an explanation why these examples are relevant to this project.</w:t>
            </w:r>
          </w:p>
          <w:p w14:paraId="56E4B5E3" w14:textId="77777777" w:rsidR="00177521" w:rsidRPr="00A073A1" w:rsidRDefault="00177521" w:rsidP="00FB6356">
            <w:pPr>
              <w:spacing w:after="120" w:line="300" w:lineRule="exact"/>
              <w:rPr>
                <w:rFonts w:asciiTheme="minorHAnsi" w:hAnsiTheme="minorHAnsi" w:cs="Arial"/>
              </w:rPr>
            </w:pPr>
          </w:p>
        </w:tc>
        <w:tc>
          <w:tcPr>
            <w:tcW w:w="23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378EA3" w14:textId="712A1693" w:rsidR="00177521" w:rsidRPr="008175F4" w:rsidRDefault="00177521" w:rsidP="00FB6356">
            <w:pPr>
              <w:rPr>
                <w:rFonts w:asciiTheme="minorHAnsi" w:hAnsiTheme="minorHAnsi" w:cs="Arial"/>
                <w:sz w:val="21"/>
                <w:szCs w:val="21"/>
              </w:rPr>
            </w:pPr>
            <w:r w:rsidRPr="008175F4">
              <w:rPr>
                <w:rFonts w:asciiTheme="minorHAnsi" w:hAnsiTheme="minorHAnsi" w:cs="Arial"/>
                <w:color w:val="00B050"/>
                <w:sz w:val="21"/>
                <w:szCs w:val="21"/>
              </w:rPr>
              <w:t xml:space="preserve"> Pass</w:t>
            </w:r>
            <w:r w:rsidRPr="008175F4">
              <w:rPr>
                <w:rFonts w:asciiTheme="minorHAnsi" w:hAnsiTheme="minorHAnsi" w:cs="Arial"/>
                <w:sz w:val="21"/>
                <w:szCs w:val="21"/>
              </w:rPr>
              <w:t xml:space="preserve">: The tenderer provides RSSB with a strong degree of confidence in its experience shown in at least 2 </w:t>
            </w:r>
            <w:r>
              <w:rPr>
                <w:rFonts w:asciiTheme="minorHAnsi" w:hAnsiTheme="minorHAnsi" w:cs="Arial"/>
                <w:sz w:val="21"/>
                <w:szCs w:val="21"/>
              </w:rPr>
              <w:t>projects that required collation of international research. The tenderer provides information on how this process was undertaken.</w:t>
            </w:r>
          </w:p>
          <w:p w14:paraId="2E2B7B34" w14:textId="76B10048" w:rsidR="00177521" w:rsidRPr="005208C0" w:rsidRDefault="00177521" w:rsidP="00FB6356">
            <w:pPr>
              <w:spacing w:after="120" w:line="300" w:lineRule="exact"/>
              <w:rPr>
                <w:rFonts w:asciiTheme="minorHAnsi" w:hAnsiTheme="minorHAnsi" w:cs="Arial"/>
                <w:sz w:val="21"/>
                <w:szCs w:val="21"/>
              </w:rPr>
            </w:pPr>
            <w:r w:rsidRPr="008175F4">
              <w:rPr>
                <w:rFonts w:asciiTheme="minorHAnsi" w:hAnsiTheme="minorHAnsi" w:cs="Arial"/>
                <w:color w:val="FF0000"/>
                <w:sz w:val="21"/>
                <w:szCs w:val="21"/>
              </w:rPr>
              <w:t>Fail</w:t>
            </w:r>
            <w:r w:rsidRPr="008175F4">
              <w:rPr>
                <w:rFonts w:asciiTheme="minorHAnsi" w:hAnsiTheme="minorHAnsi" w:cs="Arial"/>
                <w:sz w:val="21"/>
                <w:szCs w:val="21"/>
              </w:rPr>
              <w:t xml:space="preserve">: The tenderer either fails to provide evidence of at least two examples or fails to provide RSSB with sufficient confidence in its experience of </w:t>
            </w:r>
            <w:r>
              <w:rPr>
                <w:rFonts w:asciiTheme="minorHAnsi" w:hAnsiTheme="minorHAnsi" w:cs="Arial"/>
                <w:sz w:val="21"/>
                <w:szCs w:val="21"/>
              </w:rPr>
              <w:t>collating international research and best practices.</w:t>
            </w:r>
          </w:p>
          <w:p w14:paraId="55224A36" w14:textId="77777777" w:rsidR="00177521" w:rsidRPr="00A073A1" w:rsidRDefault="00177521" w:rsidP="00FB6356">
            <w:pPr>
              <w:spacing w:after="120" w:line="300" w:lineRule="exact"/>
              <w:rPr>
                <w:rFonts w:asciiTheme="minorHAnsi" w:hAnsiTheme="minorHAnsi" w:cs="Arial"/>
              </w:rPr>
            </w:pPr>
            <w:r w:rsidRPr="00567FF3">
              <w:rPr>
                <w:rFonts w:asciiTheme="minorHAnsi" w:hAnsiTheme="minorHAnsi" w:cs="Arial"/>
                <w:b/>
              </w:rPr>
              <w:t>Note:</w:t>
            </w:r>
            <w:r>
              <w:rPr>
                <w:rFonts w:asciiTheme="minorHAnsi" w:hAnsiTheme="minorHAnsi" w:cs="Arial"/>
              </w:rPr>
              <w:t xml:space="preserve"> Should a tenderer achieve a “Fail” mark at this stage the tenderers tender submission will not be taken any further.</w:t>
            </w:r>
          </w:p>
        </w:tc>
      </w:tr>
      <w:tr w:rsidR="00177521" w:rsidRPr="00A073A1" w14:paraId="1241BE90" w14:textId="77777777" w:rsidTr="00177521">
        <w:trPr>
          <w:trHeight w:val="699"/>
          <w:tblHeader/>
        </w:trPr>
        <w:tc>
          <w:tcPr>
            <w:tcW w:w="8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2FD195" w14:textId="77777777" w:rsidR="00177521" w:rsidRDefault="00177521" w:rsidP="00FB6356">
            <w:pPr>
              <w:spacing w:after="120" w:line="300" w:lineRule="exact"/>
              <w:rPr>
                <w:rFonts w:asciiTheme="minorHAnsi" w:hAnsiTheme="minorHAnsi" w:cs="Arial"/>
              </w:rPr>
            </w:pPr>
            <w:r>
              <w:rPr>
                <w:rFonts w:asciiTheme="minorHAnsi" w:hAnsiTheme="minorHAnsi" w:cs="Arial"/>
              </w:rPr>
              <w:t>S2 Experience of supplier in assessing pilots in the rail industry</w:t>
            </w:r>
          </w:p>
          <w:p w14:paraId="75882C80" w14:textId="77777777" w:rsidR="00177521" w:rsidRPr="00A073A1" w:rsidRDefault="00177521" w:rsidP="00FB6356">
            <w:pPr>
              <w:spacing w:after="120" w:line="300" w:lineRule="exact"/>
              <w:rPr>
                <w:rFonts w:asciiTheme="minorHAnsi" w:hAnsiTheme="minorHAnsi" w:cs="Arial"/>
              </w:rPr>
            </w:pPr>
            <w:r>
              <w:rPr>
                <w:rFonts w:asciiTheme="minorHAnsi" w:hAnsiTheme="minorHAnsi" w:cs="Arial"/>
              </w:rPr>
              <w:t>[Max 1 page]</w:t>
            </w:r>
          </w:p>
        </w:tc>
        <w:tc>
          <w:tcPr>
            <w:tcW w:w="171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200F95" w14:textId="77777777" w:rsidR="00177521" w:rsidRDefault="00177521" w:rsidP="00FB6356">
            <w:pPr>
              <w:spacing w:after="120" w:line="300" w:lineRule="exact"/>
              <w:rPr>
                <w:rFonts w:asciiTheme="minorHAnsi" w:hAnsiTheme="minorHAnsi" w:cs="Arial"/>
              </w:rPr>
            </w:pPr>
            <w:r>
              <w:rPr>
                <w:rFonts w:asciiTheme="minorHAnsi" w:hAnsiTheme="minorHAnsi" w:cs="Arial"/>
              </w:rPr>
              <w:t>Please provide two examples where you have worked with operators to assess the impact of piloted initiatives.</w:t>
            </w:r>
          </w:p>
          <w:p w14:paraId="5D027BF4" w14:textId="77777777" w:rsidR="00177521" w:rsidDel="007E66D2" w:rsidRDefault="00177521" w:rsidP="00FB6356">
            <w:pPr>
              <w:spacing w:after="120" w:line="300" w:lineRule="exact"/>
              <w:rPr>
                <w:rFonts w:asciiTheme="minorHAnsi" w:hAnsiTheme="minorHAnsi" w:cs="Arial"/>
              </w:rPr>
            </w:pPr>
          </w:p>
        </w:tc>
        <w:tc>
          <w:tcPr>
            <w:tcW w:w="23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E3B19A" w14:textId="7F64C629" w:rsidR="00177521" w:rsidRDefault="00177521" w:rsidP="00FB6356">
            <w:pPr>
              <w:rPr>
                <w:rFonts w:asciiTheme="minorHAnsi" w:hAnsiTheme="minorHAnsi" w:cs="Arial"/>
                <w:sz w:val="21"/>
                <w:szCs w:val="21"/>
              </w:rPr>
            </w:pPr>
            <w:r w:rsidRPr="008175F4">
              <w:rPr>
                <w:rFonts w:asciiTheme="minorHAnsi" w:hAnsiTheme="minorHAnsi" w:cs="Arial"/>
                <w:color w:val="00B050"/>
                <w:sz w:val="21"/>
                <w:szCs w:val="21"/>
              </w:rPr>
              <w:t>Pass</w:t>
            </w:r>
            <w:r w:rsidRPr="008175F4">
              <w:rPr>
                <w:rFonts w:asciiTheme="minorHAnsi" w:hAnsiTheme="minorHAnsi" w:cs="Arial"/>
                <w:sz w:val="21"/>
                <w:szCs w:val="21"/>
              </w:rPr>
              <w:t xml:space="preserve">: The tenderer provides RSSB with a strong degree of confidence </w:t>
            </w:r>
            <w:r>
              <w:rPr>
                <w:rFonts w:asciiTheme="minorHAnsi" w:hAnsiTheme="minorHAnsi" w:cs="Arial"/>
                <w:sz w:val="21"/>
                <w:szCs w:val="21"/>
              </w:rPr>
              <w:t>in the evidence shown in at least one project where the supplier has assessed pilot studies in the rail industry.</w:t>
            </w:r>
          </w:p>
          <w:p w14:paraId="24215C48" w14:textId="77777777" w:rsidR="00177521" w:rsidRDefault="00177521" w:rsidP="00FB6356">
            <w:pPr>
              <w:spacing w:after="120" w:line="300" w:lineRule="exact"/>
              <w:rPr>
                <w:rFonts w:asciiTheme="minorHAnsi" w:hAnsiTheme="minorHAnsi" w:cs="Arial"/>
                <w:sz w:val="21"/>
                <w:szCs w:val="21"/>
              </w:rPr>
            </w:pPr>
            <w:r w:rsidRPr="008175F4">
              <w:rPr>
                <w:rFonts w:asciiTheme="minorHAnsi" w:hAnsiTheme="minorHAnsi" w:cs="Arial"/>
                <w:color w:val="FF0000"/>
                <w:sz w:val="21"/>
                <w:szCs w:val="21"/>
              </w:rPr>
              <w:t>Fail</w:t>
            </w:r>
            <w:r w:rsidRPr="008175F4">
              <w:rPr>
                <w:rFonts w:asciiTheme="minorHAnsi" w:hAnsiTheme="minorHAnsi" w:cs="Arial"/>
                <w:sz w:val="21"/>
                <w:szCs w:val="21"/>
              </w:rPr>
              <w:t xml:space="preserve">: The tenderer either fails to provide evidence of at least </w:t>
            </w:r>
            <w:r>
              <w:rPr>
                <w:rFonts w:asciiTheme="minorHAnsi" w:hAnsiTheme="minorHAnsi" w:cs="Arial"/>
                <w:sz w:val="21"/>
                <w:szCs w:val="21"/>
              </w:rPr>
              <w:t>one</w:t>
            </w:r>
            <w:r w:rsidRPr="008175F4">
              <w:rPr>
                <w:rFonts w:asciiTheme="minorHAnsi" w:hAnsiTheme="minorHAnsi" w:cs="Arial"/>
                <w:sz w:val="21"/>
                <w:szCs w:val="21"/>
              </w:rPr>
              <w:t xml:space="preserve"> example or fails to provide RSSB with sufficient confidence </w:t>
            </w:r>
            <w:r>
              <w:rPr>
                <w:rFonts w:asciiTheme="minorHAnsi" w:hAnsiTheme="minorHAnsi" w:cs="Arial"/>
                <w:sz w:val="21"/>
                <w:szCs w:val="21"/>
              </w:rPr>
              <w:t xml:space="preserve">in the evidence shown, that they have assessed pilot studies. </w:t>
            </w:r>
          </w:p>
          <w:p w14:paraId="2EDDE909" w14:textId="77777777" w:rsidR="00177521" w:rsidRPr="00A073A1" w:rsidRDefault="00177521" w:rsidP="00FB6356">
            <w:pPr>
              <w:spacing w:after="120" w:line="300" w:lineRule="exact"/>
              <w:rPr>
                <w:rFonts w:asciiTheme="minorHAnsi" w:hAnsiTheme="minorHAnsi" w:cs="Arial"/>
              </w:rPr>
            </w:pPr>
            <w:r w:rsidRPr="00567FF3">
              <w:rPr>
                <w:rFonts w:asciiTheme="minorHAnsi" w:hAnsiTheme="minorHAnsi" w:cs="Arial"/>
                <w:b/>
              </w:rPr>
              <w:t>Note:</w:t>
            </w:r>
            <w:r>
              <w:rPr>
                <w:rFonts w:asciiTheme="minorHAnsi" w:hAnsiTheme="minorHAnsi" w:cs="Arial"/>
              </w:rPr>
              <w:t xml:space="preserve"> Should a tenderer achieve a “Fail” mark at this stage the tenderers tender submission will not be taken any further.</w:t>
            </w:r>
          </w:p>
        </w:tc>
      </w:tr>
    </w:tbl>
    <w:p w14:paraId="52966B1B" w14:textId="77777777" w:rsidR="0040055D" w:rsidRDefault="0040055D" w:rsidP="009437FF">
      <w:pPr>
        <w:pStyle w:val="Body"/>
        <w:rPr>
          <w:rFonts w:asciiTheme="minorHAnsi" w:hAnsiTheme="minorHAnsi"/>
        </w:rPr>
        <w:sectPr w:rsidR="0040055D" w:rsidSect="0040055D">
          <w:pgSz w:w="16838" w:h="11906" w:orient="landscape"/>
          <w:pgMar w:top="426" w:right="536"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77334D7A"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40055D">
        <w:rPr>
          <w:rFonts w:asciiTheme="minorHAnsi" w:hAnsiTheme="minorHAnsi"/>
          <w:bCs/>
          <w:kern w:val="28"/>
          <w:lang w:eastAsia="en-GB"/>
        </w:rPr>
        <w:t>Quality 80%: Price 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269E9216" w14:textId="3A9C0FFA" w:rsidR="00801CC8" w:rsidRDefault="00801CC8" w:rsidP="00E52B87">
      <w:pPr>
        <w:pStyle w:val="Body"/>
        <w:rPr>
          <w:rFonts w:asciiTheme="minorHAnsi" w:hAnsiTheme="minorHAnsi"/>
          <w:b/>
        </w:rPr>
      </w:pPr>
    </w:p>
    <w:p w14:paraId="101DC95B" w14:textId="7BA56141" w:rsidR="001A179A" w:rsidRDefault="001A179A" w:rsidP="00E52B87">
      <w:pPr>
        <w:pStyle w:val="Body"/>
        <w:rPr>
          <w:rFonts w:asciiTheme="minorHAnsi" w:hAnsiTheme="minorHAnsi"/>
          <w:b/>
        </w:rPr>
      </w:pPr>
    </w:p>
    <w:tbl>
      <w:tblPr>
        <w:tblStyle w:val="TableGrid"/>
        <w:tblW w:w="6170"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81"/>
        <w:gridCol w:w="3114"/>
        <w:gridCol w:w="4304"/>
        <w:gridCol w:w="1038"/>
      </w:tblGrid>
      <w:tr w:rsidR="001A179A" w:rsidRPr="00A073A1" w14:paraId="662EA258" w14:textId="77777777" w:rsidTr="001A179A">
        <w:trPr>
          <w:trHeight w:val="724"/>
        </w:trPr>
        <w:tc>
          <w:tcPr>
            <w:tcW w:w="8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B9FAB6" w14:textId="77777777" w:rsidR="001A179A" w:rsidRPr="00A073A1" w:rsidRDefault="001A179A" w:rsidP="001A179A">
            <w:pPr>
              <w:spacing w:after="120" w:line="300" w:lineRule="exact"/>
              <w:rPr>
                <w:rFonts w:asciiTheme="minorHAnsi" w:hAnsiTheme="minorHAnsi" w:cs="Arial"/>
                <w:b/>
              </w:rPr>
            </w:pPr>
            <w:r>
              <w:rPr>
                <w:rFonts w:asciiTheme="minorHAnsi" w:hAnsiTheme="minorHAnsi" w:cs="Arial"/>
                <w:b/>
              </w:rPr>
              <w:t>Heading</w:t>
            </w:r>
          </w:p>
        </w:tc>
        <w:tc>
          <w:tcPr>
            <w:tcW w:w="1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D4115B" w14:textId="77777777" w:rsidR="001A179A" w:rsidRPr="00A073A1" w:rsidRDefault="001A179A" w:rsidP="001A179A">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1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AAA7F7D" w14:textId="77777777" w:rsidR="001A179A" w:rsidRPr="00A073A1" w:rsidRDefault="001A179A" w:rsidP="001A179A">
            <w:pPr>
              <w:spacing w:after="120" w:line="300" w:lineRule="exact"/>
              <w:rPr>
                <w:rFonts w:asciiTheme="minorHAnsi" w:hAnsiTheme="minorHAnsi" w:cs="Arial"/>
                <w:b/>
              </w:rPr>
            </w:pPr>
            <w:r w:rsidRPr="00A073A1">
              <w:rPr>
                <w:rFonts w:asciiTheme="minorHAnsi" w:hAnsiTheme="minorHAnsi" w:cs="Arial"/>
                <w:b/>
              </w:rPr>
              <w:t>Evaluation Criteria</w:t>
            </w:r>
          </w:p>
        </w:tc>
        <w:tc>
          <w:tcPr>
            <w:tcW w:w="5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E9B76E" w14:textId="77777777" w:rsidR="001A179A" w:rsidRPr="00A073A1" w:rsidRDefault="001A179A" w:rsidP="001A179A">
            <w:pPr>
              <w:spacing w:after="120" w:line="300" w:lineRule="exact"/>
              <w:rPr>
                <w:rFonts w:asciiTheme="minorHAnsi" w:hAnsiTheme="minorHAnsi" w:cs="Arial"/>
                <w:b/>
              </w:rPr>
            </w:pPr>
            <w:r w:rsidRPr="00A073A1">
              <w:rPr>
                <w:rFonts w:asciiTheme="minorHAnsi" w:hAnsiTheme="minorHAnsi" w:cs="Arial"/>
                <w:b/>
              </w:rPr>
              <w:t xml:space="preserve">Weight </w:t>
            </w:r>
          </w:p>
        </w:tc>
      </w:tr>
      <w:tr w:rsidR="001A179A" w:rsidRPr="00A073A1" w14:paraId="2C7913C8" w14:textId="77777777" w:rsidTr="001A179A">
        <w:trPr>
          <w:trHeight w:val="724"/>
        </w:trPr>
        <w:tc>
          <w:tcPr>
            <w:tcW w:w="8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16EA54" w14:textId="77777777" w:rsidR="001A179A" w:rsidRPr="007051C8" w:rsidRDefault="001A179A" w:rsidP="001A179A">
            <w:pPr>
              <w:spacing w:after="120" w:line="300" w:lineRule="exact"/>
              <w:rPr>
                <w:rFonts w:asciiTheme="minorHAnsi" w:hAnsiTheme="minorHAnsi" w:cstheme="minorHAnsi"/>
              </w:rPr>
            </w:pPr>
            <w:r w:rsidRPr="007051C8">
              <w:rPr>
                <w:rFonts w:asciiTheme="minorHAnsi" w:hAnsiTheme="minorHAnsi" w:cstheme="minorHAnsi"/>
              </w:rPr>
              <w:t>A1 Evidence of the supplier’s technical ability in the field of braking systems</w:t>
            </w:r>
          </w:p>
          <w:p w14:paraId="5828629E" w14:textId="77777777" w:rsidR="001A179A" w:rsidRPr="007051C8" w:rsidRDefault="001A179A" w:rsidP="001A179A">
            <w:pPr>
              <w:spacing w:after="120" w:line="300" w:lineRule="exact"/>
              <w:rPr>
                <w:rFonts w:asciiTheme="minorHAnsi" w:hAnsiTheme="minorHAnsi" w:cstheme="minorHAnsi"/>
              </w:rPr>
            </w:pPr>
            <w:r w:rsidRPr="007051C8">
              <w:rPr>
                <w:rFonts w:asciiTheme="minorHAnsi" w:hAnsiTheme="minorHAnsi" w:cstheme="minorHAnsi"/>
              </w:rPr>
              <w:t>[Max 3 pages]</w:t>
            </w:r>
          </w:p>
        </w:tc>
        <w:tc>
          <w:tcPr>
            <w:tcW w:w="1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5C39E4" w14:textId="77777777" w:rsidR="001A179A" w:rsidRPr="007051C8" w:rsidRDefault="001A179A" w:rsidP="001A179A">
            <w:pPr>
              <w:rPr>
                <w:rFonts w:asciiTheme="minorHAnsi" w:hAnsiTheme="minorHAnsi" w:cstheme="minorHAnsi"/>
              </w:rPr>
            </w:pPr>
            <w:r w:rsidRPr="007051C8">
              <w:rPr>
                <w:rFonts w:asciiTheme="minorHAnsi" w:hAnsiTheme="minorHAnsi" w:cstheme="minorHAnsi"/>
              </w:rPr>
              <w:t>Does the tenderer have the required expertise to successfully complete this project?</w:t>
            </w:r>
          </w:p>
        </w:tc>
        <w:tc>
          <w:tcPr>
            <w:tcW w:w="21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D25A84A" w14:textId="77777777" w:rsidR="001A179A" w:rsidRPr="007051C8" w:rsidRDefault="001A179A" w:rsidP="001A179A">
            <w:pPr>
              <w:spacing w:after="120" w:line="300" w:lineRule="exact"/>
              <w:rPr>
                <w:rFonts w:asciiTheme="minorHAnsi" w:hAnsiTheme="minorHAnsi" w:cstheme="minorHAnsi"/>
              </w:rPr>
            </w:pPr>
            <w:r w:rsidRPr="007051C8">
              <w:rPr>
                <w:rFonts w:asciiTheme="minorHAnsi" w:hAnsiTheme="minorHAnsi" w:cstheme="minorHAnsi"/>
              </w:rPr>
              <w:t>The Tenderer’s response shows that it:</w:t>
            </w:r>
          </w:p>
          <w:p w14:paraId="78B5C4CB" w14:textId="37EAE289" w:rsidR="001A179A" w:rsidRDefault="001A179A" w:rsidP="001A179A">
            <w:pPr>
              <w:pStyle w:val="ListParagraph"/>
              <w:numPr>
                <w:ilvl w:val="0"/>
                <w:numId w:val="47"/>
              </w:numPr>
              <w:spacing w:after="120" w:line="300" w:lineRule="exact"/>
              <w:rPr>
                <w:rFonts w:asciiTheme="minorHAnsi" w:hAnsiTheme="minorHAnsi" w:cstheme="minorHAnsi"/>
                <w:sz w:val="22"/>
                <w:szCs w:val="22"/>
              </w:rPr>
            </w:pPr>
            <w:r w:rsidRPr="007051C8">
              <w:rPr>
                <w:rFonts w:asciiTheme="minorHAnsi" w:hAnsiTheme="minorHAnsi" w:cstheme="minorHAnsi"/>
                <w:sz w:val="22"/>
                <w:szCs w:val="22"/>
              </w:rPr>
              <w:t xml:space="preserve">Has identified relevant projects as experience and individuals to deliver the work and that the overall skill covered is of high quality </w:t>
            </w:r>
          </w:p>
          <w:p w14:paraId="49016175" w14:textId="75AD6C7D" w:rsidR="00177521" w:rsidRPr="007051C8" w:rsidRDefault="00177521" w:rsidP="001A179A">
            <w:pPr>
              <w:pStyle w:val="ListParagraph"/>
              <w:numPr>
                <w:ilvl w:val="0"/>
                <w:numId w:val="47"/>
              </w:numPr>
              <w:spacing w:after="120" w:line="300" w:lineRule="exact"/>
              <w:rPr>
                <w:rFonts w:asciiTheme="minorHAnsi" w:hAnsiTheme="minorHAnsi" w:cstheme="minorHAnsi"/>
                <w:sz w:val="22"/>
                <w:szCs w:val="22"/>
              </w:rPr>
            </w:pPr>
            <w:r>
              <w:rPr>
                <w:rFonts w:asciiTheme="minorHAnsi" w:hAnsiTheme="minorHAnsi" w:cstheme="minorHAnsi"/>
                <w:sz w:val="22"/>
                <w:szCs w:val="22"/>
              </w:rPr>
              <w:t>The individuals identified within the proposed team have a high degree of experience and said team is a good mix of seniority</w:t>
            </w:r>
          </w:p>
          <w:p w14:paraId="704B9C80" w14:textId="77777777" w:rsidR="001A179A" w:rsidRPr="007051C8" w:rsidRDefault="001A179A" w:rsidP="001A179A">
            <w:pPr>
              <w:pStyle w:val="ListParagraph"/>
              <w:numPr>
                <w:ilvl w:val="0"/>
                <w:numId w:val="47"/>
              </w:numPr>
              <w:spacing w:after="120" w:line="300" w:lineRule="exact"/>
              <w:rPr>
                <w:rFonts w:asciiTheme="minorHAnsi" w:hAnsiTheme="minorHAnsi" w:cstheme="minorHAnsi"/>
                <w:sz w:val="22"/>
                <w:szCs w:val="22"/>
              </w:rPr>
            </w:pPr>
            <w:r w:rsidRPr="007051C8">
              <w:rPr>
                <w:rFonts w:asciiTheme="minorHAnsi" w:hAnsiTheme="minorHAnsi" w:cstheme="minorHAnsi"/>
                <w:sz w:val="22"/>
                <w:szCs w:val="22"/>
              </w:rPr>
              <w:t xml:space="preserve">Provide detail of relevant experience and knowledge of the project team. Detail all types of braking systems the team is experienced in </w:t>
            </w:r>
          </w:p>
          <w:p w14:paraId="1FBFC4FA" w14:textId="77777777" w:rsidR="001A179A" w:rsidRPr="007051C8" w:rsidRDefault="001A179A" w:rsidP="001A179A">
            <w:pPr>
              <w:pStyle w:val="ListParagraph"/>
              <w:numPr>
                <w:ilvl w:val="0"/>
                <w:numId w:val="47"/>
              </w:numPr>
              <w:spacing w:after="120" w:line="300" w:lineRule="exact"/>
              <w:rPr>
                <w:rFonts w:asciiTheme="minorHAnsi" w:hAnsiTheme="minorHAnsi" w:cstheme="minorHAnsi"/>
                <w:sz w:val="22"/>
                <w:szCs w:val="22"/>
              </w:rPr>
            </w:pPr>
            <w:r w:rsidRPr="007051C8">
              <w:rPr>
                <w:rFonts w:asciiTheme="minorHAnsi" w:hAnsiTheme="minorHAnsi" w:cstheme="minorHAnsi"/>
                <w:sz w:val="22"/>
                <w:szCs w:val="22"/>
              </w:rPr>
              <w:t>If expertise is not in-house, it has displayed how it will access the required industry experience and knowledge</w:t>
            </w:r>
          </w:p>
        </w:tc>
        <w:tc>
          <w:tcPr>
            <w:tcW w:w="5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AF462A5" w14:textId="77777777" w:rsidR="001A179A" w:rsidRPr="00A073A1" w:rsidRDefault="001A179A" w:rsidP="001A179A">
            <w:pPr>
              <w:spacing w:after="120" w:line="300" w:lineRule="exact"/>
              <w:rPr>
                <w:rFonts w:asciiTheme="minorHAnsi" w:hAnsiTheme="minorHAnsi" w:cs="Arial"/>
              </w:rPr>
            </w:pPr>
            <w:r>
              <w:rPr>
                <w:rFonts w:asciiTheme="minorHAnsi" w:hAnsiTheme="minorHAnsi" w:cs="Arial"/>
              </w:rPr>
              <w:t>25</w:t>
            </w:r>
            <w:r w:rsidRPr="00A073A1">
              <w:rPr>
                <w:rFonts w:asciiTheme="minorHAnsi" w:hAnsiTheme="minorHAnsi" w:cs="Arial"/>
              </w:rPr>
              <w:t>%</w:t>
            </w:r>
          </w:p>
        </w:tc>
      </w:tr>
      <w:tr w:rsidR="001A179A" w:rsidRPr="00A073A1" w14:paraId="1322465E" w14:textId="77777777" w:rsidTr="001A179A">
        <w:trPr>
          <w:trHeight w:val="724"/>
        </w:trPr>
        <w:tc>
          <w:tcPr>
            <w:tcW w:w="8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F8B034" w14:textId="77777777" w:rsidR="001A179A" w:rsidRPr="007051C8" w:rsidRDefault="001A179A" w:rsidP="001A179A">
            <w:pPr>
              <w:spacing w:after="120" w:line="300" w:lineRule="exact"/>
              <w:rPr>
                <w:rFonts w:asciiTheme="minorHAnsi" w:hAnsiTheme="minorHAnsi" w:cstheme="minorHAnsi"/>
              </w:rPr>
            </w:pPr>
            <w:r w:rsidRPr="007051C8">
              <w:rPr>
                <w:rFonts w:asciiTheme="minorHAnsi" w:hAnsiTheme="minorHAnsi" w:cstheme="minorHAnsi"/>
              </w:rPr>
              <w:t>A2 Method:</w:t>
            </w:r>
          </w:p>
          <w:p w14:paraId="4E8C9ED8" w14:textId="77777777" w:rsidR="001A179A" w:rsidRPr="007051C8" w:rsidRDefault="001A179A" w:rsidP="001A179A">
            <w:pPr>
              <w:spacing w:after="120" w:line="300" w:lineRule="exact"/>
              <w:rPr>
                <w:rFonts w:asciiTheme="minorHAnsi" w:hAnsiTheme="minorHAnsi" w:cstheme="minorHAnsi"/>
              </w:rPr>
            </w:pPr>
            <w:r w:rsidRPr="007051C8">
              <w:rPr>
                <w:rFonts w:asciiTheme="minorHAnsi" w:hAnsiTheme="minorHAnsi" w:cstheme="minorHAnsi"/>
              </w:rPr>
              <w:t>[Max 2 pages]</w:t>
            </w:r>
          </w:p>
        </w:tc>
        <w:tc>
          <w:tcPr>
            <w:tcW w:w="1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B6AA27" w14:textId="77777777" w:rsidR="001A179A" w:rsidRPr="007051C8" w:rsidRDefault="001A179A" w:rsidP="001A179A">
            <w:pPr>
              <w:rPr>
                <w:rFonts w:asciiTheme="minorHAnsi" w:hAnsiTheme="minorHAnsi" w:cstheme="minorHAnsi"/>
              </w:rPr>
            </w:pPr>
            <w:r w:rsidRPr="007051C8">
              <w:rPr>
                <w:rFonts w:asciiTheme="minorHAnsi" w:hAnsiTheme="minorHAnsi" w:cstheme="minorHAnsi"/>
              </w:rPr>
              <w:t>What is your proposed methodology? Can you identify key data sources and how you will access these? Can you identify what would constitute a successful project?</w:t>
            </w:r>
          </w:p>
          <w:p w14:paraId="11AA39F1" w14:textId="77777777" w:rsidR="001A179A" w:rsidRPr="007051C8" w:rsidRDefault="001A179A" w:rsidP="001A179A">
            <w:pPr>
              <w:spacing w:after="120" w:line="300" w:lineRule="exact"/>
              <w:rPr>
                <w:rFonts w:asciiTheme="minorHAnsi" w:hAnsiTheme="minorHAnsi" w:cstheme="minorHAnsi"/>
              </w:rPr>
            </w:pPr>
          </w:p>
        </w:tc>
        <w:tc>
          <w:tcPr>
            <w:tcW w:w="21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7D86A0" w14:textId="77777777" w:rsidR="001A179A" w:rsidRPr="007051C8" w:rsidRDefault="001A179A" w:rsidP="001A179A">
            <w:pPr>
              <w:spacing w:after="120" w:line="300" w:lineRule="exact"/>
              <w:rPr>
                <w:rFonts w:asciiTheme="minorHAnsi" w:hAnsiTheme="minorHAnsi" w:cstheme="minorHAnsi"/>
              </w:rPr>
            </w:pPr>
            <w:r w:rsidRPr="007051C8">
              <w:rPr>
                <w:rFonts w:asciiTheme="minorHAnsi" w:hAnsiTheme="minorHAnsi" w:cstheme="minorHAnsi"/>
              </w:rPr>
              <w:t>The Tenderer’s response shows that it:</w:t>
            </w:r>
          </w:p>
          <w:p w14:paraId="4CA28B2E" w14:textId="1DED858A" w:rsidR="001A179A" w:rsidRDefault="001A179A" w:rsidP="001A179A">
            <w:pPr>
              <w:pStyle w:val="ListParagraph"/>
              <w:numPr>
                <w:ilvl w:val="0"/>
                <w:numId w:val="46"/>
              </w:numPr>
              <w:spacing w:after="120" w:line="300" w:lineRule="exact"/>
              <w:rPr>
                <w:rFonts w:asciiTheme="minorHAnsi" w:hAnsiTheme="minorHAnsi" w:cstheme="minorHAnsi"/>
                <w:sz w:val="22"/>
                <w:szCs w:val="22"/>
              </w:rPr>
            </w:pPr>
            <w:r w:rsidRPr="007051C8">
              <w:rPr>
                <w:rFonts w:asciiTheme="minorHAnsi" w:hAnsiTheme="minorHAnsi" w:cstheme="minorHAnsi"/>
                <w:sz w:val="22"/>
                <w:szCs w:val="22"/>
              </w:rPr>
              <w:t>Has detailed the sources they will use to collate information and identify the approach they will take to gaining the information and give confidence of the success</w:t>
            </w:r>
          </w:p>
          <w:p w14:paraId="3C28CE08" w14:textId="7CD2BC88" w:rsidR="00177521" w:rsidRPr="007051C8" w:rsidRDefault="00177521" w:rsidP="001A179A">
            <w:pPr>
              <w:pStyle w:val="ListParagraph"/>
              <w:numPr>
                <w:ilvl w:val="0"/>
                <w:numId w:val="46"/>
              </w:numPr>
              <w:spacing w:after="120" w:line="300" w:lineRule="exact"/>
              <w:rPr>
                <w:rFonts w:asciiTheme="minorHAnsi" w:hAnsiTheme="minorHAnsi" w:cstheme="minorHAnsi"/>
                <w:sz w:val="22"/>
                <w:szCs w:val="22"/>
              </w:rPr>
            </w:pPr>
            <w:r>
              <w:rPr>
                <w:rFonts w:asciiTheme="minorHAnsi" w:hAnsiTheme="minorHAnsi" w:cstheme="minorHAnsi"/>
                <w:sz w:val="22"/>
                <w:szCs w:val="22"/>
              </w:rPr>
              <w:t>Has proposed an appropriate and high quality methodology to deliver the requirements as outlined in the specification</w:t>
            </w:r>
          </w:p>
          <w:p w14:paraId="35870FDF" w14:textId="77777777" w:rsidR="001A179A" w:rsidRDefault="001A179A" w:rsidP="001A179A">
            <w:pPr>
              <w:pStyle w:val="ListParagraph"/>
              <w:numPr>
                <w:ilvl w:val="0"/>
                <w:numId w:val="46"/>
              </w:numPr>
              <w:spacing w:after="120" w:line="300" w:lineRule="exact"/>
              <w:rPr>
                <w:rFonts w:asciiTheme="minorHAnsi" w:hAnsiTheme="minorHAnsi" w:cstheme="minorHAnsi"/>
                <w:sz w:val="22"/>
                <w:szCs w:val="22"/>
              </w:rPr>
            </w:pPr>
            <w:r w:rsidRPr="007051C8">
              <w:rPr>
                <w:rFonts w:asciiTheme="minorHAnsi" w:hAnsiTheme="minorHAnsi" w:cstheme="minorHAnsi"/>
                <w:sz w:val="22"/>
                <w:szCs w:val="22"/>
              </w:rPr>
              <w:t>Has a plan for working with operators and ability to design a data collection approach which is suitable for the operators and will provide the appropriate evidence</w:t>
            </w:r>
          </w:p>
          <w:p w14:paraId="12C24280" w14:textId="4DF4C5C3" w:rsidR="00177521" w:rsidRPr="007051C8" w:rsidRDefault="00177521" w:rsidP="001A179A">
            <w:pPr>
              <w:pStyle w:val="ListParagraph"/>
              <w:numPr>
                <w:ilvl w:val="0"/>
                <w:numId w:val="46"/>
              </w:num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Outlines how the proposed methodology will deliver the project successfully </w:t>
            </w:r>
          </w:p>
        </w:tc>
        <w:tc>
          <w:tcPr>
            <w:tcW w:w="5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7DD35C" w14:textId="77777777" w:rsidR="001A179A" w:rsidRDefault="001A179A" w:rsidP="001A179A">
            <w:pPr>
              <w:spacing w:after="120" w:line="300" w:lineRule="exact"/>
              <w:rPr>
                <w:rFonts w:asciiTheme="minorHAnsi" w:hAnsiTheme="minorHAnsi" w:cs="Arial"/>
              </w:rPr>
            </w:pPr>
            <w:r>
              <w:rPr>
                <w:rFonts w:asciiTheme="minorHAnsi" w:hAnsiTheme="minorHAnsi" w:cs="Arial"/>
              </w:rPr>
              <w:t>20%</w:t>
            </w:r>
          </w:p>
        </w:tc>
      </w:tr>
      <w:tr w:rsidR="001A179A" w:rsidRPr="00A073A1" w14:paraId="488B44FF" w14:textId="77777777" w:rsidTr="001A179A">
        <w:trPr>
          <w:trHeight w:val="724"/>
        </w:trPr>
        <w:tc>
          <w:tcPr>
            <w:tcW w:w="8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F244BD" w14:textId="77777777" w:rsidR="001A179A" w:rsidRPr="007051C8" w:rsidRDefault="001A179A" w:rsidP="001A179A">
            <w:pPr>
              <w:spacing w:after="120" w:line="300" w:lineRule="exact"/>
              <w:rPr>
                <w:rFonts w:asciiTheme="minorHAnsi" w:hAnsiTheme="minorHAnsi" w:cstheme="minorHAnsi"/>
              </w:rPr>
            </w:pPr>
            <w:r w:rsidRPr="007051C8">
              <w:rPr>
                <w:rFonts w:asciiTheme="minorHAnsi" w:hAnsiTheme="minorHAnsi" w:cstheme="minorHAnsi"/>
              </w:rPr>
              <w:t xml:space="preserve">A3 Project Delivery: resources, </w:t>
            </w:r>
            <w:r w:rsidRPr="007051C8">
              <w:rPr>
                <w:rFonts w:asciiTheme="minorHAnsi" w:hAnsiTheme="minorHAnsi" w:cstheme="minorHAnsi"/>
              </w:rPr>
              <w:lastRenderedPageBreak/>
              <w:t>budget and risk management</w:t>
            </w:r>
          </w:p>
          <w:p w14:paraId="7D43D029" w14:textId="77777777" w:rsidR="001A179A" w:rsidRPr="007051C8" w:rsidRDefault="001A179A" w:rsidP="001A179A">
            <w:pPr>
              <w:spacing w:after="120" w:line="300" w:lineRule="exact"/>
              <w:rPr>
                <w:rFonts w:asciiTheme="minorHAnsi" w:hAnsiTheme="minorHAnsi" w:cstheme="minorHAnsi"/>
              </w:rPr>
            </w:pPr>
            <w:r w:rsidRPr="007051C8">
              <w:rPr>
                <w:rFonts w:asciiTheme="minorHAnsi" w:hAnsiTheme="minorHAnsi" w:cstheme="minorHAnsi"/>
              </w:rPr>
              <w:t>[Max 5 pages]</w:t>
            </w:r>
          </w:p>
        </w:tc>
        <w:tc>
          <w:tcPr>
            <w:tcW w:w="1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95BC5E" w14:textId="77777777" w:rsidR="001A179A" w:rsidRPr="00103CD8" w:rsidRDefault="001A179A" w:rsidP="001A179A">
            <w:pPr>
              <w:spacing w:after="120" w:line="300" w:lineRule="exact"/>
              <w:rPr>
                <w:rFonts w:asciiTheme="minorHAnsi" w:hAnsiTheme="minorHAnsi" w:cstheme="minorHAnsi"/>
              </w:rPr>
            </w:pPr>
            <w:r w:rsidRPr="00103CD8">
              <w:rPr>
                <w:rFonts w:asciiTheme="minorHAnsi" w:hAnsiTheme="minorHAnsi" w:cstheme="minorHAnsi"/>
              </w:rPr>
              <w:lastRenderedPageBreak/>
              <w:t xml:space="preserve">How will you work with RSSB to ensure the quality and the content of the deliverables is fit </w:t>
            </w:r>
            <w:r w:rsidRPr="00103CD8">
              <w:rPr>
                <w:rFonts w:asciiTheme="minorHAnsi" w:hAnsiTheme="minorHAnsi" w:cstheme="minorHAnsi"/>
              </w:rPr>
              <w:lastRenderedPageBreak/>
              <w:t>for purpose? How will you manage risks to delivering the project?</w:t>
            </w:r>
          </w:p>
        </w:tc>
        <w:tc>
          <w:tcPr>
            <w:tcW w:w="21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682535" w14:textId="77777777" w:rsidR="001A179A" w:rsidRPr="007051C8" w:rsidRDefault="001A179A" w:rsidP="001A179A">
            <w:pPr>
              <w:spacing w:after="120" w:line="300" w:lineRule="exact"/>
              <w:rPr>
                <w:rFonts w:asciiTheme="minorHAnsi" w:hAnsiTheme="minorHAnsi" w:cstheme="minorHAnsi"/>
              </w:rPr>
            </w:pPr>
            <w:r w:rsidRPr="007051C8">
              <w:rPr>
                <w:rFonts w:asciiTheme="minorHAnsi" w:hAnsiTheme="minorHAnsi" w:cstheme="minorHAnsi"/>
              </w:rPr>
              <w:lastRenderedPageBreak/>
              <w:t>The Tenderer’s response shows that it</w:t>
            </w:r>
            <w:r>
              <w:rPr>
                <w:rFonts w:asciiTheme="minorHAnsi" w:hAnsiTheme="minorHAnsi" w:cstheme="minorHAnsi"/>
              </w:rPr>
              <w:t>:</w:t>
            </w:r>
          </w:p>
          <w:p w14:paraId="0A6851E7" w14:textId="42539871" w:rsidR="001A179A" w:rsidRDefault="001A179A" w:rsidP="001A179A">
            <w:pPr>
              <w:pStyle w:val="ListParagraph"/>
              <w:numPr>
                <w:ilvl w:val="0"/>
                <w:numId w:val="48"/>
              </w:numPr>
              <w:spacing w:after="120" w:line="300" w:lineRule="exact"/>
              <w:rPr>
                <w:rFonts w:asciiTheme="minorHAnsi" w:hAnsiTheme="minorHAnsi" w:cstheme="minorHAnsi"/>
                <w:sz w:val="22"/>
                <w:szCs w:val="22"/>
              </w:rPr>
            </w:pPr>
            <w:r w:rsidRPr="007051C8">
              <w:rPr>
                <w:rFonts w:asciiTheme="minorHAnsi" w:hAnsiTheme="minorHAnsi" w:cstheme="minorHAnsi"/>
                <w:sz w:val="22"/>
                <w:szCs w:val="22"/>
              </w:rPr>
              <w:lastRenderedPageBreak/>
              <w:t>Has provided a credible plan for delivering successful outcomes to time, quality and cost</w:t>
            </w:r>
          </w:p>
          <w:p w14:paraId="1C0BEF49" w14:textId="31201C4F" w:rsidR="00177521" w:rsidRDefault="00177521" w:rsidP="001A179A">
            <w:pPr>
              <w:pStyle w:val="ListParagraph"/>
              <w:numPr>
                <w:ilvl w:val="0"/>
                <w:numId w:val="48"/>
              </w:numPr>
              <w:spacing w:after="120" w:line="300" w:lineRule="exact"/>
              <w:rPr>
                <w:rFonts w:asciiTheme="minorHAnsi" w:hAnsiTheme="minorHAnsi" w:cstheme="minorHAnsi"/>
                <w:sz w:val="22"/>
                <w:szCs w:val="22"/>
              </w:rPr>
            </w:pPr>
            <w:r>
              <w:rPr>
                <w:rFonts w:asciiTheme="minorHAnsi" w:hAnsiTheme="minorHAnsi" w:cstheme="minorHAnsi"/>
                <w:sz w:val="22"/>
                <w:szCs w:val="22"/>
              </w:rPr>
              <w:t>Has outlined how the tenderer will work with RSSB to ensure a high quality delivery of the deliverables</w:t>
            </w:r>
          </w:p>
          <w:p w14:paraId="5F1AB0C1" w14:textId="77777777" w:rsidR="001A179A" w:rsidRPr="00103CD8" w:rsidRDefault="001A179A" w:rsidP="001A179A">
            <w:pPr>
              <w:pStyle w:val="ListParagraph"/>
              <w:numPr>
                <w:ilvl w:val="0"/>
                <w:numId w:val="48"/>
              </w:numPr>
              <w:spacing w:after="120" w:line="300" w:lineRule="exact"/>
              <w:rPr>
                <w:rFonts w:asciiTheme="minorHAnsi" w:hAnsiTheme="minorHAnsi" w:cstheme="minorHAnsi"/>
                <w:sz w:val="22"/>
                <w:szCs w:val="22"/>
              </w:rPr>
            </w:pPr>
            <w:r>
              <w:rPr>
                <w:rFonts w:asciiTheme="minorHAnsi" w:hAnsiTheme="minorHAnsi" w:cstheme="minorHAnsi"/>
                <w:sz w:val="22"/>
                <w:szCs w:val="22"/>
              </w:rPr>
              <w:t>Has defined</w:t>
            </w:r>
            <w:r w:rsidRPr="007051C8">
              <w:rPr>
                <w:rFonts w:asciiTheme="minorHAnsi" w:hAnsiTheme="minorHAnsi" w:cstheme="minorHAnsi"/>
                <w:sz w:val="22"/>
                <w:szCs w:val="22"/>
              </w:rPr>
              <w:t xml:space="preserve"> a clear deadline for the delivery of each deliverable and a well-structured plan for completion</w:t>
            </w:r>
          </w:p>
          <w:p w14:paraId="1DFBD1E7" w14:textId="77777777" w:rsidR="001A179A" w:rsidRPr="007051C8" w:rsidRDefault="001A179A" w:rsidP="001A179A">
            <w:pPr>
              <w:pStyle w:val="ListParagraph"/>
              <w:numPr>
                <w:ilvl w:val="0"/>
                <w:numId w:val="48"/>
              </w:numPr>
              <w:spacing w:after="120" w:line="300" w:lineRule="exact"/>
              <w:rPr>
                <w:rFonts w:asciiTheme="minorHAnsi" w:hAnsiTheme="minorHAnsi" w:cstheme="minorHAnsi"/>
                <w:sz w:val="22"/>
                <w:szCs w:val="22"/>
              </w:rPr>
            </w:pPr>
            <w:r w:rsidRPr="007051C8">
              <w:rPr>
                <w:rFonts w:asciiTheme="minorHAnsi" w:hAnsiTheme="minorHAnsi" w:cstheme="minorHAnsi"/>
                <w:sz w:val="22"/>
                <w:szCs w:val="22"/>
              </w:rPr>
              <w:t xml:space="preserve">Has identified appropriate ways to engage with RSSB </w:t>
            </w:r>
          </w:p>
          <w:p w14:paraId="60B05312" w14:textId="77777777" w:rsidR="001A179A" w:rsidRPr="007051C8" w:rsidRDefault="001A179A" w:rsidP="001A179A">
            <w:pPr>
              <w:pStyle w:val="ListParagraph"/>
              <w:numPr>
                <w:ilvl w:val="0"/>
                <w:numId w:val="48"/>
              </w:numPr>
              <w:spacing w:after="120" w:line="300" w:lineRule="exact"/>
              <w:rPr>
                <w:rFonts w:asciiTheme="minorHAnsi" w:hAnsiTheme="minorHAnsi" w:cstheme="minorHAnsi"/>
                <w:sz w:val="22"/>
                <w:szCs w:val="22"/>
              </w:rPr>
            </w:pPr>
            <w:r w:rsidRPr="007051C8">
              <w:rPr>
                <w:rFonts w:asciiTheme="minorHAnsi" w:hAnsiTheme="minorHAnsi" w:cstheme="minorHAnsi"/>
                <w:sz w:val="22"/>
                <w:szCs w:val="22"/>
              </w:rPr>
              <w:t>Has identified risks and proposed to effective management and mitigation</w:t>
            </w:r>
          </w:p>
        </w:tc>
        <w:tc>
          <w:tcPr>
            <w:tcW w:w="5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6FD6AB" w14:textId="77777777" w:rsidR="001A179A" w:rsidRPr="00A073A1" w:rsidRDefault="001A179A" w:rsidP="001A179A">
            <w:pPr>
              <w:spacing w:after="120" w:line="300" w:lineRule="exact"/>
              <w:rPr>
                <w:rFonts w:asciiTheme="minorHAnsi" w:hAnsiTheme="minorHAnsi" w:cs="Arial"/>
              </w:rPr>
            </w:pPr>
            <w:r>
              <w:rPr>
                <w:rFonts w:asciiTheme="minorHAnsi" w:hAnsiTheme="minorHAnsi" w:cs="Arial"/>
              </w:rPr>
              <w:lastRenderedPageBreak/>
              <w:t>30</w:t>
            </w:r>
            <w:r w:rsidRPr="00A073A1">
              <w:rPr>
                <w:rFonts w:asciiTheme="minorHAnsi" w:hAnsiTheme="minorHAnsi" w:cs="Arial"/>
              </w:rPr>
              <w:t>%</w:t>
            </w:r>
          </w:p>
        </w:tc>
      </w:tr>
      <w:tr w:rsidR="001A179A" w:rsidRPr="00A073A1" w14:paraId="77F493A8" w14:textId="77777777" w:rsidTr="001A179A">
        <w:trPr>
          <w:trHeight w:val="724"/>
        </w:trPr>
        <w:tc>
          <w:tcPr>
            <w:tcW w:w="8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7D96D4" w14:textId="00661101" w:rsidR="001A179A" w:rsidRDefault="001A179A" w:rsidP="001A179A">
            <w:pPr>
              <w:spacing w:after="120" w:line="300" w:lineRule="exact"/>
              <w:rPr>
                <w:rFonts w:asciiTheme="minorHAnsi" w:hAnsiTheme="minorHAnsi" w:cstheme="minorHAnsi"/>
              </w:rPr>
            </w:pPr>
            <w:r w:rsidRPr="007051C8">
              <w:rPr>
                <w:rFonts w:asciiTheme="minorHAnsi" w:hAnsiTheme="minorHAnsi" w:cstheme="minorHAnsi"/>
              </w:rPr>
              <w:t>A</w:t>
            </w:r>
            <w:r w:rsidR="00177521">
              <w:rPr>
                <w:rFonts w:asciiTheme="minorHAnsi" w:hAnsiTheme="minorHAnsi" w:cstheme="minorHAnsi"/>
              </w:rPr>
              <w:t xml:space="preserve">4 </w:t>
            </w:r>
            <w:r w:rsidRPr="007051C8">
              <w:rPr>
                <w:rFonts w:asciiTheme="minorHAnsi" w:hAnsiTheme="minorHAnsi" w:cstheme="minorHAnsi"/>
              </w:rPr>
              <w:t>Communication</w:t>
            </w:r>
          </w:p>
          <w:p w14:paraId="37101C68" w14:textId="77777777" w:rsidR="001A179A" w:rsidRPr="007051C8" w:rsidRDefault="001A179A" w:rsidP="001A179A">
            <w:pPr>
              <w:spacing w:after="120" w:line="300" w:lineRule="exact"/>
              <w:rPr>
                <w:rFonts w:asciiTheme="minorHAnsi" w:hAnsiTheme="minorHAnsi" w:cstheme="minorHAnsi"/>
              </w:rPr>
            </w:pPr>
            <w:r>
              <w:rPr>
                <w:rFonts w:asciiTheme="minorHAnsi" w:hAnsiTheme="minorHAnsi" w:cstheme="minorHAnsi"/>
              </w:rPr>
              <w:t>[Max 1 page]</w:t>
            </w:r>
          </w:p>
        </w:tc>
        <w:tc>
          <w:tcPr>
            <w:tcW w:w="1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1E9003" w14:textId="77777777" w:rsidR="001A179A" w:rsidRPr="007051C8" w:rsidRDefault="001A179A" w:rsidP="001A179A">
            <w:pPr>
              <w:spacing w:after="120" w:line="300" w:lineRule="exact"/>
              <w:rPr>
                <w:rFonts w:asciiTheme="minorHAnsi" w:hAnsiTheme="minorHAnsi" w:cstheme="minorHAnsi"/>
              </w:rPr>
            </w:pPr>
            <w:r w:rsidRPr="007051C8">
              <w:rPr>
                <w:rFonts w:asciiTheme="minorHAnsi" w:hAnsiTheme="minorHAnsi" w:cstheme="minorHAnsi"/>
              </w:rPr>
              <w:t xml:space="preserve">How will you ensure effective communication with both yourself &amp; RSSB? </w:t>
            </w:r>
            <w:r>
              <w:rPr>
                <w:rFonts w:asciiTheme="minorHAnsi" w:hAnsiTheme="minorHAnsi" w:cstheme="minorHAnsi"/>
              </w:rPr>
              <w:t>H</w:t>
            </w:r>
            <w:r w:rsidRPr="007051C8">
              <w:rPr>
                <w:rFonts w:asciiTheme="minorHAnsi" w:hAnsiTheme="minorHAnsi" w:cstheme="minorHAnsi"/>
              </w:rPr>
              <w:t>ow do you propose to communicate with the key industry supporters?</w:t>
            </w:r>
          </w:p>
        </w:tc>
        <w:tc>
          <w:tcPr>
            <w:tcW w:w="21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87687B" w14:textId="77777777" w:rsidR="001A179A" w:rsidRPr="007051C8" w:rsidRDefault="001A179A" w:rsidP="001A179A">
            <w:pPr>
              <w:rPr>
                <w:rFonts w:asciiTheme="minorHAnsi" w:hAnsiTheme="minorHAnsi" w:cstheme="minorHAnsi"/>
              </w:rPr>
            </w:pPr>
            <w:r w:rsidRPr="007051C8">
              <w:rPr>
                <w:rFonts w:asciiTheme="minorHAnsi" w:hAnsiTheme="minorHAnsi" w:cstheme="minorHAnsi"/>
              </w:rPr>
              <w:t>The tenderer should:</w:t>
            </w:r>
          </w:p>
          <w:p w14:paraId="78C002A9" w14:textId="77777777" w:rsidR="001A179A" w:rsidRPr="007051C8" w:rsidRDefault="001A179A" w:rsidP="001A179A">
            <w:pPr>
              <w:pStyle w:val="ListParagraph"/>
              <w:numPr>
                <w:ilvl w:val="6"/>
                <w:numId w:val="48"/>
              </w:numPr>
              <w:spacing w:after="120" w:line="300" w:lineRule="exact"/>
              <w:rPr>
                <w:rFonts w:asciiTheme="minorHAnsi" w:hAnsiTheme="minorHAnsi" w:cstheme="minorHAnsi"/>
                <w:sz w:val="22"/>
                <w:szCs w:val="22"/>
              </w:rPr>
            </w:pPr>
            <w:r>
              <w:rPr>
                <w:rFonts w:asciiTheme="minorHAnsi" w:hAnsiTheme="minorHAnsi" w:cstheme="minorHAnsi"/>
                <w:sz w:val="22"/>
                <w:szCs w:val="22"/>
              </w:rPr>
              <w:t>Provide</w:t>
            </w:r>
            <w:r w:rsidRPr="007051C8">
              <w:rPr>
                <w:rFonts w:asciiTheme="minorHAnsi" w:hAnsiTheme="minorHAnsi" w:cstheme="minorHAnsi"/>
                <w:sz w:val="22"/>
                <w:szCs w:val="22"/>
              </w:rPr>
              <w:t xml:space="preserve"> a well thought out and appropriate communication plan for communication between the tenderer and RSSB</w:t>
            </w:r>
          </w:p>
          <w:p w14:paraId="7932FCA9" w14:textId="77777777" w:rsidR="001A179A" w:rsidRPr="007051C8" w:rsidDel="00C43758" w:rsidRDefault="001A179A" w:rsidP="001A179A">
            <w:pPr>
              <w:pStyle w:val="ListParagraph"/>
              <w:numPr>
                <w:ilvl w:val="6"/>
                <w:numId w:val="48"/>
              </w:numPr>
              <w:spacing w:after="120" w:line="300" w:lineRule="exact"/>
              <w:rPr>
                <w:rFonts w:asciiTheme="minorHAnsi" w:hAnsiTheme="minorHAnsi" w:cstheme="minorHAnsi"/>
                <w:sz w:val="22"/>
                <w:szCs w:val="22"/>
              </w:rPr>
            </w:pPr>
            <w:r>
              <w:rPr>
                <w:rFonts w:asciiTheme="minorHAnsi" w:hAnsiTheme="minorHAnsi" w:cstheme="minorHAnsi"/>
                <w:sz w:val="22"/>
                <w:szCs w:val="22"/>
              </w:rPr>
              <w:t>P</w:t>
            </w:r>
            <w:r w:rsidRPr="007051C8">
              <w:rPr>
                <w:rFonts w:asciiTheme="minorHAnsi" w:hAnsiTheme="minorHAnsi" w:cstheme="minorHAnsi"/>
                <w:sz w:val="22"/>
                <w:szCs w:val="22"/>
              </w:rPr>
              <w:t>rovide a robust statement for communicating with key stakeholders</w:t>
            </w:r>
          </w:p>
        </w:tc>
        <w:tc>
          <w:tcPr>
            <w:tcW w:w="5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413D58F" w14:textId="77777777" w:rsidR="001A179A" w:rsidRPr="00C43758" w:rsidRDefault="001A179A" w:rsidP="001A179A">
            <w:pPr>
              <w:spacing w:after="120" w:line="300" w:lineRule="exact"/>
              <w:rPr>
                <w:rFonts w:asciiTheme="minorHAnsi" w:hAnsiTheme="minorHAnsi" w:cs="Arial"/>
              </w:rPr>
            </w:pPr>
            <w:r>
              <w:rPr>
                <w:rFonts w:asciiTheme="minorHAnsi" w:hAnsiTheme="minorHAnsi" w:cs="Arial"/>
              </w:rPr>
              <w:t>5%</w:t>
            </w:r>
          </w:p>
        </w:tc>
      </w:tr>
      <w:tr w:rsidR="001A179A" w:rsidRPr="00A073A1" w14:paraId="01EA3A80" w14:textId="77777777" w:rsidTr="001A179A">
        <w:trPr>
          <w:trHeight w:val="724"/>
        </w:trPr>
        <w:tc>
          <w:tcPr>
            <w:tcW w:w="8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B8C545" w14:textId="328D02F5" w:rsidR="001A179A" w:rsidRPr="007051C8" w:rsidRDefault="001A179A" w:rsidP="001A179A">
            <w:pPr>
              <w:spacing w:after="120" w:line="300" w:lineRule="exact"/>
              <w:rPr>
                <w:rFonts w:asciiTheme="minorHAnsi" w:hAnsiTheme="minorHAnsi" w:cstheme="minorHAnsi"/>
              </w:rPr>
            </w:pPr>
            <w:r w:rsidRPr="007051C8">
              <w:rPr>
                <w:rFonts w:asciiTheme="minorHAnsi" w:hAnsiTheme="minorHAnsi" w:cstheme="minorHAnsi"/>
              </w:rPr>
              <w:t>A</w:t>
            </w:r>
            <w:r w:rsidR="00177521">
              <w:rPr>
                <w:rFonts w:asciiTheme="minorHAnsi" w:hAnsiTheme="minorHAnsi" w:cstheme="minorHAnsi"/>
              </w:rPr>
              <w:t>5</w:t>
            </w:r>
            <w:r w:rsidRPr="007051C8">
              <w:rPr>
                <w:rFonts w:asciiTheme="minorHAnsi" w:hAnsiTheme="minorHAnsi" w:cstheme="minorHAnsi"/>
              </w:rPr>
              <w:t xml:space="preserve"> Cost of project</w:t>
            </w:r>
          </w:p>
        </w:tc>
        <w:tc>
          <w:tcPr>
            <w:tcW w:w="1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74A06A" w14:textId="30ED0381" w:rsidR="001A179A" w:rsidRPr="007051C8" w:rsidRDefault="001A179A" w:rsidP="001A179A">
            <w:pPr>
              <w:spacing w:after="120" w:line="300" w:lineRule="exact"/>
              <w:rPr>
                <w:rFonts w:asciiTheme="minorHAnsi" w:hAnsiTheme="minorHAnsi" w:cstheme="minorHAnsi"/>
              </w:rPr>
            </w:pPr>
            <w:r w:rsidRPr="007051C8">
              <w:rPr>
                <w:rFonts w:asciiTheme="minorHAnsi" w:hAnsiTheme="minorHAnsi" w:cstheme="minorHAnsi"/>
              </w:rPr>
              <w:t>What is the fixed cost for the whole project and the associated cost break down? How and why this represents value for money?</w:t>
            </w:r>
          </w:p>
        </w:tc>
        <w:tc>
          <w:tcPr>
            <w:tcW w:w="21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AC4242" w14:textId="7500A6F2" w:rsidR="001A179A" w:rsidRPr="007051C8" w:rsidRDefault="001A179A" w:rsidP="001A179A">
            <w:pPr>
              <w:pStyle w:val="ListParagraph"/>
              <w:ind w:left="0"/>
              <w:rPr>
                <w:rFonts w:asciiTheme="minorHAnsi" w:hAnsiTheme="minorHAnsi" w:cstheme="minorHAnsi"/>
                <w:sz w:val="22"/>
                <w:szCs w:val="22"/>
              </w:rPr>
            </w:pPr>
            <w:r w:rsidRPr="007051C8">
              <w:rPr>
                <w:rFonts w:asciiTheme="minorHAnsi" w:hAnsiTheme="minorHAnsi" w:cstheme="minorHAnsi"/>
                <w:sz w:val="22"/>
                <w:szCs w:val="22"/>
              </w:rPr>
              <w:t>The tender with the lowest total cost will receive 100% of the available weighted score (2</w:t>
            </w:r>
            <w:r>
              <w:rPr>
                <w:rFonts w:asciiTheme="minorHAnsi" w:hAnsiTheme="minorHAnsi" w:cstheme="minorHAnsi"/>
                <w:sz w:val="22"/>
                <w:szCs w:val="22"/>
              </w:rPr>
              <w:t>0</w:t>
            </w:r>
            <w:r w:rsidRPr="007051C8">
              <w:rPr>
                <w:rFonts w:asciiTheme="minorHAnsi" w:hAnsiTheme="minorHAnsi" w:cstheme="minorHAnsi"/>
                <w:sz w:val="22"/>
                <w:szCs w:val="22"/>
              </w:rPr>
              <w:t>%).</w:t>
            </w:r>
          </w:p>
          <w:p w14:paraId="5E76A203" w14:textId="77777777" w:rsidR="001A179A" w:rsidRPr="007051C8" w:rsidRDefault="001A179A" w:rsidP="001A179A">
            <w:pPr>
              <w:spacing w:after="120" w:line="300" w:lineRule="exact"/>
              <w:ind w:left="36"/>
              <w:rPr>
                <w:rFonts w:asciiTheme="minorHAnsi" w:hAnsiTheme="minorHAnsi" w:cstheme="minorHAnsi"/>
              </w:rPr>
            </w:pPr>
            <w:r w:rsidRPr="007051C8">
              <w:rPr>
                <w:rFonts w:asciiTheme="minorHAnsi" w:hAnsiTheme="minorHAnsi" w:cstheme="minorHAnsi"/>
              </w:rPr>
              <w:t>Other Tenderer’s tenders will receive a pro-rated relative to the lowest cost according to the following formula:</w:t>
            </w:r>
          </w:p>
          <w:p w14:paraId="073ACCC4" w14:textId="0832243C" w:rsidR="001A179A" w:rsidRPr="007051C8" w:rsidRDefault="001A179A" w:rsidP="001A179A">
            <w:pPr>
              <w:rPr>
                <w:rFonts w:asciiTheme="minorHAnsi" w:hAnsiTheme="minorHAnsi" w:cstheme="minorHAnsi"/>
              </w:rPr>
            </w:pPr>
            <w:r w:rsidRPr="007051C8">
              <w:rPr>
                <w:rFonts w:asciiTheme="minorHAnsi" w:hAnsiTheme="minorHAnsi" w:cstheme="minorHAnsi"/>
              </w:rPr>
              <w:t>Score of other tender = lowest tender total cost / other tender total cost x 100%.</w:t>
            </w:r>
          </w:p>
        </w:tc>
        <w:tc>
          <w:tcPr>
            <w:tcW w:w="5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5CE2EE7" w14:textId="06A4CECB" w:rsidR="001A179A" w:rsidRDefault="001A179A" w:rsidP="001A179A">
            <w:pPr>
              <w:spacing w:after="120" w:line="300" w:lineRule="exact"/>
              <w:rPr>
                <w:rFonts w:asciiTheme="minorHAnsi" w:hAnsiTheme="minorHAnsi" w:cs="Arial"/>
              </w:rPr>
            </w:pPr>
            <w:r w:rsidRPr="00C43758">
              <w:rPr>
                <w:rFonts w:asciiTheme="minorHAnsi" w:hAnsiTheme="minorHAnsi" w:cs="Arial"/>
              </w:rPr>
              <w:t>20%</w:t>
            </w:r>
          </w:p>
        </w:tc>
      </w:tr>
    </w:tbl>
    <w:p w14:paraId="1290E550" w14:textId="77777777" w:rsidR="001A179A" w:rsidRDefault="001A179A" w:rsidP="00E52B87">
      <w:pPr>
        <w:pStyle w:val="Body"/>
        <w:rPr>
          <w:rFonts w:asciiTheme="minorHAnsi" w:hAnsiTheme="minorHAnsi"/>
          <w:b/>
        </w:rPr>
        <w:sectPr w:rsidR="001A179A"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0DE5DD7E" w14:textId="77777777" w:rsidR="005208C0" w:rsidRDefault="005208C0" w:rsidP="005208C0">
      <w:pPr>
        <w:pStyle w:val="CoverTitle"/>
      </w:pPr>
      <w:r>
        <w:t xml:space="preserve">Specification for research project </w:t>
      </w:r>
    </w:p>
    <w:p w14:paraId="466ED5B5" w14:textId="77777777" w:rsidR="005208C0" w:rsidRDefault="005208C0" w:rsidP="005208C0">
      <w:pPr>
        <w:pStyle w:val="CoverTitle"/>
      </w:pPr>
      <w:r>
        <w:t xml:space="preserve">Braking in snow conditions </w:t>
      </w:r>
    </w:p>
    <w:p w14:paraId="25095DAB" w14:textId="77777777" w:rsidR="005208C0" w:rsidRDefault="005208C0" w:rsidP="005208C0">
      <w:pPr>
        <w:pStyle w:val="CoverTitle"/>
      </w:pPr>
      <w:r>
        <w:t>T1144</w:t>
      </w:r>
    </w:p>
    <w:p w14:paraId="735B2596" w14:textId="77777777" w:rsidR="005208C0" w:rsidRDefault="005208C0" w:rsidP="005208C0">
      <w:pPr>
        <w:pStyle w:val="CoverTitle"/>
      </w:pPr>
    </w:p>
    <w:p w14:paraId="0ABDDBBD" w14:textId="77777777" w:rsidR="005208C0" w:rsidRDefault="005208C0" w:rsidP="005208C0">
      <w:pPr>
        <w:pStyle w:val="CoverTitle"/>
      </w:pPr>
    </w:p>
    <w:p w14:paraId="30A39909" w14:textId="77777777" w:rsidR="005208C0" w:rsidRDefault="005208C0" w:rsidP="005208C0">
      <w:pPr>
        <w:pStyle w:val="CoverTitle"/>
      </w:pPr>
    </w:p>
    <w:p w14:paraId="0F32AAAA" w14:textId="77777777" w:rsidR="005208C0" w:rsidRDefault="005208C0" w:rsidP="005208C0">
      <w:pPr>
        <w:pStyle w:val="CoverTitle"/>
      </w:pPr>
    </w:p>
    <w:p w14:paraId="25C9FEAC" w14:textId="77777777" w:rsidR="005208C0" w:rsidRDefault="005208C0" w:rsidP="005208C0">
      <w:pPr>
        <w:pStyle w:val="CoverTitle"/>
      </w:pPr>
    </w:p>
    <w:tbl>
      <w:tblPr>
        <w:tblStyle w:val="TableGrid"/>
        <w:tblW w:w="0" w:type="auto"/>
        <w:tblLook w:val="04A0" w:firstRow="1" w:lastRow="0" w:firstColumn="1" w:lastColumn="0" w:noHBand="0" w:noVBand="1"/>
      </w:tblPr>
      <w:tblGrid>
        <w:gridCol w:w="4673"/>
        <w:gridCol w:w="3253"/>
      </w:tblGrid>
      <w:tr w:rsidR="005208C0" w14:paraId="7BE2518A" w14:textId="77777777" w:rsidTr="00FB6356">
        <w:tc>
          <w:tcPr>
            <w:tcW w:w="4673" w:type="dxa"/>
          </w:tcPr>
          <w:p w14:paraId="513BC7D4" w14:textId="77777777" w:rsidR="005208C0" w:rsidRDefault="005208C0" w:rsidP="00FB6356">
            <w:r>
              <w:t>Procurement ID number</w:t>
            </w:r>
          </w:p>
        </w:tc>
        <w:tc>
          <w:tcPr>
            <w:tcW w:w="3253" w:type="dxa"/>
          </w:tcPr>
          <w:p w14:paraId="7D6DE475" w14:textId="77777777" w:rsidR="005208C0" w:rsidRDefault="005208C0" w:rsidP="00FB6356"/>
        </w:tc>
      </w:tr>
      <w:tr w:rsidR="005208C0" w14:paraId="705A7893" w14:textId="77777777" w:rsidTr="00FB6356">
        <w:tc>
          <w:tcPr>
            <w:tcW w:w="4673" w:type="dxa"/>
          </w:tcPr>
          <w:p w14:paraId="345F10D9" w14:textId="77777777" w:rsidR="005208C0" w:rsidRDefault="005208C0" w:rsidP="00FB6356">
            <w:r>
              <w:t>Procurement Manager</w:t>
            </w:r>
          </w:p>
        </w:tc>
        <w:tc>
          <w:tcPr>
            <w:tcW w:w="3253" w:type="dxa"/>
          </w:tcPr>
          <w:p w14:paraId="3E161618" w14:textId="77777777" w:rsidR="005208C0" w:rsidRDefault="005208C0" w:rsidP="00FB6356"/>
        </w:tc>
      </w:tr>
      <w:tr w:rsidR="005208C0" w:rsidDel="00206FB1" w14:paraId="0AA68BF7" w14:textId="77777777" w:rsidTr="00FB6356">
        <w:tc>
          <w:tcPr>
            <w:tcW w:w="4673" w:type="dxa"/>
          </w:tcPr>
          <w:p w14:paraId="59D081C8" w14:textId="77777777" w:rsidR="005208C0" w:rsidDel="00206FB1" w:rsidRDefault="005208C0" w:rsidP="00FB6356">
            <w:r>
              <w:t xml:space="preserve">Version </w:t>
            </w:r>
          </w:p>
        </w:tc>
        <w:tc>
          <w:tcPr>
            <w:tcW w:w="3253" w:type="dxa"/>
          </w:tcPr>
          <w:p w14:paraId="2F0FC287" w14:textId="77777777" w:rsidR="005208C0" w:rsidDel="00206FB1" w:rsidRDefault="005208C0" w:rsidP="00FB6356">
            <w:r>
              <w:t>0.7</w:t>
            </w:r>
          </w:p>
        </w:tc>
      </w:tr>
      <w:tr w:rsidR="005208C0" w:rsidDel="00206FB1" w14:paraId="06B45E1C" w14:textId="77777777" w:rsidTr="00FB6356">
        <w:tc>
          <w:tcPr>
            <w:tcW w:w="4673" w:type="dxa"/>
          </w:tcPr>
          <w:p w14:paraId="32542AD1" w14:textId="77777777" w:rsidR="005208C0" w:rsidRDefault="005208C0" w:rsidP="00FB6356">
            <w:r>
              <w:t>Date</w:t>
            </w:r>
          </w:p>
        </w:tc>
        <w:tc>
          <w:tcPr>
            <w:tcW w:w="3253" w:type="dxa"/>
          </w:tcPr>
          <w:p w14:paraId="61FB7495" w14:textId="77777777" w:rsidR="005208C0" w:rsidDel="00206FB1" w:rsidRDefault="005208C0" w:rsidP="00FB6356">
            <w:r>
              <w:t>February 2018</w:t>
            </w:r>
          </w:p>
        </w:tc>
      </w:tr>
    </w:tbl>
    <w:p w14:paraId="508B13D0" w14:textId="77777777" w:rsidR="005208C0" w:rsidRDefault="005208C0" w:rsidP="005208C0"/>
    <w:p w14:paraId="028402E2" w14:textId="77777777" w:rsidR="005208C0" w:rsidRDefault="005208C0" w:rsidP="005208C0">
      <w:r>
        <w:br w:type="page"/>
      </w:r>
    </w:p>
    <w:p w14:paraId="1D6F564B" w14:textId="77777777" w:rsidR="005208C0" w:rsidRDefault="005208C0" w:rsidP="005208C0">
      <w:pPr>
        <w:pStyle w:val="Heading1"/>
      </w:pPr>
      <w:r>
        <w:lastRenderedPageBreak/>
        <w:t>Background</w:t>
      </w:r>
    </w:p>
    <w:p w14:paraId="534E4BF2" w14:textId="77777777" w:rsidR="005208C0" w:rsidRDefault="005208C0" w:rsidP="005208C0">
      <w:pPr>
        <w:pStyle w:val="Body"/>
        <w:spacing w:line="276" w:lineRule="auto"/>
      </w:pPr>
      <w:r>
        <w:t>Following the derailment of a container-carrying train at Carr Bridge on 4</w:t>
      </w:r>
      <w:r w:rsidRPr="00A648A3">
        <w:rPr>
          <w:vertAlign w:val="superscript"/>
        </w:rPr>
        <w:t>th</w:t>
      </w:r>
      <w:r>
        <w:t xml:space="preserve"> January 2010, the relevance of the rule book instructions for running brake tests in snow was questioned. The incident at Carr Bridge was preceded by a similar runaway incident at Carstairs on 22</w:t>
      </w:r>
      <w:r w:rsidRPr="00A648A3">
        <w:rPr>
          <w:vertAlign w:val="superscript"/>
        </w:rPr>
        <w:t>nd</w:t>
      </w:r>
      <w:r>
        <w:t xml:space="preserve"> December 2009. The rule book at the time of these incidents (GERT8000 TW1) stated the following instructions when encountering</w:t>
      </w:r>
      <w:r w:rsidRPr="00700955">
        <w:t xml:space="preserve"> </w:t>
      </w:r>
      <w:r>
        <w:t>fallen snow</w:t>
      </w:r>
      <w:r>
        <w:rPr>
          <w:rStyle w:val="FootnoteReference"/>
        </w:rPr>
        <w:footnoteReference w:id="1"/>
      </w:r>
      <w:r w:rsidRPr="00700955">
        <w:t>:</w:t>
      </w:r>
    </w:p>
    <w:p w14:paraId="7DC46571" w14:textId="77777777" w:rsidR="005208C0" w:rsidRDefault="005208C0" w:rsidP="005208C0">
      <w:pPr>
        <w:pStyle w:val="Body"/>
        <w:spacing w:line="276" w:lineRule="auto"/>
        <w:ind w:left="720"/>
      </w:pPr>
      <w:r>
        <w:t>“You must make a full-service application of the automatic brake every three to five minutes and make sure that the speed of your train is reduced by at least 10 mph because of the application.</w:t>
      </w:r>
    </w:p>
    <w:p w14:paraId="72749AC8" w14:textId="77777777" w:rsidR="005208C0" w:rsidRDefault="005208C0" w:rsidP="005208C0">
      <w:pPr>
        <w:pStyle w:val="Body"/>
        <w:spacing w:line="276" w:lineRule="auto"/>
        <w:ind w:left="720"/>
      </w:pPr>
      <w:r>
        <w:t>If driving a locomotive-hauled train, you can extend this interval when: the train is climbing a steep-rising gradient, and the train might be brought to a complete stand as a result of using the brake”</w:t>
      </w:r>
    </w:p>
    <w:p w14:paraId="7E62D8DF" w14:textId="77777777" w:rsidR="005208C0" w:rsidRDefault="005208C0" w:rsidP="005208C0">
      <w:pPr>
        <w:pStyle w:val="Body"/>
        <w:spacing w:line="276" w:lineRule="auto"/>
      </w:pPr>
      <w:r>
        <w:t>Whilst the latest amendment to the rule book, in force from December 2013, are less descriptive and mentions the duty of the operators</w:t>
      </w:r>
      <w:r>
        <w:rPr>
          <w:rStyle w:val="FootnoteReference"/>
        </w:rPr>
        <w:footnoteReference w:id="2"/>
      </w:r>
      <w:r>
        <w:t>:</w:t>
      </w:r>
    </w:p>
    <w:p w14:paraId="3126EAB5" w14:textId="77777777" w:rsidR="005208C0" w:rsidRDefault="005208C0" w:rsidP="005208C0">
      <w:pPr>
        <w:pStyle w:val="Body"/>
        <w:spacing w:line="276" w:lineRule="auto"/>
        <w:ind w:left="720"/>
      </w:pPr>
      <w:r w:rsidRPr="00700955">
        <w:t>“When snow is falling, or fallen snow is being disturbed by the passage of trains, you must carry out running brake tests as frequently as necessary to make sure that the automatic brake is operating effectively. You must also carry out any other train operating company instructions.”</w:t>
      </w:r>
    </w:p>
    <w:p w14:paraId="3D06F9CC" w14:textId="77777777" w:rsidR="005208C0" w:rsidRDefault="005208C0" w:rsidP="005208C0">
      <w:pPr>
        <w:pStyle w:val="Body"/>
        <w:spacing w:line="276" w:lineRule="auto"/>
      </w:pPr>
      <w:r>
        <w:t xml:space="preserve">The practice within operators following the change has been to maintain the status quo stated in the old requirements. </w:t>
      </w:r>
      <w:r w:rsidRPr="00E234F7">
        <w:t>These instructions were created at a time when most of</w:t>
      </w:r>
      <w:r>
        <w:t xml:space="preserve"> braking systems used in GB utilised friction braking (brake blocks and brake pads). For such systems it was necessary to both prevent a build-up of ice and snow between the friction element and the wheel or brake disc, and to prevent moisture seeping into the friction material then subsequently freezing and adversely affecting its friction properties. The instructions for a running brake test were intended to not only test the brakes, but to additionally generate sufficient heat in the brake system to both melt any forming ice and snow, and to dry out any water within the friction material, so preventing the development of issues.   </w:t>
      </w:r>
    </w:p>
    <w:p w14:paraId="4FA9CAFE" w14:textId="77777777" w:rsidR="005208C0" w:rsidRPr="002D23F2" w:rsidRDefault="005208C0" w:rsidP="005208C0">
      <w:pPr>
        <w:pStyle w:val="Body"/>
        <w:spacing w:line="276" w:lineRule="auto"/>
      </w:pPr>
      <w:r w:rsidRPr="002D23F2">
        <w:t xml:space="preserve">Train braking systems have advanced and modern rolling stock may now use a combination of regenerative, rheostatic or retarder braking, in addition to friction braking. Such systems do not rely on contact between the friction elements and wheel / brake disc to slow the train and may therefore not be susceptible to loss of performance during snow conditions or may be susceptible in different ways which are not addressed by running brake tests. Further, such systems may render the past (current) practice of running brake tests ineffective at dealing with snow conditions, by reducing the heat generated in the friction brake system. </w:t>
      </w:r>
    </w:p>
    <w:p w14:paraId="3FDD61D8" w14:textId="77777777" w:rsidR="005208C0" w:rsidRDefault="005208C0" w:rsidP="005208C0">
      <w:pPr>
        <w:pStyle w:val="Body"/>
        <w:spacing w:line="276" w:lineRule="auto"/>
        <w:rPr>
          <w:highlight w:val="yellow"/>
        </w:rPr>
      </w:pPr>
      <w:r>
        <w:lastRenderedPageBreak/>
        <w:t xml:space="preserve">Through industry engagement it is seen that many operators still adopt practices that are consistent with the old requirements. Cases have been suggested where the operators have been using the previous version of the requirements on fleets that utilise snow braking systems- a technology specifically designed to deal with </w:t>
      </w:r>
      <w:r w:rsidRPr="00094EEF">
        <w:t>braking in snow.</w:t>
      </w:r>
      <w:r>
        <w:t xml:space="preserve"> </w:t>
      </w:r>
    </w:p>
    <w:p w14:paraId="2AFF60B4" w14:textId="77777777" w:rsidR="005208C0" w:rsidRPr="008466E1" w:rsidRDefault="005208C0" w:rsidP="005208C0">
      <w:pPr>
        <w:pStyle w:val="Body"/>
        <w:spacing w:line="276" w:lineRule="auto"/>
        <w:rPr>
          <w:highlight w:val="yellow"/>
        </w:rPr>
      </w:pPr>
      <w:r>
        <w:t xml:space="preserve">The RAIB report for the 2009 incident at Carstairs stated that the train took approximately 2.5 miles to reach a full stop (resulting in a class A SPAD), eventually stopping at Carstairs Station junction. The report found that “in slightly different circumstances, the incident may have led to either a collision between trains or a derailment”. Similarly, the derailment of a freight train at Carrbridge listed “a reduction in the braking force being generated by the brake blocks due to the ingress of snow and ice between block and wheel tread” as a </w:t>
      </w:r>
      <w:r w:rsidRPr="00BB357F">
        <w:rPr>
          <w:i/>
        </w:rPr>
        <w:t>probable cause factor</w:t>
      </w:r>
      <w:r>
        <w:t>.</w:t>
      </w:r>
    </w:p>
    <w:p w14:paraId="222DACF0" w14:textId="77777777" w:rsidR="005208C0" w:rsidRDefault="005208C0" w:rsidP="005208C0">
      <w:pPr>
        <w:pStyle w:val="Body"/>
        <w:spacing w:line="276" w:lineRule="auto"/>
      </w:pPr>
      <w:r>
        <w:t xml:space="preserve">There are number of alternative considerations to make when adopting braking guidance in snow conditions, for the TOCs and FOCs these include: </w:t>
      </w:r>
    </w:p>
    <w:p w14:paraId="4D503AF8" w14:textId="77777777" w:rsidR="005208C0" w:rsidRDefault="005208C0" w:rsidP="005208C0">
      <w:pPr>
        <w:pStyle w:val="Body"/>
        <w:numPr>
          <w:ilvl w:val="0"/>
          <w:numId w:val="51"/>
        </w:numPr>
        <w:spacing w:line="276" w:lineRule="auto"/>
      </w:pPr>
      <w:r>
        <w:t xml:space="preserve">Any journey in these winter conditions can be made uncomfortable for a passenger with a full-service brake every 3-5 minutes of the journey. </w:t>
      </w:r>
    </w:p>
    <w:p w14:paraId="19F31663" w14:textId="77777777" w:rsidR="005208C0" w:rsidRDefault="005208C0" w:rsidP="005208C0">
      <w:pPr>
        <w:pStyle w:val="Body"/>
        <w:numPr>
          <w:ilvl w:val="0"/>
          <w:numId w:val="51"/>
        </w:numPr>
        <w:spacing w:line="276" w:lineRule="auto"/>
      </w:pPr>
      <w:r>
        <w:t>Braking frequently and vigorously can impact winter performance and increase delay minutes. This will come under increased pressure with the adoption of new CP6 performance metric of arrival accuracy.</w:t>
      </w:r>
    </w:p>
    <w:p w14:paraId="1DAE82B9" w14:textId="77777777" w:rsidR="005208C0" w:rsidRDefault="005208C0" w:rsidP="005208C0">
      <w:pPr>
        <w:pStyle w:val="Body"/>
        <w:numPr>
          <w:ilvl w:val="1"/>
          <w:numId w:val="51"/>
        </w:numPr>
        <w:spacing w:line="276" w:lineRule="auto"/>
      </w:pPr>
      <w:r>
        <w:t xml:space="preserve">Also, there are resulting safety risks associated with the potential delays and cancellations. These could include more red aspects, crowding and PTI risk. </w:t>
      </w:r>
    </w:p>
    <w:p w14:paraId="4AD9B3DF" w14:textId="77777777" w:rsidR="005208C0" w:rsidRDefault="005208C0" w:rsidP="005208C0">
      <w:pPr>
        <w:pStyle w:val="Body"/>
        <w:numPr>
          <w:ilvl w:val="0"/>
          <w:numId w:val="51"/>
        </w:numPr>
        <w:spacing w:line="276" w:lineRule="auto"/>
      </w:pPr>
      <w:r>
        <w:t xml:space="preserve">There is potential for greater fuel efficiency as the braking and accelerating will increase </w:t>
      </w:r>
      <w:r w:rsidRPr="00E234F7">
        <w:t xml:space="preserve">the total fuel/energy use for the journey. </w:t>
      </w:r>
    </w:p>
    <w:p w14:paraId="1CD6427D" w14:textId="77777777" w:rsidR="005208C0" w:rsidRDefault="005208C0" w:rsidP="005208C0">
      <w:pPr>
        <w:pStyle w:val="Body"/>
      </w:pPr>
      <w:r>
        <w:t xml:space="preserve">As new rolling stock is continuing to be introduced with new characteristics, this research is both timely and required. After the initial review of instructions in use, this will give a good understanding of the current systems in place for braking in snow and the training given to drivers in preparation for this seasonal problem. </w:t>
      </w:r>
    </w:p>
    <w:p w14:paraId="62C16C08" w14:textId="77777777" w:rsidR="005208C0" w:rsidRDefault="005208C0" w:rsidP="005208C0">
      <w:pPr>
        <w:pStyle w:val="Body"/>
      </w:pPr>
      <w:r>
        <w:t xml:space="preserve">This project will be delivered over two phases, separated by a stage gate. Phase 1 will collect evidence, make recommendations for guidance and plan for pilots to take place during the 2018/19 winter. Phase 2 will undertake those pilots and collate evidence from them and give guidance on their assessment against set success criteria for the trailing of the Phase 1 findings. The stage gate is the effective progression of the Phase 1 findings to the operators undertaking the pilot phase. </w:t>
      </w:r>
    </w:p>
    <w:p w14:paraId="315A58B5" w14:textId="77777777" w:rsidR="005208C0" w:rsidRDefault="005208C0" w:rsidP="005208C0">
      <w:pPr>
        <w:pStyle w:val="Body"/>
      </w:pPr>
    </w:p>
    <w:p w14:paraId="7209DD82" w14:textId="77777777" w:rsidR="005208C0" w:rsidRDefault="005208C0" w:rsidP="005208C0">
      <w:pPr>
        <w:pStyle w:val="Body"/>
      </w:pPr>
    </w:p>
    <w:p w14:paraId="7F83C88C" w14:textId="77777777" w:rsidR="005208C0" w:rsidRDefault="005208C0" w:rsidP="005208C0">
      <w:pPr>
        <w:pStyle w:val="Heading1"/>
      </w:pPr>
      <w:r>
        <w:t>Work package objectives</w:t>
      </w:r>
    </w:p>
    <w:p w14:paraId="7DB19AAB" w14:textId="77777777" w:rsidR="005208C0" w:rsidRDefault="005208C0" w:rsidP="005208C0">
      <w:pPr>
        <w:pStyle w:val="BodyIndent1"/>
        <w:ind w:left="0"/>
      </w:pPr>
      <w:r>
        <w:t xml:space="preserve">The project is split into two work packages. Work package 1 (WP1) will be internal and WP2 external. WP2 will be split into two phases as explained above. </w:t>
      </w:r>
      <w:r w:rsidRPr="00B90DA0">
        <w:t>The objectives of this project are to</w:t>
      </w:r>
      <w:r>
        <w:t xml:space="preserve"> answer the following questions</w:t>
      </w:r>
      <w:r w:rsidRPr="00B90DA0">
        <w:t>:</w:t>
      </w:r>
    </w:p>
    <w:p w14:paraId="21877D0C" w14:textId="77777777" w:rsidR="005208C0" w:rsidRPr="00E234F7" w:rsidRDefault="005208C0" w:rsidP="005208C0">
      <w:pPr>
        <w:pStyle w:val="Heading1"/>
        <w:rPr>
          <w:sz w:val="28"/>
        </w:rPr>
      </w:pPr>
      <w:r w:rsidRPr="00C44A69">
        <w:rPr>
          <w:sz w:val="28"/>
        </w:rPr>
        <w:lastRenderedPageBreak/>
        <w:t xml:space="preserve">Phase 1 </w:t>
      </w:r>
    </w:p>
    <w:p w14:paraId="65D4F0A0" w14:textId="77777777" w:rsidR="005208C0" w:rsidRDefault="005208C0" w:rsidP="005208C0">
      <w:pPr>
        <w:pStyle w:val="Body"/>
        <w:numPr>
          <w:ilvl w:val="0"/>
          <w:numId w:val="50"/>
        </w:numPr>
      </w:pPr>
      <w:r>
        <w:t>Are the previous requirements still applicable for modern braking systems in current fleets when driving in snow?</w:t>
      </w:r>
      <w:r>
        <w:rPr>
          <w:rStyle w:val="FootnoteReference"/>
        </w:rPr>
        <w:footnoteReference w:id="3"/>
      </w:r>
      <w:r>
        <w:t xml:space="preserve"> </w:t>
      </w:r>
    </w:p>
    <w:p w14:paraId="35201DF7" w14:textId="77777777" w:rsidR="005208C0" w:rsidRDefault="005208C0" w:rsidP="005208C0">
      <w:pPr>
        <w:pStyle w:val="Body"/>
        <w:numPr>
          <w:ilvl w:val="0"/>
          <w:numId w:val="50"/>
        </w:numPr>
      </w:pPr>
      <w:r>
        <w:t xml:space="preserve">What factors might affect any future guidance? </w:t>
      </w:r>
    </w:p>
    <w:p w14:paraId="2C2A5F87" w14:textId="77777777" w:rsidR="005208C0" w:rsidRDefault="005208C0" w:rsidP="005208C0">
      <w:pPr>
        <w:pStyle w:val="Body"/>
        <w:numPr>
          <w:ilvl w:val="1"/>
          <w:numId w:val="50"/>
        </w:numPr>
      </w:pPr>
      <w:r>
        <w:t>Freight trains compared to passenger trains</w:t>
      </w:r>
    </w:p>
    <w:p w14:paraId="709F8CDD" w14:textId="77777777" w:rsidR="005208C0" w:rsidRDefault="005208C0" w:rsidP="005208C0">
      <w:pPr>
        <w:pStyle w:val="Body"/>
        <w:numPr>
          <w:ilvl w:val="1"/>
          <w:numId w:val="50"/>
        </w:numPr>
      </w:pPr>
      <w:r>
        <w:t>Braking/traction system type(s)</w:t>
      </w:r>
    </w:p>
    <w:p w14:paraId="33EBFDC9" w14:textId="77777777" w:rsidR="005208C0" w:rsidRDefault="005208C0" w:rsidP="005208C0">
      <w:pPr>
        <w:pStyle w:val="Body"/>
        <w:numPr>
          <w:ilvl w:val="1"/>
          <w:numId w:val="50"/>
        </w:numPr>
      </w:pPr>
      <w:r>
        <w:t xml:space="preserve">Current location </w:t>
      </w:r>
    </w:p>
    <w:p w14:paraId="7F73D977" w14:textId="77777777" w:rsidR="005208C0" w:rsidRDefault="005208C0" w:rsidP="005208C0">
      <w:pPr>
        <w:pStyle w:val="Body"/>
        <w:numPr>
          <w:ilvl w:val="1"/>
          <w:numId w:val="50"/>
        </w:numPr>
      </w:pPr>
      <w:r>
        <w:t>Temperature, speed and other environmental conditions?</w:t>
      </w:r>
    </w:p>
    <w:p w14:paraId="1A6A9515" w14:textId="77777777" w:rsidR="005208C0" w:rsidRDefault="005208C0" w:rsidP="005208C0">
      <w:pPr>
        <w:pStyle w:val="Body"/>
        <w:numPr>
          <w:ilvl w:val="0"/>
          <w:numId w:val="50"/>
        </w:numPr>
      </w:pPr>
      <w:r>
        <w:t>Is there alternative guidance or instructions that can be utilised in a GB rail context? What is the evidence that supports this guidance?</w:t>
      </w:r>
    </w:p>
    <w:p w14:paraId="05E5FB02" w14:textId="77777777" w:rsidR="005208C0" w:rsidRDefault="005208C0" w:rsidP="005208C0">
      <w:pPr>
        <w:pStyle w:val="Body"/>
        <w:numPr>
          <w:ilvl w:val="1"/>
          <w:numId w:val="50"/>
        </w:numPr>
      </w:pPr>
      <w:r>
        <w:t>From braking system suppliers</w:t>
      </w:r>
    </w:p>
    <w:p w14:paraId="62DB2DED" w14:textId="77777777" w:rsidR="005208C0" w:rsidRDefault="005208C0" w:rsidP="005208C0">
      <w:pPr>
        <w:pStyle w:val="Body"/>
        <w:numPr>
          <w:ilvl w:val="1"/>
          <w:numId w:val="50"/>
        </w:numPr>
      </w:pPr>
      <w:r>
        <w:t>From train manufacturers</w:t>
      </w:r>
    </w:p>
    <w:p w14:paraId="0D7DD1C4" w14:textId="77777777" w:rsidR="005208C0" w:rsidRDefault="005208C0" w:rsidP="005208C0">
      <w:pPr>
        <w:pStyle w:val="Body"/>
        <w:numPr>
          <w:ilvl w:val="1"/>
          <w:numId w:val="50"/>
        </w:numPr>
      </w:pPr>
      <w:r>
        <w:t>From operators</w:t>
      </w:r>
    </w:p>
    <w:p w14:paraId="2EE4F890" w14:textId="77777777" w:rsidR="005208C0" w:rsidRDefault="005208C0" w:rsidP="005208C0">
      <w:pPr>
        <w:pStyle w:val="Body"/>
        <w:numPr>
          <w:ilvl w:val="1"/>
          <w:numId w:val="50"/>
        </w:numPr>
      </w:pPr>
      <w:r>
        <w:t>From other countries where snow conditions are more frequent?</w:t>
      </w:r>
    </w:p>
    <w:p w14:paraId="2120742C" w14:textId="77777777" w:rsidR="005208C0" w:rsidRDefault="005208C0" w:rsidP="005208C0">
      <w:pPr>
        <w:pStyle w:val="Body"/>
        <w:numPr>
          <w:ilvl w:val="0"/>
          <w:numId w:val="50"/>
        </w:numPr>
      </w:pPr>
      <w:r>
        <w:t xml:space="preserve">What are the potential risks and benefits of alternative guidance options? What additional validation is needed? </w:t>
      </w:r>
    </w:p>
    <w:p w14:paraId="751576E0" w14:textId="77777777" w:rsidR="005208C0" w:rsidRDefault="005208C0" w:rsidP="005208C0">
      <w:pPr>
        <w:pStyle w:val="Body"/>
        <w:numPr>
          <w:ilvl w:val="1"/>
          <w:numId w:val="50"/>
        </w:numPr>
      </w:pPr>
      <w:r>
        <w:t>Fuel/energy use</w:t>
      </w:r>
    </w:p>
    <w:p w14:paraId="537E66BC" w14:textId="77777777" w:rsidR="005208C0" w:rsidRDefault="005208C0" w:rsidP="005208C0">
      <w:pPr>
        <w:pStyle w:val="Body"/>
        <w:numPr>
          <w:ilvl w:val="1"/>
          <w:numId w:val="50"/>
        </w:numPr>
      </w:pPr>
      <w:r>
        <w:t>Passenger comfort</w:t>
      </w:r>
    </w:p>
    <w:p w14:paraId="333821C6" w14:textId="77777777" w:rsidR="005208C0" w:rsidRDefault="005208C0" w:rsidP="005208C0">
      <w:pPr>
        <w:pStyle w:val="Body"/>
        <w:numPr>
          <w:ilvl w:val="1"/>
          <w:numId w:val="50"/>
        </w:numPr>
      </w:pPr>
      <w:r>
        <w:t xml:space="preserve">Train maintenance </w:t>
      </w:r>
    </w:p>
    <w:p w14:paraId="0B747CDA" w14:textId="77777777" w:rsidR="005208C0" w:rsidRPr="00E234F7" w:rsidRDefault="005208C0" w:rsidP="005208C0">
      <w:pPr>
        <w:pStyle w:val="Body"/>
        <w:numPr>
          <w:ilvl w:val="1"/>
          <w:numId w:val="50"/>
        </w:numPr>
        <w:rPr>
          <w:sz w:val="28"/>
        </w:rPr>
      </w:pPr>
      <w:r>
        <w:t>Operational performance?</w:t>
      </w:r>
    </w:p>
    <w:p w14:paraId="0EE67B75" w14:textId="77777777" w:rsidR="005208C0" w:rsidRPr="00C44A69" w:rsidRDefault="005208C0" w:rsidP="005208C0">
      <w:pPr>
        <w:pStyle w:val="Heading1"/>
        <w:rPr>
          <w:sz w:val="28"/>
        </w:rPr>
      </w:pPr>
      <w:r w:rsidRPr="00C44A69">
        <w:rPr>
          <w:sz w:val="28"/>
        </w:rPr>
        <w:t xml:space="preserve">Phase 2 </w:t>
      </w:r>
    </w:p>
    <w:p w14:paraId="3B1AFD30" w14:textId="77777777" w:rsidR="005208C0" w:rsidRDefault="005208C0" w:rsidP="005208C0">
      <w:pPr>
        <w:pStyle w:val="Body"/>
        <w:numPr>
          <w:ilvl w:val="0"/>
          <w:numId w:val="50"/>
        </w:numPr>
      </w:pPr>
      <w:r>
        <w:t>How will the trial be assessed? What is the associated success criteria?</w:t>
      </w:r>
      <w:r>
        <w:rPr>
          <w:rStyle w:val="FootnoteReference"/>
        </w:rPr>
        <w:footnoteReference w:id="4"/>
      </w:r>
    </w:p>
    <w:p w14:paraId="156FF16F" w14:textId="77777777" w:rsidR="005208C0" w:rsidRDefault="005208C0" w:rsidP="005208C0">
      <w:pPr>
        <w:pStyle w:val="Body"/>
        <w:numPr>
          <w:ilvl w:val="0"/>
          <w:numId w:val="50"/>
        </w:numPr>
      </w:pPr>
      <w:r>
        <w:t>Is it recommended that new practices be captured into guidance?</w:t>
      </w:r>
    </w:p>
    <w:p w14:paraId="028DDE62" w14:textId="77777777" w:rsidR="005208C0" w:rsidRDefault="005208C0" w:rsidP="005208C0">
      <w:pPr>
        <w:pStyle w:val="Body"/>
        <w:numPr>
          <w:ilvl w:val="1"/>
          <w:numId w:val="50"/>
        </w:numPr>
      </w:pPr>
      <w:r>
        <w:t>What is the appropriate forum for the provision of guidance</w:t>
      </w:r>
    </w:p>
    <w:p w14:paraId="17990BC7" w14:textId="77777777" w:rsidR="005208C0" w:rsidRDefault="005208C0" w:rsidP="005208C0">
      <w:pPr>
        <w:pStyle w:val="Body"/>
        <w:numPr>
          <w:ilvl w:val="1"/>
          <w:numId w:val="50"/>
        </w:numPr>
      </w:pPr>
      <w:r>
        <w:t>What should be included in the guidance?</w:t>
      </w:r>
    </w:p>
    <w:p w14:paraId="65659148" w14:textId="77777777" w:rsidR="005208C0" w:rsidRDefault="005208C0" w:rsidP="005208C0">
      <w:pPr>
        <w:pStyle w:val="Body"/>
      </w:pPr>
    </w:p>
    <w:p w14:paraId="04836CA6" w14:textId="77777777" w:rsidR="005208C0" w:rsidRPr="00B90DA0" w:rsidRDefault="005208C0" w:rsidP="005208C0">
      <w:pPr>
        <w:pStyle w:val="Heading1"/>
      </w:pPr>
      <w:r>
        <w:t>Scope</w:t>
      </w:r>
    </w:p>
    <w:tbl>
      <w:tblPr>
        <w:tblStyle w:val="TableGrid"/>
        <w:tblW w:w="0" w:type="auto"/>
        <w:tblInd w:w="227" w:type="dxa"/>
        <w:tblLook w:val="04A0" w:firstRow="1" w:lastRow="0" w:firstColumn="1" w:lastColumn="0" w:noHBand="0" w:noVBand="1"/>
      </w:tblPr>
      <w:tblGrid>
        <w:gridCol w:w="4588"/>
        <w:gridCol w:w="3111"/>
      </w:tblGrid>
      <w:tr w:rsidR="005208C0" w14:paraId="7B31A366" w14:textId="77777777" w:rsidTr="00FB6356">
        <w:trPr>
          <w:trHeight w:val="486"/>
        </w:trPr>
        <w:tc>
          <w:tcPr>
            <w:tcW w:w="4588" w:type="dxa"/>
          </w:tcPr>
          <w:p w14:paraId="40EBC896" w14:textId="77777777" w:rsidR="005208C0" w:rsidRPr="007617B6" w:rsidRDefault="005208C0" w:rsidP="00FB6356">
            <w:pPr>
              <w:pStyle w:val="BodyIndent1"/>
              <w:ind w:left="0"/>
              <w:rPr>
                <w:b/>
              </w:rPr>
            </w:pPr>
            <w:r w:rsidRPr="007617B6">
              <w:rPr>
                <w:b/>
              </w:rPr>
              <w:t xml:space="preserve">In scope </w:t>
            </w:r>
          </w:p>
        </w:tc>
        <w:tc>
          <w:tcPr>
            <w:tcW w:w="3111" w:type="dxa"/>
          </w:tcPr>
          <w:p w14:paraId="307B09BF" w14:textId="77777777" w:rsidR="005208C0" w:rsidRPr="007617B6" w:rsidRDefault="005208C0" w:rsidP="00FB6356">
            <w:pPr>
              <w:pStyle w:val="BodyIndent1"/>
              <w:ind w:left="0"/>
              <w:rPr>
                <w:b/>
              </w:rPr>
            </w:pPr>
            <w:r w:rsidRPr="007617B6">
              <w:rPr>
                <w:b/>
              </w:rPr>
              <w:t>Out of scope</w:t>
            </w:r>
          </w:p>
        </w:tc>
      </w:tr>
      <w:tr w:rsidR="005208C0" w14:paraId="174BACDF" w14:textId="77777777" w:rsidTr="00FB6356">
        <w:tc>
          <w:tcPr>
            <w:tcW w:w="4588" w:type="dxa"/>
          </w:tcPr>
          <w:p w14:paraId="3A56770B" w14:textId="77777777" w:rsidR="005208C0" w:rsidRPr="002D23F2" w:rsidRDefault="005208C0" w:rsidP="00FB6356">
            <w:pPr>
              <w:pStyle w:val="Body"/>
              <w:rPr>
                <w:rFonts w:cstheme="minorHAnsi"/>
                <w:b/>
              </w:rPr>
            </w:pPr>
            <w:r w:rsidRPr="002D23F2">
              <w:rPr>
                <w:rFonts w:cstheme="minorHAnsi"/>
                <w:b/>
              </w:rPr>
              <w:lastRenderedPageBreak/>
              <w:t>Phase 1</w:t>
            </w:r>
          </w:p>
          <w:p w14:paraId="2221A58F" w14:textId="77777777" w:rsidR="005208C0" w:rsidRPr="00CE2E72" w:rsidRDefault="005208C0" w:rsidP="005208C0">
            <w:pPr>
              <w:pStyle w:val="Body"/>
              <w:numPr>
                <w:ilvl w:val="0"/>
                <w:numId w:val="52"/>
              </w:numPr>
              <w:ind w:left="223" w:hanging="223"/>
              <w:rPr>
                <w:rFonts w:cstheme="minorHAnsi"/>
              </w:rPr>
            </w:pPr>
            <w:r w:rsidRPr="00CE2E72">
              <w:rPr>
                <w:rFonts w:cstheme="minorHAnsi"/>
              </w:rPr>
              <w:t>Desk based review of current braking systems in operation on GB mainline rolling stock</w:t>
            </w:r>
            <w:r>
              <w:rPr>
                <w:rFonts w:cstheme="minorHAnsi"/>
              </w:rPr>
              <w:t xml:space="preserve"> or contracted for delivery on new GB mainline rolling stock</w:t>
            </w:r>
            <w:r w:rsidRPr="00CE2E72">
              <w:rPr>
                <w:rFonts w:cstheme="minorHAnsi"/>
              </w:rPr>
              <w:t>, with specific focus on how they operate and maintain effective braking during snow conditions</w:t>
            </w:r>
          </w:p>
          <w:p w14:paraId="7FD91A24" w14:textId="77777777" w:rsidR="005208C0" w:rsidRPr="00CE2E72" w:rsidRDefault="005208C0" w:rsidP="005208C0">
            <w:pPr>
              <w:pStyle w:val="Body"/>
              <w:numPr>
                <w:ilvl w:val="0"/>
                <w:numId w:val="52"/>
              </w:numPr>
              <w:ind w:left="227" w:hanging="227"/>
              <w:rPr>
                <w:rFonts w:cstheme="minorHAnsi"/>
              </w:rPr>
            </w:pPr>
            <w:r w:rsidRPr="00CE2E72">
              <w:rPr>
                <w:rFonts w:cstheme="minorHAnsi"/>
              </w:rPr>
              <w:t xml:space="preserve">Identify how snow conditions </w:t>
            </w:r>
            <w:r>
              <w:rPr>
                <w:rFonts w:cstheme="minorHAnsi"/>
              </w:rPr>
              <w:t xml:space="preserve">can </w:t>
            </w:r>
            <w:r w:rsidRPr="00CE2E72">
              <w:rPr>
                <w:rFonts w:cstheme="minorHAnsi"/>
              </w:rPr>
              <w:t>affect each type of braking system, and the possible mitigation actions to improve the effectiveness of braking in snow conditions</w:t>
            </w:r>
          </w:p>
          <w:p w14:paraId="46CCC3F3" w14:textId="77777777" w:rsidR="005208C0" w:rsidRPr="00CE2E72" w:rsidRDefault="005208C0" w:rsidP="005208C0">
            <w:pPr>
              <w:pStyle w:val="Body"/>
              <w:numPr>
                <w:ilvl w:val="0"/>
                <w:numId w:val="52"/>
              </w:numPr>
              <w:ind w:left="227" w:hanging="227"/>
              <w:rPr>
                <w:rFonts w:cstheme="minorHAnsi"/>
              </w:rPr>
            </w:pPr>
            <w:r w:rsidRPr="00CE2E72">
              <w:rPr>
                <w:rFonts w:cstheme="minorHAnsi"/>
              </w:rPr>
              <w:t>Review of braking instructions and guidance information provided by train suppliers, braking manufacturers, TOCs and FOCs</w:t>
            </w:r>
          </w:p>
          <w:p w14:paraId="38861845" w14:textId="77777777" w:rsidR="005208C0" w:rsidRPr="00CE2E72" w:rsidRDefault="005208C0" w:rsidP="005208C0">
            <w:pPr>
              <w:pStyle w:val="Body"/>
              <w:numPr>
                <w:ilvl w:val="0"/>
                <w:numId w:val="52"/>
              </w:numPr>
              <w:ind w:left="227" w:hanging="227"/>
              <w:rPr>
                <w:rFonts w:cstheme="minorHAnsi"/>
              </w:rPr>
            </w:pPr>
            <w:r w:rsidRPr="00CE2E72">
              <w:rPr>
                <w:rFonts w:cstheme="minorHAnsi"/>
              </w:rPr>
              <w:t>Consideration of international best practices and guidance, including countries that</w:t>
            </w:r>
            <w:r>
              <w:rPr>
                <w:rFonts w:cstheme="minorHAnsi"/>
              </w:rPr>
              <w:t xml:space="preserve"> utilise similar braking systems and</w:t>
            </w:r>
            <w:r w:rsidRPr="00CE2E72">
              <w:rPr>
                <w:rFonts w:cstheme="minorHAnsi"/>
              </w:rPr>
              <w:t xml:space="preserve"> encounter high snowfall</w:t>
            </w:r>
            <w:r>
              <w:rPr>
                <w:rFonts w:cstheme="minorHAnsi"/>
              </w:rPr>
              <w:t>, or similar levels of snow fall as GB (e.g. Scandinavia, Germany)</w:t>
            </w:r>
          </w:p>
          <w:p w14:paraId="0B5DE47D" w14:textId="77777777" w:rsidR="005208C0" w:rsidRPr="00FE100B" w:rsidRDefault="005208C0" w:rsidP="005208C0">
            <w:pPr>
              <w:pStyle w:val="Body"/>
              <w:numPr>
                <w:ilvl w:val="0"/>
                <w:numId w:val="52"/>
              </w:numPr>
              <w:ind w:left="227" w:hanging="227"/>
              <w:rPr>
                <w:rFonts w:cstheme="minorHAnsi"/>
              </w:rPr>
            </w:pPr>
            <w:r w:rsidRPr="00CE2E72">
              <w:rPr>
                <w:rFonts w:cstheme="minorHAnsi"/>
              </w:rPr>
              <w:t>A decision on whether there is sufficient evidence for existing guidance found in industry, or if new guidance needs to be generated</w:t>
            </w:r>
          </w:p>
          <w:p w14:paraId="2C134596" w14:textId="77777777" w:rsidR="005208C0" w:rsidRDefault="005208C0" w:rsidP="005208C0">
            <w:pPr>
              <w:pStyle w:val="Body"/>
              <w:numPr>
                <w:ilvl w:val="0"/>
                <w:numId w:val="52"/>
              </w:numPr>
              <w:ind w:left="227" w:hanging="227"/>
              <w:rPr>
                <w:rFonts w:cstheme="minorHAnsi"/>
              </w:rPr>
            </w:pPr>
            <w:r>
              <w:rPr>
                <w:rFonts w:cstheme="minorHAnsi"/>
              </w:rPr>
              <w:t>Recommendations on the approach to the pilot study and associated data collection</w:t>
            </w:r>
          </w:p>
          <w:p w14:paraId="7A614B7A" w14:textId="77777777" w:rsidR="005208C0" w:rsidRDefault="005208C0" w:rsidP="005208C0">
            <w:pPr>
              <w:pStyle w:val="Body"/>
              <w:numPr>
                <w:ilvl w:val="0"/>
                <w:numId w:val="52"/>
              </w:numPr>
              <w:ind w:left="227" w:hanging="227"/>
              <w:rPr>
                <w:rFonts w:cstheme="minorHAnsi"/>
              </w:rPr>
            </w:pPr>
            <w:r>
              <w:rPr>
                <w:rFonts w:cstheme="minorHAnsi"/>
              </w:rPr>
              <w:t xml:space="preserve">Review of the impact of operational factors such as speed and gradient. These factors should only be considered with reference to braking </w:t>
            </w:r>
            <w:r w:rsidRPr="00FE100B">
              <w:rPr>
                <w:rFonts w:cstheme="minorHAnsi"/>
                <w:i/>
              </w:rPr>
              <w:t>and</w:t>
            </w:r>
            <w:r>
              <w:rPr>
                <w:rFonts w:cstheme="minorHAnsi"/>
              </w:rPr>
              <w:t xml:space="preserve"> snow conditions.</w:t>
            </w:r>
          </w:p>
          <w:p w14:paraId="01998C2C" w14:textId="77777777" w:rsidR="005208C0" w:rsidRDefault="005208C0" w:rsidP="005208C0">
            <w:pPr>
              <w:pStyle w:val="Body"/>
              <w:numPr>
                <w:ilvl w:val="0"/>
                <w:numId w:val="52"/>
              </w:numPr>
              <w:ind w:left="227" w:hanging="227"/>
              <w:rPr>
                <w:rFonts w:cstheme="minorHAnsi"/>
              </w:rPr>
            </w:pPr>
            <w:r>
              <w:rPr>
                <w:rFonts w:cstheme="minorHAnsi"/>
              </w:rPr>
              <w:t>Consideration of the speed (including maximum) when driving in snow</w:t>
            </w:r>
          </w:p>
          <w:p w14:paraId="7AA32968" w14:textId="77777777" w:rsidR="005208C0" w:rsidRPr="003E297D" w:rsidRDefault="005208C0" w:rsidP="00FB6356">
            <w:pPr>
              <w:pStyle w:val="Body"/>
              <w:rPr>
                <w:rFonts w:cstheme="minorHAnsi"/>
                <w:b/>
              </w:rPr>
            </w:pPr>
            <w:r w:rsidRPr="003E297D">
              <w:rPr>
                <w:rFonts w:cstheme="minorHAnsi"/>
                <w:b/>
              </w:rPr>
              <w:t>Phase 2</w:t>
            </w:r>
          </w:p>
          <w:p w14:paraId="6078682D" w14:textId="77777777" w:rsidR="005208C0" w:rsidRPr="00CE2E72" w:rsidRDefault="005208C0" w:rsidP="005208C0">
            <w:pPr>
              <w:pStyle w:val="Body"/>
              <w:numPr>
                <w:ilvl w:val="0"/>
                <w:numId w:val="52"/>
              </w:numPr>
              <w:ind w:left="227" w:hanging="227"/>
              <w:rPr>
                <w:rFonts w:cstheme="minorHAnsi"/>
              </w:rPr>
            </w:pPr>
            <w:r>
              <w:rPr>
                <w:rFonts w:cstheme="minorHAnsi"/>
              </w:rPr>
              <w:t>Coordination and support of pilots with up to three operators, including 1 FOC over one winter period</w:t>
            </w:r>
          </w:p>
          <w:p w14:paraId="06417339" w14:textId="77777777" w:rsidR="005208C0" w:rsidRDefault="005208C0" w:rsidP="005208C0">
            <w:pPr>
              <w:pStyle w:val="Body"/>
              <w:numPr>
                <w:ilvl w:val="0"/>
                <w:numId w:val="52"/>
              </w:numPr>
              <w:ind w:left="227" w:hanging="227"/>
              <w:rPr>
                <w:rFonts w:cstheme="minorHAnsi"/>
              </w:rPr>
            </w:pPr>
            <w:r>
              <w:rPr>
                <w:rFonts w:cstheme="minorHAnsi"/>
              </w:rPr>
              <w:t xml:space="preserve">Recommendation on an </w:t>
            </w:r>
            <w:r w:rsidRPr="00CE2E72">
              <w:rPr>
                <w:rFonts w:cstheme="minorHAnsi"/>
              </w:rPr>
              <w:t>update to guidan</w:t>
            </w:r>
            <w:r>
              <w:rPr>
                <w:rFonts w:cstheme="minorHAnsi"/>
              </w:rPr>
              <w:t>ce.</w:t>
            </w:r>
          </w:p>
          <w:p w14:paraId="17EE0243" w14:textId="77777777" w:rsidR="005208C0" w:rsidRPr="00FE100B" w:rsidRDefault="005208C0" w:rsidP="005208C0">
            <w:pPr>
              <w:pStyle w:val="Body"/>
              <w:numPr>
                <w:ilvl w:val="0"/>
                <w:numId w:val="52"/>
              </w:numPr>
              <w:rPr>
                <w:rFonts w:cstheme="minorHAnsi"/>
              </w:rPr>
            </w:pPr>
            <w:r w:rsidRPr="00FE100B">
              <w:rPr>
                <w:rFonts w:cstheme="minorHAnsi"/>
              </w:rPr>
              <w:t xml:space="preserve">Ongoing engagement with the project steering group </w:t>
            </w:r>
          </w:p>
        </w:tc>
        <w:tc>
          <w:tcPr>
            <w:tcW w:w="3111" w:type="dxa"/>
          </w:tcPr>
          <w:p w14:paraId="20D992CB" w14:textId="77777777" w:rsidR="005208C0" w:rsidRPr="00CE2E72" w:rsidRDefault="005208C0" w:rsidP="005208C0">
            <w:pPr>
              <w:pStyle w:val="Body"/>
              <w:numPr>
                <w:ilvl w:val="0"/>
                <w:numId w:val="52"/>
              </w:numPr>
              <w:rPr>
                <w:rFonts w:cstheme="minorHAnsi"/>
              </w:rPr>
            </w:pPr>
            <w:r w:rsidRPr="00CE2E72">
              <w:rPr>
                <w:rFonts w:cstheme="minorHAnsi"/>
              </w:rPr>
              <w:t>Development or design of new braking systems</w:t>
            </w:r>
          </w:p>
          <w:p w14:paraId="55E1300A" w14:textId="77777777" w:rsidR="005208C0" w:rsidRPr="00CE2E72" w:rsidRDefault="005208C0" w:rsidP="005208C0">
            <w:pPr>
              <w:pStyle w:val="Body"/>
              <w:numPr>
                <w:ilvl w:val="0"/>
                <w:numId w:val="52"/>
              </w:numPr>
              <w:rPr>
                <w:rFonts w:cstheme="minorHAnsi"/>
              </w:rPr>
            </w:pPr>
            <w:r w:rsidRPr="00CE2E72">
              <w:rPr>
                <w:rFonts w:cstheme="minorHAnsi"/>
              </w:rPr>
              <w:t xml:space="preserve">Testing braking systems in climate chambers </w:t>
            </w:r>
          </w:p>
          <w:p w14:paraId="3AFCD59C" w14:textId="77777777" w:rsidR="005208C0" w:rsidRPr="00CE2E72" w:rsidRDefault="005208C0" w:rsidP="005208C0">
            <w:pPr>
              <w:pStyle w:val="Body"/>
              <w:numPr>
                <w:ilvl w:val="0"/>
                <w:numId w:val="52"/>
              </w:numPr>
              <w:rPr>
                <w:rFonts w:cstheme="minorHAnsi"/>
              </w:rPr>
            </w:pPr>
            <w:r w:rsidRPr="00CE2E72">
              <w:rPr>
                <w:rFonts w:cstheme="minorHAnsi"/>
              </w:rPr>
              <w:t>Review braking systems on non-GB rolling stock, or braking systems not in current</w:t>
            </w:r>
            <w:r>
              <w:rPr>
                <w:rFonts w:cstheme="minorHAnsi"/>
              </w:rPr>
              <w:t xml:space="preserve"> or planned</w:t>
            </w:r>
            <w:r w:rsidRPr="00CE2E72">
              <w:rPr>
                <w:rFonts w:cstheme="minorHAnsi"/>
              </w:rPr>
              <w:t xml:space="preserve"> operation </w:t>
            </w:r>
          </w:p>
          <w:p w14:paraId="109BA3AE" w14:textId="77777777" w:rsidR="005208C0" w:rsidRDefault="005208C0" w:rsidP="005208C0">
            <w:pPr>
              <w:pStyle w:val="Body"/>
              <w:numPr>
                <w:ilvl w:val="0"/>
                <w:numId w:val="52"/>
              </w:numPr>
              <w:rPr>
                <w:rFonts w:cstheme="minorHAnsi"/>
              </w:rPr>
            </w:pPr>
            <w:r>
              <w:rPr>
                <w:rFonts w:cstheme="minorHAnsi"/>
              </w:rPr>
              <w:t>Investigating b</w:t>
            </w:r>
            <w:r w:rsidRPr="00CE2E72">
              <w:rPr>
                <w:rFonts w:cstheme="minorHAnsi"/>
              </w:rPr>
              <w:t>raking during non-snow-based weather conditions</w:t>
            </w:r>
          </w:p>
          <w:p w14:paraId="3DE3142A" w14:textId="77777777" w:rsidR="005208C0" w:rsidRDefault="005208C0" w:rsidP="005208C0">
            <w:pPr>
              <w:pStyle w:val="Body"/>
              <w:numPr>
                <w:ilvl w:val="0"/>
                <w:numId w:val="52"/>
              </w:numPr>
              <w:rPr>
                <w:rFonts w:cstheme="minorHAnsi"/>
              </w:rPr>
            </w:pPr>
            <w:r>
              <w:rPr>
                <w:rFonts w:cstheme="minorHAnsi"/>
              </w:rPr>
              <w:t>Any direct snow prevention or mitigation system that is not used on the brakes, e.g. snow ploughs</w:t>
            </w:r>
          </w:p>
          <w:p w14:paraId="4B8973D0" w14:textId="77777777" w:rsidR="005208C0" w:rsidRDefault="005208C0" w:rsidP="005208C0">
            <w:pPr>
              <w:pStyle w:val="Body"/>
              <w:numPr>
                <w:ilvl w:val="0"/>
                <w:numId w:val="52"/>
              </w:numPr>
              <w:rPr>
                <w:rFonts w:cstheme="minorHAnsi"/>
              </w:rPr>
            </w:pPr>
            <w:r>
              <w:rPr>
                <w:rFonts w:cstheme="minorHAnsi"/>
              </w:rPr>
              <w:t>Identifying and recruiting the operators for pilots</w:t>
            </w:r>
          </w:p>
          <w:p w14:paraId="732CC342" w14:textId="77777777" w:rsidR="005208C0" w:rsidRPr="00A100DA" w:rsidRDefault="005208C0" w:rsidP="005208C0">
            <w:pPr>
              <w:pStyle w:val="Body"/>
              <w:numPr>
                <w:ilvl w:val="0"/>
                <w:numId w:val="52"/>
              </w:numPr>
              <w:rPr>
                <w:rFonts w:cstheme="minorHAnsi"/>
              </w:rPr>
            </w:pPr>
            <w:r>
              <w:rPr>
                <w:rFonts w:cstheme="minorHAnsi"/>
              </w:rPr>
              <w:t xml:space="preserve">Spending on pilot phase </w:t>
            </w:r>
          </w:p>
        </w:tc>
      </w:tr>
    </w:tbl>
    <w:p w14:paraId="4D339E15" w14:textId="77777777" w:rsidR="005208C0" w:rsidRDefault="005208C0" w:rsidP="005208C0"/>
    <w:p w14:paraId="504478E0" w14:textId="77777777" w:rsidR="005208C0" w:rsidRDefault="005208C0" w:rsidP="005208C0"/>
    <w:p w14:paraId="6DDDFCC5" w14:textId="77777777" w:rsidR="005208C0" w:rsidRDefault="005208C0" w:rsidP="005208C0"/>
    <w:p w14:paraId="7836F1C5" w14:textId="77777777" w:rsidR="005208C0" w:rsidRPr="006440C8" w:rsidRDefault="005208C0" w:rsidP="005208C0">
      <w:pPr>
        <w:pStyle w:val="Heading1"/>
      </w:pPr>
      <w:r>
        <w:t>Deliverables</w:t>
      </w:r>
    </w:p>
    <w:tbl>
      <w:tblPr>
        <w:tblW w:w="10314" w:type="dxa"/>
        <w:tblLayout w:type="fixed"/>
        <w:tblLook w:val="00A0" w:firstRow="1" w:lastRow="0" w:firstColumn="1" w:lastColumn="0" w:noHBand="0" w:noVBand="0"/>
      </w:tblPr>
      <w:tblGrid>
        <w:gridCol w:w="250"/>
        <w:gridCol w:w="10064"/>
      </w:tblGrid>
      <w:tr w:rsidR="005208C0" w14:paraId="1C3C9BEF" w14:textId="77777777" w:rsidTr="00FB6356">
        <w:tc>
          <w:tcPr>
            <w:tcW w:w="250" w:type="dxa"/>
          </w:tcPr>
          <w:p w14:paraId="6EE61B75" w14:textId="77777777" w:rsidR="005208C0" w:rsidRDefault="005208C0" w:rsidP="00FB6356">
            <w:pPr>
              <w:pStyle w:val="TableText0"/>
              <w:ind w:left="0"/>
            </w:pPr>
          </w:p>
        </w:tc>
        <w:tc>
          <w:tcPr>
            <w:tcW w:w="10064" w:type="dxa"/>
          </w:tcPr>
          <w:p w14:paraId="0CB85251" w14:textId="77777777" w:rsidR="005208C0" w:rsidRDefault="005208C0" w:rsidP="00FB6356">
            <w:pPr>
              <w:pStyle w:val="BodyIndent1"/>
              <w:ind w:left="0"/>
            </w:pPr>
          </w:p>
          <w:tbl>
            <w:tblPr>
              <w:tblW w:w="7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2"/>
            </w:tblGrid>
            <w:tr w:rsidR="005208C0" w14:paraId="614B356D" w14:textId="77777777" w:rsidTr="00FB6356">
              <w:trPr>
                <w:cantSplit/>
              </w:trPr>
              <w:tc>
                <w:tcPr>
                  <w:tcW w:w="5307" w:type="dxa"/>
                  <w:shd w:val="clear" w:color="auto" w:fill="99CC00"/>
                </w:tcPr>
                <w:p w14:paraId="163A95D1" w14:textId="77777777" w:rsidR="005208C0" w:rsidRDefault="005208C0" w:rsidP="00FB6356">
                  <w:pPr>
                    <w:pStyle w:val="BodyIndent1"/>
                    <w:rPr>
                      <w:b/>
                    </w:rPr>
                  </w:pPr>
                  <w:r>
                    <w:rPr>
                      <w:b/>
                    </w:rPr>
                    <w:t>1. Technical review</w:t>
                  </w:r>
                </w:p>
              </w:tc>
              <w:tc>
                <w:tcPr>
                  <w:tcW w:w="2692" w:type="dxa"/>
                  <w:shd w:val="clear" w:color="auto" w:fill="99CC00"/>
                </w:tcPr>
                <w:p w14:paraId="609222BA" w14:textId="77777777" w:rsidR="005208C0" w:rsidRDefault="005208C0" w:rsidP="00FB6356">
                  <w:pPr>
                    <w:pStyle w:val="BodyIndent1"/>
                    <w:rPr>
                      <w:b/>
                    </w:rPr>
                  </w:pPr>
                  <w:r>
                    <w:rPr>
                      <w:b/>
                    </w:rPr>
                    <w:t>Report</w:t>
                  </w:r>
                </w:p>
              </w:tc>
            </w:tr>
            <w:tr w:rsidR="005208C0" w14:paraId="51D6B0BC" w14:textId="77777777" w:rsidTr="00FB6356">
              <w:trPr>
                <w:cantSplit/>
                <w:tblHeader/>
              </w:trPr>
              <w:tc>
                <w:tcPr>
                  <w:tcW w:w="7999" w:type="dxa"/>
                  <w:gridSpan w:val="2"/>
                  <w:shd w:val="clear" w:color="auto" w:fill="FFFFFF"/>
                </w:tcPr>
                <w:p w14:paraId="1D4D7A1B" w14:textId="77777777" w:rsidR="005208C0" w:rsidRDefault="005208C0" w:rsidP="00FB6356">
                  <w:pPr>
                    <w:pStyle w:val="BodyIndent1"/>
                  </w:pPr>
                  <w:r w:rsidRPr="00DC424C">
                    <w:t xml:space="preserve">This review will consolidate all the information found within industry on braking procedures and guidelines during snow conditions. This will give a solid understanding of the guidelines that are currently used by operators and passed to drivers and where these guidelines have come from. It is from here that the project can comprehend how much of the industry still draws on the original RSSB TW1 ruling on </w:t>
                  </w:r>
                  <w:r>
                    <w:t>braking</w:t>
                  </w:r>
                  <w:r w:rsidRPr="00DC424C">
                    <w:t xml:space="preserve"> in snow conditions</w:t>
                  </w:r>
                  <w:r>
                    <w:t xml:space="preserve">. </w:t>
                  </w:r>
                </w:p>
                <w:p w14:paraId="405219AD" w14:textId="77777777" w:rsidR="005208C0" w:rsidRDefault="005208C0" w:rsidP="00FB6356">
                  <w:pPr>
                    <w:pStyle w:val="Body"/>
                    <w:ind w:left="244"/>
                  </w:pPr>
                  <w:r>
                    <w:t xml:space="preserve">Prospective review should reference braking instructions by their classification, i.e. freight or passenger, regenerative braking or rheostatic etc. </w:t>
                  </w:r>
                </w:p>
                <w:p w14:paraId="28AFE0B5" w14:textId="77777777" w:rsidR="005208C0" w:rsidRDefault="005208C0" w:rsidP="00FB6356">
                  <w:pPr>
                    <w:pStyle w:val="Body"/>
                    <w:ind w:left="244"/>
                  </w:pPr>
                  <w:r>
                    <w:t>Prospective review should detail any other operational factors (speed and gradient) and scenarios that may provide a point of difference for braking instructions. To be delivered July 2018</w:t>
                  </w:r>
                </w:p>
                <w:p w14:paraId="7E4C57F1" w14:textId="77777777" w:rsidR="005208C0" w:rsidRPr="003E297D" w:rsidRDefault="005208C0" w:rsidP="00FB6356">
                  <w:pPr>
                    <w:pStyle w:val="Body"/>
                    <w:ind w:left="244"/>
                  </w:pPr>
                  <w:r>
                    <w:t xml:space="preserve">If the entirety of braking conditions for both TOCS/FOCS can be delivered in time for late July, then priority is given to those that directly impact the operations of those which will take this project to pilot. It is paramount that this condition is met. This would therefore require the technical review to come in two parts, with the RSSB project manager communicated an appropriate time and format for the remaining research. </w:t>
                  </w:r>
                </w:p>
              </w:tc>
            </w:tr>
            <w:tr w:rsidR="005208C0" w14:paraId="2362D71C" w14:textId="77777777" w:rsidTr="00FB6356">
              <w:trPr>
                <w:cantSplit/>
                <w:tblHeader/>
              </w:trPr>
              <w:tc>
                <w:tcPr>
                  <w:tcW w:w="7999" w:type="dxa"/>
                  <w:gridSpan w:val="2"/>
                  <w:shd w:val="clear" w:color="auto" w:fill="FFFFFF"/>
                </w:tcPr>
                <w:p w14:paraId="344703A0" w14:textId="77777777" w:rsidR="005208C0" w:rsidRDefault="005208C0" w:rsidP="00FB6356">
                  <w:pPr>
                    <w:pStyle w:val="BodyIndent1"/>
                    <w:rPr>
                      <w:b/>
                    </w:rPr>
                  </w:pPr>
                  <w:r>
                    <w:t>This report will be delivered in RSSB format and made available on SPARK</w:t>
                  </w:r>
                  <w:r>
                    <w:rPr>
                      <w:b/>
                    </w:rPr>
                    <w:t xml:space="preserve"> </w:t>
                  </w:r>
                </w:p>
              </w:tc>
            </w:tr>
          </w:tbl>
          <w:p w14:paraId="21E319AD" w14:textId="77777777" w:rsidR="005208C0" w:rsidRDefault="005208C0" w:rsidP="00FB6356">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5208C0" w14:paraId="76809290" w14:textId="77777777" w:rsidTr="00FB6356">
              <w:trPr>
                <w:cantSplit/>
              </w:trPr>
              <w:tc>
                <w:tcPr>
                  <w:tcW w:w="5307" w:type="dxa"/>
                  <w:shd w:val="clear" w:color="auto" w:fill="99CC00"/>
                </w:tcPr>
                <w:p w14:paraId="205CC6C9" w14:textId="77777777" w:rsidR="005208C0" w:rsidRDefault="005208C0" w:rsidP="00FB6356">
                  <w:pPr>
                    <w:pStyle w:val="BodyIndent1"/>
                    <w:rPr>
                      <w:b/>
                    </w:rPr>
                  </w:pPr>
                  <w:r>
                    <w:rPr>
                      <w:b/>
                    </w:rPr>
                    <w:t>2. A recommendation on braking in snow conditions</w:t>
                  </w:r>
                </w:p>
              </w:tc>
              <w:tc>
                <w:tcPr>
                  <w:tcW w:w="2694" w:type="dxa"/>
                  <w:shd w:val="clear" w:color="auto" w:fill="99CC00"/>
                </w:tcPr>
                <w:p w14:paraId="2242C4B2" w14:textId="77777777" w:rsidR="005208C0" w:rsidRDefault="005208C0" w:rsidP="00FB6356">
                  <w:pPr>
                    <w:pStyle w:val="BodyIndent1"/>
                    <w:rPr>
                      <w:b/>
                    </w:rPr>
                  </w:pPr>
                  <w:r>
                    <w:rPr>
                      <w:b/>
                    </w:rPr>
                    <w:t>Report</w:t>
                  </w:r>
                </w:p>
              </w:tc>
            </w:tr>
            <w:tr w:rsidR="005208C0" w14:paraId="1ED88BEB" w14:textId="77777777" w:rsidTr="00FB6356">
              <w:trPr>
                <w:cantSplit/>
                <w:tblHeader/>
              </w:trPr>
              <w:tc>
                <w:tcPr>
                  <w:tcW w:w="8001" w:type="dxa"/>
                  <w:gridSpan w:val="2"/>
                  <w:shd w:val="clear" w:color="auto" w:fill="FFFFFF"/>
                </w:tcPr>
                <w:p w14:paraId="3D839D77" w14:textId="77777777" w:rsidR="005208C0" w:rsidRDefault="005208C0" w:rsidP="00FB6356">
                  <w:pPr>
                    <w:pStyle w:val="BodyIndent1"/>
                  </w:pPr>
                  <w:r>
                    <w:t>A recommendation for an update of the relevant RSSB guidelines. Providing explanation for the update and displaying that it can be adopted for trial Winter 18/19. Considering the path of the previous deliverable this may also be specific to the classification of the vehicle type.</w:t>
                  </w:r>
                </w:p>
                <w:p w14:paraId="7D3CC182" w14:textId="77777777" w:rsidR="005208C0" w:rsidRPr="003E297D" w:rsidRDefault="005208C0" w:rsidP="00FB6356">
                  <w:pPr>
                    <w:pStyle w:val="BodyIndent1"/>
                  </w:pPr>
                  <w:r>
                    <w:t>The proposed approach for the pilots will be detailed. To be delivered July 2018</w:t>
                  </w:r>
                </w:p>
              </w:tc>
            </w:tr>
            <w:tr w:rsidR="005208C0" w14:paraId="66905D80" w14:textId="77777777" w:rsidTr="00FB6356">
              <w:trPr>
                <w:cantSplit/>
                <w:tblHeader/>
              </w:trPr>
              <w:tc>
                <w:tcPr>
                  <w:tcW w:w="8001" w:type="dxa"/>
                  <w:gridSpan w:val="2"/>
                  <w:shd w:val="clear" w:color="auto" w:fill="FFFFFF"/>
                </w:tcPr>
                <w:p w14:paraId="747C7B3A" w14:textId="77777777" w:rsidR="005208C0" w:rsidRPr="001E4A38" w:rsidRDefault="005208C0" w:rsidP="00FB6356">
                  <w:pPr>
                    <w:pStyle w:val="BodyIndent1"/>
                  </w:pPr>
                  <w:r w:rsidRPr="001E4A38">
                    <w:t xml:space="preserve">This report will be delivered in RSSB format and made available on SPARK. </w:t>
                  </w:r>
                </w:p>
              </w:tc>
            </w:tr>
          </w:tbl>
          <w:p w14:paraId="4B5FD409" w14:textId="77777777" w:rsidR="005208C0" w:rsidRDefault="005208C0" w:rsidP="00FB6356">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5208C0" w14:paraId="40089199" w14:textId="77777777" w:rsidTr="00FB6356">
              <w:trPr>
                <w:cantSplit/>
              </w:trPr>
              <w:tc>
                <w:tcPr>
                  <w:tcW w:w="5307" w:type="dxa"/>
                  <w:shd w:val="clear" w:color="auto" w:fill="99CC00"/>
                </w:tcPr>
                <w:p w14:paraId="3656439F" w14:textId="77777777" w:rsidR="005208C0" w:rsidRDefault="005208C0" w:rsidP="00FB6356">
                  <w:pPr>
                    <w:pStyle w:val="BodyIndent1"/>
                    <w:rPr>
                      <w:b/>
                    </w:rPr>
                  </w:pPr>
                  <w:r>
                    <w:rPr>
                      <w:b/>
                    </w:rPr>
                    <w:t>3. Pilot outcomes</w:t>
                  </w:r>
                </w:p>
              </w:tc>
              <w:tc>
                <w:tcPr>
                  <w:tcW w:w="2694" w:type="dxa"/>
                  <w:shd w:val="clear" w:color="auto" w:fill="99CC00"/>
                </w:tcPr>
                <w:p w14:paraId="266D0940" w14:textId="77777777" w:rsidR="005208C0" w:rsidRDefault="005208C0" w:rsidP="00FB6356">
                  <w:pPr>
                    <w:pStyle w:val="BodyIndent1"/>
                    <w:rPr>
                      <w:b/>
                    </w:rPr>
                  </w:pPr>
                  <w:r>
                    <w:rPr>
                      <w:b/>
                    </w:rPr>
                    <w:t>Report</w:t>
                  </w:r>
                </w:p>
              </w:tc>
            </w:tr>
            <w:tr w:rsidR="005208C0" w14:paraId="47632F4D" w14:textId="77777777" w:rsidTr="00FB6356">
              <w:trPr>
                <w:cantSplit/>
                <w:tblHeader/>
              </w:trPr>
              <w:tc>
                <w:tcPr>
                  <w:tcW w:w="8001" w:type="dxa"/>
                  <w:gridSpan w:val="2"/>
                  <w:shd w:val="clear" w:color="auto" w:fill="FFFFFF"/>
                </w:tcPr>
                <w:p w14:paraId="23C68103" w14:textId="77777777" w:rsidR="005208C0" w:rsidRDefault="005208C0" w:rsidP="00FB6356">
                  <w:pPr>
                    <w:pStyle w:val="BodyIndent1"/>
                  </w:pPr>
                  <w:r>
                    <w:lastRenderedPageBreak/>
                    <w:t>Findings from the experiences of Operating companies that undertook piloting of any new guidance from the recommendation report. The findings should be considered in relation to success criteria derived from the research (was it a successful pilot and why?)</w:t>
                  </w:r>
                </w:p>
                <w:p w14:paraId="11500F2F" w14:textId="77777777" w:rsidR="005208C0" w:rsidRPr="003E297D" w:rsidRDefault="005208C0" w:rsidP="00FB6356">
                  <w:pPr>
                    <w:pStyle w:val="BodyIndent1"/>
                  </w:pPr>
                  <w:r>
                    <w:t>To be delivered by May 2019.</w:t>
                  </w:r>
                </w:p>
              </w:tc>
            </w:tr>
            <w:tr w:rsidR="005208C0" w:rsidRPr="001E4A38" w14:paraId="6B3E24DC" w14:textId="77777777" w:rsidTr="00FB6356">
              <w:trPr>
                <w:cantSplit/>
                <w:tblHeader/>
              </w:trPr>
              <w:tc>
                <w:tcPr>
                  <w:tcW w:w="8001" w:type="dxa"/>
                  <w:gridSpan w:val="2"/>
                  <w:shd w:val="clear" w:color="auto" w:fill="FFFFFF"/>
                </w:tcPr>
                <w:p w14:paraId="431A83C6" w14:textId="77777777" w:rsidR="005208C0" w:rsidRPr="001E4A38" w:rsidRDefault="005208C0" w:rsidP="00FB6356">
                  <w:pPr>
                    <w:pStyle w:val="BodyIndent1"/>
                  </w:pPr>
                  <w:r w:rsidRPr="001E4A38">
                    <w:t xml:space="preserve">This report will be delivered in RSSB format and made available on SPARK. </w:t>
                  </w:r>
                </w:p>
              </w:tc>
            </w:tr>
          </w:tbl>
          <w:p w14:paraId="4A18F545" w14:textId="77777777" w:rsidR="005208C0" w:rsidRDefault="005208C0" w:rsidP="00FB6356">
            <w:pPr>
              <w:pStyle w:val="Body"/>
            </w:pPr>
            <w:r>
              <w:softHyphen/>
            </w:r>
            <w:r>
              <w:softHyphen/>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5208C0" w14:paraId="4724BE2A" w14:textId="77777777" w:rsidTr="00FB6356">
              <w:trPr>
                <w:cantSplit/>
              </w:trPr>
              <w:tc>
                <w:tcPr>
                  <w:tcW w:w="5307" w:type="dxa"/>
                  <w:shd w:val="clear" w:color="auto" w:fill="99CC00"/>
                </w:tcPr>
                <w:p w14:paraId="3A8640E4" w14:textId="77777777" w:rsidR="005208C0" w:rsidRDefault="005208C0" w:rsidP="00FB6356">
                  <w:pPr>
                    <w:pStyle w:val="BodyIndent1"/>
                    <w:rPr>
                      <w:b/>
                    </w:rPr>
                  </w:pPr>
                  <w:r>
                    <w:rPr>
                      <w:b/>
                    </w:rPr>
                    <w:t>4. Research brief</w:t>
                  </w:r>
                </w:p>
              </w:tc>
              <w:tc>
                <w:tcPr>
                  <w:tcW w:w="2694" w:type="dxa"/>
                  <w:shd w:val="clear" w:color="auto" w:fill="99CC00"/>
                </w:tcPr>
                <w:p w14:paraId="4B744916" w14:textId="77777777" w:rsidR="005208C0" w:rsidRDefault="005208C0" w:rsidP="00FB6356">
                  <w:pPr>
                    <w:pStyle w:val="BodyIndent1"/>
                    <w:rPr>
                      <w:b/>
                    </w:rPr>
                  </w:pPr>
                  <w:r>
                    <w:rPr>
                      <w:b/>
                    </w:rPr>
                    <w:t>Document</w:t>
                  </w:r>
                </w:p>
              </w:tc>
            </w:tr>
            <w:tr w:rsidR="005208C0" w:rsidRPr="005E71C1" w14:paraId="7BD2CE12" w14:textId="77777777" w:rsidTr="00FB6356">
              <w:trPr>
                <w:cantSplit/>
                <w:tblHeader/>
              </w:trPr>
              <w:tc>
                <w:tcPr>
                  <w:tcW w:w="8001" w:type="dxa"/>
                  <w:gridSpan w:val="2"/>
                  <w:shd w:val="clear" w:color="auto" w:fill="FFFFFF"/>
                </w:tcPr>
                <w:p w14:paraId="67A01DAF" w14:textId="77777777" w:rsidR="005208C0" w:rsidRDefault="005208C0" w:rsidP="00FB6356">
                  <w:pPr>
                    <w:pStyle w:val="BodyIndent1"/>
                  </w:pPr>
                  <w:r w:rsidRPr="00AE6A99">
                    <w:t>R742 Braking in snow conditions: Research brief</w:t>
                  </w:r>
                  <w:r>
                    <w:t>. A short document outlining the main conclusions and findings of the research project.</w:t>
                  </w:r>
                </w:p>
                <w:p w14:paraId="049FA6E8" w14:textId="77777777" w:rsidR="005208C0" w:rsidRPr="007361BC" w:rsidRDefault="005208C0" w:rsidP="00FB6356">
                  <w:pPr>
                    <w:pStyle w:val="BodyIndent1"/>
                  </w:pPr>
                  <w:r>
                    <w:t>To be delivered by May 2019.</w:t>
                  </w:r>
                </w:p>
              </w:tc>
            </w:tr>
            <w:tr w:rsidR="005208C0" w:rsidRPr="005E71C1" w14:paraId="5097F622" w14:textId="77777777" w:rsidTr="00FB6356">
              <w:trPr>
                <w:cantSplit/>
                <w:tblHeader/>
              </w:trPr>
              <w:tc>
                <w:tcPr>
                  <w:tcW w:w="8001" w:type="dxa"/>
                  <w:gridSpan w:val="2"/>
                  <w:shd w:val="clear" w:color="auto" w:fill="FFFFFF"/>
                </w:tcPr>
                <w:p w14:paraId="613886CB" w14:textId="77777777" w:rsidR="005208C0" w:rsidRPr="005E71C1" w:rsidRDefault="005208C0" w:rsidP="00FB6356">
                  <w:pPr>
                    <w:pStyle w:val="BodyIndent1"/>
                  </w:pPr>
                  <w:r>
                    <w:t xml:space="preserve">This report will be delivered in RSSB format and made available on SPARK. </w:t>
                  </w:r>
                </w:p>
              </w:tc>
            </w:tr>
          </w:tbl>
          <w:p w14:paraId="70CA4EC4" w14:textId="77777777" w:rsidR="005208C0" w:rsidRPr="00205FB3" w:rsidRDefault="005208C0" w:rsidP="00FB6356">
            <w:pPr>
              <w:pStyle w:val="Body"/>
            </w:pPr>
          </w:p>
        </w:tc>
      </w:tr>
    </w:tbl>
    <w:p w14:paraId="5C36D47F" w14:textId="77777777" w:rsidR="005208C0" w:rsidRDefault="005208C0" w:rsidP="005208C0">
      <w:pPr>
        <w:pStyle w:val="Heading1"/>
      </w:pPr>
      <w:r>
        <w:lastRenderedPageBreak/>
        <w:t xml:space="preserve">Methodology </w:t>
      </w:r>
    </w:p>
    <w:p w14:paraId="3E830093" w14:textId="77777777" w:rsidR="005208C0" w:rsidRPr="008F77F0" w:rsidRDefault="005208C0" w:rsidP="005208C0">
      <w:pPr>
        <w:pStyle w:val="Body"/>
      </w:pPr>
      <w:r w:rsidRPr="00636A8A">
        <w:t xml:space="preserve">The structure of the work packages is </w:t>
      </w:r>
      <w:r>
        <w:t>open to the supplier to define</w:t>
      </w:r>
      <w:r w:rsidRPr="00636A8A">
        <w:t xml:space="preserve">. </w:t>
      </w:r>
    </w:p>
    <w:p w14:paraId="42B9EB95" w14:textId="77777777" w:rsidR="005208C0" w:rsidRDefault="005208C0" w:rsidP="005208C0">
      <w:pPr>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 xml:space="preserve">expected to explain the methodology that they are intending to use to successful cover the scope (section </w:t>
      </w:r>
      <w:r w:rsidRPr="009063C2">
        <w:rPr>
          <w:rFonts w:ascii="Calibri" w:hAnsi="Calibri" w:cs="Arial"/>
          <w:lang w:eastAsia="en-GB"/>
        </w:rPr>
        <w:t>3</w:t>
      </w:r>
      <w:r>
        <w:rPr>
          <w:rFonts w:ascii="Calibri" w:hAnsi="Calibri" w:cs="Arial"/>
          <w:lang w:eastAsia="en-GB"/>
        </w:rPr>
        <w:t xml:space="preserve">), meet the RSSB objectives for this work (section </w:t>
      </w:r>
      <w:r w:rsidRPr="009063C2">
        <w:rPr>
          <w:rFonts w:ascii="Calibri" w:hAnsi="Calibri" w:cs="Arial"/>
          <w:lang w:eastAsia="en-GB"/>
        </w:rPr>
        <w:t>2</w:t>
      </w:r>
      <w:r>
        <w:rPr>
          <w:rFonts w:ascii="Calibri" w:hAnsi="Calibri" w:cs="Arial"/>
          <w:lang w:eastAsia="en-GB"/>
        </w:rPr>
        <w:t xml:space="preserve">) and complete the deliverables (section 4).  </w:t>
      </w:r>
    </w:p>
    <w:p w14:paraId="718F8758" w14:textId="77777777" w:rsidR="005208C0" w:rsidRDefault="005208C0" w:rsidP="005208C0">
      <w:pPr>
        <w:rPr>
          <w:rFonts w:ascii="Calibri" w:hAnsi="Calibri" w:cs="Arial"/>
          <w:lang w:eastAsia="en-GB"/>
        </w:rPr>
      </w:pPr>
    </w:p>
    <w:p w14:paraId="2A484177" w14:textId="77777777" w:rsidR="005208C0" w:rsidRDefault="005208C0" w:rsidP="005208C0">
      <w:pPr>
        <w:pStyle w:val="Heading1"/>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5208C0" w14:paraId="00AE4CD3" w14:textId="77777777" w:rsidTr="00FB6356">
        <w:tc>
          <w:tcPr>
            <w:tcW w:w="1816" w:type="dxa"/>
            <w:vAlign w:val="center"/>
          </w:tcPr>
          <w:p w14:paraId="31044DDE" w14:textId="77777777" w:rsidR="005208C0" w:rsidRPr="00325F01" w:rsidRDefault="005208C0" w:rsidP="00FB6356">
            <w:pPr>
              <w:pStyle w:val="Body"/>
            </w:pPr>
          </w:p>
        </w:tc>
        <w:tc>
          <w:tcPr>
            <w:tcW w:w="3849" w:type="dxa"/>
            <w:vAlign w:val="center"/>
          </w:tcPr>
          <w:p w14:paraId="0D2C1D1C" w14:textId="77777777" w:rsidR="005208C0" w:rsidRPr="00325F01" w:rsidRDefault="005208C0" w:rsidP="00FB6356">
            <w:pPr>
              <w:rPr>
                <w:rFonts w:asciiTheme="minorHAnsi" w:hAnsiTheme="minorHAnsi" w:cs="Arial"/>
              </w:rPr>
            </w:pPr>
            <w:r w:rsidRPr="00325F01">
              <w:rPr>
                <w:rFonts w:asciiTheme="minorHAnsi" w:hAnsiTheme="minorHAnsi" w:cs="Arial"/>
                <w:b/>
                <w:bCs/>
                <w:kern w:val="28"/>
              </w:rPr>
              <w:t>General role in project</w:t>
            </w:r>
          </w:p>
        </w:tc>
        <w:tc>
          <w:tcPr>
            <w:tcW w:w="2694" w:type="dxa"/>
            <w:vAlign w:val="center"/>
          </w:tcPr>
          <w:p w14:paraId="70657E61" w14:textId="77777777" w:rsidR="005208C0" w:rsidRPr="00325F01" w:rsidRDefault="005208C0" w:rsidP="00FB6356">
            <w:pPr>
              <w:rPr>
                <w:rFonts w:asciiTheme="minorHAnsi" w:hAnsiTheme="minorHAnsi" w:cs="Arial"/>
              </w:rPr>
            </w:pPr>
            <w:r w:rsidRPr="00325F01">
              <w:rPr>
                <w:rFonts w:asciiTheme="minorHAnsi" w:hAnsiTheme="minorHAnsi" w:cs="Arial"/>
                <w:b/>
                <w:bCs/>
                <w:kern w:val="28"/>
              </w:rPr>
              <w:t>Specific role in acceptance of deliverables</w:t>
            </w:r>
          </w:p>
        </w:tc>
      </w:tr>
      <w:tr w:rsidR="005208C0" w14:paraId="33005FE8" w14:textId="77777777" w:rsidTr="00FB6356">
        <w:tc>
          <w:tcPr>
            <w:tcW w:w="1816" w:type="dxa"/>
            <w:vAlign w:val="center"/>
          </w:tcPr>
          <w:p w14:paraId="39C5D840" w14:textId="77777777" w:rsidR="005208C0" w:rsidRPr="006B076F" w:rsidRDefault="005208C0" w:rsidP="00FB6356">
            <w:pPr>
              <w:rPr>
                <w:rFonts w:asciiTheme="minorHAnsi" w:hAnsiTheme="minorHAnsi" w:cs="Arial"/>
                <w:color w:val="000000" w:themeColor="dark1"/>
                <w:kern w:val="28"/>
              </w:rPr>
            </w:pPr>
            <w:r>
              <w:rPr>
                <w:rFonts w:asciiTheme="minorHAnsi" w:hAnsiTheme="minorHAnsi" w:cs="Arial"/>
                <w:color w:val="000000" w:themeColor="dark1"/>
                <w:kern w:val="28"/>
              </w:rPr>
              <w:t>RSSB project</w:t>
            </w:r>
            <w:r w:rsidRPr="006B076F">
              <w:rPr>
                <w:rFonts w:asciiTheme="minorHAnsi" w:hAnsiTheme="minorHAnsi" w:cs="Arial"/>
                <w:color w:val="000000" w:themeColor="dark1"/>
                <w:kern w:val="28"/>
              </w:rPr>
              <w:t xml:space="preserve"> manager</w:t>
            </w:r>
          </w:p>
        </w:tc>
        <w:tc>
          <w:tcPr>
            <w:tcW w:w="3849" w:type="dxa"/>
            <w:vAlign w:val="center"/>
          </w:tcPr>
          <w:p w14:paraId="7605DF6C" w14:textId="77777777" w:rsidR="005208C0" w:rsidRPr="006B076F" w:rsidRDefault="005208C0" w:rsidP="00FB6356">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 xml:space="preserve">The </w:t>
            </w:r>
            <w:r>
              <w:rPr>
                <w:rFonts w:asciiTheme="minorHAnsi" w:hAnsiTheme="minorHAnsi" w:cs="Arial"/>
                <w:color w:val="000000" w:themeColor="dark1"/>
                <w:kern w:val="28"/>
                <w:sz w:val="22"/>
                <w:szCs w:val="22"/>
                <w:lang w:eastAsia="en-US"/>
              </w:rPr>
              <w:t>project</w:t>
            </w:r>
            <w:r w:rsidRPr="006B076F">
              <w:rPr>
                <w:rFonts w:asciiTheme="minorHAnsi" w:hAnsiTheme="minorHAnsi" w:cs="Arial"/>
                <w:color w:val="000000" w:themeColor="dark1"/>
                <w:kern w:val="28"/>
                <w:sz w:val="22"/>
                <w:szCs w:val="22"/>
                <w:lang w:eastAsia="en-US"/>
              </w:rPr>
              <w:t xml:space="preserve"> manager is responsible for the detailed project management including project schedules, cost reporting and other relevant project management tasks. </w:t>
            </w:r>
          </w:p>
          <w:p w14:paraId="5A59252C" w14:textId="77777777" w:rsidR="005208C0" w:rsidRPr="006B076F" w:rsidRDefault="005208C0" w:rsidP="00FB6356">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The </w:t>
            </w:r>
            <w:r>
              <w:rPr>
                <w:rFonts w:asciiTheme="minorHAnsi" w:hAnsiTheme="minorHAnsi" w:cs="Arial"/>
                <w:color w:val="000000" w:themeColor="dark1"/>
                <w:kern w:val="28"/>
              </w:rPr>
              <w:t>project</w:t>
            </w:r>
            <w:r w:rsidRPr="006B076F">
              <w:rPr>
                <w:rFonts w:asciiTheme="minorHAnsi" w:hAnsiTheme="minorHAnsi" w:cs="Arial"/>
                <w:color w:val="000000" w:themeColor="dark1"/>
                <w:kern w:val="28"/>
              </w:rPr>
              <w:t xml:space="preserve"> manager leads the project in organising meetings, etc and ensures timely and effective delivery towards project objectives.</w:t>
            </w:r>
          </w:p>
        </w:tc>
        <w:tc>
          <w:tcPr>
            <w:tcW w:w="2694" w:type="dxa"/>
          </w:tcPr>
          <w:p w14:paraId="28F3FB67" w14:textId="77777777" w:rsidR="005208C0" w:rsidRPr="006B076F" w:rsidRDefault="005208C0" w:rsidP="00FB6356">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5208C0" w14:paraId="0224D184" w14:textId="77777777" w:rsidTr="00FB6356">
        <w:tc>
          <w:tcPr>
            <w:tcW w:w="1816" w:type="dxa"/>
            <w:vAlign w:val="center"/>
          </w:tcPr>
          <w:p w14:paraId="306C17AE" w14:textId="77777777" w:rsidR="005208C0" w:rsidRPr="007715AE" w:rsidRDefault="005208C0" w:rsidP="00FB6356">
            <w:pPr>
              <w:rPr>
                <w:rFonts w:asciiTheme="minorHAnsi" w:hAnsiTheme="minorHAnsi" w:cs="Arial"/>
              </w:rPr>
            </w:pPr>
            <w:r w:rsidRPr="007715AE">
              <w:rPr>
                <w:rFonts w:asciiTheme="minorHAnsi" w:hAnsiTheme="minorHAnsi" w:cs="Arial"/>
                <w:color w:val="000000" w:themeColor="dark1"/>
                <w:kern w:val="28"/>
              </w:rPr>
              <w:t>Technical expert</w:t>
            </w:r>
          </w:p>
        </w:tc>
        <w:tc>
          <w:tcPr>
            <w:tcW w:w="3849" w:type="dxa"/>
            <w:vAlign w:val="center"/>
          </w:tcPr>
          <w:p w14:paraId="3DD5443B" w14:textId="77777777" w:rsidR="005208C0" w:rsidRPr="007715AE" w:rsidRDefault="005208C0" w:rsidP="00FB6356">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 xml:space="preserve">Throughout the project, the technical expert ensures that technical aspects are reflected accurately. </w:t>
            </w:r>
          </w:p>
          <w:p w14:paraId="39A752FE" w14:textId="77777777" w:rsidR="005208C0" w:rsidRPr="007715AE" w:rsidRDefault="005208C0" w:rsidP="00FB6356">
            <w:pPr>
              <w:rPr>
                <w:rFonts w:asciiTheme="minorHAnsi" w:hAnsiTheme="minorHAnsi" w:cs="Arial"/>
              </w:rPr>
            </w:pPr>
            <w:r w:rsidRPr="007715AE">
              <w:rPr>
                <w:rFonts w:asciiTheme="minorHAnsi" w:hAnsiTheme="minorHAnsi" w:cs="Arial"/>
                <w:color w:val="000000" w:themeColor="dark1"/>
                <w:kern w:val="28"/>
              </w:rPr>
              <w:t xml:space="preserve">Technical aspects can refer to specific issues around railway signalling, track engineering, safety relevant operations or any other specialist field. </w:t>
            </w:r>
          </w:p>
        </w:tc>
        <w:tc>
          <w:tcPr>
            <w:tcW w:w="2694" w:type="dxa"/>
          </w:tcPr>
          <w:p w14:paraId="63279FA8" w14:textId="77777777" w:rsidR="005208C0" w:rsidRPr="007715AE" w:rsidRDefault="005208C0" w:rsidP="00FB6356">
            <w:pPr>
              <w:rPr>
                <w:rFonts w:asciiTheme="minorHAnsi" w:hAnsiTheme="minorHAnsi" w:cs="Arial"/>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r w:rsidR="005208C0" w14:paraId="496C4158" w14:textId="77777777" w:rsidTr="00FB6356">
        <w:tc>
          <w:tcPr>
            <w:tcW w:w="1816" w:type="dxa"/>
            <w:vAlign w:val="center"/>
          </w:tcPr>
          <w:p w14:paraId="5986747E" w14:textId="77777777" w:rsidR="005208C0" w:rsidRPr="00420F8C" w:rsidRDefault="005208C0" w:rsidP="00FB6356">
            <w:pPr>
              <w:rPr>
                <w:rFonts w:asciiTheme="minorHAnsi" w:hAnsiTheme="minorHAnsi" w:cs="Arial"/>
              </w:rPr>
            </w:pPr>
            <w:r>
              <w:rPr>
                <w:rFonts w:asciiTheme="minorHAnsi" w:hAnsiTheme="minorHAnsi" w:cs="Arial"/>
                <w:color w:val="000000" w:themeColor="dark1"/>
                <w:kern w:val="28"/>
              </w:rPr>
              <w:lastRenderedPageBreak/>
              <w:t>Industry and RSSB sponsor</w:t>
            </w:r>
          </w:p>
        </w:tc>
        <w:tc>
          <w:tcPr>
            <w:tcW w:w="3849" w:type="dxa"/>
            <w:vAlign w:val="center"/>
          </w:tcPr>
          <w:p w14:paraId="162FE0D1" w14:textId="77777777" w:rsidR="005208C0" w:rsidRPr="00420F8C" w:rsidRDefault="005208C0" w:rsidP="00FB6356">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45D070A4" w14:textId="77777777" w:rsidR="005208C0" w:rsidRPr="00420F8C" w:rsidRDefault="005208C0" w:rsidP="00FB6356">
            <w:pPr>
              <w:rPr>
                <w:rFonts w:asciiTheme="minorHAnsi" w:hAnsiTheme="minorHAnsi" w:cs="Arial"/>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687E1EB0" w14:textId="77777777" w:rsidR="005208C0" w:rsidRPr="00325F01" w:rsidRDefault="005208C0" w:rsidP="00FB6356">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5208C0" w14:paraId="303C3679" w14:textId="77777777" w:rsidTr="00FB6356">
        <w:tc>
          <w:tcPr>
            <w:tcW w:w="1816" w:type="dxa"/>
            <w:vAlign w:val="center"/>
          </w:tcPr>
          <w:p w14:paraId="5913AD07" w14:textId="77777777" w:rsidR="005208C0" w:rsidRPr="00420F8C" w:rsidRDefault="005208C0" w:rsidP="00FB6356">
            <w:pPr>
              <w:rPr>
                <w:rFonts w:asciiTheme="minorHAnsi" w:hAnsiTheme="minorHAnsi" w:cs="Arial"/>
              </w:rPr>
            </w:pPr>
            <w:r w:rsidRPr="00420F8C">
              <w:rPr>
                <w:rFonts w:asciiTheme="minorHAnsi" w:hAnsiTheme="minorHAnsi" w:cs="Arial"/>
                <w:color w:val="000000" w:themeColor="dark1"/>
                <w:kern w:val="28"/>
              </w:rPr>
              <w:t>Project supporters</w:t>
            </w:r>
          </w:p>
        </w:tc>
        <w:tc>
          <w:tcPr>
            <w:tcW w:w="3849" w:type="dxa"/>
            <w:vAlign w:val="center"/>
          </w:tcPr>
          <w:p w14:paraId="62E1BA23" w14:textId="77777777" w:rsidR="005208C0" w:rsidRPr="00420F8C" w:rsidRDefault="005208C0" w:rsidP="00FB6356">
            <w:pPr>
              <w:rPr>
                <w:rFonts w:asciiTheme="minorHAnsi" w:hAnsiTheme="minorHAnsi" w:cs="Arial"/>
              </w:rPr>
            </w:pPr>
            <w:r w:rsidRPr="00420F8C">
              <w:rPr>
                <w:rFonts w:asciiTheme="minorHAnsi" w:hAnsiTheme="minorHAnsi" w:cs="Arial"/>
                <w:color w:val="000000" w:themeColor="dark1"/>
                <w:kern w:val="28"/>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94" w:type="dxa"/>
          </w:tcPr>
          <w:p w14:paraId="08AEAD54" w14:textId="77777777" w:rsidR="005208C0" w:rsidRPr="00325F01" w:rsidRDefault="005208C0" w:rsidP="00FB6356">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5208C0" w14:paraId="7D3AD5D3" w14:textId="77777777" w:rsidTr="00FB6356">
        <w:tc>
          <w:tcPr>
            <w:tcW w:w="1816" w:type="dxa"/>
            <w:vAlign w:val="center"/>
          </w:tcPr>
          <w:p w14:paraId="11029A53" w14:textId="77777777" w:rsidR="005208C0" w:rsidRPr="00420F8C" w:rsidRDefault="005208C0" w:rsidP="00FB6356">
            <w:pPr>
              <w:rPr>
                <w:rFonts w:asciiTheme="minorHAnsi" w:hAnsiTheme="minorHAnsi" w:cs="Arial"/>
              </w:rPr>
            </w:pPr>
            <w:r w:rsidRPr="00420F8C">
              <w:rPr>
                <w:rFonts w:asciiTheme="minorHAnsi" w:hAnsiTheme="minorHAnsi" w:cs="Arial"/>
                <w:color w:val="000000" w:themeColor="dark1"/>
                <w:kern w:val="28"/>
              </w:rPr>
              <w:t>Project steering group</w:t>
            </w:r>
          </w:p>
        </w:tc>
        <w:tc>
          <w:tcPr>
            <w:tcW w:w="3849" w:type="dxa"/>
            <w:vAlign w:val="center"/>
          </w:tcPr>
          <w:p w14:paraId="2BE717E1" w14:textId="77777777" w:rsidR="005208C0" w:rsidRPr="00420F8C" w:rsidRDefault="005208C0" w:rsidP="00FB6356">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5B8BCF47" w14:textId="77777777" w:rsidR="005208C0" w:rsidRPr="00420F8C" w:rsidRDefault="005208C0" w:rsidP="00FB6356">
            <w:pPr>
              <w:rPr>
                <w:rFonts w:asciiTheme="minorHAnsi" w:hAnsiTheme="minorHAnsi" w:cs="Arial"/>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1D9BCE02" w14:textId="77777777" w:rsidR="005208C0" w:rsidRPr="00420F8C" w:rsidRDefault="005208C0" w:rsidP="00FB6356">
            <w:pPr>
              <w:rPr>
                <w:rFonts w:asciiTheme="minorHAnsi" w:hAnsiTheme="minorHAnsi" w:cs="Arial"/>
              </w:rPr>
            </w:pPr>
            <w:r w:rsidRPr="00420F8C">
              <w:rPr>
                <w:rFonts w:asciiTheme="minorHAnsi" w:hAnsiTheme="minorHAnsi" w:cs="Arial"/>
                <w:color w:val="000000" w:themeColor="dark1"/>
                <w:kern w:val="28"/>
              </w:rPr>
              <w:t xml:space="preserve">Formally accepts deliverables </w:t>
            </w:r>
          </w:p>
        </w:tc>
      </w:tr>
    </w:tbl>
    <w:p w14:paraId="5529FB35" w14:textId="77777777" w:rsidR="005208C0" w:rsidRDefault="005208C0" w:rsidP="005208C0">
      <w:pPr>
        <w:rPr>
          <w:rFonts w:ascii="Calibri" w:hAnsi="Calibri" w:cs="Arial"/>
          <w:lang w:eastAsia="en-GB"/>
        </w:rPr>
      </w:pPr>
    </w:p>
    <w:p w14:paraId="46970E53" w14:textId="77777777" w:rsidR="005208C0" w:rsidRDefault="005208C0" w:rsidP="005208C0">
      <w:pPr>
        <w:rPr>
          <w:rFonts w:ascii="Calibri" w:hAnsi="Calibri" w:cs="Arial"/>
          <w:lang w:eastAsia="en-GB"/>
        </w:rPr>
      </w:pPr>
    </w:p>
    <w:p w14:paraId="2C0D5979" w14:textId="77777777" w:rsidR="005208C0" w:rsidRDefault="005208C0" w:rsidP="005208C0">
      <w:pPr>
        <w:rPr>
          <w:rFonts w:ascii="Calibri" w:hAnsi="Calibri" w:cs="Arial"/>
          <w:lang w:eastAsia="en-GB"/>
        </w:rPr>
      </w:pPr>
    </w:p>
    <w:p w14:paraId="172E5033" w14:textId="77777777" w:rsidR="005208C0" w:rsidRDefault="005208C0" w:rsidP="005208C0">
      <w:pPr>
        <w:pStyle w:val="Heading1"/>
      </w:pPr>
      <w:r>
        <w:t>Budget, timescales and dependencies</w:t>
      </w:r>
    </w:p>
    <w:p w14:paraId="66C774D0" w14:textId="77777777" w:rsidR="005208C0" w:rsidRDefault="005208C0" w:rsidP="005208C0">
      <w:pPr>
        <w:rPr>
          <w:rFonts w:ascii="Calibri" w:hAnsi="Calibri" w:cs="Arial"/>
          <w:lang w:eastAsia="en-GB"/>
        </w:rPr>
      </w:pPr>
      <w:r>
        <w:rPr>
          <w:rFonts w:ascii="Calibri" w:hAnsi="Calibri" w:cs="Arial"/>
          <w:lang w:eastAsia="en-GB"/>
        </w:rPr>
        <w:t>The budget for this work is up to £</w:t>
      </w:r>
      <w:r w:rsidRPr="009063C2">
        <w:rPr>
          <w:rFonts w:ascii="Calibri" w:hAnsi="Calibri" w:cs="Arial"/>
          <w:lang w:eastAsia="en-GB"/>
        </w:rPr>
        <w:t>50,000</w:t>
      </w:r>
      <w:r>
        <w:rPr>
          <w:rFonts w:ascii="Calibri" w:hAnsi="Calibri" w:cs="Arial"/>
          <w:i/>
          <w:lang w:eastAsia="en-GB"/>
        </w:rPr>
        <w:t xml:space="preserve">. </w:t>
      </w:r>
      <w:r>
        <w:rPr>
          <w:rFonts w:ascii="Calibri" w:hAnsi="Calibri" w:cs="Arial"/>
          <w:lang w:eastAsia="en-GB"/>
        </w:rPr>
        <w:t xml:space="preserve">Any bid above this value will need to provide detailed explanation on why the supplier doesn’t feel that the budget is adequate, and, in such case, we strongly encourage suppliers to provide costed options for RSSB to consider. </w:t>
      </w:r>
    </w:p>
    <w:p w14:paraId="0CD949ED" w14:textId="77777777" w:rsidR="005208C0" w:rsidRDefault="005208C0" w:rsidP="005208C0">
      <w:pPr>
        <w:rPr>
          <w:rFonts w:ascii="Calibri" w:hAnsi="Calibri" w:cs="Arial"/>
          <w:lang w:eastAsia="en-GB"/>
        </w:rPr>
      </w:pPr>
    </w:p>
    <w:p w14:paraId="06F5ADF7" w14:textId="77777777" w:rsidR="005208C0" w:rsidRDefault="005208C0" w:rsidP="005208C0">
      <w:pPr>
        <w:rPr>
          <w:rFonts w:ascii="Calibri" w:hAnsi="Calibri" w:cs="Arial"/>
          <w:lang w:eastAsia="en-GB"/>
        </w:rPr>
      </w:pPr>
      <w:r>
        <w:rPr>
          <w:rFonts w:ascii="Calibri" w:hAnsi="Calibri" w:cs="Arial"/>
          <w:lang w:eastAsia="en-GB"/>
        </w:rPr>
        <w:t>T</w:t>
      </w:r>
      <w:r w:rsidRPr="009B1582">
        <w:rPr>
          <w:rFonts w:ascii="Calibri" w:hAnsi="Calibri" w:cs="Arial"/>
          <w:lang w:eastAsia="en-GB"/>
        </w:rPr>
        <w:t xml:space="preserve">he completion date is expected to be on </w:t>
      </w:r>
      <w:r w:rsidRPr="009063C2">
        <w:rPr>
          <w:rFonts w:ascii="Calibri" w:hAnsi="Calibri" w:cs="Arial"/>
          <w:lang w:eastAsia="en-GB"/>
        </w:rPr>
        <w:t xml:space="preserve">May 2019. However, the key delivery timeframe is for the completion of deliverable 2, which </w:t>
      </w:r>
      <w:r w:rsidRPr="009B1582">
        <w:rPr>
          <w:rFonts w:ascii="Calibri" w:hAnsi="Calibri" w:cs="Arial"/>
          <w:lang w:eastAsia="en-GB"/>
        </w:rPr>
        <w:t xml:space="preserve">is driven </w:t>
      </w:r>
      <w:r>
        <w:rPr>
          <w:rFonts w:ascii="Calibri" w:hAnsi="Calibri" w:cs="Arial"/>
          <w:lang w:eastAsia="en-GB"/>
        </w:rPr>
        <w:t>by the target to trial the findings in the upcoming winter (2018/2019)</w:t>
      </w:r>
      <w:r w:rsidRPr="009B1582">
        <w:rPr>
          <w:rFonts w:ascii="Calibri" w:hAnsi="Calibri" w:cs="Arial"/>
          <w:lang w:eastAsia="en-GB"/>
        </w:rPr>
        <w:t xml:space="preserve">. </w:t>
      </w:r>
    </w:p>
    <w:p w14:paraId="1A1F9E4C" w14:textId="77777777" w:rsidR="005208C0" w:rsidRDefault="005208C0" w:rsidP="005208C0">
      <w:pPr>
        <w:rPr>
          <w:rFonts w:ascii="Calibri" w:hAnsi="Calibri" w:cs="Arial"/>
          <w:lang w:eastAsia="en-GB"/>
        </w:rPr>
      </w:pPr>
    </w:p>
    <w:p w14:paraId="4A087A9D" w14:textId="77777777" w:rsidR="005208C0" w:rsidRPr="009B1582" w:rsidRDefault="005208C0" w:rsidP="005208C0">
      <w:pPr>
        <w:rPr>
          <w:rFonts w:ascii="Calibri" w:hAnsi="Calibri" w:cs="Arial"/>
          <w:lang w:eastAsia="en-GB"/>
        </w:rPr>
      </w:pPr>
      <w:r w:rsidRPr="009B1582">
        <w:rPr>
          <w:rFonts w:ascii="Calibri" w:hAnsi="Calibri" w:cs="Arial"/>
          <w:lang w:eastAsia="en-GB"/>
        </w:rPr>
        <w:t>Bids will need to include a robust and realistic project plan that clearly shows when deliverables will be produced and how they will feed and enable the overall deliverable schedule to be met.</w:t>
      </w:r>
      <w:r>
        <w:rPr>
          <w:rFonts w:ascii="Calibri" w:hAnsi="Calibri" w:cs="Arial"/>
          <w:lang w:eastAsia="en-GB"/>
        </w:rPr>
        <w:t xml:space="preserve"> The project is expected to be costed in two phases, with a stage gate. Phase 1 concludes with deliverable 2 and the stage gate will be assessed for progression into phase 2.</w:t>
      </w:r>
    </w:p>
    <w:p w14:paraId="4254AAEF" w14:textId="77777777" w:rsidR="005208C0" w:rsidRPr="00206FB1" w:rsidRDefault="005208C0" w:rsidP="005208C0">
      <w:pPr>
        <w:rPr>
          <w:rFonts w:ascii="Calibri" w:hAnsi="Calibri" w:cs="Arial"/>
          <w:lang w:eastAsia="en-GB"/>
        </w:rPr>
      </w:pPr>
    </w:p>
    <w:p w14:paraId="452E5AC1" w14:textId="77777777" w:rsidR="005208C0" w:rsidRDefault="005208C0" w:rsidP="005208C0">
      <w:pPr>
        <w:rPr>
          <w:rFonts w:ascii="Calibri" w:hAnsi="Calibri" w:cs="Arial"/>
          <w:lang w:eastAsia="en-GB"/>
        </w:rPr>
      </w:pPr>
      <w:r>
        <w:rPr>
          <w:rFonts w:ascii="Calibri" w:hAnsi="Calibri" w:cs="Arial"/>
          <w:lang w:eastAsia="en-GB"/>
        </w:rPr>
        <w:lastRenderedPageBreak/>
        <w:t>The project is not seen to have any interdependencies with other research projects or industry initiatives.</w:t>
      </w:r>
    </w:p>
    <w:p w14:paraId="1E5C8657" w14:textId="77777777" w:rsidR="005208C0" w:rsidRDefault="005208C0" w:rsidP="005208C0">
      <w:pPr>
        <w:rPr>
          <w:rFonts w:ascii="Calibri" w:hAnsi="Calibri" w:cs="Arial"/>
          <w:lang w:eastAsia="en-GB"/>
        </w:rPr>
      </w:pPr>
    </w:p>
    <w:p w14:paraId="5E9A847B" w14:textId="77777777" w:rsidR="005208C0" w:rsidRPr="00325F01" w:rsidRDefault="005208C0" w:rsidP="005208C0">
      <w:pPr>
        <w:rPr>
          <w:rFonts w:ascii="Calibri" w:hAnsi="Calibri" w:cs="Arial"/>
          <w:lang w:eastAsia="en-GB"/>
        </w:rPr>
      </w:pPr>
    </w:p>
    <w:p w14:paraId="68D94A75" w14:textId="77777777" w:rsidR="005208C0" w:rsidRDefault="005208C0" w:rsidP="005208C0">
      <w:pPr>
        <w:pStyle w:val="Heading1"/>
      </w:pPr>
      <w:r>
        <w:t>Critical success factors and risk management</w:t>
      </w:r>
    </w:p>
    <w:p w14:paraId="730A5A4B" w14:textId="77777777" w:rsidR="005208C0" w:rsidRDefault="005208C0" w:rsidP="005208C0">
      <w:pPr>
        <w:pStyle w:val="Heading1"/>
        <w:spacing w:line="240" w:lineRule="auto"/>
        <w:rPr>
          <w:color w:val="auto"/>
          <w:sz w:val="22"/>
        </w:rPr>
      </w:pPr>
      <w:r w:rsidRPr="001E4A38">
        <w:rPr>
          <w:color w:val="auto"/>
          <w:sz w:val="22"/>
        </w:rPr>
        <w:t>The supplier should ensure that relevant risks are identified and managed within their proposed method. Some high-level risks to consider include:</w:t>
      </w:r>
    </w:p>
    <w:p w14:paraId="6F36EFBF" w14:textId="77777777" w:rsidR="005208C0" w:rsidRDefault="005208C0" w:rsidP="005208C0">
      <w:pPr>
        <w:pStyle w:val="Heading1"/>
        <w:numPr>
          <w:ilvl w:val="0"/>
          <w:numId w:val="49"/>
        </w:numPr>
        <w:spacing w:line="240" w:lineRule="auto"/>
        <w:rPr>
          <w:color w:val="auto"/>
          <w:sz w:val="22"/>
        </w:rPr>
      </w:pPr>
      <w:r>
        <w:rPr>
          <w:color w:val="auto"/>
          <w:sz w:val="22"/>
        </w:rPr>
        <w:t>Research should include the assessment of data from industry, brake suppliers and manufacturers. In the same line of thought, the access to information on international practices (as previously mentioned) is important for ‘real-world’ applicability of the project. Both can be mitigated by:</w:t>
      </w:r>
    </w:p>
    <w:p w14:paraId="29986002" w14:textId="77777777" w:rsidR="005208C0" w:rsidRDefault="005208C0" w:rsidP="005208C0">
      <w:pPr>
        <w:pStyle w:val="Heading1"/>
        <w:numPr>
          <w:ilvl w:val="1"/>
          <w:numId w:val="49"/>
        </w:numPr>
        <w:spacing w:line="240" w:lineRule="auto"/>
        <w:rPr>
          <w:color w:val="auto"/>
          <w:sz w:val="22"/>
        </w:rPr>
      </w:pPr>
      <w:r>
        <w:rPr>
          <w:color w:val="auto"/>
          <w:sz w:val="22"/>
        </w:rPr>
        <w:t>Utilising appropriate industry contacts</w:t>
      </w:r>
    </w:p>
    <w:p w14:paraId="55A7FCAD" w14:textId="77777777" w:rsidR="005208C0" w:rsidRDefault="005208C0" w:rsidP="005208C0">
      <w:pPr>
        <w:pStyle w:val="Heading1"/>
        <w:numPr>
          <w:ilvl w:val="1"/>
          <w:numId w:val="49"/>
        </w:numPr>
        <w:spacing w:line="240" w:lineRule="auto"/>
        <w:rPr>
          <w:color w:val="auto"/>
          <w:sz w:val="22"/>
        </w:rPr>
      </w:pPr>
      <w:r>
        <w:rPr>
          <w:color w:val="auto"/>
          <w:sz w:val="22"/>
        </w:rPr>
        <w:t xml:space="preserve">Identifying the data required early in the process and asking for access pre-emptively. </w:t>
      </w:r>
    </w:p>
    <w:p w14:paraId="28954B6C" w14:textId="77777777" w:rsidR="005208C0" w:rsidRDefault="005208C0" w:rsidP="005208C0">
      <w:pPr>
        <w:pStyle w:val="Heading1"/>
        <w:numPr>
          <w:ilvl w:val="0"/>
          <w:numId w:val="49"/>
        </w:numPr>
        <w:spacing w:line="240" w:lineRule="auto"/>
        <w:rPr>
          <w:color w:val="auto"/>
          <w:sz w:val="22"/>
        </w:rPr>
      </w:pPr>
      <w:r>
        <w:rPr>
          <w:color w:val="auto"/>
          <w:sz w:val="22"/>
        </w:rPr>
        <w:t>Operator engagement in piloting, where operators will need to agree to pilot the approach and provide access to data and staff to assess the outcome of the pilots</w:t>
      </w:r>
    </w:p>
    <w:p w14:paraId="027B2828" w14:textId="77777777" w:rsidR="005208C0" w:rsidRDefault="005208C0" w:rsidP="005208C0">
      <w:pPr>
        <w:pStyle w:val="Heading1"/>
        <w:numPr>
          <w:ilvl w:val="1"/>
          <w:numId w:val="49"/>
        </w:numPr>
        <w:spacing w:line="240" w:lineRule="auto"/>
        <w:rPr>
          <w:color w:val="auto"/>
          <w:sz w:val="22"/>
        </w:rPr>
      </w:pPr>
      <w:r>
        <w:rPr>
          <w:color w:val="auto"/>
          <w:sz w:val="22"/>
        </w:rPr>
        <w:t>RSSB will be responsible for engaging the operators and agreeing access to data and staff</w:t>
      </w:r>
    </w:p>
    <w:p w14:paraId="49C049AB" w14:textId="77777777" w:rsidR="005208C0" w:rsidRDefault="005208C0" w:rsidP="005208C0">
      <w:pPr>
        <w:pStyle w:val="Heading1"/>
        <w:numPr>
          <w:ilvl w:val="1"/>
          <w:numId w:val="49"/>
        </w:numPr>
        <w:spacing w:line="240" w:lineRule="auto"/>
        <w:rPr>
          <w:color w:val="auto"/>
          <w:sz w:val="22"/>
        </w:rPr>
      </w:pPr>
      <w:r>
        <w:rPr>
          <w:color w:val="auto"/>
          <w:sz w:val="22"/>
        </w:rPr>
        <w:t>The supplier will be responsible for agreeing the operating patterns, collecting data and synthesising the results.</w:t>
      </w:r>
    </w:p>
    <w:p w14:paraId="70D6F55E" w14:textId="77777777" w:rsidR="005208C0" w:rsidRDefault="005208C0" w:rsidP="005208C0">
      <w:pPr>
        <w:pStyle w:val="Heading1"/>
        <w:numPr>
          <w:ilvl w:val="0"/>
          <w:numId w:val="49"/>
        </w:numPr>
        <w:spacing w:line="240" w:lineRule="auto"/>
        <w:rPr>
          <w:color w:val="auto"/>
          <w:sz w:val="22"/>
        </w:rPr>
      </w:pPr>
      <w:r>
        <w:rPr>
          <w:color w:val="auto"/>
          <w:sz w:val="22"/>
        </w:rPr>
        <w:t>Appropriate weather conditions in which to pilot the recommendations</w:t>
      </w:r>
    </w:p>
    <w:p w14:paraId="01901C9A" w14:textId="77777777" w:rsidR="005208C0" w:rsidRDefault="005208C0" w:rsidP="005208C0">
      <w:pPr>
        <w:pStyle w:val="Heading1"/>
        <w:spacing w:line="240" w:lineRule="auto"/>
        <w:rPr>
          <w:color w:val="auto"/>
          <w:sz w:val="22"/>
        </w:rPr>
      </w:pPr>
      <w:r>
        <w:rPr>
          <w:color w:val="auto"/>
          <w:sz w:val="22"/>
        </w:rPr>
        <w:t xml:space="preserve">Critical success will be judged with approval from the steering group throughout Phase 1 and the successful cooperation of the operators for trialling findings. </w:t>
      </w:r>
    </w:p>
    <w:p w14:paraId="4A2A4CB3" w14:textId="77777777" w:rsidR="008A35A4" w:rsidRPr="00E52B87" w:rsidRDefault="008A35A4" w:rsidP="00E52B87">
      <w:pPr>
        <w:pStyle w:val="NoSpacing"/>
        <w:rPr>
          <w:rFonts w:asciiTheme="minorHAnsi" w:hAnsiTheme="minorHAnsi" w:cs="Arial"/>
        </w:rPr>
        <w:sectPr w:rsidR="008A35A4"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5"/>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B36717">
        <w:rPr>
          <w:rFonts w:asciiTheme="minorHAnsi" w:hAnsiTheme="minorHAnsi" w:cs="Arial"/>
          <w:b/>
          <w:bCs/>
          <w:sz w:val="22"/>
          <w:szCs w:val="22"/>
        </w:rPr>
      </w:r>
      <w:r w:rsidR="00B36717">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B36717"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F364F" w14:textId="77777777" w:rsidR="00B36717" w:rsidRDefault="00B36717" w:rsidP="0003785D">
      <w:r>
        <w:separator/>
      </w:r>
    </w:p>
  </w:endnote>
  <w:endnote w:type="continuationSeparator" w:id="0">
    <w:p w14:paraId="51C7A0FC" w14:textId="77777777" w:rsidR="00B36717" w:rsidRDefault="00B36717"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36AD6AAE" w:rsidR="001A179A" w:rsidRDefault="001A17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A2B9D60" w14:textId="77777777" w:rsidR="001A179A" w:rsidRDefault="001A1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0ED7B462" w:rsidR="001A179A" w:rsidRPr="00F735CB" w:rsidRDefault="001A179A"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5</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1A179A" w:rsidRDefault="001A179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1A179A" w:rsidRDefault="001A17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53D41D56" w:rsidR="001A179A" w:rsidRDefault="001A179A" w:rsidP="00674166">
    <w:pPr>
      <w:pStyle w:val="FooterLeft"/>
    </w:pPr>
    <w:r>
      <w:fldChar w:fldCharType="begin"/>
    </w:r>
    <w:r>
      <w:instrText xml:space="preserve"> PAGE   \* MERGEFORMAT </w:instrText>
    </w:r>
    <w:r>
      <w:fldChar w:fldCharType="separate"/>
    </w:r>
    <w:r>
      <w:rPr>
        <w:noProof/>
      </w:rPr>
      <w:t>32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63900721" w:rsidR="001A179A" w:rsidRDefault="001A179A" w:rsidP="00674166">
    <w:pPr>
      <w:pStyle w:val="FooterRight"/>
    </w:pPr>
    <w:r>
      <w:fldChar w:fldCharType="begin"/>
    </w:r>
    <w:r>
      <w:instrText xml:space="preserve"> PAGE   \* MERGEFORMAT </w:instrText>
    </w:r>
    <w: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3CDD8" w14:textId="77777777" w:rsidR="00B36717" w:rsidRDefault="00B36717" w:rsidP="0003785D">
      <w:r>
        <w:separator/>
      </w:r>
    </w:p>
  </w:footnote>
  <w:footnote w:type="continuationSeparator" w:id="0">
    <w:p w14:paraId="6EDB167A" w14:textId="77777777" w:rsidR="00B36717" w:rsidRDefault="00B36717" w:rsidP="0003785D">
      <w:r>
        <w:continuationSeparator/>
      </w:r>
    </w:p>
  </w:footnote>
  <w:footnote w:id="1">
    <w:p w14:paraId="10A5E064" w14:textId="77777777" w:rsidR="005208C0" w:rsidRPr="00543467" w:rsidRDefault="005208C0" w:rsidP="005208C0">
      <w:pPr>
        <w:pStyle w:val="FootnoteText"/>
        <w:rPr>
          <w:sz w:val="18"/>
        </w:rPr>
      </w:pPr>
      <w:r w:rsidRPr="00543467">
        <w:rPr>
          <w:rStyle w:val="FootnoteReference"/>
          <w:sz w:val="18"/>
        </w:rPr>
        <w:footnoteRef/>
      </w:r>
      <w:r w:rsidRPr="00543467">
        <w:rPr>
          <w:sz w:val="18"/>
        </w:rPr>
        <w:t xml:space="preserve"> RSSB (2008), GERT8000/TW</w:t>
      </w:r>
      <w:r>
        <w:rPr>
          <w:sz w:val="18"/>
        </w:rPr>
        <w:t>1</w:t>
      </w:r>
      <w:r w:rsidRPr="00543467">
        <w:rPr>
          <w:sz w:val="18"/>
        </w:rPr>
        <w:t>, Preparation and movement of trains, Issue 8, Section 18.2</w:t>
      </w:r>
    </w:p>
  </w:footnote>
  <w:footnote w:id="2">
    <w:p w14:paraId="469E28C2" w14:textId="77777777" w:rsidR="005208C0" w:rsidRDefault="005208C0" w:rsidP="005208C0">
      <w:pPr>
        <w:pStyle w:val="FootnoteText"/>
      </w:pPr>
      <w:r w:rsidRPr="00543467">
        <w:rPr>
          <w:rStyle w:val="FootnoteReference"/>
          <w:sz w:val="18"/>
        </w:rPr>
        <w:footnoteRef/>
      </w:r>
      <w:r w:rsidRPr="00543467">
        <w:rPr>
          <w:sz w:val="18"/>
        </w:rPr>
        <w:t xml:space="preserve"> RSSB (2013), GERT8000/TW</w:t>
      </w:r>
      <w:r>
        <w:rPr>
          <w:sz w:val="18"/>
        </w:rPr>
        <w:t>1</w:t>
      </w:r>
      <w:r w:rsidRPr="00543467">
        <w:rPr>
          <w:sz w:val="18"/>
        </w:rPr>
        <w:t>, Preparation and movement of trains, Issue 9, Section 33</w:t>
      </w:r>
    </w:p>
  </w:footnote>
  <w:footnote w:id="3">
    <w:p w14:paraId="3C8E63F2" w14:textId="77777777" w:rsidR="005208C0" w:rsidRDefault="005208C0" w:rsidP="005208C0">
      <w:pPr>
        <w:pStyle w:val="FootnoteText"/>
      </w:pPr>
      <w:r>
        <w:rPr>
          <w:rStyle w:val="FootnoteReference"/>
        </w:rPr>
        <w:footnoteRef/>
      </w:r>
      <w:r>
        <w:t xml:space="preserve"> ‘Previous’ refers to the 2008 GERT8000 TW1 note</w:t>
      </w:r>
    </w:p>
  </w:footnote>
  <w:footnote w:id="4">
    <w:p w14:paraId="3D9D0565" w14:textId="77777777" w:rsidR="005208C0" w:rsidRDefault="005208C0" w:rsidP="005208C0">
      <w:pPr>
        <w:pStyle w:val="FootnoteText"/>
      </w:pPr>
      <w:r>
        <w:rPr>
          <w:rStyle w:val="FootnoteReference"/>
        </w:rPr>
        <w:footnoteRef/>
      </w:r>
      <w:r>
        <w:t xml:space="preserve"> </w:t>
      </w:r>
      <w:r w:rsidRPr="00574745">
        <w:t xml:space="preserve">This will be </w:t>
      </w:r>
      <w:r>
        <w:t>relevant at the pilot stage which will be conducted by</w:t>
      </w:r>
      <w:r w:rsidRPr="00574745">
        <w:t xml:space="preserve"> 2 TOCs and 1 FOC</w:t>
      </w:r>
    </w:p>
  </w:footnote>
  <w:footnote w:id="5">
    <w:p w14:paraId="383B7734" w14:textId="77777777" w:rsidR="001A179A" w:rsidRPr="00B13B50" w:rsidRDefault="001A179A"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1A179A" w:rsidRDefault="001A179A">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1A179A" w:rsidRDefault="001A179A"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1A179A" w:rsidRDefault="001A179A"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1A179A" w:rsidRPr="0003785D" w:rsidRDefault="001A179A"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4A021C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23EC7"/>
    <w:multiLevelType w:val="hybridMultilevel"/>
    <w:tmpl w:val="14EE652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BE55954"/>
    <w:multiLevelType w:val="hybridMultilevel"/>
    <w:tmpl w:val="2236F58E"/>
    <w:lvl w:ilvl="0" w:tplc="ECFE821C">
      <w:start w:val="50"/>
      <w:numFmt w:val="bullet"/>
      <w:lvlText w:val="-"/>
      <w:lvlJc w:val="left"/>
      <w:pPr>
        <w:ind w:left="720" w:hanging="360"/>
      </w:pPr>
      <w:rPr>
        <w:rFonts w:ascii="Calibri" w:eastAsia="Calibri"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AB3531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3C3F0E"/>
    <w:multiLevelType w:val="hybridMultilevel"/>
    <w:tmpl w:val="77C8D27C"/>
    <w:lvl w:ilvl="0" w:tplc="1E32B236">
      <w:start w:val="1"/>
      <w:numFmt w:val="bullet"/>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6E6936"/>
    <w:multiLevelType w:val="hybridMultilevel"/>
    <w:tmpl w:val="0280200A"/>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8"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15:restartNumberingAfterBreak="0">
    <w:nsid w:val="51FC0292"/>
    <w:multiLevelType w:val="multilevel"/>
    <w:tmpl w:val="6CB02244"/>
    <w:lvl w:ilvl="0">
      <w:start w:val="1"/>
      <w:numFmt w:val="decimal"/>
      <w:lvlText w:val="%1)"/>
      <w:lvlJc w:val="left"/>
      <w:pPr>
        <w:ind w:left="360" w:hanging="360"/>
      </w:pPr>
      <w:rPr>
        <w:rFonts w:hint="default"/>
      </w:rPr>
    </w:lvl>
    <w:lvl w:ilvl="1">
      <w:start w:val="1"/>
      <w:numFmt w:val="lowerLetter"/>
      <w:lvlText w:val="%2)"/>
      <w:lvlJc w:val="left"/>
      <w:pPr>
        <w:ind w:left="928" w:hanging="360"/>
      </w:pPr>
      <w:rPr>
        <w:rFonts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4"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9" w15:restartNumberingAfterBreak="0">
    <w:nsid w:val="6F003135"/>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2"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5"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7" w15:restartNumberingAfterBreak="0">
    <w:nsid w:val="7B6360D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9" w15:restartNumberingAfterBreak="0">
    <w:nsid w:val="7EFA15C7"/>
    <w:multiLevelType w:val="hybridMultilevel"/>
    <w:tmpl w:val="2DB61AC0"/>
    <w:lvl w:ilvl="0" w:tplc="853852A6">
      <w:start w:val="21"/>
      <w:numFmt w:val="bullet"/>
      <w:lvlText w:val="-"/>
      <w:lvlJc w:val="left"/>
      <w:pPr>
        <w:ind w:left="720" w:hanging="360"/>
      </w:pPr>
      <w:rPr>
        <w:rFonts w:ascii="Calibri" w:eastAsiaTheme="minorHAnsi" w:hAnsi="Calibri" w:cstheme="minorBidi" w:hint="default"/>
        <w:b/>
        <w:color w:val="006272"/>
        <w:sz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1"/>
  </w:num>
  <w:num w:numId="3">
    <w:abstractNumId w:val="14"/>
  </w:num>
  <w:num w:numId="4">
    <w:abstractNumId w:val="26"/>
  </w:num>
  <w:num w:numId="5">
    <w:abstractNumId w:val="40"/>
  </w:num>
  <w:num w:numId="6">
    <w:abstractNumId w:val="0"/>
  </w:num>
  <w:num w:numId="7">
    <w:abstractNumId w:val="44"/>
  </w:num>
  <w:num w:numId="8">
    <w:abstractNumId w:val="38"/>
  </w:num>
  <w:num w:numId="9">
    <w:abstractNumId w:val="1"/>
  </w:num>
  <w:num w:numId="10">
    <w:abstractNumId w:val="27"/>
  </w:num>
  <w:num w:numId="11">
    <w:abstractNumId w:val="46"/>
  </w:num>
  <w:num w:numId="12">
    <w:abstractNumId w:val="3"/>
  </w:num>
  <w:num w:numId="13">
    <w:abstractNumId w:val="45"/>
  </w:num>
  <w:num w:numId="14">
    <w:abstractNumId w:val="32"/>
  </w:num>
  <w:num w:numId="15">
    <w:abstractNumId w:val="29"/>
  </w:num>
  <w:num w:numId="16">
    <w:abstractNumId w:val="7"/>
  </w:num>
  <w:num w:numId="17">
    <w:abstractNumId w:val="8"/>
  </w:num>
  <w:num w:numId="18">
    <w:abstractNumId w:val="37"/>
  </w:num>
  <w:num w:numId="19">
    <w:abstractNumId w:val="10"/>
  </w:num>
  <w:num w:numId="20">
    <w:abstractNumId w:val="22"/>
  </w:num>
  <w:num w:numId="21">
    <w:abstractNumId w:val="24"/>
  </w:num>
  <w:num w:numId="22">
    <w:abstractNumId w:val="30"/>
  </w:num>
  <w:num w:numId="23">
    <w:abstractNumId w:val="4"/>
  </w:num>
  <w:num w:numId="24">
    <w:abstractNumId w:val="48"/>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43"/>
  </w:num>
  <w:num w:numId="34">
    <w:abstractNumId w:val="6"/>
  </w:num>
  <w:num w:numId="35">
    <w:abstractNumId w:val="35"/>
  </w:num>
  <w:num w:numId="36">
    <w:abstractNumId w:val="17"/>
  </w:num>
  <w:num w:numId="37">
    <w:abstractNumId w:val="9"/>
  </w:num>
  <w:num w:numId="38">
    <w:abstractNumId w:val="42"/>
  </w:num>
  <w:num w:numId="39">
    <w:abstractNumId w:val="16"/>
  </w:num>
  <w:num w:numId="40">
    <w:abstractNumId w:val="41"/>
  </w:num>
  <w:num w:numId="41">
    <w:abstractNumId w:val="13"/>
  </w:num>
  <w:num w:numId="42">
    <w:abstractNumId w:val="23"/>
  </w:num>
  <w:num w:numId="43">
    <w:abstractNumId w:val="19"/>
  </w:num>
  <w:num w:numId="44">
    <w:abstractNumId w:val="49"/>
  </w:num>
  <w:num w:numId="45">
    <w:abstractNumId w:val="20"/>
  </w:num>
  <w:num w:numId="46">
    <w:abstractNumId w:val="18"/>
  </w:num>
  <w:num w:numId="47">
    <w:abstractNumId w:val="5"/>
  </w:num>
  <w:num w:numId="48">
    <w:abstractNumId w:val="47"/>
  </w:num>
  <w:num w:numId="49">
    <w:abstractNumId w:val="25"/>
  </w:num>
  <w:num w:numId="50">
    <w:abstractNumId w:val="31"/>
  </w:num>
  <w:num w:numId="51">
    <w:abstractNumId w:val="39"/>
  </w:num>
  <w:num w:numId="52">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77521"/>
    <w:rsid w:val="00180DB2"/>
    <w:rsid w:val="00191F60"/>
    <w:rsid w:val="001A179A"/>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51003"/>
    <w:rsid w:val="00396EDA"/>
    <w:rsid w:val="00397F46"/>
    <w:rsid w:val="003A7C7B"/>
    <w:rsid w:val="003E0CE2"/>
    <w:rsid w:val="0040055D"/>
    <w:rsid w:val="004109CE"/>
    <w:rsid w:val="004236BB"/>
    <w:rsid w:val="00443FAF"/>
    <w:rsid w:val="004666E1"/>
    <w:rsid w:val="004C5BAF"/>
    <w:rsid w:val="005170FA"/>
    <w:rsid w:val="00517142"/>
    <w:rsid w:val="005208C0"/>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3414F"/>
    <w:rsid w:val="00674166"/>
    <w:rsid w:val="006C73E8"/>
    <w:rsid w:val="006D1C93"/>
    <w:rsid w:val="006E2708"/>
    <w:rsid w:val="00705233"/>
    <w:rsid w:val="007135E2"/>
    <w:rsid w:val="00721EA4"/>
    <w:rsid w:val="00722CCB"/>
    <w:rsid w:val="00722F33"/>
    <w:rsid w:val="0072579B"/>
    <w:rsid w:val="0072709F"/>
    <w:rsid w:val="007B3B84"/>
    <w:rsid w:val="007C61C6"/>
    <w:rsid w:val="00801CC8"/>
    <w:rsid w:val="008234CC"/>
    <w:rsid w:val="00823AFA"/>
    <w:rsid w:val="00833C7A"/>
    <w:rsid w:val="00846110"/>
    <w:rsid w:val="00856404"/>
    <w:rsid w:val="00896506"/>
    <w:rsid w:val="008A1B60"/>
    <w:rsid w:val="008A35A4"/>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2DEF"/>
    <w:rsid w:val="009E3560"/>
    <w:rsid w:val="00A12089"/>
    <w:rsid w:val="00A13EC8"/>
    <w:rsid w:val="00A24D23"/>
    <w:rsid w:val="00A41D4A"/>
    <w:rsid w:val="00A550EF"/>
    <w:rsid w:val="00A65E0A"/>
    <w:rsid w:val="00A675E0"/>
    <w:rsid w:val="00A85B19"/>
    <w:rsid w:val="00A92A2B"/>
    <w:rsid w:val="00B24A32"/>
    <w:rsid w:val="00B34E30"/>
    <w:rsid w:val="00B36717"/>
    <w:rsid w:val="00B928F8"/>
    <w:rsid w:val="00B9637C"/>
    <w:rsid w:val="00BA0F7B"/>
    <w:rsid w:val="00BB37E9"/>
    <w:rsid w:val="00BC31A4"/>
    <w:rsid w:val="00BC4A28"/>
    <w:rsid w:val="00BE38C8"/>
    <w:rsid w:val="00C05E26"/>
    <w:rsid w:val="00C15913"/>
    <w:rsid w:val="00C411AA"/>
    <w:rsid w:val="00C577A6"/>
    <w:rsid w:val="00C62BAC"/>
    <w:rsid w:val="00C713E4"/>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 w:val="00FD1FB6"/>
    <w:rsid w:val="00FF5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uiPriority="99"/>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uiPriority="99"/>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aliases w:val="Dot pt"/>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uiPriority w:val="99"/>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rsid w:val="00E52B87"/>
    <w:rPr>
      <w:rFonts w:ascii="Arial" w:hAnsi="Arial"/>
    </w:rPr>
  </w:style>
  <w:style w:type="character" w:styleId="FootnoteReference">
    <w:name w:val="footnote reference"/>
    <w:basedOn w:val="DefaultParagraphFont"/>
    <w:uiPriority w:val="99"/>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aliases w:val="Dot pt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table" w:styleId="GridTable4-Accent1">
    <w:name w:val="Grid Table 4 Accent 1"/>
    <w:basedOn w:val="TableNormal"/>
    <w:uiPriority w:val="49"/>
    <w:rsid w:val="008A35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488327951">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859702820">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5.xml><?xml version="1.0" encoding="utf-8"?>
<ds:datastoreItem xmlns:ds="http://schemas.openxmlformats.org/officeDocument/2006/customXml" ds:itemID="{94013E7B-CBD2-448A-8264-557F9479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31</Pages>
  <Words>7318</Words>
  <Characters>41719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2018-03-16T09:38:00Z</dcterms:created>
  <dcterms:modified xsi:type="dcterms:W3CDTF">2018-03-16T09:38:00Z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