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E6024E" w:rsidRDefault="00C42595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20 (Call-Off Specification)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00000003" w14:textId="1DB72F62" w:rsidR="00E6024E" w:rsidRDefault="00C4259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This Schedule sets out the characteristics of the Deliverables that the Supplier will be required to make to the Buyers under this Call-Off Contract</w:t>
      </w:r>
      <w:r w:rsidR="00CD102C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04" w14:textId="7826FC60" w:rsidR="00E6024E" w:rsidRDefault="00F30F34" w:rsidP="00961B3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F30F34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="000E79BF">
        <w:rPr>
          <w:rFonts w:ascii="Arial" w:eastAsia="Arial" w:hAnsi="Arial" w:cs="Arial"/>
          <w:color w:val="000000"/>
          <w:sz w:val="24"/>
          <w:szCs w:val="24"/>
        </w:rPr>
        <w:t xml:space="preserve">Buyer requires the below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Supplier Deliverables </w:t>
      </w:r>
      <w:r w:rsidR="000E79BF">
        <w:rPr>
          <w:rFonts w:ascii="Arial" w:eastAsia="Arial" w:hAnsi="Arial" w:cs="Arial"/>
          <w:color w:val="000000"/>
          <w:sz w:val="24"/>
          <w:szCs w:val="24"/>
        </w:rPr>
        <w:t xml:space="preserve">from Service Offer reference </w:t>
      </w:r>
      <w:r w:rsidR="00CD102C" w:rsidRPr="00CD102C">
        <w:rPr>
          <w:rFonts w:ascii="Arial" w:eastAsia="Arial" w:hAnsi="Arial" w:cs="Arial"/>
          <w:color w:val="000000"/>
          <w:sz w:val="24"/>
          <w:szCs w:val="24"/>
        </w:rPr>
        <w:t>Radiocoms - RM6116 - Lot 1C - Range Extension - Tactical Radio - V.1 - Nov 24</w:t>
      </w:r>
    </w:p>
    <w:p w14:paraId="632EB927" w14:textId="4157B47D" w:rsidR="00A7247C" w:rsidRDefault="00A7247C" w:rsidP="00961B3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Initial Operating Capability (IOC) </w:t>
      </w:r>
      <w:r w:rsidR="002B4D9F">
        <w:rPr>
          <w:rFonts w:ascii="Arial" w:eastAsia="Arial" w:hAnsi="Arial" w:cs="Arial"/>
          <w:color w:val="000000"/>
          <w:sz w:val="24"/>
          <w:szCs w:val="24"/>
        </w:rPr>
        <w:t>date is 31</w:t>
      </w:r>
      <w:r w:rsidR="002B4D9F" w:rsidRPr="002B4D9F">
        <w:rPr>
          <w:rFonts w:ascii="Arial" w:eastAsia="Arial" w:hAnsi="Arial" w:cs="Arial"/>
          <w:color w:val="000000"/>
          <w:sz w:val="24"/>
          <w:szCs w:val="24"/>
          <w:vertAlign w:val="superscript"/>
        </w:rPr>
        <w:t>st</w:t>
      </w:r>
      <w:r w:rsidR="002B4D9F">
        <w:rPr>
          <w:rFonts w:ascii="Arial" w:eastAsia="Arial" w:hAnsi="Arial" w:cs="Arial"/>
          <w:color w:val="000000"/>
          <w:sz w:val="24"/>
          <w:szCs w:val="24"/>
        </w:rPr>
        <w:t xml:space="preserve"> January </w:t>
      </w:r>
      <w:r w:rsidR="00CD033D">
        <w:rPr>
          <w:rFonts w:ascii="Arial" w:eastAsia="Arial" w:hAnsi="Arial" w:cs="Arial"/>
          <w:color w:val="000000"/>
          <w:sz w:val="24"/>
          <w:szCs w:val="24"/>
        </w:rPr>
        <w:t xml:space="preserve">2025. Due to lead times, some Radiocoms equipment cannot be delivered in time for IOC. Items will </w:t>
      </w:r>
      <w:r w:rsidR="007102C2">
        <w:rPr>
          <w:rFonts w:ascii="Arial" w:eastAsia="Arial" w:hAnsi="Arial" w:cs="Arial"/>
          <w:color w:val="000000"/>
          <w:sz w:val="24"/>
          <w:szCs w:val="24"/>
        </w:rPr>
        <w:t xml:space="preserve">be delivered in accordance with the delivery dates below, however </w:t>
      </w:r>
      <w:r w:rsidR="00687C7B">
        <w:rPr>
          <w:rFonts w:ascii="Arial" w:eastAsia="Arial" w:hAnsi="Arial" w:cs="Arial"/>
          <w:color w:val="000000"/>
          <w:sz w:val="24"/>
          <w:szCs w:val="24"/>
        </w:rPr>
        <w:t xml:space="preserve">the Authority requests that items are delivered as soon as possible due to the urgency of this request. </w:t>
      </w:r>
    </w:p>
    <w:p w14:paraId="7C22E6EE" w14:textId="7698D530" w:rsidR="00A7247C" w:rsidRDefault="00A7247C" w:rsidP="00961B3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Full Operating Capability (FOC) shall be delivered by </w:t>
      </w:r>
      <w:r w:rsidR="00687C7B">
        <w:rPr>
          <w:rFonts w:ascii="Arial" w:eastAsia="Arial" w:hAnsi="Arial" w:cs="Arial"/>
          <w:color w:val="000000"/>
          <w:sz w:val="24"/>
          <w:szCs w:val="24"/>
        </w:rPr>
        <w:t>31</w:t>
      </w:r>
      <w:r w:rsidR="00687C7B" w:rsidRPr="00687C7B">
        <w:rPr>
          <w:rFonts w:ascii="Arial" w:eastAsia="Arial" w:hAnsi="Arial" w:cs="Arial"/>
          <w:color w:val="000000"/>
          <w:sz w:val="24"/>
          <w:szCs w:val="24"/>
          <w:vertAlign w:val="superscript"/>
        </w:rPr>
        <w:t>st</w:t>
      </w:r>
      <w:r w:rsidR="00687C7B">
        <w:rPr>
          <w:rFonts w:ascii="Arial" w:eastAsia="Arial" w:hAnsi="Arial" w:cs="Arial"/>
          <w:color w:val="000000"/>
          <w:sz w:val="24"/>
          <w:szCs w:val="24"/>
        </w:rPr>
        <w:t xml:space="preserve"> March 2024.</w:t>
      </w:r>
    </w:p>
    <w:p w14:paraId="59D48AAD" w14:textId="2372435B" w:rsidR="002411E5" w:rsidRPr="00F30F34" w:rsidRDefault="002411E5" w:rsidP="00961B3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delivery location for all equipment shall be 21 Eng Regt. Claro Barracks, Ripon, Yorkshire </w:t>
      </w:r>
    </w:p>
    <w:tbl>
      <w:tblPr>
        <w:tblW w:w="13936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5488"/>
        <w:gridCol w:w="2891"/>
        <w:gridCol w:w="1329"/>
        <w:gridCol w:w="1094"/>
        <w:gridCol w:w="1418"/>
        <w:gridCol w:w="1190"/>
      </w:tblGrid>
      <w:tr w:rsidR="00A7247C" w:rsidRPr="00FA134C" w14:paraId="253FB7B6" w14:textId="77777777" w:rsidTr="002F7FB0">
        <w:trPr>
          <w:trHeight w:val="323"/>
        </w:trPr>
        <w:tc>
          <w:tcPr>
            <w:tcW w:w="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1EC5" w14:textId="23FDF167" w:rsidR="00A7247C" w:rsidRPr="00FA134C" w:rsidRDefault="00A7247C" w:rsidP="00FA13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WP</w:t>
            </w:r>
          </w:p>
        </w:tc>
        <w:tc>
          <w:tcPr>
            <w:tcW w:w="548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E233C" w14:textId="766AF6D3" w:rsidR="00A7247C" w:rsidRPr="00FA134C" w:rsidRDefault="00A7247C" w:rsidP="00FA1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Item ID </w:t>
            </w:r>
          </w:p>
        </w:tc>
        <w:tc>
          <w:tcPr>
            <w:tcW w:w="28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B36E" w14:textId="07EDA950" w:rsidR="00A7247C" w:rsidRPr="00FA134C" w:rsidRDefault="00A7247C" w:rsidP="00FA1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Item Name 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3589" w14:textId="2D484C1D" w:rsidR="00A7247C" w:rsidRPr="00FA134C" w:rsidRDefault="00A7247C" w:rsidP="00FA1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Unit Price 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B9E9" w14:textId="41AB008B" w:rsidR="00A7247C" w:rsidRPr="00FA134C" w:rsidRDefault="00A7247C" w:rsidP="00FA1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Minimum Order Quantity 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</w:tcPr>
          <w:p w14:paraId="073C095C" w14:textId="0CDBD135" w:rsidR="00A7247C" w:rsidRDefault="00A7247C" w:rsidP="00FA1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Delivery Date</w:t>
            </w:r>
          </w:p>
        </w:tc>
      </w:tr>
      <w:tr w:rsidR="00A7247C" w:rsidRPr="00FA134C" w14:paraId="2EFB3409" w14:textId="72B58ADA" w:rsidTr="002F7FB0">
        <w:trPr>
          <w:trHeight w:val="554"/>
        </w:trPr>
        <w:tc>
          <w:tcPr>
            <w:tcW w:w="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BB13" w14:textId="3E0FC2B3" w:rsidR="00A7247C" w:rsidRPr="00FA134C" w:rsidRDefault="00A7247C" w:rsidP="00FA134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48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B9A5" w14:textId="04565CEC" w:rsidR="00A7247C" w:rsidRPr="00FA134C" w:rsidRDefault="00A7247C" w:rsidP="00FA1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BE97" w14:textId="7F7075EE" w:rsidR="00A7247C" w:rsidRPr="00FA134C" w:rsidRDefault="00A7247C" w:rsidP="00FA1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CBEF" w14:textId="3AC3CFD7" w:rsidR="00A7247C" w:rsidRPr="00FA134C" w:rsidRDefault="00A7247C" w:rsidP="00FA1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D47CC" w14:textId="4D2AF0F0" w:rsidR="00A7247C" w:rsidRPr="00FA134C" w:rsidRDefault="00A7247C" w:rsidP="00FA1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</w:tcPr>
          <w:p w14:paraId="75563222" w14:textId="18408FEB" w:rsidR="00A7247C" w:rsidRPr="00FA134C" w:rsidRDefault="00A7247C" w:rsidP="00FA1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IOC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</w:tcPr>
          <w:p w14:paraId="399CB1C0" w14:textId="6EF2E480" w:rsidR="00A7247C" w:rsidRPr="00FA134C" w:rsidRDefault="00A7247C" w:rsidP="00FA1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FOC</w:t>
            </w:r>
          </w:p>
        </w:tc>
      </w:tr>
      <w:tr w:rsidR="002F7FB0" w:rsidRPr="00FA134C" w14:paraId="15AD3B74" w14:textId="2554278E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FD1B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5EBB9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Supplier &amp; Army Design Review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D5DF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Supplier &amp; Army Design Review.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8998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£11,175.26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06BC1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A1AB30" w14:textId="1EFD2C1A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Initial 09-Jan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Final 31-Jan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E3A38" w14:textId="7191B164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F7FB0" w:rsidRPr="00FA134C" w14:paraId="7872E881" w14:textId="44C0C075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E83CB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D47E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Equipment Test &amp; Acceptance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C622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Equipment Test &amp; Acceptance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FE34F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£13,751.10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19FA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2BEDD3" w14:textId="7D4F4242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03-Feb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42005" w14:textId="64ADE4C5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F7FB0" w:rsidRPr="00FA134C" w14:paraId="45ABA6E9" w14:textId="1180F10A" w:rsidTr="002F7FB0">
        <w:trPr>
          <w:trHeight w:val="51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926C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4394A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Acceptance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68FB1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Acceptance: Solution Requirements Documentation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E499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£4,583.70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7B340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66ED7" w14:textId="7E2E5113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Initial 03-Feb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ABB7B8" w14:textId="51E93B3D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Complete by 31-Mar</w:t>
            </w:r>
          </w:p>
        </w:tc>
      </w:tr>
      <w:tr w:rsidR="002F7FB0" w:rsidRPr="00FA134C" w14:paraId="2AFE784C" w14:textId="3F4EC570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0ECF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170E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Release Control Point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5798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Release Control Point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5363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£22,239.00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DA4A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08935" w14:textId="7B927E61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Initial 03-Feb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9303B" w14:textId="3E074CAB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Complete by 31-Mar</w:t>
            </w:r>
          </w:p>
        </w:tc>
      </w:tr>
      <w:tr w:rsidR="002F7FB0" w:rsidRPr="00FA134C" w14:paraId="4BA01564" w14:textId="3D73EC51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9BEAB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lastRenderedPageBreak/>
              <w:t>5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95C4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Safety &amp; Environmental Assurance Documentation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24C8E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Safety &amp; Environmental Assurance Documentation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3152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£76,173.75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2D043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E0F8E7" w14:textId="391518A9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Initial 03-Feb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DACAE" w14:textId="795FCB61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Complete by 31-Mar</w:t>
            </w:r>
          </w:p>
        </w:tc>
      </w:tr>
      <w:tr w:rsidR="002F7FB0" w:rsidRPr="00FA134C" w14:paraId="50A93076" w14:textId="781657DC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18A93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6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DFCCC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PSEP Meeting Attendance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7FE51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PSEP Meeting Attendance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8C94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£7,519.50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0374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A886E" w14:textId="6B0A4D15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5953A" w14:textId="053C20C9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Complete by 31-Mar</w:t>
            </w:r>
          </w:p>
        </w:tc>
      </w:tr>
      <w:tr w:rsidR="002F7FB0" w:rsidRPr="00FA134C" w14:paraId="5A6C9BD5" w14:textId="7C294AF1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F0B1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7744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Security Assurance Documentation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631AF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Security Assurance Documentation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0987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£7,519.98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85B28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62A16D" w14:textId="6EC25FC3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CEA2C" w14:textId="31E0A424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31-Mar</w:t>
            </w:r>
          </w:p>
        </w:tc>
      </w:tr>
      <w:tr w:rsidR="002F7FB0" w:rsidRPr="00FA134C" w14:paraId="41589E2C" w14:textId="425C3203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316EB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8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2F55B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Technical Composition Documentation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A8E8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Technical Composition Documentation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9F5F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£125,575.20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D77B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B9C3C" w14:textId="1205CCED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F787F0" w14:textId="03935D65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31-Mar</w:t>
            </w:r>
          </w:p>
        </w:tc>
      </w:tr>
      <w:tr w:rsidR="002F7FB0" w:rsidRPr="00FA134C" w14:paraId="4723F702" w14:textId="43C19C47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8E4B5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F514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Radiocoms - RM6116 - Lot 1C - Range Extension - Tactical Radio -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Logistical Services to Inventory &amp; Fielding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EDE3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Logistical Services to Inventory &amp; Fielding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B58D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£70,805.40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9A55B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FD14B0" w14:textId="47728F22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521C3" w14:textId="10E9E1F9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31-Mar</w:t>
            </w:r>
          </w:p>
        </w:tc>
      </w:tr>
      <w:tr w:rsidR="002F7FB0" w:rsidRPr="00FA134C" w14:paraId="2AD39AC7" w14:textId="38D9966C" w:rsidTr="002F7FB0">
        <w:trPr>
          <w:trHeight w:val="51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EA85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10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C9EF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Training Solution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9297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Training Solution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EAAFD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£14,580.00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28718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73247C" w14:textId="778EC008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Initial 03-Feb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6C6DFA" w14:textId="3A69E40C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Complete by 31-Mar</w:t>
            </w:r>
          </w:p>
        </w:tc>
      </w:tr>
      <w:tr w:rsidR="002F7FB0" w:rsidRPr="00FA134C" w14:paraId="754A96D9" w14:textId="4F9EC332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8EC6" w14:textId="6970D33E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0A8A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Project Risk 1: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Training Solution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03FD" w14:textId="4B37B132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Training Delivery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8BEAA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£9,800.00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39E7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F7C0A" w14:textId="0B5E84FE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Initial 03-Feb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B32557" w14:textId="4420B594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Complete by 31-Mar</w:t>
            </w:r>
          </w:p>
        </w:tc>
      </w:tr>
      <w:tr w:rsidR="002F7FB0" w:rsidRPr="00FA134C" w14:paraId="21AD8A4A" w14:textId="3908573D" w:rsidTr="002F7FB0">
        <w:trPr>
          <w:trHeight w:val="51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A037C" w14:textId="41CE52EF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4813D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Initial Delivery Support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EF27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Initial Delivery Support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2A903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£30,230.10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AD1D9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5F83F5" w14:textId="35E2B62C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78AD7" w14:textId="557393CB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1 by 31-Mar</w:t>
            </w:r>
          </w:p>
        </w:tc>
      </w:tr>
      <w:tr w:rsidR="002F7FB0" w:rsidRPr="00FA134C" w14:paraId="721DE7D2" w14:textId="41840247" w:rsidTr="002F7FB0">
        <w:trPr>
          <w:trHeight w:val="51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B51E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13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103DB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Mast 28m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DF18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Mast 28m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9520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£30,984.92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AE31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B97F7" w14:textId="4DF9BC78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1 on 31 Jan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5836F6" w14:textId="00C02CC0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4 by 31-Mar</w:t>
            </w:r>
          </w:p>
        </w:tc>
      </w:tr>
      <w:tr w:rsidR="002F7FB0" w:rsidRPr="00FA134C" w14:paraId="74378655" w14:textId="18341E54" w:rsidTr="002F7FB0">
        <w:trPr>
          <w:trHeight w:val="51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5329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14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06B7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Mast 18m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06482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Mast 18m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FEEB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£7,253.38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6E23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E70E7" w14:textId="67817D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1 on 31 Jan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7C3CCE" w14:textId="6DB73584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34 by 31-Mar</w:t>
            </w:r>
          </w:p>
        </w:tc>
      </w:tr>
      <w:tr w:rsidR="002F7FB0" w:rsidRPr="00FA134C" w14:paraId="1F332962" w14:textId="326C2E3C" w:rsidTr="002F7FB0">
        <w:trPr>
          <w:trHeight w:val="51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6B9C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15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1F58B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Mast brackets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C657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Mast brackets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DA50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£1,199.17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EF498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8AEC2" w14:textId="288CF4DA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368B29" w14:textId="429A1840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20 by 31-Mar</w:t>
            </w:r>
          </w:p>
        </w:tc>
      </w:tr>
      <w:tr w:rsidR="002F7FB0" w:rsidRPr="00FA134C" w14:paraId="7036E6B7" w14:textId="516AE10A" w:rsidTr="002F7FB0">
        <w:trPr>
          <w:trHeight w:val="51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5172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16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C48C5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9CE9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Coax 96m LLA 600 VHF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0AD3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£586.91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F2581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3D6281" w14:textId="2CA12CE9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2 on 31 Jan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80C6F" w14:textId="3E44C26F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78 by 31-Mar</w:t>
            </w:r>
          </w:p>
        </w:tc>
      </w:tr>
      <w:tr w:rsidR="002F7FB0" w:rsidRPr="00FA134C" w14:paraId="200B6403" w14:textId="5CED38CB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DF1FF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lastRenderedPageBreak/>
              <w:t>17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6C53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C1023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Supplier &amp; Army Design Review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77D5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Coax 32m LLA 600 UHF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2133D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£280.60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8E466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D21BCC" w14:textId="6EE3E35B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1 on 31 Jan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89B0A" w14:textId="3795FB64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34 by 31-Mar</w:t>
            </w:r>
          </w:p>
        </w:tc>
      </w:tr>
      <w:tr w:rsidR="002F7FB0" w:rsidRPr="00FA134C" w14:paraId="7D7DEE25" w14:textId="6E14D8A2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8F05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18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39B0B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Coax 50m UHF LLA900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C1F2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Coax 50m UHF LLA900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552B9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£73.05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4598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C00E97" w14:textId="0FDA035F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1 on 31 Jan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C7B59D" w14:textId="39C01766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4 by 31-Mar</w:t>
            </w:r>
          </w:p>
        </w:tc>
      </w:tr>
      <w:tr w:rsidR="002F7FB0" w:rsidRPr="00FA134C" w14:paraId="31506C8E" w14:textId="4697D737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5F654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19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DC24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Blue ETTI Stored energy (Charger and Battery)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532F0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Blue ETTI Stored energy (Charger and Battery) AKHAC500+2XB300K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52FE2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£3,416.80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EA1C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DD2CE" w14:textId="194E6D43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1 on 28-Feb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283AD6" w14:textId="70C26892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26 by 31-Mar</w:t>
            </w:r>
          </w:p>
        </w:tc>
      </w:tr>
      <w:tr w:rsidR="002F7FB0" w:rsidRPr="00FA134C" w14:paraId="23D02E3B" w14:textId="4CA5CF66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5867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20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58EF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4 Port High-Capacity USB Adaptor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A9DB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4 Port High-Capacity USB Adaptor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A4C76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£220.35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24DA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C4526" w14:textId="6D32A2F2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40 on 31 Jan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124EA1" w14:textId="4AA20C22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90 by 31-Mar</w:t>
            </w:r>
          </w:p>
        </w:tc>
      </w:tr>
      <w:tr w:rsidR="002F7FB0" w:rsidRPr="00FA134C" w14:paraId="402FE727" w14:textId="41786D68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651B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21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55DDA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APHG-002 28vDC 2Kw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E5202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APHG-002 28vDC 2Kw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7B86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£31,106.73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B1E7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58B07" w14:textId="45B855AF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1 on 28-Feb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9F6DD" w14:textId="4BBBF28A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1 by 31-Mar</w:t>
            </w:r>
          </w:p>
        </w:tc>
      </w:tr>
      <w:tr w:rsidR="002F7FB0" w:rsidRPr="00FA134C" w14:paraId="593D63A7" w14:textId="02825EA7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9F8F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22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CE300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APHG-002 3m Exhaust Extension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D5DB9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APHG-002 3m Exhaust Extension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6A6A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£459.89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75679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09763C" w14:textId="04547B6B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1 on 28-Feb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5EF0E" w14:textId="380F5ED6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1 by 31-Mar</w:t>
            </w:r>
          </w:p>
        </w:tc>
      </w:tr>
      <w:tr w:rsidR="002F7FB0" w:rsidRPr="00FA134C" w14:paraId="5DEB0F1D" w14:textId="53DB550B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E30C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23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713FB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APHG digital fuel level sensor with Jerry can quick release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6F1B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APHG digital fuel level sensor with Jerry can quick release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2FF2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£697.44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B62BA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46F9B" w14:textId="40B5FC9A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1 on 28-Feb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5A76A4" w14:textId="20A87704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1 by 31-Mar</w:t>
            </w:r>
          </w:p>
        </w:tc>
      </w:tr>
      <w:tr w:rsidR="002F7FB0" w:rsidRPr="00FA134C" w14:paraId="5E8F8316" w14:textId="2BB97AC9" w:rsidTr="002F7FB0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FBD5B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24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FC29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–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Military Power Distribution System MPDS-003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A242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Military Power Distribution System MPDS-003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77AB5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£34,571.62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1A23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92F3F" w14:textId="01B77B4F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 week lead time from Call-Off Contract Award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A847CA" w14:textId="35CF42BD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2 by 31-Mar</w:t>
            </w:r>
          </w:p>
        </w:tc>
      </w:tr>
      <w:tr w:rsidR="002F7FB0" w:rsidRPr="00FA134C" w14:paraId="6D0F7AFE" w14:textId="690DB995" w:rsidTr="00F17F6B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D4D0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t>25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4F6AB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Military Power Energy Storage</w:t>
            </w: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E66C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Military Power Energy Storage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1A89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£33,777.46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1F6C1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4F8D0D" w14:textId="138B2549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0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 week lead time from Call-Off Contract Award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95722E" w14:textId="13407A25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2 by 31-Mar</w:t>
            </w:r>
          </w:p>
        </w:tc>
      </w:tr>
      <w:tr w:rsidR="002F7FB0" w:rsidRPr="00FA134C" w14:paraId="657205F3" w14:textId="22C6800B" w:rsidTr="00F17F6B">
        <w:trPr>
          <w:trHeight w:val="765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5A03" w14:textId="77777777" w:rsidR="002F7FB0" w:rsidRPr="00FA134C" w:rsidRDefault="002F7FB0" w:rsidP="002F7FB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A134C">
              <w:rPr>
                <w:rFonts w:cs="Calibri"/>
                <w:color w:val="000000"/>
              </w:rPr>
              <w:lastRenderedPageBreak/>
              <w:t>26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E2C2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Radiocoms - RM6116 - Lot 1C - Range Extension - Tactical Radio - </w:t>
            </w:r>
            <w:r w:rsidRPr="00FA134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Interconnecting STANAG 4074 cables (3 per system) 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AF2C3" w14:textId="77777777" w:rsidR="002F7FB0" w:rsidRPr="00FA134C" w:rsidRDefault="002F7FB0" w:rsidP="002F7F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 xml:space="preserve">STANAG 4074 Cables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DE42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£3,210.00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7A99" w14:textId="77777777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34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E28422" w14:textId="22333DFA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610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 week lead time from Call-Off Contract Award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AD979" w14:textId="66AD36E6" w:rsidR="002F7FB0" w:rsidRPr="00FA134C" w:rsidRDefault="002F7FB0" w:rsidP="002F7FB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 2 by 31-Mar</w:t>
            </w:r>
          </w:p>
        </w:tc>
      </w:tr>
    </w:tbl>
    <w:p w14:paraId="00000006" w14:textId="77777777" w:rsidR="00E6024E" w:rsidRDefault="00E6024E" w:rsidP="00FA13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jc w:val="both"/>
        <w:rPr>
          <w:rFonts w:ascii="Arial" w:eastAsia="Arial" w:hAnsi="Arial" w:cs="Arial"/>
          <w:smallCaps/>
          <w:color w:val="000000"/>
          <w:sz w:val="24"/>
          <w:szCs w:val="24"/>
        </w:rPr>
      </w:pPr>
    </w:p>
    <w:sectPr w:rsidR="00E6024E" w:rsidSect="00FA13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0679" w14:textId="77777777" w:rsidR="0088061D" w:rsidRDefault="0088061D">
      <w:pPr>
        <w:spacing w:after="0" w:line="240" w:lineRule="auto"/>
      </w:pPr>
      <w:r>
        <w:separator/>
      </w:r>
    </w:p>
  </w:endnote>
  <w:endnote w:type="continuationSeparator" w:id="0">
    <w:p w14:paraId="185D6F10" w14:textId="77777777" w:rsidR="0088061D" w:rsidRDefault="0088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6F7B" w14:textId="77777777" w:rsidR="005377E0" w:rsidRDefault="00537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77777777" w:rsidR="00E6024E" w:rsidRDefault="00E6024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  <w:p w14:paraId="0000000C" w14:textId="77777777" w:rsidR="00E6024E" w:rsidRDefault="00C4259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RM6116</w:t>
    </w:r>
  </w:p>
  <w:p w14:paraId="0000000D" w14:textId="77777777" w:rsidR="00E6024E" w:rsidRDefault="00C4259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1</w:t>
    </w:r>
  </w:p>
  <w:p w14:paraId="0000000E" w14:textId="77777777" w:rsidR="00E6024E" w:rsidRDefault="00C425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Version: v3.0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3BC3" w14:textId="77777777" w:rsidR="005377E0" w:rsidRDefault="00537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977B" w14:textId="77777777" w:rsidR="0088061D" w:rsidRDefault="0088061D">
      <w:pPr>
        <w:spacing w:after="0" w:line="240" w:lineRule="auto"/>
      </w:pPr>
      <w:r>
        <w:separator/>
      </w:r>
    </w:p>
  </w:footnote>
  <w:footnote w:type="continuationSeparator" w:id="0">
    <w:p w14:paraId="33F28045" w14:textId="77777777" w:rsidR="0088061D" w:rsidRDefault="0088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D4B17" w14:textId="77777777" w:rsidR="005377E0" w:rsidRDefault="00537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FDB7" w14:textId="2364A1D0" w:rsidR="005377E0" w:rsidRDefault="005377E0" w:rsidP="005377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00000007" w14:textId="6D4C01E1" w:rsidR="00E6024E" w:rsidRDefault="00C425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Schedule 20 (Call-Off Specification)</w:t>
    </w:r>
  </w:p>
  <w:p w14:paraId="00000008" w14:textId="726F5FBE" w:rsidR="00E6024E" w:rsidRDefault="00C425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Ref:</w:t>
    </w:r>
    <w:r w:rsidR="00987966">
      <w:rPr>
        <w:rFonts w:ascii="Arial" w:eastAsia="Arial" w:hAnsi="Arial" w:cs="Arial"/>
        <w:color w:val="000000"/>
        <w:sz w:val="20"/>
        <w:szCs w:val="20"/>
      </w:rPr>
      <w:t xml:space="preserve"> 713237450</w:t>
    </w:r>
  </w:p>
  <w:p w14:paraId="00000009" w14:textId="77777777" w:rsidR="00E6024E" w:rsidRDefault="00C425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  <w:p w14:paraId="0000000A" w14:textId="77777777" w:rsidR="00E6024E" w:rsidRDefault="00E602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7290" w14:textId="77777777" w:rsidR="005377E0" w:rsidRDefault="00537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3691"/>
    <w:multiLevelType w:val="multilevel"/>
    <w:tmpl w:val="4A1203AA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41816439">
    <w:abstractNumId w:val="0"/>
  </w:num>
  <w:num w:numId="2" w16cid:durableId="1938294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421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4E"/>
    <w:rsid w:val="00097CBC"/>
    <w:rsid w:val="000E79BF"/>
    <w:rsid w:val="001D0CCD"/>
    <w:rsid w:val="002411E5"/>
    <w:rsid w:val="002B4D9F"/>
    <w:rsid w:val="002F7FB0"/>
    <w:rsid w:val="0039225A"/>
    <w:rsid w:val="005377E0"/>
    <w:rsid w:val="00687C7B"/>
    <w:rsid w:val="007102C2"/>
    <w:rsid w:val="008436C6"/>
    <w:rsid w:val="0088061D"/>
    <w:rsid w:val="00883085"/>
    <w:rsid w:val="00931633"/>
    <w:rsid w:val="00961B36"/>
    <w:rsid w:val="00987966"/>
    <w:rsid w:val="00A7247C"/>
    <w:rsid w:val="00A909CF"/>
    <w:rsid w:val="00AC5C41"/>
    <w:rsid w:val="00C10238"/>
    <w:rsid w:val="00C42595"/>
    <w:rsid w:val="00CD033D"/>
    <w:rsid w:val="00CD102C"/>
    <w:rsid w:val="00D75B85"/>
    <w:rsid w:val="00E6024E"/>
    <w:rsid w:val="00E73466"/>
    <w:rsid w:val="00F30F34"/>
    <w:rsid w:val="00F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2AA7"/>
  <w15:docId w15:val="{ADF86B8D-C718-4591-8F1B-BC6CF5B4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93B990E940447853F72B138F4E7A2" ma:contentTypeVersion="16" ma:contentTypeDescription="Create a new document." ma:contentTypeScope="" ma:versionID="1b000698a14bc05d7ea65933c0904db9">
  <xsd:schema xmlns:xsd="http://www.w3.org/2001/XMLSchema" xmlns:xs="http://www.w3.org/2001/XMLSchema" xmlns:p="http://schemas.microsoft.com/office/2006/metadata/properties" xmlns:ns2="6cae7cdd-7ecd-4905-9aef-a43c8822d511" xmlns:ns3="04738c6d-ecc8-46f1-821f-82e308eab3d9" targetNamespace="http://schemas.microsoft.com/office/2006/metadata/properties" ma:root="true" ma:fieldsID="0834989361d68ef2d55edad1b02eee3f" ns2:_="" ns3:_="">
    <xsd:import namespace="6cae7cdd-7ecd-4905-9aef-a43c8822d511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e7cdd-7ecd-4905-9aef-a43c8822d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3294bea-e073-4cd2-9103-658db882d79f}" ma:internalName="TaxCatchAll" ma:showField="CatchAllData" ma:web="8ca004ce-02b1-4a55-85ec-17702beef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lnkQcAMX85qvAiIXdTMifzHD8g==">AMUW2mVR9oo1UHljeTMCUN/Neki2yzdDA/R870qBOrZKcEL3ajkeWLpEz7Nj/bcgwf5wdmFL1m49YmK4be0PBtN/dlMRgMVzOpxSNtOgONjM4OB2VCsYNgrOfqy3Qb9fzLDA0Hu/O7Ii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ae7cdd-7ecd-4905-9aef-a43c8822d511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Props1.xml><?xml version="1.0" encoding="utf-8"?>
<ds:datastoreItem xmlns:ds="http://schemas.openxmlformats.org/officeDocument/2006/customXml" ds:itemID="{CED6089F-7861-4975-968A-2E7339947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ED4B1-DF9B-431D-AE72-D9764FFF6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e7cdd-7ecd-4905-9aef-a43c8822d511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7FE37C8-FDA5-4BFB-A511-3EE5F2F3B98E}">
  <ds:schemaRefs>
    <ds:schemaRef ds:uri="http://schemas.microsoft.com/office/2006/metadata/properties"/>
    <ds:schemaRef ds:uri="http://schemas.microsoft.com/office/infopath/2007/PartnerControls"/>
    <ds:schemaRef ds:uri="6cae7cdd-7ecd-4905-9aef-a43c8822d511"/>
    <ds:schemaRef ds:uri="04738c6d-ecc8-46f1-821f-82e308eab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Hanlon</dc:creator>
  <cp:lastModifiedBy>Richardson, Jenna Miss (UKStratCom DD-CM-HW-SCO-48)</cp:lastModifiedBy>
  <cp:revision>25</cp:revision>
  <dcterms:created xsi:type="dcterms:W3CDTF">2024-12-19T11:00:00Z</dcterms:created>
  <dcterms:modified xsi:type="dcterms:W3CDTF">2024-12-24T10:36:00Z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2024-12-19T11:00:07Z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9a3e2906-579a-404a-8719-8a1127c391b7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0x010100B6793B990E940447853F72B138F4E7A2</vt:lpwstr>
  </property>
  <property fmtid="{D5CDD505-2E9C-101B-9397-08002B2CF9AE}" pid="11" name="Order">
    <vt:r8>203500</vt:r8>
  </property>
  <property fmtid="{D5CDD505-2E9C-101B-9397-08002B2CF9AE}" pid="12" name="ComplianceAssetId">
    <vt:lpwstr/>
  </property>
  <property fmtid="{D5CDD505-2E9C-101B-9397-08002B2CF9AE}" pid="13" name="_activity">
    <vt:lpwstr>{"FileActivityType":"6","FileActivityTimeStamp":"2024-12-19T11:03:58.527Z","FileActivityUsersOnPage":[{"DisplayName":"Temblett, Samantha C2 (UKStratCom DD-CM-HW-CO-47)","Id":"samantha.temblett100@mod.gov.uk"}],"FileActivityNavigationId":null}</vt:lpwstr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