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390" w:rsidRDefault="00B93CD6" w:rsidP="005B4390">
      <w:pPr>
        <w:spacing w:after="0"/>
        <w:jc w:val="right"/>
        <w:rPr>
          <w:b/>
        </w:rPr>
      </w:pPr>
      <w:r>
        <w:rPr>
          <w:noProof/>
          <w:lang w:eastAsia="en-GB"/>
        </w:rPr>
        <w:object w:dxaOrig="1440" w:dyaOrig="1440" w14:anchorId="0B450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0.25pt;margin-top:-1.5pt;width:150.75pt;height:226pt;z-index:-251658752;visibility:visible;mso-wrap-edited:f;mso-position-horizontal-relative:margin;mso-position-vertical-relative:margin" o:allowincell="f">
            <v:imagedata r:id="rId8" o:title=""/>
            <w10:wrap anchorx="margin" anchory="margin"/>
          </v:shape>
          <o:OLEObject Type="Embed" ProgID="Word.Picture.8" ShapeID="_x0000_s1026" DrawAspect="Content" ObjectID="_1606827252" r:id="rId9"/>
        </w:object>
      </w:r>
    </w:p>
    <w:p w:rsidR="005B4390" w:rsidRPr="00DF1001" w:rsidRDefault="005B4390" w:rsidP="005B4390">
      <w:pPr>
        <w:spacing w:after="0"/>
        <w:jc w:val="right"/>
        <w:rPr>
          <w:rFonts w:ascii="Arial" w:hAnsi="Arial" w:cs="Arial"/>
          <w:b/>
          <w:sz w:val="18"/>
          <w:szCs w:val="18"/>
          <w:lang w:val="en-GB"/>
        </w:rPr>
      </w:pPr>
      <w:r w:rsidRPr="00DF1001">
        <w:rPr>
          <w:rFonts w:ascii="Arial" w:hAnsi="Arial" w:cs="Arial"/>
          <w:b/>
          <w:sz w:val="18"/>
          <w:szCs w:val="18"/>
          <w:lang w:val="en-GB"/>
        </w:rPr>
        <w:t xml:space="preserve">CONTRACT NO. </w:t>
      </w:r>
    </w:p>
    <w:p w:rsidR="0091595F" w:rsidRPr="00DF1001" w:rsidRDefault="0091595F" w:rsidP="005B4390">
      <w:pPr>
        <w:spacing w:after="0"/>
        <w:jc w:val="right"/>
        <w:rPr>
          <w:rFonts w:ascii="Arial" w:hAnsi="Arial" w:cs="Arial"/>
          <w:b/>
          <w:sz w:val="18"/>
          <w:szCs w:val="18"/>
          <w:lang w:val="en-GB"/>
        </w:rPr>
      </w:pPr>
      <w:r w:rsidRPr="00DF1001">
        <w:rPr>
          <w:rFonts w:ascii="Arial" w:hAnsi="Arial" w:cs="Arial"/>
          <w:b/>
          <w:sz w:val="18"/>
          <w:szCs w:val="18"/>
          <w:lang w:val="en-GB"/>
        </w:rPr>
        <w:t>P</w:t>
      </w:r>
      <w:r w:rsidR="0014061F" w:rsidRPr="00DF1001">
        <w:rPr>
          <w:rFonts w:ascii="Arial" w:hAnsi="Arial" w:cs="Arial"/>
          <w:b/>
          <w:sz w:val="18"/>
          <w:szCs w:val="18"/>
          <w:lang w:val="en-GB"/>
        </w:rPr>
        <w:t xml:space="preserve">ROJECT NO. / ITT NO.: </w:t>
      </w:r>
    </w:p>
    <w:p w:rsidR="00B944E3" w:rsidRPr="00A77C90" w:rsidRDefault="00B944E3" w:rsidP="00F14027">
      <w:pPr>
        <w:spacing w:after="0" w:line="240" w:lineRule="auto"/>
        <w:jc w:val="both"/>
        <w:rPr>
          <w:rFonts w:ascii="Arial" w:hAnsi="Arial" w:cs="Arial"/>
          <w:b/>
          <w:sz w:val="18"/>
          <w:szCs w:val="18"/>
          <w:lang w:val="en-GB"/>
        </w:rPr>
      </w:pPr>
    </w:p>
    <w:p w:rsidR="00513DAE" w:rsidRPr="00B50077" w:rsidRDefault="00513DAE" w:rsidP="00F14027">
      <w:pPr>
        <w:spacing w:after="0" w:line="240" w:lineRule="auto"/>
        <w:jc w:val="both"/>
        <w:rPr>
          <w:rFonts w:ascii="Arial" w:hAnsi="Arial" w:cs="Arial"/>
          <w:b/>
          <w:lang w:val="en-GB"/>
        </w:rPr>
      </w:pPr>
    </w:p>
    <w:p w:rsidR="00513DAE" w:rsidRPr="00B50077" w:rsidRDefault="00513DAE" w:rsidP="00F14027">
      <w:pPr>
        <w:spacing w:after="0" w:line="240" w:lineRule="auto"/>
        <w:jc w:val="both"/>
        <w:rPr>
          <w:rFonts w:ascii="Arial" w:hAnsi="Arial" w:cs="Arial"/>
          <w:b/>
          <w:lang w:val="en-GB"/>
        </w:rPr>
      </w:pPr>
    </w:p>
    <w:p w:rsidR="005B4390" w:rsidRDefault="005B4390" w:rsidP="005B4390">
      <w:pPr>
        <w:spacing w:after="0" w:line="240" w:lineRule="auto"/>
        <w:jc w:val="center"/>
        <w:rPr>
          <w:rFonts w:ascii="Arial" w:hAnsi="Arial" w:cs="Arial"/>
          <w:b/>
          <w:lang w:val="en-GB"/>
        </w:rPr>
      </w:pPr>
    </w:p>
    <w:p w:rsidR="002937EC" w:rsidRPr="00B50077" w:rsidRDefault="00700FB2" w:rsidP="005B4390">
      <w:pPr>
        <w:spacing w:after="0" w:line="240" w:lineRule="auto"/>
        <w:jc w:val="center"/>
        <w:rPr>
          <w:rFonts w:ascii="Arial" w:hAnsi="Arial" w:cs="Arial"/>
          <w:b/>
          <w:lang w:val="en-GB"/>
        </w:rPr>
      </w:pPr>
      <w:r w:rsidRPr="00B50077">
        <w:rPr>
          <w:rFonts w:ascii="Arial" w:hAnsi="Arial" w:cs="Arial"/>
          <w:b/>
          <w:lang w:val="en-GB"/>
        </w:rPr>
        <w:t>Terms of Reference</w:t>
      </w:r>
      <w:r w:rsidR="0086193D" w:rsidRPr="00B50077">
        <w:rPr>
          <w:rFonts w:ascii="Arial" w:hAnsi="Arial" w:cs="Arial"/>
          <w:b/>
          <w:lang w:val="en-GB"/>
        </w:rPr>
        <w:t xml:space="preserve"> (ToRs)</w:t>
      </w:r>
    </w:p>
    <w:p w:rsidR="0086193D" w:rsidRPr="00B50077" w:rsidRDefault="0086193D" w:rsidP="005B4390">
      <w:pPr>
        <w:spacing w:after="0" w:line="240" w:lineRule="auto"/>
        <w:jc w:val="center"/>
        <w:rPr>
          <w:rFonts w:ascii="Arial" w:hAnsi="Arial" w:cs="Arial"/>
          <w:b/>
          <w:lang w:val="en-GB"/>
        </w:rPr>
      </w:pPr>
    </w:p>
    <w:p w:rsidR="0014061F" w:rsidRPr="00DF1001" w:rsidRDefault="0014061F" w:rsidP="0014061F">
      <w:pPr>
        <w:spacing w:after="0"/>
        <w:jc w:val="center"/>
        <w:rPr>
          <w:rFonts w:ascii="Arial" w:hAnsi="Arial" w:cs="Arial"/>
          <w:b/>
          <w:lang w:val="en-GB"/>
        </w:rPr>
      </w:pPr>
      <w:r w:rsidRPr="00DF1001">
        <w:rPr>
          <w:rFonts w:ascii="Arial" w:hAnsi="Arial" w:cs="Arial"/>
          <w:b/>
          <w:lang w:val="en-GB"/>
        </w:rPr>
        <w:t>Assessment of the regulatory framework in Argentina, Uruguay and Paraguay in the automotive, life sciences, and financial/professional services sectors, and for sanitary/phytosanitary regulations</w:t>
      </w:r>
    </w:p>
    <w:p w:rsidR="00435ABA" w:rsidRPr="00435ABA" w:rsidRDefault="00435ABA" w:rsidP="005B4390">
      <w:pPr>
        <w:spacing w:after="0" w:line="240" w:lineRule="auto"/>
        <w:jc w:val="center"/>
        <w:rPr>
          <w:rFonts w:ascii="Arial" w:hAnsi="Arial" w:cs="Arial"/>
          <w:b/>
          <w:lang w:val="en-GB"/>
        </w:rPr>
      </w:pPr>
    </w:p>
    <w:sdt>
      <w:sdtPr>
        <w:rPr>
          <w:rFonts w:ascii="Arial" w:eastAsiaTheme="minorEastAsia" w:hAnsi="Arial" w:cs="Arial"/>
          <w:b w:val="0"/>
          <w:bCs w:val="0"/>
          <w:color w:val="auto"/>
          <w:sz w:val="22"/>
          <w:szCs w:val="22"/>
          <w:lang w:val="es-CO"/>
        </w:rPr>
        <w:id w:val="951913816"/>
        <w:docPartObj>
          <w:docPartGallery w:val="Table of Contents"/>
          <w:docPartUnique/>
        </w:docPartObj>
      </w:sdtPr>
      <w:sdtEndPr/>
      <w:sdtContent>
        <w:p w:rsidR="00FA6D34" w:rsidRPr="00E90D99" w:rsidRDefault="00E90D99" w:rsidP="00F14027">
          <w:pPr>
            <w:pStyle w:val="TOCHeading"/>
            <w:jc w:val="both"/>
            <w:rPr>
              <w:rFonts w:ascii="Arial" w:hAnsi="Arial" w:cs="Arial"/>
              <w:color w:val="auto"/>
              <w:sz w:val="22"/>
              <w:szCs w:val="22"/>
            </w:rPr>
          </w:pPr>
          <w:r w:rsidRPr="00E90D99">
            <w:rPr>
              <w:rFonts w:ascii="Arial" w:hAnsi="Arial" w:cs="Arial"/>
              <w:color w:val="auto"/>
              <w:sz w:val="22"/>
              <w:szCs w:val="22"/>
            </w:rPr>
            <w:t>CONTENTS</w:t>
          </w:r>
        </w:p>
        <w:p w:rsidR="00D64C6D" w:rsidRPr="00B50077" w:rsidRDefault="00D64C6D" w:rsidP="00F14027">
          <w:pPr>
            <w:jc w:val="both"/>
            <w:rPr>
              <w:rFonts w:ascii="Arial" w:hAnsi="Arial" w:cs="Arial"/>
              <w:lang w:val="en-US"/>
            </w:rPr>
          </w:pPr>
          <w:r w:rsidRPr="00B50077">
            <w:rPr>
              <w:rFonts w:ascii="Arial" w:hAnsi="Arial" w:cs="Arial"/>
              <w:lang w:val="en-US"/>
            </w:rPr>
            <w:tab/>
          </w:r>
        </w:p>
        <w:p w:rsidR="0014061F" w:rsidRDefault="001675D1">
          <w:pPr>
            <w:pStyle w:val="TOC2"/>
            <w:tabs>
              <w:tab w:val="right" w:leader="dot" w:pos="9016"/>
            </w:tabs>
            <w:rPr>
              <w:noProof/>
              <w:lang w:val="en-GB" w:eastAsia="en-GB"/>
            </w:rPr>
          </w:pPr>
          <w:r w:rsidRPr="00B50077">
            <w:rPr>
              <w:rFonts w:ascii="Arial" w:hAnsi="Arial" w:cs="Arial"/>
            </w:rPr>
            <w:fldChar w:fldCharType="begin"/>
          </w:r>
          <w:r w:rsidR="00FA6D34" w:rsidRPr="00B50077">
            <w:rPr>
              <w:rFonts w:ascii="Arial" w:hAnsi="Arial" w:cs="Arial"/>
            </w:rPr>
            <w:instrText xml:space="preserve"> TOC \o "1-3" \h \z \u </w:instrText>
          </w:r>
          <w:r w:rsidRPr="00B50077">
            <w:rPr>
              <w:rFonts w:ascii="Arial" w:hAnsi="Arial" w:cs="Arial"/>
            </w:rPr>
            <w:fldChar w:fldCharType="separate"/>
          </w:r>
          <w:hyperlink w:anchor="_Toc532810025" w:history="1">
            <w:r w:rsidR="0014061F" w:rsidRPr="007548EA">
              <w:rPr>
                <w:rStyle w:val="Hyperlink"/>
                <w:rFonts w:ascii="Arial" w:hAnsi="Arial" w:cs="Arial"/>
                <w:noProof/>
                <w:lang w:val="en-GB"/>
              </w:rPr>
              <w:t>SUMMARY OF REQUIREMENT</w:t>
            </w:r>
            <w:r w:rsidR="0014061F">
              <w:rPr>
                <w:noProof/>
                <w:webHidden/>
              </w:rPr>
              <w:tab/>
            </w:r>
            <w:r w:rsidR="0014061F">
              <w:rPr>
                <w:noProof/>
                <w:webHidden/>
              </w:rPr>
              <w:fldChar w:fldCharType="begin"/>
            </w:r>
            <w:r w:rsidR="0014061F">
              <w:rPr>
                <w:noProof/>
                <w:webHidden/>
              </w:rPr>
              <w:instrText xml:space="preserve"> PAGEREF _Toc532810025 \h </w:instrText>
            </w:r>
            <w:r w:rsidR="0014061F">
              <w:rPr>
                <w:noProof/>
                <w:webHidden/>
              </w:rPr>
            </w:r>
            <w:r w:rsidR="0014061F">
              <w:rPr>
                <w:noProof/>
                <w:webHidden/>
              </w:rPr>
              <w:fldChar w:fldCharType="separate"/>
            </w:r>
            <w:r w:rsidR="0014061F">
              <w:rPr>
                <w:noProof/>
                <w:webHidden/>
              </w:rPr>
              <w:t>2</w:t>
            </w:r>
            <w:r w:rsidR="0014061F">
              <w:rPr>
                <w:noProof/>
                <w:webHidden/>
              </w:rPr>
              <w:fldChar w:fldCharType="end"/>
            </w:r>
          </w:hyperlink>
        </w:p>
        <w:p w:rsidR="0014061F" w:rsidRDefault="00B93CD6">
          <w:pPr>
            <w:pStyle w:val="TOC2"/>
            <w:tabs>
              <w:tab w:val="right" w:leader="dot" w:pos="9016"/>
            </w:tabs>
            <w:rPr>
              <w:noProof/>
              <w:lang w:val="en-GB" w:eastAsia="en-GB"/>
            </w:rPr>
          </w:pPr>
          <w:hyperlink w:anchor="_Toc532810026" w:history="1">
            <w:r w:rsidR="0014061F" w:rsidRPr="007548EA">
              <w:rPr>
                <w:rStyle w:val="Hyperlink"/>
                <w:rFonts w:ascii="Arial" w:hAnsi="Arial" w:cs="Arial"/>
                <w:noProof/>
                <w:lang w:val="en-GB"/>
              </w:rPr>
              <w:t>METHODOLOGY</w:t>
            </w:r>
            <w:r w:rsidR="0014061F">
              <w:rPr>
                <w:noProof/>
                <w:webHidden/>
              </w:rPr>
              <w:tab/>
            </w:r>
            <w:r w:rsidR="0014061F">
              <w:rPr>
                <w:noProof/>
                <w:webHidden/>
              </w:rPr>
              <w:fldChar w:fldCharType="begin"/>
            </w:r>
            <w:r w:rsidR="0014061F">
              <w:rPr>
                <w:noProof/>
                <w:webHidden/>
              </w:rPr>
              <w:instrText xml:space="preserve"> PAGEREF _Toc532810026 \h </w:instrText>
            </w:r>
            <w:r w:rsidR="0014061F">
              <w:rPr>
                <w:noProof/>
                <w:webHidden/>
              </w:rPr>
            </w:r>
            <w:r w:rsidR="0014061F">
              <w:rPr>
                <w:noProof/>
                <w:webHidden/>
              </w:rPr>
              <w:fldChar w:fldCharType="separate"/>
            </w:r>
            <w:r w:rsidR="0014061F">
              <w:rPr>
                <w:noProof/>
                <w:webHidden/>
              </w:rPr>
              <w:t>4</w:t>
            </w:r>
            <w:r w:rsidR="0014061F">
              <w:rPr>
                <w:noProof/>
                <w:webHidden/>
              </w:rPr>
              <w:fldChar w:fldCharType="end"/>
            </w:r>
          </w:hyperlink>
        </w:p>
        <w:p w:rsidR="0014061F" w:rsidRDefault="00B93CD6">
          <w:pPr>
            <w:pStyle w:val="TOC2"/>
            <w:tabs>
              <w:tab w:val="right" w:leader="dot" w:pos="9016"/>
            </w:tabs>
            <w:rPr>
              <w:noProof/>
              <w:lang w:val="en-GB" w:eastAsia="en-GB"/>
            </w:rPr>
          </w:pPr>
          <w:hyperlink w:anchor="_Toc532810027" w:history="1">
            <w:r w:rsidR="0014061F" w:rsidRPr="007548EA">
              <w:rPr>
                <w:rStyle w:val="Hyperlink"/>
                <w:rFonts w:ascii="Arial" w:hAnsi="Arial" w:cs="Arial"/>
                <w:noProof/>
                <w:lang w:val="en-GB"/>
              </w:rPr>
              <w:t>KEY DATES*</w:t>
            </w:r>
            <w:r w:rsidR="0014061F">
              <w:rPr>
                <w:noProof/>
                <w:webHidden/>
              </w:rPr>
              <w:tab/>
            </w:r>
            <w:r w:rsidR="0014061F">
              <w:rPr>
                <w:noProof/>
                <w:webHidden/>
              </w:rPr>
              <w:fldChar w:fldCharType="begin"/>
            </w:r>
            <w:r w:rsidR="0014061F">
              <w:rPr>
                <w:noProof/>
                <w:webHidden/>
              </w:rPr>
              <w:instrText xml:space="preserve"> PAGEREF _Toc532810027 \h </w:instrText>
            </w:r>
            <w:r w:rsidR="0014061F">
              <w:rPr>
                <w:noProof/>
                <w:webHidden/>
              </w:rPr>
            </w:r>
            <w:r w:rsidR="0014061F">
              <w:rPr>
                <w:noProof/>
                <w:webHidden/>
              </w:rPr>
              <w:fldChar w:fldCharType="separate"/>
            </w:r>
            <w:r w:rsidR="0014061F">
              <w:rPr>
                <w:noProof/>
                <w:webHidden/>
              </w:rPr>
              <w:t>5</w:t>
            </w:r>
            <w:r w:rsidR="0014061F">
              <w:rPr>
                <w:noProof/>
                <w:webHidden/>
              </w:rPr>
              <w:fldChar w:fldCharType="end"/>
            </w:r>
          </w:hyperlink>
        </w:p>
        <w:p w:rsidR="0014061F" w:rsidRDefault="00B93CD6">
          <w:pPr>
            <w:pStyle w:val="TOC2"/>
            <w:tabs>
              <w:tab w:val="right" w:leader="dot" w:pos="9016"/>
            </w:tabs>
            <w:rPr>
              <w:noProof/>
              <w:lang w:val="en-GB" w:eastAsia="en-GB"/>
            </w:rPr>
          </w:pPr>
          <w:hyperlink w:anchor="_Toc532810028" w:history="1">
            <w:r w:rsidR="0014061F" w:rsidRPr="007548EA">
              <w:rPr>
                <w:rStyle w:val="Hyperlink"/>
                <w:rFonts w:ascii="Arial" w:hAnsi="Arial" w:cs="Arial"/>
                <w:noProof/>
                <w:lang w:val="en-GB"/>
              </w:rPr>
              <w:t>REPORTING STRUCTURE, LOGISTICS AND OTHER ARRANGEMENTS</w:t>
            </w:r>
            <w:r w:rsidR="0014061F">
              <w:rPr>
                <w:noProof/>
                <w:webHidden/>
              </w:rPr>
              <w:tab/>
            </w:r>
            <w:r w:rsidR="0014061F">
              <w:rPr>
                <w:noProof/>
                <w:webHidden/>
              </w:rPr>
              <w:fldChar w:fldCharType="begin"/>
            </w:r>
            <w:r w:rsidR="0014061F">
              <w:rPr>
                <w:noProof/>
                <w:webHidden/>
              </w:rPr>
              <w:instrText xml:space="preserve"> PAGEREF _Toc532810028 \h </w:instrText>
            </w:r>
            <w:r w:rsidR="0014061F">
              <w:rPr>
                <w:noProof/>
                <w:webHidden/>
              </w:rPr>
            </w:r>
            <w:r w:rsidR="0014061F">
              <w:rPr>
                <w:noProof/>
                <w:webHidden/>
              </w:rPr>
              <w:fldChar w:fldCharType="separate"/>
            </w:r>
            <w:r w:rsidR="0014061F">
              <w:rPr>
                <w:noProof/>
                <w:webHidden/>
              </w:rPr>
              <w:t>6</w:t>
            </w:r>
            <w:r w:rsidR="0014061F">
              <w:rPr>
                <w:noProof/>
                <w:webHidden/>
              </w:rPr>
              <w:fldChar w:fldCharType="end"/>
            </w:r>
          </w:hyperlink>
        </w:p>
        <w:p w:rsidR="0014061F" w:rsidRDefault="00B93CD6">
          <w:pPr>
            <w:pStyle w:val="TOC2"/>
            <w:tabs>
              <w:tab w:val="right" w:leader="dot" w:pos="9016"/>
            </w:tabs>
            <w:rPr>
              <w:noProof/>
              <w:lang w:val="en-GB" w:eastAsia="en-GB"/>
            </w:rPr>
          </w:pPr>
          <w:hyperlink w:anchor="_Toc532810029" w:history="1">
            <w:r w:rsidR="0014061F" w:rsidRPr="007548EA">
              <w:rPr>
                <w:rStyle w:val="Hyperlink"/>
                <w:rFonts w:ascii="Arial" w:hAnsi="Arial" w:cs="Arial"/>
                <w:noProof/>
                <w:lang w:val="en-GB"/>
              </w:rPr>
              <w:t>SKILLS AND COMPETENCES</w:t>
            </w:r>
            <w:r w:rsidR="0014061F">
              <w:rPr>
                <w:noProof/>
                <w:webHidden/>
              </w:rPr>
              <w:tab/>
            </w:r>
            <w:r w:rsidR="0014061F">
              <w:rPr>
                <w:noProof/>
                <w:webHidden/>
              </w:rPr>
              <w:fldChar w:fldCharType="begin"/>
            </w:r>
            <w:r w:rsidR="0014061F">
              <w:rPr>
                <w:noProof/>
                <w:webHidden/>
              </w:rPr>
              <w:instrText xml:space="preserve"> PAGEREF _Toc532810029 \h </w:instrText>
            </w:r>
            <w:r w:rsidR="0014061F">
              <w:rPr>
                <w:noProof/>
                <w:webHidden/>
              </w:rPr>
            </w:r>
            <w:r w:rsidR="0014061F">
              <w:rPr>
                <w:noProof/>
                <w:webHidden/>
              </w:rPr>
              <w:fldChar w:fldCharType="separate"/>
            </w:r>
            <w:r w:rsidR="0014061F">
              <w:rPr>
                <w:noProof/>
                <w:webHidden/>
              </w:rPr>
              <w:t>6</w:t>
            </w:r>
            <w:r w:rsidR="0014061F">
              <w:rPr>
                <w:noProof/>
                <w:webHidden/>
              </w:rPr>
              <w:fldChar w:fldCharType="end"/>
            </w:r>
          </w:hyperlink>
        </w:p>
        <w:p w:rsidR="0014061F" w:rsidRDefault="00B93CD6">
          <w:pPr>
            <w:pStyle w:val="TOC2"/>
            <w:tabs>
              <w:tab w:val="right" w:leader="dot" w:pos="9016"/>
            </w:tabs>
            <w:rPr>
              <w:noProof/>
              <w:lang w:val="en-GB" w:eastAsia="en-GB"/>
            </w:rPr>
          </w:pPr>
          <w:hyperlink w:anchor="_Toc532810030" w:history="1">
            <w:r w:rsidR="0014061F" w:rsidRPr="007548EA">
              <w:rPr>
                <w:rStyle w:val="Hyperlink"/>
                <w:rFonts w:ascii="Arial" w:hAnsi="Arial" w:cs="Arial"/>
                <w:noProof/>
                <w:lang w:val="en-GB"/>
              </w:rPr>
              <w:t>BUDGET</w:t>
            </w:r>
            <w:r w:rsidR="0014061F">
              <w:rPr>
                <w:noProof/>
                <w:webHidden/>
              </w:rPr>
              <w:tab/>
            </w:r>
            <w:r w:rsidR="0014061F">
              <w:rPr>
                <w:noProof/>
                <w:webHidden/>
              </w:rPr>
              <w:fldChar w:fldCharType="begin"/>
            </w:r>
            <w:r w:rsidR="0014061F">
              <w:rPr>
                <w:noProof/>
                <w:webHidden/>
              </w:rPr>
              <w:instrText xml:space="preserve"> PAGEREF _Toc532810030 \h </w:instrText>
            </w:r>
            <w:r w:rsidR="0014061F">
              <w:rPr>
                <w:noProof/>
                <w:webHidden/>
              </w:rPr>
            </w:r>
            <w:r w:rsidR="0014061F">
              <w:rPr>
                <w:noProof/>
                <w:webHidden/>
              </w:rPr>
              <w:fldChar w:fldCharType="separate"/>
            </w:r>
            <w:r w:rsidR="0014061F">
              <w:rPr>
                <w:noProof/>
                <w:webHidden/>
              </w:rPr>
              <w:t>7</w:t>
            </w:r>
            <w:r w:rsidR="0014061F">
              <w:rPr>
                <w:noProof/>
                <w:webHidden/>
              </w:rPr>
              <w:fldChar w:fldCharType="end"/>
            </w:r>
          </w:hyperlink>
        </w:p>
        <w:p w:rsidR="0014061F" w:rsidRDefault="00B93CD6">
          <w:pPr>
            <w:pStyle w:val="TOC2"/>
            <w:tabs>
              <w:tab w:val="right" w:leader="dot" w:pos="9016"/>
            </w:tabs>
            <w:rPr>
              <w:noProof/>
              <w:lang w:val="en-GB" w:eastAsia="en-GB"/>
            </w:rPr>
          </w:pPr>
          <w:hyperlink w:anchor="_Toc532810031" w:history="1">
            <w:r w:rsidR="0014061F" w:rsidRPr="007548EA">
              <w:rPr>
                <w:rStyle w:val="Hyperlink"/>
                <w:rFonts w:ascii="Arial" w:hAnsi="Arial" w:cs="Arial"/>
                <w:noProof/>
                <w:lang w:val="en-GB"/>
              </w:rPr>
              <w:t>ADDITIONAL POINTS – ETHICAL WALLS</w:t>
            </w:r>
            <w:r w:rsidR="0014061F">
              <w:rPr>
                <w:noProof/>
                <w:webHidden/>
              </w:rPr>
              <w:tab/>
            </w:r>
            <w:r w:rsidR="0014061F">
              <w:rPr>
                <w:noProof/>
                <w:webHidden/>
              </w:rPr>
              <w:fldChar w:fldCharType="begin"/>
            </w:r>
            <w:r w:rsidR="0014061F">
              <w:rPr>
                <w:noProof/>
                <w:webHidden/>
              </w:rPr>
              <w:instrText xml:space="preserve"> PAGEREF _Toc532810031 \h </w:instrText>
            </w:r>
            <w:r w:rsidR="0014061F">
              <w:rPr>
                <w:noProof/>
                <w:webHidden/>
              </w:rPr>
            </w:r>
            <w:r w:rsidR="0014061F">
              <w:rPr>
                <w:noProof/>
                <w:webHidden/>
              </w:rPr>
              <w:fldChar w:fldCharType="separate"/>
            </w:r>
            <w:r w:rsidR="0014061F">
              <w:rPr>
                <w:noProof/>
                <w:webHidden/>
              </w:rPr>
              <w:t>7</w:t>
            </w:r>
            <w:r w:rsidR="0014061F">
              <w:rPr>
                <w:noProof/>
                <w:webHidden/>
              </w:rPr>
              <w:fldChar w:fldCharType="end"/>
            </w:r>
          </w:hyperlink>
        </w:p>
        <w:p w:rsidR="00A465C0" w:rsidRPr="000A285B" w:rsidRDefault="001675D1" w:rsidP="001B66DD">
          <w:pPr>
            <w:pStyle w:val="TOC2"/>
            <w:tabs>
              <w:tab w:val="right" w:leader="dot" w:pos="9016"/>
            </w:tabs>
            <w:jc w:val="both"/>
            <w:rPr>
              <w:noProof/>
              <w:lang w:val="en-GB" w:eastAsia="en-GB"/>
            </w:rPr>
          </w:pPr>
          <w:r w:rsidRPr="00B50077">
            <w:rPr>
              <w:rFonts w:ascii="Arial" w:hAnsi="Arial" w:cs="Arial"/>
            </w:rPr>
            <w:fldChar w:fldCharType="end"/>
          </w:r>
        </w:p>
        <w:p w:rsidR="00A465C0" w:rsidRPr="00B50077" w:rsidRDefault="00A465C0" w:rsidP="00F14027">
          <w:pPr>
            <w:jc w:val="both"/>
            <w:rPr>
              <w:rFonts w:ascii="Arial" w:hAnsi="Arial" w:cs="Arial"/>
            </w:rPr>
          </w:pPr>
        </w:p>
        <w:p w:rsidR="006C2E2E" w:rsidRPr="00B50077" w:rsidRDefault="00B93CD6" w:rsidP="00F14027">
          <w:pPr>
            <w:jc w:val="both"/>
            <w:rPr>
              <w:rFonts w:ascii="Arial" w:hAnsi="Arial" w:cs="Arial"/>
              <w:lang w:val="en-GB" w:eastAsia="en-GB"/>
            </w:rPr>
          </w:pPr>
        </w:p>
      </w:sdtContent>
    </w:sdt>
    <w:p w:rsidR="00B50077" w:rsidRDefault="00B50077" w:rsidP="00F14027">
      <w:pPr>
        <w:spacing w:after="0"/>
        <w:jc w:val="both"/>
        <w:rPr>
          <w:rFonts w:ascii="Arial" w:hAnsi="Arial" w:cs="Arial"/>
        </w:rPr>
      </w:pPr>
    </w:p>
    <w:p w:rsidR="00B50077" w:rsidRDefault="00B50077" w:rsidP="00F14027">
      <w:pPr>
        <w:spacing w:after="0"/>
        <w:jc w:val="both"/>
        <w:rPr>
          <w:rFonts w:ascii="Arial" w:hAnsi="Arial" w:cs="Arial"/>
        </w:rPr>
      </w:pPr>
    </w:p>
    <w:p w:rsidR="00B50077" w:rsidRDefault="00B50077" w:rsidP="00F14027">
      <w:pPr>
        <w:spacing w:after="0"/>
        <w:jc w:val="both"/>
        <w:rPr>
          <w:rFonts w:ascii="Arial" w:hAnsi="Arial" w:cs="Arial"/>
        </w:rPr>
      </w:pPr>
    </w:p>
    <w:p w:rsidR="00B50077" w:rsidRDefault="00B50077" w:rsidP="00F14027">
      <w:pPr>
        <w:spacing w:after="0"/>
        <w:jc w:val="both"/>
        <w:rPr>
          <w:rFonts w:ascii="Arial" w:hAnsi="Arial" w:cs="Arial"/>
        </w:rPr>
      </w:pPr>
    </w:p>
    <w:p w:rsidR="00A229CA" w:rsidRDefault="00A229CA" w:rsidP="00F14027">
      <w:pPr>
        <w:spacing w:after="0"/>
        <w:jc w:val="both"/>
        <w:rPr>
          <w:rFonts w:ascii="Arial" w:hAnsi="Arial" w:cs="Arial"/>
        </w:rPr>
      </w:pPr>
    </w:p>
    <w:p w:rsidR="00B56C5A" w:rsidRDefault="00B56C5A">
      <w:pPr>
        <w:rPr>
          <w:rFonts w:ascii="Arial" w:eastAsiaTheme="majorEastAsia" w:hAnsi="Arial" w:cs="Arial"/>
          <w:b/>
          <w:bCs/>
          <w:lang w:val="en-GB" w:eastAsia="en-GB"/>
        </w:rPr>
      </w:pPr>
      <w:r>
        <w:rPr>
          <w:rFonts w:ascii="Arial" w:hAnsi="Arial" w:cs="Arial"/>
          <w:lang w:val="en-GB"/>
        </w:rPr>
        <w:br w:type="page"/>
      </w:r>
    </w:p>
    <w:p w:rsidR="00B50077" w:rsidRPr="0070737F" w:rsidRDefault="00ED14C4" w:rsidP="00F14027">
      <w:pPr>
        <w:pStyle w:val="Heading2"/>
        <w:jc w:val="both"/>
        <w:rPr>
          <w:rFonts w:ascii="Arial" w:hAnsi="Arial" w:cs="Arial"/>
          <w:szCs w:val="22"/>
          <w:lang w:val="en-GB"/>
        </w:rPr>
      </w:pPr>
      <w:bookmarkStart w:id="0" w:name="_Toc532810025"/>
      <w:r w:rsidRPr="0070737F">
        <w:rPr>
          <w:rFonts w:ascii="Arial" w:hAnsi="Arial" w:cs="Arial"/>
          <w:szCs w:val="22"/>
          <w:lang w:val="en-GB"/>
        </w:rPr>
        <w:lastRenderedPageBreak/>
        <w:t>SUMMARY OF REQUIREMENT</w:t>
      </w:r>
      <w:bookmarkEnd w:id="0"/>
      <w:r w:rsidRPr="0070737F">
        <w:rPr>
          <w:rFonts w:ascii="Arial" w:hAnsi="Arial" w:cs="Arial"/>
          <w:szCs w:val="22"/>
          <w:lang w:val="en-GB"/>
        </w:rPr>
        <w:t xml:space="preserve"> </w:t>
      </w:r>
    </w:p>
    <w:p w:rsidR="00B50077" w:rsidRPr="00BC0982" w:rsidRDefault="00B50077" w:rsidP="00F14027">
      <w:pPr>
        <w:spacing w:after="0"/>
        <w:jc w:val="both"/>
        <w:rPr>
          <w:rFonts w:ascii="Arial" w:eastAsia="Calibri" w:hAnsi="Arial" w:cs="Arial"/>
          <w:lang w:val="en-GB" w:eastAsia="en-US"/>
        </w:rPr>
      </w:pP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b/>
          <w:bCs/>
          <w:lang w:val="en-GB" w:eastAsia="en-US"/>
        </w:rPr>
        <w:t>Background</w:t>
      </w:r>
    </w:p>
    <w:p w:rsid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 xml:space="preserve">Working together with our international partners to improve regulatory practices will help deliver shared benefits in terms of greater trade and economic growth by reducing compliance costs and improving firm productivity. </w:t>
      </w:r>
    </w:p>
    <w:p w:rsidR="00B56C5A" w:rsidRPr="00B56C5A" w:rsidRDefault="00B56C5A" w:rsidP="00B56C5A">
      <w:pPr>
        <w:pStyle w:val="ListParagraph"/>
        <w:spacing w:after="0"/>
        <w:ind w:left="644"/>
        <w:rPr>
          <w:rFonts w:ascii="Arial" w:eastAsia="Calibri" w:hAnsi="Arial" w:cs="Arial"/>
          <w:lang w:val="en-GB" w:eastAsia="en-US"/>
        </w:rPr>
      </w:pPr>
    </w:p>
    <w:p w:rsid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Latin America is an important partner for the UK and a key market for UK businesses. According, this project seeks to analyse opportunities for UK commercial gains in Argentina, Paraguay and Uruguay.</w:t>
      </w:r>
    </w:p>
    <w:p w:rsidR="00B56C5A" w:rsidRPr="00B56C5A" w:rsidRDefault="00B56C5A" w:rsidP="00B56C5A">
      <w:pPr>
        <w:pStyle w:val="ListParagraph"/>
        <w:rPr>
          <w:rFonts w:ascii="Arial" w:eastAsia="Calibri" w:hAnsi="Arial" w:cs="Arial"/>
          <w:lang w:val="en-GB" w:eastAsia="en-US"/>
        </w:rPr>
      </w:pPr>
    </w:p>
    <w:p w:rsidR="00B56C5A" w:rsidRPr="00B56C5A" w:rsidRDefault="00B56C5A" w:rsidP="00B56C5A">
      <w:pPr>
        <w:pStyle w:val="ListParagraph"/>
        <w:spacing w:after="0"/>
        <w:ind w:left="644"/>
        <w:rPr>
          <w:rFonts w:ascii="Arial" w:eastAsia="Calibri" w:hAnsi="Arial" w:cs="Arial"/>
          <w:lang w:val="en-GB" w:eastAsia="en-US"/>
        </w:rPr>
      </w:pP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b/>
          <w:bCs/>
          <w:lang w:val="en-GB" w:eastAsia="en-US"/>
        </w:rPr>
        <w:t>Objectives</w:t>
      </w:r>
    </w:p>
    <w:p w:rsid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Analyse the regulatory framework in Argentina, Paraguay and Uruguay in comparison to the UK and OECD regulatory framework in sectors to be confirmed with the successful bidder</w:t>
      </w:r>
    </w:p>
    <w:p w:rsidR="00B56C5A" w:rsidRPr="00B56C5A" w:rsidRDefault="00B56C5A" w:rsidP="00B56C5A">
      <w:pPr>
        <w:pStyle w:val="ListParagraph"/>
        <w:spacing w:after="0"/>
        <w:ind w:left="644"/>
        <w:rPr>
          <w:rFonts w:ascii="Arial" w:eastAsia="Calibri" w:hAnsi="Arial" w:cs="Arial"/>
          <w:lang w:val="en-GB" w:eastAsia="en-US"/>
        </w:rPr>
      </w:pPr>
    </w:p>
    <w:p w:rsid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Identify where regulations are coherent or divergent with UK and internation</w:t>
      </w:r>
      <w:r>
        <w:rPr>
          <w:rFonts w:ascii="Arial" w:eastAsia="Calibri" w:hAnsi="Arial" w:cs="Arial"/>
          <w:lang w:val="en-GB" w:eastAsia="en-US"/>
        </w:rPr>
        <w:t>al standards and best practises.</w:t>
      </w:r>
    </w:p>
    <w:p w:rsidR="00B56C5A" w:rsidRPr="00B56C5A" w:rsidRDefault="00B56C5A" w:rsidP="00B56C5A">
      <w:pPr>
        <w:pStyle w:val="ListParagraph"/>
        <w:rPr>
          <w:rFonts w:ascii="Arial" w:eastAsia="Calibri" w:hAnsi="Arial" w:cs="Arial"/>
          <w:lang w:val="en-GB" w:eastAsia="en-US"/>
        </w:rPr>
      </w:pPr>
    </w:p>
    <w:p w:rsid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Make evidence-based recommendations for how the three countries can improve their regulatory framework and standards in line with UK and international standards, including an assessment of the benefits and feasibility</w:t>
      </w:r>
    </w:p>
    <w:p w:rsidR="00B56C5A" w:rsidRPr="00B56C5A" w:rsidRDefault="00B56C5A" w:rsidP="00B56C5A">
      <w:pPr>
        <w:pStyle w:val="ListParagraph"/>
        <w:rPr>
          <w:rFonts w:ascii="Arial" w:eastAsia="Calibri" w:hAnsi="Arial" w:cs="Arial"/>
          <w:lang w:val="en-GB" w:eastAsia="en-US"/>
        </w:rPr>
      </w:pPr>
    </w:p>
    <w:p w:rsidR="00B56C5A" w:rsidRP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Highlight opportunities for UK businesses arising from regulatory reform and provide evidence of the impact of reforms</w:t>
      </w:r>
    </w:p>
    <w:p w:rsidR="00B56C5A" w:rsidRPr="00B56C5A" w:rsidRDefault="00B56C5A" w:rsidP="00B56C5A">
      <w:pPr>
        <w:pStyle w:val="ListParagraph"/>
        <w:spacing w:after="0"/>
        <w:ind w:left="644"/>
        <w:rPr>
          <w:rFonts w:ascii="Arial" w:eastAsia="Calibri" w:hAnsi="Arial" w:cs="Arial"/>
          <w:b/>
          <w:bCs/>
          <w:lang w:val="en-GB" w:eastAsia="en-US"/>
        </w:rPr>
      </w:pPr>
    </w:p>
    <w:p w:rsidR="00B56C5A" w:rsidRPr="00B56C5A" w:rsidRDefault="00B56C5A" w:rsidP="00B56C5A">
      <w:pPr>
        <w:pStyle w:val="ListParagraph"/>
        <w:spacing w:after="0"/>
        <w:ind w:left="644"/>
        <w:rPr>
          <w:rFonts w:ascii="Arial" w:eastAsia="Calibri" w:hAnsi="Arial" w:cs="Arial"/>
          <w:b/>
          <w:bCs/>
          <w:lang w:val="en-GB" w:eastAsia="en-US"/>
        </w:rPr>
      </w:pPr>
      <w:r w:rsidRPr="00B56C5A">
        <w:rPr>
          <w:rFonts w:ascii="Arial" w:eastAsia="Calibri" w:hAnsi="Arial" w:cs="Arial"/>
          <w:b/>
          <w:bCs/>
          <w:lang w:val="en-GB" w:eastAsia="en-US"/>
        </w:rPr>
        <w:t>Context</w:t>
      </w:r>
    </w:p>
    <w:p w:rsidR="00B56C5A" w:rsidRPr="00B56C5A" w:rsidRDefault="00B56C5A" w:rsidP="00B56C5A">
      <w:pPr>
        <w:pStyle w:val="ListParagraph"/>
        <w:numPr>
          <w:ilvl w:val="0"/>
          <w:numId w:val="1"/>
        </w:numPr>
        <w:rPr>
          <w:rFonts w:ascii="Arial" w:eastAsia="Calibri" w:hAnsi="Arial" w:cs="Arial"/>
          <w:lang w:val="en-GB" w:eastAsia="en-US"/>
        </w:rPr>
      </w:pPr>
      <w:r w:rsidRPr="00B56C5A">
        <w:rPr>
          <w:rFonts w:ascii="Arial" w:eastAsia="Calibri" w:hAnsi="Arial" w:cs="Arial"/>
          <w:lang w:val="en-GB" w:eastAsia="en-US"/>
        </w:rPr>
        <w:t>Complexities and divergences in national regulatory environments are consistently identified by international companies as a major barrier to trade and investment. They increase bureaucracy, make processes more difficult to navigate, and therefore make it costly for domestic and international companies to do business. Current regulatory practice contributes to Argentina being ranked 117</w:t>
      </w:r>
      <w:r w:rsidRPr="00B56C5A">
        <w:rPr>
          <w:rFonts w:ascii="Arial" w:eastAsia="Calibri" w:hAnsi="Arial" w:cs="Arial"/>
          <w:vertAlign w:val="superscript"/>
          <w:lang w:val="en-GB" w:eastAsia="en-US"/>
        </w:rPr>
        <w:t>th</w:t>
      </w:r>
      <w:r w:rsidRPr="00B56C5A">
        <w:rPr>
          <w:rFonts w:ascii="Arial" w:eastAsia="Calibri" w:hAnsi="Arial" w:cs="Arial"/>
          <w:lang w:val="en-GB" w:eastAsia="en-US"/>
        </w:rPr>
        <w:t>, Paraguay being ranked 108</w:t>
      </w:r>
      <w:r w:rsidRPr="00B56C5A">
        <w:rPr>
          <w:rFonts w:ascii="Arial" w:eastAsia="Calibri" w:hAnsi="Arial" w:cs="Arial"/>
          <w:vertAlign w:val="superscript"/>
          <w:lang w:val="en-GB" w:eastAsia="en-US"/>
        </w:rPr>
        <w:t>th</w:t>
      </w:r>
      <w:r w:rsidRPr="00B56C5A">
        <w:rPr>
          <w:rFonts w:ascii="Arial" w:eastAsia="Calibri" w:hAnsi="Arial" w:cs="Arial"/>
          <w:lang w:val="en-GB" w:eastAsia="en-US"/>
        </w:rPr>
        <w:t xml:space="preserve"> and Uruguay being ranked 94</w:t>
      </w:r>
      <w:r w:rsidRPr="00B56C5A">
        <w:rPr>
          <w:rFonts w:ascii="Arial" w:eastAsia="Calibri" w:hAnsi="Arial" w:cs="Arial"/>
          <w:vertAlign w:val="superscript"/>
          <w:lang w:val="en-GB" w:eastAsia="en-US"/>
        </w:rPr>
        <w:t>th</w:t>
      </w:r>
      <w:r w:rsidRPr="00B56C5A">
        <w:rPr>
          <w:rFonts w:ascii="Arial" w:eastAsia="Calibri" w:hAnsi="Arial" w:cs="Arial"/>
          <w:lang w:val="en-GB" w:eastAsia="en-US"/>
        </w:rPr>
        <w:t xml:space="preserve"> in the Ease of Doing Business ranking. Importers and exporters in heavily regulated industries (such as life sciences or the automotive industries) have a particularly challenging time.</w:t>
      </w:r>
    </w:p>
    <w:p w:rsidR="00B56C5A" w:rsidRPr="00B56C5A" w:rsidRDefault="00B56C5A" w:rsidP="00B56C5A">
      <w:pPr>
        <w:pStyle w:val="ListParagraph"/>
        <w:ind w:left="644"/>
        <w:rPr>
          <w:rFonts w:ascii="Arial" w:eastAsia="Calibri" w:hAnsi="Arial" w:cs="Arial"/>
          <w:lang w:val="en-GB" w:eastAsia="en-US"/>
        </w:rPr>
      </w:pPr>
    </w:p>
    <w:p w:rsidR="00B56C5A" w:rsidRPr="00B56C5A" w:rsidRDefault="00B56C5A" w:rsidP="00B56C5A">
      <w:pPr>
        <w:pStyle w:val="ListParagraph"/>
        <w:numPr>
          <w:ilvl w:val="0"/>
          <w:numId w:val="1"/>
        </w:numPr>
        <w:rPr>
          <w:rFonts w:ascii="Arial" w:eastAsia="Calibri" w:hAnsi="Arial" w:cs="Arial"/>
          <w:b/>
          <w:bCs/>
          <w:lang w:val="en-GB" w:eastAsia="en-US"/>
        </w:rPr>
      </w:pPr>
      <w:r w:rsidRPr="00B56C5A">
        <w:rPr>
          <w:rFonts w:ascii="Arial" w:eastAsia="Calibri" w:hAnsi="Arial" w:cs="Arial"/>
          <w:lang w:val="en-GB" w:eastAsia="en-US"/>
        </w:rPr>
        <w:t xml:space="preserve">This project will compare and contrast the regulatory and standards landscape in Argentina, Paraguay and Uruguay to OECD best practice and UK strengths, identifying where technical regulations and standards can enhance or hinder trade. Additionally, the work will analyse how easily convergence and coherence can be achieved between the three Countries (Argentina, Paraguay and Uruguay) and the UK, and the priorities for UK commercial interests. </w:t>
      </w:r>
    </w:p>
    <w:p w:rsidR="00B56C5A" w:rsidRPr="00B56C5A" w:rsidRDefault="00B56C5A" w:rsidP="00B56C5A">
      <w:pPr>
        <w:pStyle w:val="ListParagraph"/>
        <w:spacing w:after="0"/>
        <w:ind w:left="644"/>
        <w:jc w:val="both"/>
        <w:rPr>
          <w:rFonts w:ascii="Arial" w:eastAsia="Calibri" w:hAnsi="Arial" w:cs="Arial"/>
          <w:b/>
          <w:bCs/>
          <w:lang w:val="en-GB" w:eastAsia="en-US"/>
        </w:rPr>
      </w:pP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b/>
          <w:bCs/>
          <w:lang w:val="en-GB" w:eastAsia="en-US"/>
        </w:rPr>
        <w:lastRenderedPageBreak/>
        <w:t>Requirements</w:t>
      </w:r>
    </w:p>
    <w:p w:rsidR="00B56C5A" w:rsidRPr="00B56C5A" w:rsidRDefault="00B56C5A" w:rsidP="00B56C5A">
      <w:pPr>
        <w:pStyle w:val="ListParagraph"/>
        <w:numPr>
          <w:ilvl w:val="0"/>
          <w:numId w:val="1"/>
        </w:numPr>
        <w:rPr>
          <w:rFonts w:ascii="Arial" w:eastAsia="Calibri" w:hAnsi="Arial" w:cs="Arial"/>
          <w:lang w:val="en-GB" w:eastAsia="en-US"/>
        </w:rPr>
      </w:pPr>
      <w:r w:rsidRPr="00B56C5A">
        <w:rPr>
          <w:rFonts w:ascii="Arial" w:eastAsia="Calibri" w:hAnsi="Arial" w:cs="Arial"/>
          <w:lang w:val="en-GB" w:eastAsia="en-US"/>
        </w:rPr>
        <w:t>The project will provide an initial analysis of Argentine, Paraguayan and Uruguayan regulatory systems, processes and procedure with a particular focus on those in areas of UK commercial strength (though the precise sectoral mix is to be determined with the successful bidder). We would welcome expertise in the life sciences, automotive, financial and professional services sectors, and sanitary/phytosanitary regulations.</w:t>
      </w:r>
    </w:p>
    <w:p w:rsidR="00B56C5A" w:rsidRPr="00B56C5A" w:rsidRDefault="00B56C5A" w:rsidP="00B56C5A">
      <w:pPr>
        <w:pStyle w:val="ListParagraph"/>
        <w:ind w:left="644"/>
        <w:rPr>
          <w:rFonts w:ascii="Arial" w:eastAsia="Calibri" w:hAnsi="Arial" w:cs="Arial"/>
          <w:lang w:val="en-GB" w:eastAsia="en-US"/>
        </w:rPr>
      </w:pPr>
    </w:p>
    <w:p w:rsidR="00B56C5A" w:rsidRPr="00B56C5A" w:rsidRDefault="00B56C5A" w:rsidP="00B56C5A">
      <w:pPr>
        <w:pStyle w:val="ListParagraph"/>
        <w:numPr>
          <w:ilvl w:val="0"/>
          <w:numId w:val="1"/>
        </w:numPr>
        <w:rPr>
          <w:rFonts w:ascii="Arial" w:eastAsia="Calibri" w:hAnsi="Arial" w:cs="Arial"/>
          <w:lang w:val="en-GB" w:eastAsia="en-US"/>
        </w:rPr>
      </w:pPr>
      <w:r w:rsidRPr="00B56C5A">
        <w:rPr>
          <w:rFonts w:ascii="Arial" w:eastAsia="Calibri" w:hAnsi="Arial" w:cs="Arial"/>
          <w:lang w:val="en-GB" w:eastAsia="en-US"/>
        </w:rPr>
        <w:t>The project will use a consistent methodological scale to indicate the relative coherence or divergence of regulations; and be presented in a database, organised by sector. It will determine which entities have competence or influence over how regulations are developed and implemented.</w:t>
      </w:r>
    </w:p>
    <w:p w:rsidR="00B56C5A" w:rsidRPr="00B56C5A" w:rsidRDefault="00B56C5A" w:rsidP="00B56C5A">
      <w:pPr>
        <w:pStyle w:val="ListParagraph"/>
        <w:ind w:left="644"/>
        <w:rPr>
          <w:rFonts w:ascii="Arial" w:eastAsia="Calibri" w:hAnsi="Arial" w:cs="Arial"/>
          <w:lang w:val="en-GB" w:eastAsia="en-US"/>
        </w:rPr>
      </w:pPr>
    </w:p>
    <w:p w:rsidR="00B56C5A" w:rsidRPr="00B56C5A" w:rsidRDefault="00B56C5A" w:rsidP="00B56C5A">
      <w:pPr>
        <w:pStyle w:val="ListParagraph"/>
        <w:numPr>
          <w:ilvl w:val="0"/>
          <w:numId w:val="1"/>
        </w:numPr>
        <w:rPr>
          <w:rFonts w:ascii="Arial" w:eastAsia="Calibri" w:hAnsi="Arial" w:cs="Arial"/>
          <w:lang w:val="en-GB" w:eastAsia="en-US"/>
        </w:rPr>
      </w:pPr>
      <w:r w:rsidRPr="00B56C5A">
        <w:rPr>
          <w:rFonts w:ascii="Arial" w:eastAsia="Calibri" w:hAnsi="Arial" w:cs="Arial"/>
          <w:lang w:val="en-GB" w:eastAsia="en-US"/>
        </w:rPr>
        <w:t>The project will – based on the analysis and database and some business consultation – contrast regulatory practices with the UK and produce a report with recommendations. The successful bidder will present the results of the project in a workshop to selected officials from the respective governments.</w:t>
      </w:r>
    </w:p>
    <w:p w:rsidR="00B56C5A" w:rsidRDefault="00B56C5A" w:rsidP="00B56C5A">
      <w:pPr>
        <w:pStyle w:val="ListParagraph"/>
        <w:ind w:left="644"/>
        <w:rPr>
          <w:rFonts w:ascii="Arial" w:eastAsia="Calibri" w:hAnsi="Arial" w:cs="Arial"/>
          <w:b/>
          <w:bCs/>
          <w:lang w:val="en-GB" w:eastAsia="en-US"/>
        </w:rPr>
      </w:pP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b/>
          <w:bCs/>
          <w:lang w:val="en-GB" w:eastAsia="en-US"/>
        </w:rPr>
        <w:t xml:space="preserve">Deliverables </w:t>
      </w:r>
    </w:p>
    <w:p w:rsidR="00B56C5A" w:rsidRP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Following the award of the contract, the successful bidder will participate in a kick off meeting and provide a project plan and timeline based on their full proposal of work. The specific sectoral focus o</w:t>
      </w:r>
      <w:r>
        <w:rPr>
          <w:rFonts w:ascii="Arial" w:eastAsia="Calibri" w:hAnsi="Arial" w:cs="Arial"/>
          <w:lang w:val="en-GB" w:eastAsia="en-US"/>
        </w:rPr>
        <w:t>f the work will then be agreed.</w:t>
      </w:r>
    </w:p>
    <w:p w:rsidR="00B56C5A" w:rsidRDefault="00B56C5A" w:rsidP="00B56C5A">
      <w:pPr>
        <w:pStyle w:val="ListParagraph"/>
        <w:ind w:left="644"/>
        <w:rPr>
          <w:rFonts w:ascii="Arial" w:eastAsia="Calibri" w:hAnsi="Arial" w:cs="Arial"/>
          <w:b/>
          <w:bCs/>
          <w:lang w:val="en-GB" w:eastAsia="en-US"/>
        </w:rPr>
      </w:pPr>
    </w:p>
    <w:p w:rsidR="00B56C5A" w:rsidRPr="00B56C5A" w:rsidRDefault="00B56C5A" w:rsidP="00B56C5A">
      <w:pPr>
        <w:pStyle w:val="ListParagraph"/>
        <w:numPr>
          <w:ilvl w:val="1"/>
          <w:numId w:val="1"/>
        </w:numPr>
        <w:rPr>
          <w:rFonts w:ascii="Arial" w:eastAsia="Calibri" w:hAnsi="Arial" w:cs="Arial"/>
          <w:b/>
          <w:bCs/>
          <w:lang w:val="en-GB" w:eastAsia="en-US"/>
        </w:rPr>
      </w:pPr>
      <w:r w:rsidRPr="00B56C5A">
        <w:rPr>
          <w:rFonts w:ascii="Arial" w:eastAsia="Calibri" w:hAnsi="Arial" w:cs="Arial"/>
          <w:b/>
          <w:bCs/>
          <w:lang w:val="en-GB" w:eastAsia="en-US"/>
        </w:rPr>
        <w:t>Regulatory map - Detailed plan of all agencies and government departments involved in regulatory setting and monitoring:</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 xml:space="preserve">Map all organisations involved in regulatory policy making in the key sectors, implementation and monitoring in Argentina, Uruguay and Paraguay, including details of which departments or sections of organisations lead on specific regulations and standards; and their overall approach. </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 xml:space="preserve">Identify key departments in the regulatory process and key roles/ jobs/individuals. </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 xml:space="preserve">The map should include reporting lines and identify where overlap exists between competences. The map should also make the areas of commonality and differences across the three countries systems clear. </w:t>
      </w:r>
    </w:p>
    <w:p w:rsidR="00B56C5A" w:rsidRPr="00B56C5A" w:rsidRDefault="00B56C5A" w:rsidP="00B56C5A">
      <w:pPr>
        <w:pStyle w:val="ListParagraph"/>
        <w:ind w:left="644"/>
        <w:rPr>
          <w:rFonts w:ascii="Arial" w:eastAsia="Calibri" w:hAnsi="Arial" w:cs="Arial"/>
          <w:lang w:val="en-GB" w:eastAsia="en-US"/>
        </w:rPr>
      </w:pPr>
    </w:p>
    <w:p w:rsidR="00B56C5A" w:rsidRPr="00B56C5A" w:rsidRDefault="00B56C5A" w:rsidP="00B56C5A">
      <w:pPr>
        <w:pStyle w:val="ListParagraph"/>
        <w:numPr>
          <w:ilvl w:val="1"/>
          <w:numId w:val="1"/>
        </w:numPr>
        <w:rPr>
          <w:rFonts w:ascii="Arial" w:eastAsia="Calibri" w:hAnsi="Arial" w:cs="Arial"/>
          <w:b/>
          <w:bCs/>
          <w:lang w:val="en-GB" w:eastAsia="en-US"/>
        </w:rPr>
      </w:pPr>
      <w:r w:rsidRPr="00B56C5A">
        <w:rPr>
          <w:rFonts w:ascii="Arial" w:eastAsia="Calibri" w:hAnsi="Arial" w:cs="Arial"/>
          <w:b/>
          <w:bCs/>
          <w:lang w:val="en-GB" w:eastAsia="en-US"/>
        </w:rPr>
        <w:t xml:space="preserve">Regulatory and standards database: </w:t>
      </w: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lang w:val="en-GB" w:eastAsia="en-US"/>
        </w:rPr>
        <w:t>Database organised by sectors listing relevant regulations and standards and what products they relate to according to the HS codes.</w:t>
      </w: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lang w:val="en-GB" w:eastAsia="en-US"/>
        </w:rPr>
        <w:t xml:space="preserve">This should detail any new regulations being considered and any overlap between regulations, plus how they compare with UK and international standards, particularly OECD and the EU. </w:t>
      </w: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lang w:val="en-GB" w:eastAsia="en-US"/>
        </w:rPr>
        <w:t xml:space="preserve">The similarities and differences between the regulations and standards in Argentina, Paraguay and Uruguay should be clearly indicated. </w:t>
      </w:r>
    </w:p>
    <w:p w:rsidR="00B56C5A" w:rsidRPr="00B56C5A" w:rsidRDefault="00B56C5A" w:rsidP="00B56C5A">
      <w:pPr>
        <w:pStyle w:val="ListParagraph"/>
        <w:ind w:left="644"/>
        <w:rPr>
          <w:rFonts w:ascii="Arial" w:eastAsia="Calibri" w:hAnsi="Arial" w:cs="Arial"/>
          <w:lang w:val="en-GB" w:eastAsia="en-US"/>
        </w:rPr>
      </w:pPr>
    </w:p>
    <w:p w:rsidR="00B56C5A" w:rsidRPr="00B56C5A" w:rsidRDefault="00B56C5A" w:rsidP="00B56C5A">
      <w:pPr>
        <w:pStyle w:val="ListParagraph"/>
        <w:numPr>
          <w:ilvl w:val="1"/>
          <w:numId w:val="1"/>
        </w:numPr>
        <w:rPr>
          <w:rFonts w:ascii="Arial" w:eastAsia="Calibri" w:hAnsi="Arial" w:cs="Arial"/>
          <w:lang w:val="en-GB" w:eastAsia="en-US"/>
        </w:rPr>
      </w:pPr>
      <w:r w:rsidRPr="00B56C5A">
        <w:rPr>
          <w:rFonts w:ascii="Arial" w:eastAsia="Calibri" w:hAnsi="Arial" w:cs="Arial"/>
          <w:b/>
          <w:bCs/>
          <w:lang w:val="en-GB" w:eastAsia="en-US"/>
        </w:rPr>
        <w:lastRenderedPageBreak/>
        <w:t>Analysis of regulatory costs and priority areas for reform - the firm level and total economy impacts in key sectors of inefficiency and divergence:</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 xml:space="preserve">Use an agreed, consistent methodology to analyse the impact of inefficiency and divergence in key sectors at a firm and economy-wide level. This should be done for each country individually, and the countries on aggregate.  </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A structured consultation with businesses who want to, or currently invest or do business in the three countries should take place over 3 months to inform the work.</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 xml:space="preserve">A list of priority issues and recommendations for HMG produced, based on the finding of business consultation and analysis. </w:t>
      </w:r>
    </w:p>
    <w:p w:rsidR="00B56C5A" w:rsidRPr="00B56C5A" w:rsidRDefault="00B56C5A" w:rsidP="00B56C5A">
      <w:pPr>
        <w:pStyle w:val="ListParagraph"/>
        <w:ind w:left="644"/>
        <w:rPr>
          <w:rFonts w:ascii="Arial" w:eastAsia="Calibri" w:hAnsi="Arial" w:cs="Arial"/>
          <w:b/>
          <w:bCs/>
          <w:lang w:val="en-GB" w:eastAsia="en-US"/>
        </w:rPr>
      </w:pPr>
    </w:p>
    <w:p w:rsidR="00B56C5A" w:rsidRPr="00B56C5A" w:rsidRDefault="00B56C5A" w:rsidP="00B56C5A">
      <w:pPr>
        <w:pStyle w:val="ListParagraph"/>
        <w:numPr>
          <w:ilvl w:val="1"/>
          <w:numId w:val="1"/>
        </w:numPr>
        <w:rPr>
          <w:rFonts w:ascii="Arial" w:eastAsia="Calibri" w:hAnsi="Arial" w:cs="Arial"/>
          <w:b/>
          <w:bCs/>
          <w:lang w:val="en-GB" w:eastAsia="en-US"/>
        </w:rPr>
      </w:pPr>
      <w:r w:rsidRPr="00B56C5A">
        <w:rPr>
          <w:rFonts w:ascii="Arial" w:eastAsia="Calibri" w:hAnsi="Arial" w:cs="Arial"/>
          <w:b/>
          <w:bCs/>
          <w:lang w:val="en-GB" w:eastAsia="en-US"/>
        </w:rPr>
        <w:t>Presentation on the project’s recommendations, evidence base and underpinning analysis to relevant stakeholders</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A written report which details the recommendations and the evidence base from which they were developed.</w:t>
      </w:r>
    </w:p>
    <w:p w:rsidR="00B56C5A" w:rsidRPr="00B56C5A" w:rsidRDefault="00B56C5A" w:rsidP="00B56C5A">
      <w:pPr>
        <w:pStyle w:val="ListParagraph"/>
        <w:ind w:left="644"/>
        <w:rPr>
          <w:rFonts w:ascii="Arial" w:eastAsia="Calibri" w:hAnsi="Arial" w:cs="Arial"/>
          <w:lang w:val="en-GB" w:eastAsia="en-US"/>
        </w:rPr>
      </w:pPr>
      <w:r w:rsidRPr="00B56C5A">
        <w:rPr>
          <w:rFonts w:ascii="Arial" w:eastAsia="Calibri" w:hAnsi="Arial" w:cs="Arial"/>
          <w:lang w:val="en-GB" w:eastAsia="en-US"/>
        </w:rPr>
        <w:t xml:space="preserve">A presentation to government officials and other relevant stakeholders about the work and its findings. </w:t>
      </w:r>
    </w:p>
    <w:p w:rsidR="00B56C5A" w:rsidRDefault="00B56C5A" w:rsidP="00B56C5A">
      <w:pPr>
        <w:pStyle w:val="ListParagraph"/>
        <w:ind w:left="644"/>
        <w:rPr>
          <w:rFonts w:ascii="Arial" w:eastAsia="Calibri" w:hAnsi="Arial" w:cs="Arial"/>
          <w:b/>
          <w:bCs/>
          <w:lang w:val="en-GB" w:eastAsia="en-US"/>
        </w:rPr>
      </w:pP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b/>
          <w:bCs/>
          <w:lang w:val="en-GB" w:eastAsia="en-US"/>
        </w:rPr>
        <w:t>Performance requirements</w:t>
      </w:r>
    </w:p>
    <w:p w:rsidR="00B56C5A" w:rsidRPr="00B56C5A" w:rsidRDefault="00B56C5A" w:rsidP="00C36523">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It is expected that suppliers with technical knowledge of the relevant regulatory frameworks and the ability to work internationally will bid. Impartiality of the analysis is crucial to this project.</w:t>
      </w:r>
      <w:r>
        <w:rPr>
          <w:rFonts w:ascii="Arial" w:eastAsia="Calibri" w:hAnsi="Arial" w:cs="Arial"/>
          <w:lang w:val="en-GB" w:eastAsia="en-US"/>
        </w:rPr>
        <w:t xml:space="preserve"> </w:t>
      </w:r>
      <w:r w:rsidRPr="00B56C5A">
        <w:rPr>
          <w:rFonts w:ascii="Arial" w:eastAsia="Calibri" w:hAnsi="Arial" w:cs="Arial"/>
          <w:lang w:val="en-GB" w:eastAsia="en-US"/>
        </w:rPr>
        <w:t xml:space="preserve">Reports should be delivered in English and Spanish. </w:t>
      </w:r>
    </w:p>
    <w:p w:rsidR="00B56C5A" w:rsidRDefault="00B56C5A" w:rsidP="00B56C5A">
      <w:pPr>
        <w:pStyle w:val="ListParagraph"/>
        <w:spacing w:after="0"/>
        <w:ind w:left="644"/>
        <w:rPr>
          <w:rFonts w:ascii="Arial" w:eastAsia="Calibri" w:hAnsi="Arial" w:cs="Arial"/>
          <w:lang w:val="en-GB" w:eastAsia="en-US"/>
        </w:rPr>
      </w:pPr>
    </w:p>
    <w:p w:rsidR="00B56C5A" w:rsidRP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 xml:space="preserve">The supplier will report to the British Embassy in Buenos Aires, represented by the Trade Policy team (Sam Gilbert – Director, Mercosur &amp; Magdalena Luppi – Economist). </w:t>
      </w:r>
    </w:p>
    <w:p w:rsidR="00B56C5A" w:rsidRDefault="00B56C5A" w:rsidP="00B56C5A">
      <w:pPr>
        <w:pStyle w:val="ListParagraph"/>
        <w:spacing w:after="0"/>
        <w:ind w:left="644"/>
        <w:rPr>
          <w:rFonts w:ascii="Arial" w:eastAsia="Calibri" w:hAnsi="Arial" w:cs="Arial"/>
          <w:lang w:val="en-GB" w:eastAsia="en-US"/>
        </w:rPr>
      </w:pPr>
    </w:p>
    <w:p w:rsidR="00B56C5A" w:rsidRP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Payments will be made upon approval of each deliverable</w:t>
      </w:r>
    </w:p>
    <w:p w:rsidR="00B56C5A" w:rsidRDefault="00B56C5A" w:rsidP="00B56C5A">
      <w:pPr>
        <w:pStyle w:val="ListParagraph"/>
        <w:ind w:left="644"/>
        <w:rPr>
          <w:rFonts w:ascii="Arial" w:eastAsia="Calibri" w:hAnsi="Arial" w:cs="Arial"/>
          <w:b/>
          <w:bCs/>
          <w:lang w:val="en-GB" w:eastAsia="en-US"/>
        </w:rPr>
      </w:pPr>
    </w:p>
    <w:p w:rsidR="00B56C5A" w:rsidRPr="00B56C5A" w:rsidRDefault="00B56C5A" w:rsidP="00B56C5A">
      <w:pPr>
        <w:pStyle w:val="ListParagraph"/>
        <w:ind w:left="644"/>
        <w:rPr>
          <w:rFonts w:ascii="Arial" w:eastAsia="Calibri" w:hAnsi="Arial" w:cs="Arial"/>
          <w:b/>
          <w:bCs/>
          <w:lang w:val="en-GB" w:eastAsia="en-US"/>
        </w:rPr>
      </w:pPr>
      <w:r w:rsidRPr="00B56C5A">
        <w:rPr>
          <w:rFonts w:ascii="Arial" w:eastAsia="Calibri" w:hAnsi="Arial" w:cs="Arial"/>
          <w:b/>
          <w:bCs/>
          <w:lang w:val="en-GB" w:eastAsia="en-US"/>
        </w:rPr>
        <w:t>Sending the proposals</w:t>
      </w:r>
    </w:p>
    <w:p w:rsidR="00B56C5A" w:rsidRPr="00B56C5A" w:rsidRDefault="00B56C5A" w:rsidP="00B56C5A">
      <w:pPr>
        <w:pStyle w:val="ListParagraph"/>
        <w:numPr>
          <w:ilvl w:val="0"/>
          <w:numId w:val="1"/>
        </w:numPr>
        <w:spacing w:after="0"/>
        <w:rPr>
          <w:rFonts w:ascii="Arial" w:eastAsia="Calibri" w:hAnsi="Arial" w:cs="Arial"/>
          <w:lang w:val="en-GB" w:eastAsia="en-US"/>
        </w:rPr>
      </w:pPr>
      <w:r w:rsidRPr="00B56C5A">
        <w:rPr>
          <w:rFonts w:ascii="Arial" w:eastAsia="Calibri" w:hAnsi="Arial" w:cs="Arial"/>
          <w:lang w:val="en-GB" w:eastAsia="en-US"/>
        </w:rPr>
        <w:t xml:space="preserve">Bidders need to send full proposal of work based on these Terms of Reference. The proposal must include a technical part presenting the methodology to carry out this analysis; and a financial part, including breakdown of costs per deliverable and per month, and include all relevant taxes.  All costs should be specified in USD. It must also include a timetable detailing when the deliverables will be completed. </w:t>
      </w:r>
    </w:p>
    <w:p w:rsidR="00B56C5A" w:rsidRDefault="00B56C5A" w:rsidP="00B56C5A">
      <w:pPr>
        <w:pStyle w:val="ListParagraph"/>
        <w:spacing w:after="0"/>
        <w:ind w:left="644"/>
        <w:jc w:val="both"/>
        <w:rPr>
          <w:rFonts w:ascii="Arial" w:eastAsia="Calibri" w:hAnsi="Arial" w:cs="Arial"/>
          <w:lang w:val="en-GB" w:eastAsia="en-US"/>
        </w:rPr>
      </w:pPr>
    </w:p>
    <w:p w:rsidR="001F5FF9" w:rsidRPr="00BC0982" w:rsidRDefault="001F5FF9" w:rsidP="001F5FF9">
      <w:pPr>
        <w:pStyle w:val="Heading2"/>
        <w:spacing w:before="0"/>
        <w:jc w:val="both"/>
        <w:rPr>
          <w:rFonts w:ascii="Arial" w:hAnsi="Arial" w:cs="Arial"/>
          <w:szCs w:val="22"/>
          <w:lang w:val="en-GB"/>
        </w:rPr>
      </w:pPr>
      <w:bookmarkStart w:id="1" w:name="_Toc532810026"/>
      <w:r>
        <w:rPr>
          <w:rFonts w:ascii="Arial" w:hAnsi="Arial" w:cs="Arial"/>
          <w:szCs w:val="22"/>
          <w:lang w:val="en-GB"/>
        </w:rPr>
        <w:t>METHODOLOGY</w:t>
      </w:r>
      <w:bookmarkEnd w:id="1"/>
    </w:p>
    <w:p w:rsidR="001F5FF9" w:rsidRPr="001F5FF9" w:rsidRDefault="001F5FF9" w:rsidP="001F5FF9">
      <w:pPr>
        <w:spacing w:after="0"/>
        <w:jc w:val="both"/>
        <w:rPr>
          <w:rFonts w:ascii="Arial" w:eastAsia="Calibri" w:hAnsi="Arial" w:cs="Arial"/>
          <w:lang w:val="en-GB" w:eastAsia="en-US"/>
        </w:rPr>
      </w:pPr>
    </w:p>
    <w:p w:rsidR="001F5FF9" w:rsidRPr="001F5FF9" w:rsidRDefault="00755850" w:rsidP="001F5FF9">
      <w:pPr>
        <w:pStyle w:val="ListParagraph"/>
        <w:numPr>
          <w:ilvl w:val="0"/>
          <w:numId w:val="1"/>
        </w:numPr>
        <w:spacing w:after="0"/>
        <w:jc w:val="both"/>
        <w:rPr>
          <w:rFonts w:ascii="Arial" w:eastAsia="Calibri" w:hAnsi="Arial" w:cs="Arial"/>
          <w:lang w:val="en-GB" w:eastAsia="en-US"/>
        </w:rPr>
      </w:pPr>
      <w:r w:rsidRPr="001F5FF9">
        <w:rPr>
          <w:rFonts w:ascii="Arial" w:eastAsiaTheme="majorEastAsia" w:hAnsi="Arial" w:cs="Arial"/>
          <w:b/>
          <w:bCs/>
          <w:lang w:val="en-GB" w:eastAsia="en-GB"/>
        </w:rPr>
        <w:t xml:space="preserve">Interested parties are asked to </w:t>
      </w:r>
      <w:r w:rsidR="00B93CD6">
        <w:rPr>
          <w:rFonts w:ascii="Arial" w:eastAsiaTheme="majorEastAsia" w:hAnsi="Arial" w:cs="Arial"/>
          <w:b/>
          <w:bCs/>
          <w:lang w:val="en-GB" w:eastAsia="en-GB"/>
        </w:rPr>
        <w:t>send</w:t>
      </w:r>
      <w:r w:rsidRPr="001F5FF9">
        <w:rPr>
          <w:rFonts w:ascii="Arial" w:eastAsiaTheme="majorEastAsia" w:hAnsi="Arial" w:cs="Arial"/>
          <w:b/>
          <w:bCs/>
          <w:lang w:val="en-GB" w:eastAsia="en-GB"/>
        </w:rPr>
        <w:t xml:space="preserve"> </w:t>
      </w:r>
      <w:r w:rsidR="00B93CD6">
        <w:rPr>
          <w:rFonts w:ascii="Arial" w:eastAsiaTheme="majorEastAsia" w:hAnsi="Arial" w:cs="Arial"/>
          <w:b/>
          <w:bCs/>
          <w:lang w:val="en-GB" w:eastAsia="en-GB"/>
        </w:rPr>
        <w:t xml:space="preserve">via email </w:t>
      </w:r>
      <w:r w:rsidRPr="001F5FF9">
        <w:rPr>
          <w:rFonts w:ascii="Arial" w:eastAsiaTheme="majorEastAsia" w:hAnsi="Arial" w:cs="Arial"/>
          <w:b/>
          <w:bCs/>
          <w:lang w:val="en-GB" w:eastAsia="en-GB"/>
        </w:rPr>
        <w:t xml:space="preserve">a </w:t>
      </w:r>
      <w:r w:rsidR="0057070F" w:rsidRPr="001F5FF9">
        <w:rPr>
          <w:rFonts w:ascii="Arial" w:eastAsiaTheme="majorEastAsia" w:hAnsi="Arial" w:cs="Arial"/>
          <w:b/>
          <w:bCs/>
          <w:lang w:val="en-GB" w:eastAsia="en-GB"/>
        </w:rPr>
        <w:t xml:space="preserve">detailed </w:t>
      </w:r>
      <w:r w:rsidRPr="001F5FF9">
        <w:rPr>
          <w:rFonts w:ascii="Arial" w:eastAsiaTheme="majorEastAsia" w:hAnsi="Arial" w:cs="Arial"/>
          <w:b/>
          <w:bCs/>
          <w:lang w:val="en-GB" w:eastAsia="en-GB"/>
        </w:rPr>
        <w:t>methodology of how</w:t>
      </w:r>
      <w:r w:rsidR="00F07836" w:rsidRPr="001F5FF9">
        <w:rPr>
          <w:rFonts w:ascii="Arial" w:eastAsiaTheme="majorEastAsia" w:hAnsi="Arial" w:cs="Arial"/>
          <w:b/>
          <w:bCs/>
          <w:lang w:val="en-GB" w:eastAsia="en-GB"/>
        </w:rPr>
        <w:t xml:space="preserve"> they would deliver the above-mentioned </w:t>
      </w:r>
      <w:r w:rsidR="001B0A88" w:rsidRPr="001F5FF9">
        <w:rPr>
          <w:rFonts w:ascii="Arial" w:eastAsiaTheme="majorEastAsia" w:hAnsi="Arial" w:cs="Arial"/>
          <w:b/>
          <w:bCs/>
          <w:lang w:val="en-GB" w:eastAsia="en-GB"/>
        </w:rPr>
        <w:t>project</w:t>
      </w:r>
      <w:r w:rsidR="00F07836" w:rsidRPr="001F5FF9">
        <w:rPr>
          <w:rFonts w:ascii="Arial" w:eastAsiaTheme="majorEastAsia" w:hAnsi="Arial" w:cs="Arial"/>
          <w:bCs/>
          <w:lang w:val="en-GB" w:eastAsia="en-GB"/>
        </w:rPr>
        <w:t xml:space="preserve">. </w:t>
      </w:r>
      <w:r w:rsidR="0057070F" w:rsidRPr="001F5FF9">
        <w:rPr>
          <w:rFonts w:ascii="Arial" w:eastAsiaTheme="majorEastAsia" w:hAnsi="Arial" w:cs="Arial"/>
          <w:bCs/>
          <w:lang w:val="en-GB" w:eastAsia="en-GB"/>
        </w:rPr>
        <w:t xml:space="preserve">Activities would be expected to </w:t>
      </w:r>
      <w:r w:rsidR="00F07836" w:rsidRPr="001F5FF9">
        <w:rPr>
          <w:rFonts w:ascii="Arial" w:eastAsiaTheme="majorEastAsia" w:hAnsi="Arial" w:cs="Arial"/>
          <w:bCs/>
          <w:lang w:val="en-GB" w:eastAsia="en-GB"/>
        </w:rPr>
        <w:t xml:space="preserve">include, </w:t>
      </w:r>
      <w:r w:rsidRPr="001F5FF9">
        <w:rPr>
          <w:rFonts w:ascii="Arial" w:eastAsiaTheme="majorEastAsia" w:hAnsi="Arial" w:cs="Arial"/>
          <w:bCs/>
          <w:lang w:val="en-GB" w:eastAsia="en-GB"/>
        </w:rPr>
        <w:t>but not</w:t>
      </w:r>
      <w:r w:rsidR="00F07836" w:rsidRPr="001F5FF9">
        <w:rPr>
          <w:rFonts w:ascii="Arial" w:eastAsiaTheme="majorEastAsia" w:hAnsi="Arial" w:cs="Arial"/>
          <w:bCs/>
          <w:lang w:val="en-GB" w:eastAsia="en-GB"/>
        </w:rPr>
        <w:t xml:space="preserve"> be</w:t>
      </w:r>
      <w:r w:rsidRPr="001F5FF9">
        <w:rPr>
          <w:rFonts w:ascii="Arial" w:eastAsiaTheme="majorEastAsia" w:hAnsi="Arial" w:cs="Arial"/>
          <w:bCs/>
          <w:lang w:val="en-GB" w:eastAsia="en-GB"/>
        </w:rPr>
        <w:t xml:space="preserve"> limited to: desk and field research, stakeholder consultations in </w:t>
      </w:r>
      <w:r w:rsidR="00B56C5A">
        <w:rPr>
          <w:rFonts w:ascii="Arial" w:eastAsiaTheme="majorEastAsia" w:hAnsi="Arial" w:cs="Arial"/>
          <w:bCs/>
          <w:lang w:val="en-GB" w:eastAsia="en-GB"/>
        </w:rPr>
        <w:t>Argentina</w:t>
      </w:r>
      <w:r w:rsidRPr="001F5FF9">
        <w:rPr>
          <w:rFonts w:ascii="Arial" w:eastAsiaTheme="majorEastAsia" w:hAnsi="Arial" w:cs="Arial"/>
          <w:bCs/>
          <w:lang w:val="en-GB" w:eastAsia="en-GB"/>
        </w:rPr>
        <w:t xml:space="preserve"> and UK, etc. </w:t>
      </w:r>
      <w:r w:rsidRPr="001F5FF9">
        <w:rPr>
          <w:rFonts w:ascii="Arial" w:eastAsiaTheme="majorEastAsia" w:hAnsi="Arial" w:cs="Arial"/>
          <w:b/>
          <w:bCs/>
          <w:lang w:val="en-GB" w:eastAsia="en-GB"/>
        </w:rPr>
        <w:t>The methodology should be accompanied by a detailed budget for the cost of proposed activities</w:t>
      </w:r>
      <w:r w:rsidR="00DE23D0" w:rsidRPr="001F5FF9">
        <w:rPr>
          <w:rFonts w:ascii="Arial" w:eastAsiaTheme="majorEastAsia" w:hAnsi="Arial" w:cs="Arial"/>
          <w:b/>
          <w:bCs/>
          <w:lang w:val="en-GB" w:eastAsia="en-GB"/>
        </w:rPr>
        <w:t>,</w:t>
      </w:r>
      <w:r w:rsidRPr="001F5FF9">
        <w:rPr>
          <w:rFonts w:ascii="Arial" w:eastAsiaTheme="majorEastAsia" w:hAnsi="Arial" w:cs="Arial"/>
          <w:b/>
          <w:bCs/>
          <w:lang w:val="en-GB" w:eastAsia="en-GB"/>
        </w:rPr>
        <w:t xml:space="preserve"> the CV</w:t>
      </w:r>
      <w:r w:rsidR="0057070F" w:rsidRPr="001F5FF9">
        <w:rPr>
          <w:rFonts w:ascii="Arial" w:eastAsiaTheme="majorEastAsia" w:hAnsi="Arial" w:cs="Arial"/>
          <w:b/>
          <w:bCs/>
          <w:lang w:val="en-GB" w:eastAsia="en-GB"/>
        </w:rPr>
        <w:t>s</w:t>
      </w:r>
      <w:r w:rsidR="00CB5EC8" w:rsidRPr="001F5FF9">
        <w:rPr>
          <w:rFonts w:ascii="Arial" w:eastAsiaTheme="majorEastAsia" w:hAnsi="Arial" w:cs="Arial"/>
          <w:b/>
          <w:bCs/>
          <w:lang w:val="en-GB" w:eastAsia="en-GB"/>
        </w:rPr>
        <w:t xml:space="preserve"> </w:t>
      </w:r>
      <w:r w:rsidRPr="001F5FF9">
        <w:rPr>
          <w:rFonts w:ascii="Arial" w:eastAsiaTheme="majorEastAsia" w:hAnsi="Arial" w:cs="Arial"/>
          <w:b/>
          <w:bCs/>
          <w:lang w:val="en-GB" w:eastAsia="en-GB"/>
        </w:rPr>
        <w:t xml:space="preserve">of the </w:t>
      </w:r>
      <w:r w:rsidR="00F07836" w:rsidRPr="001F5FF9">
        <w:rPr>
          <w:rFonts w:ascii="Arial" w:eastAsiaTheme="majorEastAsia" w:hAnsi="Arial" w:cs="Arial"/>
          <w:b/>
          <w:bCs/>
          <w:lang w:val="en-GB" w:eastAsia="en-GB"/>
        </w:rPr>
        <w:t>expert</w:t>
      </w:r>
      <w:r w:rsidR="0057070F" w:rsidRPr="001F5FF9">
        <w:rPr>
          <w:rFonts w:ascii="Arial" w:eastAsiaTheme="majorEastAsia" w:hAnsi="Arial" w:cs="Arial"/>
          <w:b/>
          <w:bCs/>
          <w:lang w:val="en-GB" w:eastAsia="en-GB"/>
        </w:rPr>
        <w:t>s</w:t>
      </w:r>
      <w:r w:rsidR="00CB5EC8" w:rsidRPr="001F5FF9">
        <w:rPr>
          <w:rFonts w:ascii="Arial" w:eastAsiaTheme="majorEastAsia" w:hAnsi="Arial" w:cs="Arial"/>
          <w:b/>
          <w:bCs/>
          <w:lang w:val="en-GB" w:eastAsia="en-GB"/>
        </w:rPr>
        <w:t xml:space="preserve"> </w:t>
      </w:r>
      <w:r w:rsidRPr="001F5FF9">
        <w:rPr>
          <w:rFonts w:ascii="Arial" w:eastAsiaTheme="majorEastAsia" w:hAnsi="Arial" w:cs="Arial"/>
          <w:b/>
          <w:bCs/>
          <w:lang w:val="en-GB" w:eastAsia="en-GB"/>
        </w:rPr>
        <w:t xml:space="preserve">that </w:t>
      </w:r>
      <w:r w:rsidR="00DE23D0" w:rsidRPr="001F5FF9">
        <w:rPr>
          <w:rFonts w:ascii="Arial" w:eastAsiaTheme="majorEastAsia" w:hAnsi="Arial" w:cs="Arial"/>
          <w:b/>
          <w:bCs/>
          <w:lang w:val="en-GB" w:eastAsia="en-GB"/>
        </w:rPr>
        <w:t xml:space="preserve">are being proposed to </w:t>
      </w:r>
      <w:r w:rsidRPr="001F5FF9">
        <w:rPr>
          <w:rFonts w:ascii="Arial" w:eastAsiaTheme="majorEastAsia" w:hAnsi="Arial" w:cs="Arial"/>
          <w:b/>
          <w:bCs/>
          <w:lang w:val="en-GB" w:eastAsia="en-GB"/>
        </w:rPr>
        <w:t>conduct the work</w:t>
      </w:r>
      <w:r w:rsidR="00B037FB" w:rsidRPr="001F5FF9">
        <w:rPr>
          <w:rFonts w:ascii="Arial" w:eastAsiaTheme="majorEastAsia" w:hAnsi="Arial" w:cs="Arial"/>
          <w:b/>
          <w:bCs/>
          <w:lang w:val="en-GB" w:eastAsia="en-GB"/>
        </w:rPr>
        <w:t>, and the rationale for the selection of those experts</w:t>
      </w:r>
      <w:r w:rsidRPr="001F5FF9">
        <w:rPr>
          <w:rFonts w:ascii="Arial" w:eastAsiaTheme="majorEastAsia" w:hAnsi="Arial" w:cs="Arial"/>
          <w:b/>
          <w:bCs/>
          <w:lang w:val="en-GB" w:eastAsia="en-GB"/>
        </w:rPr>
        <w:t>.</w:t>
      </w:r>
      <w:r w:rsidR="00DE23D0" w:rsidRPr="001F5FF9">
        <w:rPr>
          <w:rFonts w:ascii="Arial" w:eastAsiaTheme="majorEastAsia" w:hAnsi="Arial" w:cs="Arial"/>
          <w:bCs/>
          <w:lang w:val="en-GB" w:eastAsia="en-GB"/>
        </w:rPr>
        <w:t xml:space="preserve"> The </w:t>
      </w:r>
      <w:r w:rsidR="00DE23D0" w:rsidRPr="001F5FF9">
        <w:rPr>
          <w:rFonts w:ascii="Arial" w:eastAsiaTheme="majorEastAsia" w:hAnsi="Arial" w:cs="Arial"/>
          <w:bCs/>
          <w:lang w:val="en-GB" w:eastAsia="en-GB"/>
        </w:rPr>
        <w:lastRenderedPageBreak/>
        <w:t>Authority reserves the right to request changes to the experts proposed in order to ensure a representative spread of expertise</w:t>
      </w:r>
      <w:r w:rsidR="00B037FB" w:rsidRPr="001F5FF9">
        <w:rPr>
          <w:rFonts w:ascii="Arial" w:eastAsiaTheme="majorEastAsia" w:hAnsi="Arial" w:cs="Arial"/>
          <w:bCs/>
          <w:lang w:val="en-GB" w:eastAsia="en-GB"/>
        </w:rPr>
        <w:t xml:space="preserve"> and perspective.</w:t>
      </w:r>
    </w:p>
    <w:p w:rsidR="001F5FF9" w:rsidRPr="001F5FF9" w:rsidRDefault="001F5FF9" w:rsidP="001F5FF9">
      <w:pPr>
        <w:pStyle w:val="ListParagraph"/>
        <w:spacing w:after="0"/>
        <w:ind w:left="644"/>
        <w:jc w:val="both"/>
        <w:rPr>
          <w:rFonts w:ascii="Arial" w:eastAsia="Calibri" w:hAnsi="Arial" w:cs="Arial"/>
          <w:lang w:val="en-GB" w:eastAsia="en-US"/>
        </w:rPr>
      </w:pPr>
    </w:p>
    <w:p w:rsidR="001F5FF9" w:rsidRPr="001F5FF9" w:rsidRDefault="00B037FB" w:rsidP="001F5FF9">
      <w:pPr>
        <w:pStyle w:val="ListParagraph"/>
        <w:numPr>
          <w:ilvl w:val="0"/>
          <w:numId w:val="1"/>
        </w:numPr>
        <w:spacing w:after="0"/>
        <w:jc w:val="both"/>
        <w:rPr>
          <w:rFonts w:ascii="Arial" w:eastAsia="Calibri" w:hAnsi="Arial" w:cs="Arial"/>
          <w:lang w:val="en-GB" w:eastAsia="en-US"/>
        </w:rPr>
      </w:pPr>
      <w:r w:rsidRPr="001F5FF9">
        <w:rPr>
          <w:rFonts w:ascii="Arial" w:hAnsi="Arial" w:cs="Arial"/>
          <w:lang w:val="en-GB"/>
        </w:rPr>
        <w:t xml:space="preserve">The methodology should include details of how basic working arrangements will be managed, including language considerations (e.g. translation, interpretation). </w:t>
      </w:r>
      <w:r w:rsidR="005458C7" w:rsidRPr="001F5FF9">
        <w:rPr>
          <w:rFonts w:ascii="Arial" w:hAnsi="Arial" w:cs="Arial"/>
          <w:lang w:val="en-GB"/>
        </w:rPr>
        <w:t xml:space="preserve">It should also include an estimate of the length (page count) of the Study, and </w:t>
      </w:r>
      <w:r w:rsidR="006806AE" w:rsidRPr="001F5FF9">
        <w:rPr>
          <w:rFonts w:ascii="Arial" w:hAnsi="Arial" w:cs="Arial"/>
          <w:lang w:val="en-GB"/>
        </w:rPr>
        <w:t>description of graphic tools which will be used to illustrate findings.</w:t>
      </w:r>
    </w:p>
    <w:p w:rsidR="001F5FF9" w:rsidRPr="001F5FF9" w:rsidRDefault="001F5FF9" w:rsidP="001F5FF9">
      <w:pPr>
        <w:pStyle w:val="ListParagraph"/>
        <w:spacing w:after="0"/>
        <w:ind w:left="644"/>
        <w:jc w:val="both"/>
        <w:rPr>
          <w:rFonts w:ascii="Arial" w:eastAsia="Calibri" w:hAnsi="Arial" w:cs="Arial"/>
          <w:lang w:val="en-GB" w:eastAsia="en-US"/>
        </w:rPr>
      </w:pPr>
    </w:p>
    <w:p w:rsidR="0008793B" w:rsidRDefault="0008793B" w:rsidP="001F5FF9">
      <w:pPr>
        <w:pStyle w:val="ListParagraph"/>
        <w:numPr>
          <w:ilvl w:val="0"/>
          <w:numId w:val="1"/>
        </w:numPr>
        <w:spacing w:after="0"/>
        <w:jc w:val="both"/>
        <w:rPr>
          <w:rFonts w:ascii="Arial" w:eastAsiaTheme="majorEastAsia" w:hAnsi="Arial" w:cs="Arial"/>
          <w:bCs/>
          <w:lang w:val="en-GB" w:eastAsia="en-GB"/>
        </w:rPr>
      </w:pPr>
      <w:r w:rsidRPr="002B31CE">
        <w:rPr>
          <w:rFonts w:ascii="Arial" w:eastAsiaTheme="majorEastAsia" w:hAnsi="Arial" w:cs="Arial"/>
          <w:bCs/>
          <w:lang w:val="en-GB" w:eastAsia="en-GB"/>
        </w:rPr>
        <w:t xml:space="preserve">Prospective suppliers should be aware that the </w:t>
      </w:r>
      <w:r w:rsidR="00AD2216">
        <w:rPr>
          <w:rFonts w:ascii="Arial" w:eastAsiaTheme="majorEastAsia" w:hAnsi="Arial" w:cs="Arial"/>
          <w:bCs/>
          <w:lang w:val="en-GB" w:eastAsia="en-GB"/>
        </w:rPr>
        <w:t xml:space="preserve">Authority, as represented by the </w:t>
      </w:r>
      <w:r w:rsidRPr="002B31CE">
        <w:rPr>
          <w:rFonts w:ascii="Arial" w:eastAsiaTheme="majorEastAsia" w:hAnsi="Arial" w:cs="Arial"/>
          <w:bCs/>
          <w:lang w:val="en-GB" w:eastAsia="en-GB"/>
        </w:rPr>
        <w:t xml:space="preserve">British Embassy in </w:t>
      </w:r>
      <w:r w:rsidR="00B56C5A">
        <w:rPr>
          <w:rFonts w:ascii="Arial" w:eastAsiaTheme="majorEastAsia" w:hAnsi="Arial" w:cs="Arial"/>
          <w:bCs/>
          <w:lang w:val="en-GB" w:eastAsia="en-GB"/>
        </w:rPr>
        <w:t>Buenos Aires</w:t>
      </w:r>
      <w:r w:rsidR="00AD2216">
        <w:rPr>
          <w:rFonts w:ascii="Arial" w:eastAsiaTheme="majorEastAsia" w:hAnsi="Arial" w:cs="Arial"/>
          <w:bCs/>
          <w:lang w:val="en-GB" w:eastAsia="en-GB"/>
        </w:rPr>
        <w:t>,</w:t>
      </w:r>
      <w:r w:rsidRPr="002B31CE">
        <w:rPr>
          <w:rFonts w:ascii="Arial" w:eastAsiaTheme="majorEastAsia" w:hAnsi="Arial" w:cs="Arial"/>
          <w:bCs/>
          <w:lang w:val="en-GB" w:eastAsia="en-GB"/>
        </w:rPr>
        <w:t xml:space="preserve"> will liaise closely with the successful supplier throughout the </w:t>
      </w:r>
      <w:r w:rsidR="00F4353A">
        <w:rPr>
          <w:rFonts w:ascii="Arial" w:eastAsiaTheme="majorEastAsia" w:hAnsi="Arial" w:cs="Arial"/>
          <w:bCs/>
          <w:lang w:val="en-GB" w:eastAsia="en-GB"/>
        </w:rPr>
        <w:t>Project</w:t>
      </w:r>
      <w:r w:rsidR="00F4353A" w:rsidRPr="002B31CE">
        <w:rPr>
          <w:rFonts w:ascii="Arial" w:eastAsiaTheme="majorEastAsia" w:hAnsi="Arial" w:cs="Arial"/>
          <w:bCs/>
          <w:lang w:val="en-GB" w:eastAsia="en-GB"/>
        </w:rPr>
        <w:t xml:space="preserve"> </w:t>
      </w:r>
      <w:r w:rsidRPr="002B31CE">
        <w:rPr>
          <w:rFonts w:ascii="Arial" w:eastAsiaTheme="majorEastAsia" w:hAnsi="Arial" w:cs="Arial"/>
          <w:bCs/>
          <w:lang w:val="en-GB" w:eastAsia="en-GB"/>
        </w:rPr>
        <w:t xml:space="preserve">and will be available to </w:t>
      </w:r>
      <w:r w:rsidR="00BF0483">
        <w:rPr>
          <w:rFonts w:ascii="Arial" w:eastAsiaTheme="majorEastAsia" w:hAnsi="Arial" w:cs="Arial"/>
          <w:bCs/>
          <w:lang w:val="en-GB" w:eastAsia="en-GB"/>
        </w:rPr>
        <w:t xml:space="preserve">provide relevant documentation and </w:t>
      </w:r>
      <w:r w:rsidRPr="002B31CE">
        <w:rPr>
          <w:rFonts w:ascii="Arial" w:eastAsiaTheme="majorEastAsia" w:hAnsi="Arial" w:cs="Arial"/>
          <w:bCs/>
          <w:lang w:val="en-GB" w:eastAsia="en-GB"/>
        </w:rPr>
        <w:t>contact details of stakeholders</w:t>
      </w:r>
      <w:r w:rsidR="00BF0483">
        <w:rPr>
          <w:rFonts w:ascii="Arial" w:eastAsiaTheme="majorEastAsia" w:hAnsi="Arial" w:cs="Arial"/>
          <w:bCs/>
          <w:lang w:val="en-GB" w:eastAsia="en-GB"/>
        </w:rPr>
        <w:t xml:space="preserve"> </w:t>
      </w:r>
      <w:r w:rsidR="00DC7F61">
        <w:rPr>
          <w:rFonts w:ascii="Arial" w:eastAsiaTheme="majorEastAsia" w:hAnsi="Arial" w:cs="Arial"/>
          <w:bCs/>
          <w:lang w:val="en-GB" w:eastAsia="en-GB"/>
        </w:rPr>
        <w:t>as</w:t>
      </w:r>
      <w:r w:rsidR="00BF0483">
        <w:rPr>
          <w:rFonts w:ascii="Arial" w:eastAsiaTheme="majorEastAsia" w:hAnsi="Arial" w:cs="Arial"/>
          <w:bCs/>
          <w:lang w:val="en-GB" w:eastAsia="en-GB"/>
        </w:rPr>
        <w:t xml:space="preserve"> required.</w:t>
      </w:r>
      <w:r w:rsidRPr="002B31CE">
        <w:rPr>
          <w:rFonts w:ascii="Arial" w:eastAsiaTheme="majorEastAsia" w:hAnsi="Arial" w:cs="Arial"/>
          <w:bCs/>
          <w:lang w:val="en-GB" w:eastAsia="en-GB"/>
        </w:rPr>
        <w:t xml:space="preserve"> </w:t>
      </w:r>
      <w:r w:rsidR="00AA6820">
        <w:rPr>
          <w:rFonts w:ascii="Arial" w:eastAsiaTheme="majorEastAsia" w:hAnsi="Arial" w:cs="Arial"/>
          <w:bCs/>
          <w:lang w:val="en-GB" w:eastAsia="en-GB"/>
        </w:rPr>
        <w:t xml:space="preserve">The </w:t>
      </w:r>
      <w:r w:rsidR="005E2073">
        <w:rPr>
          <w:rFonts w:ascii="Arial" w:eastAsiaTheme="majorEastAsia" w:hAnsi="Arial" w:cs="Arial"/>
          <w:bCs/>
          <w:lang w:val="en-GB" w:eastAsia="en-GB"/>
        </w:rPr>
        <w:t>S</w:t>
      </w:r>
      <w:r w:rsidR="00AA6820">
        <w:rPr>
          <w:rFonts w:ascii="Arial" w:eastAsiaTheme="majorEastAsia" w:hAnsi="Arial" w:cs="Arial"/>
          <w:bCs/>
          <w:lang w:val="en-GB" w:eastAsia="en-GB"/>
        </w:rPr>
        <w:t xml:space="preserve">upplier will be expected to </w:t>
      </w:r>
      <w:r w:rsidR="00D661AF">
        <w:rPr>
          <w:rFonts w:ascii="Arial" w:eastAsiaTheme="majorEastAsia" w:hAnsi="Arial" w:cs="Arial"/>
          <w:bCs/>
          <w:lang w:val="en-GB" w:eastAsia="en-GB"/>
        </w:rPr>
        <w:t xml:space="preserve">have capacity to </w:t>
      </w:r>
      <w:r w:rsidR="00AA6820">
        <w:rPr>
          <w:rFonts w:ascii="Arial" w:eastAsiaTheme="majorEastAsia" w:hAnsi="Arial" w:cs="Arial"/>
          <w:bCs/>
          <w:lang w:val="en-GB" w:eastAsia="en-GB"/>
        </w:rPr>
        <w:t>set up relevant meetings and teleconferences</w:t>
      </w:r>
      <w:r w:rsidR="00D661AF">
        <w:rPr>
          <w:rFonts w:ascii="Arial" w:eastAsiaTheme="majorEastAsia" w:hAnsi="Arial" w:cs="Arial"/>
          <w:bCs/>
          <w:lang w:val="en-GB" w:eastAsia="en-GB"/>
        </w:rPr>
        <w:t xml:space="preserve"> independently</w:t>
      </w:r>
      <w:r w:rsidR="00AA6820">
        <w:rPr>
          <w:rFonts w:ascii="Arial" w:eastAsiaTheme="majorEastAsia" w:hAnsi="Arial" w:cs="Arial"/>
          <w:bCs/>
          <w:lang w:val="en-GB" w:eastAsia="en-GB"/>
        </w:rPr>
        <w:t xml:space="preserve">, liaising closely with the </w:t>
      </w:r>
      <w:r w:rsidR="00AD2216">
        <w:rPr>
          <w:rFonts w:ascii="Arial" w:eastAsiaTheme="majorEastAsia" w:hAnsi="Arial" w:cs="Arial"/>
          <w:bCs/>
          <w:lang w:val="en-GB" w:eastAsia="en-GB"/>
        </w:rPr>
        <w:t>Authority</w:t>
      </w:r>
      <w:r w:rsidR="00D661AF">
        <w:rPr>
          <w:rFonts w:ascii="Arial" w:eastAsiaTheme="majorEastAsia" w:hAnsi="Arial" w:cs="Arial"/>
          <w:bCs/>
          <w:lang w:val="en-GB" w:eastAsia="en-GB"/>
        </w:rPr>
        <w:t xml:space="preserve">; however, the British Embassy will be </w:t>
      </w:r>
      <w:r w:rsidR="00C31E3D">
        <w:rPr>
          <w:rFonts w:ascii="Arial" w:eastAsiaTheme="majorEastAsia" w:hAnsi="Arial" w:cs="Arial"/>
          <w:bCs/>
          <w:lang w:val="en-GB" w:eastAsia="en-GB"/>
        </w:rPr>
        <w:t xml:space="preserve">continuously on hand throughout the project </w:t>
      </w:r>
      <w:r w:rsidR="00D661AF">
        <w:rPr>
          <w:rFonts w:ascii="Arial" w:eastAsiaTheme="majorEastAsia" w:hAnsi="Arial" w:cs="Arial"/>
          <w:bCs/>
          <w:lang w:val="en-GB" w:eastAsia="en-GB"/>
        </w:rPr>
        <w:t>to ensure quick resolution of any challenges that the Supplier encounters in the course of securing these engagements</w:t>
      </w:r>
      <w:r w:rsidR="00AA6820">
        <w:rPr>
          <w:rFonts w:ascii="Arial" w:eastAsiaTheme="majorEastAsia" w:hAnsi="Arial" w:cs="Arial"/>
          <w:bCs/>
          <w:lang w:val="en-GB" w:eastAsia="en-GB"/>
        </w:rPr>
        <w:t>.</w:t>
      </w:r>
    </w:p>
    <w:p w:rsidR="003B7820" w:rsidRDefault="003B7820" w:rsidP="003B7820">
      <w:pPr>
        <w:pStyle w:val="ListParagraph"/>
        <w:spacing w:after="0"/>
        <w:ind w:left="644"/>
        <w:jc w:val="both"/>
        <w:rPr>
          <w:rFonts w:ascii="Arial" w:eastAsiaTheme="majorEastAsia" w:hAnsi="Arial" w:cs="Arial"/>
          <w:bCs/>
          <w:lang w:val="en-GB" w:eastAsia="en-GB"/>
        </w:rPr>
      </w:pPr>
    </w:p>
    <w:p w:rsidR="003B7820" w:rsidRPr="002B31CE" w:rsidRDefault="003B7820" w:rsidP="001F5FF9">
      <w:pPr>
        <w:pStyle w:val="ListParagraph"/>
        <w:numPr>
          <w:ilvl w:val="0"/>
          <w:numId w:val="1"/>
        </w:numPr>
        <w:spacing w:after="0"/>
        <w:jc w:val="both"/>
        <w:rPr>
          <w:rFonts w:ascii="Arial" w:eastAsiaTheme="majorEastAsia" w:hAnsi="Arial" w:cs="Arial"/>
          <w:bCs/>
          <w:lang w:val="en-GB" w:eastAsia="en-GB"/>
        </w:rPr>
      </w:pPr>
      <w:r w:rsidRPr="003B7820">
        <w:rPr>
          <w:rFonts w:ascii="Arial" w:eastAsiaTheme="majorEastAsia" w:hAnsi="Arial" w:cs="Arial"/>
          <w:bCs/>
          <w:lang w:val="en-GB" w:eastAsia="en-GB"/>
        </w:rPr>
        <w:t xml:space="preserve">The </w:t>
      </w:r>
      <w:r w:rsidR="007E4C19">
        <w:rPr>
          <w:rFonts w:ascii="Arial" w:eastAsiaTheme="majorEastAsia" w:hAnsi="Arial" w:cs="Arial"/>
          <w:bCs/>
          <w:lang w:val="en-GB" w:eastAsia="en-GB"/>
        </w:rPr>
        <w:t>Authority</w:t>
      </w:r>
      <w:r w:rsidRPr="003B7820">
        <w:rPr>
          <w:rFonts w:ascii="Arial" w:eastAsiaTheme="majorEastAsia" w:hAnsi="Arial" w:cs="Arial"/>
          <w:bCs/>
          <w:lang w:val="en-GB" w:eastAsia="en-GB"/>
        </w:rPr>
        <w:t xml:space="preserve"> reserves the right to attend all meetings</w:t>
      </w:r>
      <w:r w:rsidR="00AA6820">
        <w:rPr>
          <w:rFonts w:ascii="Arial" w:eastAsiaTheme="majorEastAsia" w:hAnsi="Arial" w:cs="Arial"/>
          <w:bCs/>
          <w:lang w:val="en-GB" w:eastAsia="en-GB"/>
        </w:rPr>
        <w:t xml:space="preserve"> (including teleconferences)</w:t>
      </w:r>
      <w:r w:rsidRPr="003B7820">
        <w:rPr>
          <w:rFonts w:ascii="Arial" w:eastAsiaTheme="majorEastAsia" w:hAnsi="Arial" w:cs="Arial"/>
          <w:bCs/>
          <w:lang w:val="en-GB" w:eastAsia="en-GB"/>
        </w:rPr>
        <w:t xml:space="preserve"> and events relevant to the </w:t>
      </w:r>
      <w:r w:rsidR="00AD2216">
        <w:rPr>
          <w:rFonts w:ascii="Arial" w:eastAsiaTheme="majorEastAsia" w:hAnsi="Arial" w:cs="Arial"/>
          <w:bCs/>
          <w:lang w:val="en-GB" w:eastAsia="en-GB"/>
        </w:rPr>
        <w:t>Project</w:t>
      </w:r>
      <w:r w:rsidRPr="003B7820">
        <w:rPr>
          <w:rFonts w:ascii="Arial" w:eastAsiaTheme="majorEastAsia" w:hAnsi="Arial" w:cs="Arial"/>
          <w:bCs/>
          <w:lang w:val="en-GB" w:eastAsia="en-GB"/>
        </w:rPr>
        <w:t xml:space="preserve">, subject to availability. </w:t>
      </w:r>
      <w:r w:rsidR="00993772">
        <w:rPr>
          <w:rFonts w:ascii="Arial" w:eastAsiaTheme="majorEastAsia" w:hAnsi="Arial" w:cs="Arial"/>
          <w:bCs/>
          <w:lang w:val="en-GB" w:eastAsia="en-GB"/>
        </w:rPr>
        <w:t xml:space="preserve">The </w:t>
      </w:r>
      <w:r w:rsidR="005E2073">
        <w:rPr>
          <w:rFonts w:ascii="Arial" w:eastAsiaTheme="majorEastAsia" w:hAnsi="Arial" w:cs="Arial"/>
          <w:bCs/>
          <w:lang w:val="en-GB" w:eastAsia="en-GB"/>
        </w:rPr>
        <w:t>S</w:t>
      </w:r>
      <w:r w:rsidR="00993772">
        <w:rPr>
          <w:rFonts w:ascii="Arial" w:eastAsiaTheme="majorEastAsia" w:hAnsi="Arial" w:cs="Arial"/>
          <w:bCs/>
          <w:lang w:val="en-GB" w:eastAsia="en-GB"/>
        </w:rPr>
        <w:t xml:space="preserve">upplier must ensure that the </w:t>
      </w:r>
      <w:r w:rsidR="00AD2216">
        <w:rPr>
          <w:rFonts w:ascii="Arial" w:eastAsiaTheme="majorEastAsia" w:hAnsi="Arial" w:cs="Arial"/>
          <w:bCs/>
          <w:lang w:val="en-GB" w:eastAsia="en-GB"/>
        </w:rPr>
        <w:t xml:space="preserve">Authority </w:t>
      </w:r>
      <w:r w:rsidR="00993772">
        <w:rPr>
          <w:rFonts w:ascii="Arial" w:eastAsiaTheme="majorEastAsia" w:hAnsi="Arial" w:cs="Arial"/>
          <w:bCs/>
          <w:lang w:val="en-GB" w:eastAsia="en-GB"/>
        </w:rPr>
        <w:t>is given the option to be present at any relevant meeting</w:t>
      </w:r>
      <w:r w:rsidR="00AA6820">
        <w:rPr>
          <w:rFonts w:ascii="Arial" w:eastAsiaTheme="majorEastAsia" w:hAnsi="Arial" w:cs="Arial"/>
          <w:bCs/>
          <w:lang w:val="en-GB" w:eastAsia="en-GB"/>
        </w:rPr>
        <w:t>/event</w:t>
      </w:r>
      <w:r w:rsidR="00993772">
        <w:rPr>
          <w:rFonts w:ascii="Arial" w:eastAsiaTheme="majorEastAsia" w:hAnsi="Arial" w:cs="Arial"/>
          <w:bCs/>
          <w:lang w:val="en-GB" w:eastAsia="en-GB"/>
        </w:rPr>
        <w:t xml:space="preserve"> including with Government or external stakeholders. </w:t>
      </w:r>
      <w:r w:rsidRPr="003B7820">
        <w:rPr>
          <w:rFonts w:ascii="Arial" w:eastAsiaTheme="majorEastAsia" w:hAnsi="Arial" w:cs="Arial"/>
          <w:bCs/>
          <w:lang w:val="en-GB" w:eastAsia="en-GB"/>
        </w:rPr>
        <w:t xml:space="preserve">The </w:t>
      </w:r>
      <w:r w:rsidR="005E2073">
        <w:rPr>
          <w:rFonts w:ascii="Arial" w:eastAsiaTheme="majorEastAsia" w:hAnsi="Arial" w:cs="Arial"/>
          <w:bCs/>
          <w:lang w:val="en-GB" w:eastAsia="en-GB"/>
        </w:rPr>
        <w:t>S</w:t>
      </w:r>
      <w:r w:rsidR="00993772">
        <w:rPr>
          <w:rFonts w:ascii="Arial" w:eastAsiaTheme="majorEastAsia" w:hAnsi="Arial" w:cs="Arial"/>
          <w:bCs/>
          <w:lang w:val="en-GB" w:eastAsia="en-GB"/>
        </w:rPr>
        <w:t>upplier</w:t>
      </w:r>
      <w:r w:rsidRPr="003B7820">
        <w:rPr>
          <w:rFonts w:ascii="Arial" w:eastAsiaTheme="majorEastAsia" w:hAnsi="Arial" w:cs="Arial"/>
          <w:bCs/>
          <w:lang w:val="en-GB" w:eastAsia="en-GB"/>
        </w:rPr>
        <w:t xml:space="preserve"> must therefore inform the </w:t>
      </w:r>
      <w:r w:rsidR="00AD2216">
        <w:rPr>
          <w:rFonts w:ascii="Arial" w:eastAsiaTheme="majorEastAsia" w:hAnsi="Arial" w:cs="Arial"/>
          <w:bCs/>
          <w:lang w:val="en-GB" w:eastAsia="en-GB"/>
        </w:rPr>
        <w:t>Authority</w:t>
      </w:r>
      <w:r w:rsidR="00AD2216" w:rsidRPr="003B7820">
        <w:rPr>
          <w:rFonts w:ascii="Arial" w:eastAsiaTheme="majorEastAsia" w:hAnsi="Arial" w:cs="Arial"/>
          <w:bCs/>
          <w:lang w:val="en-GB" w:eastAsia="en-GB"/>
        </w:rPr>
        <w:t xml:space="preserve"> </w:t>
      </w:r>
      <w:r w:rsidRPr="003B7820">
        <w:rPr>
          <w:rFonts w:ascii="Arial" w:eastAsiaTheme="majorEastAsia" w:hAnsi="Arial" w:cs="Arial"/>
          <w:bCs/>
          <w:lang w:val="en-GB" w:eastAsia="en-GB"/>
        </w:rPr>
        <w:t xml:space="preserve">of all events and meetings relevant to the </w:t>
      </w:r>
      <w:r w:rsidR="00AD2216">
        <w:rPr>
          <w:rFonts w:ascii="Arial" w:eastAsiaTheme="majorEastAsia" w:hAnsi="Arial" w:cs="Arial"/>
          <w:bCs/>
          <w:lang w:val="en-GB" w:eastAsia="en-GB"/>
        </w:rPr>
        <w:t>Project</w:t>
      </w:r>
      <w:r w:rsidR="00AD2216" w:rsidRPr="003B7820">
        <w:rPr>
          <w:rFonts w:ascii="Arial" w:eastAsiaTheme="majorEastAsia" w:hAnsi="Arial" w:cs="Arial"/>
          <w:bCs/>
          <w:lang w:val="en-GB" w:eastAsia="en-GB"/>
        </w:rPr>
        <w:t xml:space="preserve"> </w:t>
      </w:r>
      <w:r w:rsidRPr="003B7820">
        <w:rPr>
          <w:rFonts w:ascii="Arial" w:eastAsiaTheme="majorEastAsia" w:hAnsi="Arial" w:cs="Arial"/>
          <w:bCs/>
          <w:lang w:val="en-GB" w:eastAsia="en-GB"/>
        </w:rPr>
        <w:t>in a timely manner</w:t>
      </w:r>
      <w:r w:rsidR="00F4353A">
        <w:rPr>
          <w:rFonts w:ascii="Arial" w:eastAsiaTheme="majorEastAsia" w:hAnsi="Arial" w:cs="Arial"/>
          <w:bCs/>
          <w:lang w:val="en-GB" w:eastAsia="en-GB"/>
        </w:rPr>
        <w:t>, including through weekly progress reports</w:t>
      </w:r>
      <w:r w:rsidRPr="003B7820">
        <w:rPr>
          <w:rFonts w:ascii="Arial" w:eastAsiaTheme="majorEastAsia" w:hAnsi="Arial" w:cs="Arial"/>
          <w:bCs/>
          <w:lang w:val="en-GB" w:eastAsia="en-GB"/>
        </w:rPr>
        <w:t>.</w:t>
      </w:r>
    </w:p>
    <w:p w:rsidR="00931D44" w:rsidRDefault="00931D44" w:rsidP="00931D44">
      <w:pPr>
        <w:pStyle w:val="ListParagraph"/>
        <w:spacing w:after="0"/>
        <w:ind w:left="644"/>
        <w:jc w:val="both"/>
        <w:rPr>
          <w:rFonts w:ascii="Arial" w:eastAsiaTheme="majorEastAsia" w:hAnsi="Arial" w:cs="Arial"/>
          <w:bCs/>
          <w:color w:val="C00000"/>
          <w:lang w:val="en-GB" w:eastAsia="en-GB"/>
        </w:rPr>
      </w:pPr>
    </w:p>
    <w:p w:rsidR="008801E7" w:rsidRPr="00F14027" w:rsidRDefault="00F14027" w:rsidP="00F14027">
      <w:pPr>
        <w:pStyle w:val="Heading2"/>
        <w:spacing w:before="0"/>
        <w:jc w:val="both"/>
        <w:rPr>
          <w:rFonts w:ascii="Arial" w:hAnsi="Arial" w:cs="Arial"/>
          <w:szCs w:val="22"/>
          <w:lang w:val="en-GB"/>
        </w:rPr>
      </w:pPr>
      <w:bookmarkStart w:id="2" w:name="_Toc532810027"/>
      <w:r w:rsidRPr="00500F5F">
        <w:rPr>
          <w:rFonts w:ascii="Arial" w:hAnsi="Arial" w:cs="Arial"/>
          <w:szCs w:val="22"/>
          <w:lang w:val="en-GB"/>
        </w:rPr>
        <w:t>KEY DATES</w:t>
      </w:r>
      <w:r w:rsidR="006B513D" w:rsidRPr="00500F5F">
        <w:rPr>
          <w:rFonts w:ascii="Arial" w:hAnsi="Arial" w:cs="Arial"/>
          <w:szCs w:val="22"/>
          <w:lang w:val="en-GB"/>
        </w:rPr>
        <w:t>*</w:t>
      </w:r>
      <w:bookmarkEnd w:id="2"/>
      <w:r w:rsidR="00915098" w:rsidRPr="00BC0982">
        <w:rPr>
          <w:rFonts w:ascii="Arial" w:hAnsi="Arial" w:cs="Arial"/>
          <w:szCs w:val="22"/>
          <w:lang w:val="en-GB"/>
        </w:rPr>
        <w:t xml:space="preserve"> </w:t>
      </w:r>
    </w:p>
    <w:p w:rsidR="00040ED4" w:rsidRDefault="00040ED4" w:rsidP="00F14027">
      <w:pPr>
        <w:spacing w:after="0"/>
        <w:jc w:val="both"/>
        <w:rPr>
          <w:rFonts w:ascii="Arial" w:eastAsia="Times New Roman" w:hAnsi="Arial" w:cs="Arial"/>
          <w:u w:val="single"/>
          <w:lang w:val="en-GB"/>
        </w:rPr>
      </w:pPr>
    </w:p>
    <w:p w:rsidR="0041289A" w:rsidRPr="004924E7" w:rsidRDefault="0041289A" w:rsidP="00F14027">
      <w:pPr>
        <w:pStyle w:val="ListParagraph"/>
        <w:numPr>
          <w:ilvl w:val="0"/>
          <w:numId w:val="1"/>
        </w:numPr>
        <w:spacing w:after="0"/>
        <w:jc w:val="both"/>
        <w:rPr>
          <w:rFonts w:ascii="Arial" w:eastAsia="Calibri" w:hAnsi="Arial" w:cs="Arial"/>
          <w:lang w:val="en-GB"/>
        </w:rPr>
      </w:pPr>
      <w:r w:rsidRPr="00BC0982">
        <w:rPr>
          <w:rFonts w:ascii="Arial" w:eastAsia="Calibri" w:hAnsi="Arial" w:cs="Arial"/>
          <w:lang w:val="en-GB"/>
        </w:rPr>
        <w:t xml:space="preserve">The </w:t>
      </w:r>
      <w:r>
        <w:rPr>
          <w:rFonts w:ascii="Arial" w:eastAsia="Calibri" w:hAnsi="Arial" w:cs="Arial"/>
          <w:lang w:val="en-GB"/>
        </w:rPr>
        <w:t>following timetable sets out the key dates for achievement of the tasks</w:t>
      </w:r>
      <w:r w:rsidRPr="00BC0982">
        <w:rPr>
          <w:rFonts w:ascii="Arial" w:eastAsia="Calibri" w:hAnsi="Arial" w:cs="Arial"/>
          <w:lang w:val="en-GB"/>
        </w:rPr>
        <w:t xml:space="preserve">. </w:t>
      </w:r>
    </w:p>
    <w:p w:rsidR="0041289A" w:rsidRPr="00BC0982" w:rsidRDefault="0041289A" w:rsidP="00F14027">
      <w:pPr>
        <w:spacing w:after="0"/>
        <w:jc w:val="both"/>
        <w:rPr>
          <w:rFonts w:ascii="Arial" w:eastAsia="Times New Roman" w:hAnsi="Arial" w:cs="Arial"/>
          <w:u w:val="single"/>
          <w:lang w:val="en-GB"/>
        </w:rPr>
      </w:pPr>
    </w:p>
    <w:tbl>
      <w:tblPr>
        <w:tblStyle w:val="TableGrid"/>
        <w:tblW w:w="0" w:type="auto"/>
        <w:tblLook w:val="04A0" w:firstRow="1" w:lastRow="0" w:firstColumn="1" w:lastColumn="0" w:noHBand="0" w:noVBand="1"/>
      </w:tblPr>
      <w:tblGrid>
        <w:gridCol w:w="4521"/>
        <w:gridCol w:w="4495"/>
      </w:tblGrid>
      <w:tr w:rsidR="00637AC6" w:rsidRPr="00DF1001" w:rsidTr="00EE1129">
        <w:tc>
          <w:tcPr>
            <w:tcW w:w="4521" w:type="dxa"/>
          </w:tcPr>
          <w:p w:rsidR="00AF53DA" w:rsidRPr="00BC0982" w:rsidRDefault="00FB4FCD" w:rsidP="00AF53DA">
            <w:pPr>
              <w:jc w:val="both"/>
              <w:rPr>
                <w:rFonts w:ascii="Arial" w:eastAsia="Times New Roman" w:hAnsi="Arial" w:cs="Arial"/>
                <w:lang w:val="en-GB"/>
              </w:rPr>
            </w:pPr>
            <w:r>
              <w:rPr>
                <w:rFonts w:ascii="Arial" w:eastAsia="Times New Roman" w:hAnsi="Arial" w:cs="Arial"/>
                <w:lang w:val="en-GB"/>
              </w:rPr>
              <w:t>Deliverable (i) – Regulatory Map</w:t>
            </w:r>
          </w:p>
        </w:tc>
        <w:tc>
          <w:tcPr>
            <w:tcW w:w="4495" w:type="dxa"/>
            <w:vAlign w:val="center"/>
          </w:tcPr>
          <w:p w:rsidR="00FB4FCD" w:rsidRDefault="000C2622" w:rsidP="00FB4FCD">
            <w:pPr>
              <w:spacing w:line="276" w:lineRule="auto"/>
              <w:jc w:val="center"/>
              <w:rPr>
                <w:rFonts w:ascii="Arial" w:eastAsia="Times New Roman" w:hAnsi="Arial" w:cs="Arial"/>
                <w:b/>
                <w:lang w:val="en-GB"/>
              </w:rPr>
            </w:pPr>
            <w:r>
              <w:rPr>
                <w:rFonts w:ascii="Arial" w:eastAsia="Times New Roman" w:hAnsi="Arial" w:cs="Arial"/>
                <w:b/>
                <w:lang w:val="en-GB"/>
              </w:rPr>
              <w:t xml:space="preserve">First draft by </w:t>
            </w:r>
            <w:r w:rsidR="00FB4FCD">
              <w:rPr>
                <w:rFonts w:ascii="Arial" w:eastAsia="Times New Roman" w:hAnsi="Arial" w:cs="Arial"/>
                <w:b/>
                <w:lang w:val="en-GB"/>
              </w:rPr>
              <w:t>11 January 2019</w:t>
            </w:r>
          </w:p>
          <w:p w:rsidR="00290852" w:rsidRPr="00BC0982" w:rsidRDefault="000C2622" w:rsidP="00FB4FCD">
            <w:pPr>
              <w:spacing w:line="276" w:lineRule="auto"/>
              <w:jc w:val="center"/>
              <w:rPr>
                <w:rFonts w:ascii="Arial" w:eastAsia="Times New Roman" w:hAnsi="Arial" w:cs="Arial"/>
                <w:b/>
                <w:lang w:val="en-GB"/>
              </w:rPr>
            </w:pPr>
            <w:r>
              <w:rPr>
                <w:rFonts w:ascii="Arial" w:eastAsia="Times New Roman" w:hAnsi="Arial" w:cs="Arial"/>
                <w:b/>
                <w:lang w:val="en-GB"/>
              </w:rPr>
              <w:t xml:space="preserve">Final draft </w:t>
            </w:r>
            <w:r w:rsidR="006B513D">
              <w:rPr>
                <w:rFonts w:ascii="Arial" w:eastAsia="Times New Roman" w:hAnsi="Arial" w:cs="Arial"/>
                <w:b/>
                <w:lang w:val="en-GB"/>
              </w:rPr>
              <w:t>by</w:t>
            </w:r>
            <w:r>
              <w:rPr>
                <w:rFonts w:ascii="Arial" w:eastAsia="Times New Roman" w:hAnsi="Arial" w:cs="Arial"/>
                <w:b/>
                <w:lang w:val="en-GB"/>
              </w:rPr>
              <w:t xml:space="preserve"> </w:t>
            </w:r>
            <w:r w:rsidR="00FB4FCD">
              <w:rPr>
                <w:rFonts w:ascii="Arial" w:eastAsia="Times New Roman" w:hAnsi="Arial" w:cs="Arial"/>
                <w:b/>
                <w:lang w:val="en-GB"/>
              </w:rPr>
              <w:t xml:space="preserve">18 January </w:t>
            </w:r>
            <w:r w:rsidR="00290852">
              <w:rPr>
                <w:rFonts w:ascii="Arial" w:eastAsia="Times New Roman" w:hAnsi="Arial" w:cs="Arial"/>
                <w:b/>
                <w:lang w:val="en-GB"/>
              </w:rPr>
              <w:t>201</w:t>
            </w:r>
            <w:r w:rsidR="00FB4FCD">
              <w:rPr>
                <w:rFonts w:ascii="Arial" w:eastAsia="Times New Roman" w:hAnsi="Arial" w:cs="Arial"/>
                <w:b/>
                <w:lang w:val="en-GB"/>
              </w:rPr>
              <w:t>9</w:t>
            </w:r>
          </w:p>
        </w:tc>
      </w:tr>
      <w:tr w:rsidR="00637AC6" w:rsidRPr="00DF1001" w:rsidTr="00EE1129">
        <w:tc>
          <w:tcPr>
            <w:tcW w:w="4521" w:type="dxa"/>
          </w:tcPr>
          <w:p w:rsidR="00637AC6" w:rsidRPr="00BC0982" w:rsidRDefault="00FB4FCD" w:rsidP="00290852">
            <w:pPr>
              <w:spacing w:line="276" w:lineRule="auto"/>
              <w:jc w:val="both"/>
              <w:rPr>
                <w:rFonts w:ascii="Arial" w:eastAsia="Times New Roman" w:hAnsi="Arial" w:cs="Arial"/>
                <w:lang w:val="en-GB"/>
              </w:rPr>
            </w:pPr>
            <w:r>
              <w:rPr>
                <w:rFonts w:ascii="Arial" w:eastAsia="Times New Roman" w:hAnsi="Arial" w:cs="Arial"/>
                <w:lang w:val="en-GB"/>
              </w:rPr>
              <w:t>Deliverable (ii) – Regulation and Standards database</w:t>
            </w:r>
          </w:p>
        </w:tc>
        <w:tc>
          <w:tcPr>
            <w:tcW w:w="4495" w:type="dxa"/>
            <w:vAlign w:val="center"/>
          </w:tcPr>
          <w:p w:rsidR="00A946F1" w:rsidRDefault="00FB4FCD" w:rsidP="00A946F1">
            <w:pPr>
              <w:spacing w:line="276" w:lineRule="auto"/>
              <w:jc w:val="center"/>
              <w:rPr>
                <w:rFonts w:ascii="Arial" w:eastAsia="Times New Roman" w:hAnsi="Arial" w:cs="Arial"/>
                <w:b/>
                <w:lang w:val="en-GB"/>
              </w:rPr>
            </w:pPr>
            <w:r>
              <w:rPr>
                <w:rFonts w:ascii="Arial" w:eastAsia="Times New Roman" w:hAnsi="Arial" w:cs="Arial"/>
                <w:b/>
                <w:lang w:val="en-GB"/>
              </w:rPr>
              <w:t>First draft by 22 February 2019</w:t>
            </w:r>
          </w:p>
          <w:p w:rsidR="00290852" w:rsidRPr="00BC0982" w:rsidRDefault="00A946F1" w:rsidP="00FB4FCD">
            <w:pPr>
              <w:spacing w:line="276" w:lineRule="auto"/>
              <w:jc w:val="center"/>
              <w:rPr>
                <w:rFonts w:ascii="Arial" w:eastAsia="Times New Roman" w:hAnsi="Arial" w:cs="Arial"/>
                <w:b/>
                <w:lang w:val="en-GB"/>
              </w:rPr>
            </w:pPr>
            <w:r>
              <w:rPr>
                <w:rFonts w:ascii="Arial" w:eastAsia="Times New Roman" w:hAnsi="Arial" w:cs="Arial"/>
                <w:b/>
                <w:lang w:val="en-GB"/>
              </w:rPr>
              <w:t xml:space="preserve">Final draft </w:t>
            </w:r>
            <w:r w:rsidR="00754334">
              <w:rPr>
                <w:rFonts w:ascii="Arial" w:eastAsia="Times New Roman" w:hAnsi="Arial" w:cs="Arial"/>
                <w:b/>
                <w:lang w:val="en-GB"/>
              </w:rPr>
              <w:t>by</w:t>
            </w:r>
            <w:r>
              <w:rPr>
                <w:rFonts w:ascii="Arial" w:eastAsia="Times New Roman" w:hAnsi="Arial" w:cs="Arial"/>
                <w:b/>
                <w:lang w:val="en-GB"/>
              </w:rPr>
              <w:t xml:space="preserve"> </w:t>
            </w:r>
            <w:r w:rsidR="00FB4FCD">
              <w:rPr>
                <w:rFonts w:ascii="Arial" w:eastAsia="Times New Roman" w:hAnsi="Arial" w:cs="Arial"/>
                <w:b/>
                <w:lang w:val="en-GB"/>
              </w:rPr>
              <w:t>8 March 2019</w:t>
            </w:r>
          </w:p>
        </w:tc>
      </w:tr>
      <w:tr w:rsidR="00B037FB" w:rsidRPr="00DF1001" w:rsidTr="00EE1129">
        <w:tc>
          <w:tcPr>
            <w:tcW w:w="4521" w:type="dxa"/>
          </w:tcPr>
          <w:p w:rsidR="00B037FB" w:rsidRPr="00FB4FCD" w:rsidRDefault="00FB4FCD" w:rsidP="00BB3243">
            <w:pPr>
              <w:jc w:val="both"/>
              <w:rPr>
                <w:rFonts w:ascii="Arial" w:hAnsi="Arial" w:cs="Arial"/>
                <w:lang w:val="en-GB"/>
              </w:rPr>
            </w:pPr>
            <w:r w:rsidRPr="00FB4FCD">
              <w:rPr>
                <w:rFonts w:ascii="Arial" w:hAnsi="Arial" w:cs="Arial"/>
                <w:lang w:val="en-GB"/>
              </w:rPr>
              <w:t>Deliverable (ii) – Analysis of priority areas for reform</w:t>
            </w:r>
          </w:p>
        </w:tc>
        <w:tc>
          <w:tcPr>
            <w:tcW w:w="4495" w:type="dxa"/>
            <w:vAlign w:val="center"/>
          </w:tcPr>
          <w:p w:rsidR="00B037FB" w:rsidRDefault="00FB4FCD" w:rsidP="00A946F1">
            <w:pPr>
              <w:jc w:val="center"/>
              <w:rPr>
                <w:rFonts w:ascii="Arial" w:eastAsia="Times New Roman" w:hAnsi="Arial" w:cs="Arial"/>
                <w:b/>
                <w:lang w:val="en-GB"/>
              </w:rPr>
            </w:pPr>
            <w:r>
              <w:rPr>
                <w:rFonts w:ascii="Arial" w:eastAsia="Times New Roman" w:hAnsi="Arial" w:cs="Arial"/>
                <w:b/>
                <w:lang w:val="en-GB"/>
              </w:rPr>
              <w:t>First draft by 8 March 2019</w:t>
            </w:r>
          </w:p>
          <w:p w:rsidR="00FB4FCD" w:rsidRDefault="00FB4FCD" w:rsidP="00A946F1">
            <w:pPr>
              <w:jc w:val="center"/>
              <w:rPr>
                <w:rFonts w:ascii="Arial" w:eastAsia="Times New Roman" w:hAnsi="Arial" w:cs="Arial"/>
                <w:b/>
                <w:lang w:val="en-GB"/>
              </w:rPr>
            </w:pPr>
            <w:r>
              <w:rPr>
                <w:rFonts w:ascii="Arial" w:eastAsia="Times New Roman" w:hAnsi="Arial" w:cs="Arial"/>
                <w:b/>
                <w:lang w:val="en-GB"/>
              </w:rPr>
              <w:t>Final draft by 22 March 2019</w:t>
            </w:r>
          </w:p>
          <w:p w:rsidR="00B037FB" w:rsidRPr="003E3097" w:rsidRDefault="00B037FB" w:rsidP="00A946F1">
            <w:pPr>
              <w:jc w:val="center"/>
              <w:rPr>
                <w:rFonts w:ascii="Arial" w:eastAsia="Times New Roman" w:hAnsi="Arial" w:cs="Arial"/>
                <w:b/>
                <w:lang w:val="en-GB"/>
              </w:rPr>
            </w:pPr>
          </w:p>
        </w:tc>
      </w:tr>
      <w:tr w:rsidR="00FB4FCD" w:rsidRPr="00DF1001" w:rsidTr="00EE1129">
        <w:tc>
          <w:tcPr>
            <w:tcW w:w="4521" w:type="dxa"/>
          </w:tcPr>
          <w:p w:rsidR="00FB4FCD" w:rsidRPr="00FB4FCD" w:rsidRDefault="00FB4FCD" w:rsidP="00BB3243">
            <w:pPr>
              <w:jc w:val="both"/>
              <w:rPr>
                <w:rFonts w:ascii="Arial" w:hAnsi="Arial" w:cs="Arial"/>
                <w:lang w:val="en-GB"/>
              </w:rPr>
            </w:pPr>
            <w:r>
              <w:rPr>
                <w:rFonts w:ascii="Arial" w:hAnsi="Arial" w:cs="Arial"/>
                <w:lang w:val="en-GB"/>
              </w:rPr>
              <w:t xml:space="preserve">Deliverable (iv) – Presentation of the project’s findings and recommendations </w:t>
            </w:r>
          </w:p>
        </w:tc>
        <w:tc>
          <w:tcPr>
            <w:tcW w:w="4495" w:type="dxa"/>
            <w:vAlign w:val="center"/>
          </w:tcPr>
          <w:p w:rsidR="00FB4FCD" w:rsidRDefault="00FB4FCD" w:rsidP="00A946F1">
            <w:pPr>
              <w:jc w:val="center"/>
              <w:rPr>
                <w:rFonts w:ascii="Arial" w:eastAsia="Times New Roman" w:hAnsi="Arial" w:cs="Arial"/>
                <w:b/>
                <w:lang w:val="en-GB"/>
              </w:rPr>
            </w:pPr>
            <w:r>
              <w:rPr>
                <w:rFonts w:ascii="Arial" w:eastAsia="Times New Roman" w:hAnsi="Arial" w:cs="Arial"/>
                <w:b/>
                <w:lang w:val="en-GB"/>
              </w:rPr>
              <w:t>First draft by 15 March 2019</w:t>
            </w:r>
          </w:p>
          <w:p w:rsidR="00FB4FCD" w:rsidRDefault="00FB4FCD" w:rsidP="00A946F1">
            <w:pPr>
              <w:jc w:val="center"/>
              <w:rPr>
                <w:rFonts w:ascii="Arial" w:eastAsia="Times New Roman" w:hAnsi="Arial" w:cs="Arial"/>
                <w:b/>
                <w:lang w:val="en-GB"/>
              </w:rPr>
            </w:pPr>
            <w:r>
              <w:rPr>
                <w:rFonts w:ascii="Arial" w:eastAsia="Times New Roman" w:hAnsi="Arial" w:cs="Arial"/>
                <w:b/>
                <w:lang w:val="en-GB"/>
              </w:rPr>
              <w:t>Final report by 27 March 2019</w:t>
            </w:r>
          </w:p>
        </w:tc>
      </w:tr>
      <w:tr w:rsidR="00522536" w:rsidRPr="00DF1001" w:rsidTr="00040ED4">
        <w:tc>
          <w:tcPr>
            <w:tcW w:w="9016" w:type="dxa"/>
            <w:gridSpan w:val="2"/>
          </w:tcPr>
          <w:p w:rsidR="006B513D" w:rsidRPr="004924E7" w:rsidRDefault="006B513D" w:rsidP="006B513D">
            <w:pPr>
              <w:spacing w:line="276" w:lineRule="auto"/>
              <w:rPr>
                <w:rFonts w:ascii="Arial" w:hAnsi="Arial" w:cs="Arial"/>
                <w:sz w:val="20"/>
                <w:lang w:val="en-GB"/>
              </w:rPr>
            </w:pPr>
          </w:p>
          <w:p w:rsidR="00522536" w:rsidRDefault="00522536" w:rsidP="006B513D">
            <w:pPr>
              <w:spacing w:line="276" w:lineRule="auto"/>
              <w:rPr>
                <w:rFonts w:ascii="Arial" w:hAnsi="Arial" w:cs="Arial"/>
                <w:lang w:val="en-GB"/>
              </w:rPr>
            </w:pPr>
            <w:r w:rsidRPr="00A877EE">
              <w:rPr>
                <w:rFonts w:ascii="Arial" w:hAnsi="Arial" w:cs="Arial"/>
                <w:lang w:val="en-GB"/>
              </w:rPr>
              <w:t>*</w:t>
            </w:r>
            <w:r w:rsidR="003C5D3A">
              <w:rPr>
                <w:rFonts w:ascii="Arial" w:hAnsi="Arial" w:cs="Arial"/>
                <w:lang w:val="en-GB"/>
              </w:rPr>
              <w:t xml:space="preserve"> </w:t>
            </w:r>
            <w:r w:rsidRPr="00A877EE">
              <w:rPr>
                <w:rFonts w:ascii="Arial" w:hAnsi="Arial" w:cs="Arial"/>
                <w:lang w:val="en-GB"/>
              </w:rPr>
              <w:t xml:space="preserve">Subject to previous agreement between the Embassy and the supplier, dates for delivering outputs </w:t>
            </w:r>
            <w:r w:rsidR="003C5D3A">
              <w:rPr>
                <w:rFonts w:ascii="Arial" w:hAnsi="Arial" w:cs="Arial"/>
                <w:lang w:val="en-GB"/>
              </w:rPr>
              <w:t>may</w:t>
            </w:r>
            <w:r w:rsidRPr="00A877EE">
              <w:rPr>
                <w:rFonts w:ascii="Arial" w:hAnsi="Arial" w:cs="Arial"/>
                <w:lang w:val="en-GB"/>
              </w:rPr>
              <w:t xml:space="preserve"> change</w:t>
            </w:r>
            <w:r w:rsidR="00944A36">
              <w:rPr>
                <w:rFonts w:ascii="Arial" w:hAnsi="Arial" w:cs="Arial"/>
                <w:lang w:val="en-GB"/>
              </w:rPr>
              <w:t xml:space="preserve"> according to need</w:t>
            </w:r>
            <w:r w:rsidRPr="00A877EE">
              <w:rPr>
                <w:rFonts w:ascii="Arial" w:hAnsi="Arial" w:cs="Arial"/>
                <w:lang w:val="en-GB"/>
              </w:rPr>
              <w:t>.</w:t>
            </w:r>
            <w:r w:rsidR="006B513D">
              <w:rPr>
                <w:rFonts w:ascii="Arial" w:hAnsi="Arial" w:cs="Arial"/>
                <w:lang w:val="en-GB"/>
              </w:rPr>
              <w:t xml:space="preserve"> </w:t>
            </w:r>
            <w:r w:rsidR="003C5D3A" w:rsidRPr="004924E7">
              <w:rPr>
                <w:rFonts w:ascii="Arial" w:hAnsi="Arial" w:cs="Arial"/>
                <w:lang w:val="en-GB"/>
              </w:rPr>
              <w:t>However, the Embassy will work closely with the Supplier as necessary to ensure prompt access to relevant documentation and key stakeholders, in order to remain within the agreed timeframes.</w:t>
            </w:r>
            <w:r w:rsidR="003C5D3A" w:rsidRPr="00612CA1">
              <w:rPr>
                <w:rFonts w:ascii="Arial" w:hAnsi="Arial" w:cs="Arial"/>
                <w:highlight w:val="yellow"/>
                <w:lang w:val="en-GB"/>
              </w:rPr>
              <w:t xml:space="preserve"> </w:t>
            </w:r>
          </w:p>
          <w:p w:rsidR="00754334" w:rsidRPr="00BC0982" w:rsidRDefault="00754334" w:rsidP="006B513D">
            <w:pPr>
              <w:spacing w:line="276" w:lineRule="auto"/>
              <w:rPr>
                <w:rFonts w:ascii="Arial" w:eastAsia="Times New Roman" w:hAnsi="Arial" w:cs="Arial"/>
                <w:b/>
                <w:lang w:val="en-GB"/>
              </w:rPr>
            </w:pPr>
          </w:p>
        </w:tc>
      </w:tr>
    </w:tbl>
    <w:p w:rsidR="007265EB" w:rsidRPr="004924E7" w:rsidRDefault="007265EB" w:rsidP="004924E7">
      <w:pPr>
        <w:spacing w:after="0"/>
        <w:jc w:val="both"/>
        <w:rPr>
          <w:rFonts w:ascii="Arial" w:eastAsia="Calibri" w:hAnsi="Arial" w:cs="Arial"/>
          <w:color w:val="000000"/>
          <w:lang w:val="en-GB" w:eastAsia="en-GB"/>
        </w:rPr>
      </w:pPr>
    </w:p>
    <w:p w:rsidR="00B50077" w:rsidRPr="00BC0982" w:rsidRDefault="00E4537B" w:rsidP="00F14027">
      <w:pPr>
        <w:pStyle w:val="Heading2"/>
        <w:spacing w:before="0"/>
        <w:jc w:val="both"/>
        <w:rPr>
          <w:rFonts w:ascii="Arial" w:hAnsi="Arial" w:cs="Arial"/>
          <w:szCs w:val="22"/>
          <w:lang w:val="en-GB"/>
        </w:rPr>
      </w:pPr>
      <w:bookmarkStart w:id="3" w:name="_Toc532810028"/>
      <w:r w:rsidRPr="00BC0982">
        <w:rPr>
          <w:rFonts w:ascii="Arial" w:hAnsi="Arial" w:cs="Arial"/>
          <w:szCs w:val="22"/>
          <w:lang w:val="en-GB"/>
        </w:rPr>
        <w:lastRenderedPageBreak/>
        <w:t>REPORTING STRUCTURE, LOGISTICS AND OTHER ARRANGEMENTS</w:t>
      </w:r>
      <w:bookmarkEnd w:id="3"/>
      <w:r w:rsidRPr="00BC0982">
        <w:rPr>
          <w:rFonts w:ascii="Arial" w:hAnsi="Arial" w:cs="Arial"/>
          <w:szCs w:val="22"/>
          <w:lang w:val="en-GB"/>
        </w:rPr>
        <w:t xml:space="preserve"> </w:t>
      </w:r>
    </w:p>
    <w:p w:rsidR="008801E7" w:rsidRPr="00BC0982" w:rsidRDefault="008801E7" w:rsidP="00F14027">
      <w:pPr>
        <w:pStyle w:val="Heading2"/>
        <w:spacing w:before="0"/>
        <w:jc w:val="both"/>
        <w:rPr>
          <w:rFonts w:ascii="Arial" w:hAnsi="Arial" w:cs="Arial"/>
          <w:b w:val="0"/>
          <w:szCs w:val="22"/>
          <w:lang w:val="en-GB"/>
        </w:rPr>
      </w:pPr>
    </w:p>
    <w:p w:rsidR="00B50077" w:rsidRDefault="00E4537B" w:rsidP="0041289A">
      <w:pPr>
        <w:pStyle w:val="ListParagraph"/>
        <w:numPr>
          <w:ilvl w:val="0"/>
          <w:numId w:val="1"/>
        </w:numPr>
        <w:spacing w:after="0"/>
        <w:jc w:val="both"/>
        <w:rPr>
          <w:rFonts w:ascii="Arial" w:eastAsia="Calibri" w:hAnsi="Arial" w:cs="Arial"/>
          <w:lang w:val="en-GB"/>
        </w:rPr>
      </w:pPr>
      <w:r w:rsidRPr="00BC0982">
        <w:rPr>
          <w:rFonts w:ascii="Arial" w:eastAsia="Calibri" w:hAnsi="Arial" w:cs="Arial"/>
          <w:lang w:val="en-GB"/>
        </w:rPr>
        <w:t xml:space="preserve">The Supplier will report to the </w:t>
      </w:r>
      <w:r w:rsidR="0003184E">
        <w:rPr>
          <w:rFonts w:ascii="Arial" w:eastAsia="Calibri" w:hAnsi="Arial" w:cs="Arial"/>
          <w:lang w:val="en-GB"/>
        </w:rPr>
        <w:t>Authority’s</w:t>
      </w:r>
      <w:r w:rsidR="0003184E" w:rsidRPr="00BC0982">
        <w:rPr>
          <w:rFonts w:ascii="Arial" w:eastAsia="Calibri" w:hAnsi="Arial" w:cs="Arial"/>
          <w:lang w:val="en-GB"/>
        </w:rPr>
        <w:t xml:space="preserve"> </w:t>
      </w:r>
      <w:r w:rsidRPr="00BC0982">
        <w:rPr>
          <w:rFonts w:ascii="Arial" w:eastAsia="Calibri" w:hAnsi="Arial" w:cs="Arial"/>
          <w:lang w:val="en-GB"/>
        </w:rPr>
        <w:t xml:space="preserve">Programme Manager at the British Embassy </w:t>
      </w:r>
      <w:r w:rsidR="00FB4FCD">
        <w:rPr>
          <w:rFonts w:ascii="Arial" w:eastAsia="Calibri" w:hAnsi="Arial" w:cs="Arial"/>
          <w:lang w:val="en-GB"/>
        </w:rPr>
        <w:t>Buenos Aires</w:t>
      </w:r>
      <w:r w:rsidRPr="00BC0982">
        <w:rPr>
          <w:rFonts w:ascii="Arial" w:eastAsia="Calibri" w:hAnsi="Arial" w:cs="Arial"/>
          <w:lang w:val="en-GB"/>
        </w:rPr>
        <w:t xml:space="preserve">. The Supplier will also appoint a member of staff to liaise with the </w:t>
      </w:r>
      <w:r w:rsidR="0003184E">
        <w:rPr>
          <w:rFonts w:ascii="Arial" w:eastAsia="Calibri" w:hAnsi="Arial" w:cs="Arial"/>
          <w:lang w:val="en-GB"/>
        </w:rPr>
        <w:t>Authority’s</w:t>
      </w:r>
      <w:r w:rsidR="0003184E" w:rsidRPr="00BC0982">
        <w:rPr>
          <w:rFonts w:ascii="Arial" w:eastAsia="Calibri" w:hAnsi="Arial" w:cs="Arial"/>
          <w:lang w:val="en-GB"/>
        </w:rPr>
        <w:t xml:space="preserve"> </w:t>
      </w:r>
      <w:r w:rsidRPr="00BC0982">
        <w:rPr>
          <w:rFonts w:ascii="Arial" w:eastAsia="Calibri" w:hAnsi="Arial" w:cs="Arial"/>
          <w:lang w:val="en-GB"/>
        </w:rPr>
        <w:t xml:space="preserve">Programme Manager for </w:t>
      </w:r>
      <w:r w:rsidR="00FB4FCD">
        <w:rPr>
          <w:rFonts w:ascii="Arial" w:eastAsia="Calibri" w:hAnsi="Arial" w:cs="Arial"/>
          <w:lang w:val="en-GB"/>
        </w:rPr>
        <w:t>Argentina</w:t>
      </w:r>
      <w:r w:rsidRPr="00BC0982">
        <w:rPr>
          <w:rFonts w:ascii="Arial" w:eastAsia="Calibri" w:hAnsi="Arial" w:cs="Arial"/>
          <w:lang w:val="en-GB"/>
        </w:rPr>
        <w:t xml:space="preserve"> on contract management issues. </w:t>
      </w:r>
    </w:p>
    <w:p w:rsidR="00BA7035" w:rsidRDefault="00BA7035" w:rsidP="00BA7035">
      <w:pPr>
        <w:pStyle w:val="ListParagraph"/>
        <w:spacing w:after="0"/>
        <w:ind w:left="644"/>
        <w:jc w:val="both"/>
        <w:rPr>
          <w:rFonts w:ascii="Arial" w:eastAsia="Calibri" w:hAnsi="Arial" w:cs="Arial"/>
          <w:lang w:val="en-GB"/>
        </w:rPr>
      </w:pPr>
    </w:p>
    <w:p w:rsidR="00BA7035" w:rsidRPr="0091595F" w:rsidRDefault="00BA7035" w:rsidP="0041289A">
      <w:pPr>
        <w:pStyle w:val="ListParagraph"/>
        <w:numPr>
          <w:ilvl w:val="0"/>
          <w:numId w:val="1"/>
        </w:numPr>
        <w:spacing w:after="0"/>
        <w:jc w:val="both"/>
        <w:rPr>
          <w:rFonts w:ascii="Arial" w:eastAsia="Calibri" w:hAnsi="Arial" w:cs="Arial"/>
          <w:lang w:val="en-GB"/>
        </w:rPr>
      </w:pPr>
      <w:r>
        <w:rPr>
          <w:rFonts w:ascii="Arial" w:eastAsia="Calibri" w:hAnsi="Arial" w:cs="Arial"/>
          <w:lang w:val="en-GB"/>
        </w:rPr>
        <w:t xml:space="preserve">The </w:t>
      </w:r>
      <w:r w:rsidR="0003184E">
        <w:rPr>
          <w:rFonts w:ascii="Arial" w:eastAsia="Calibri" w:hAnsi="Arial" w:cs="Arial"/>
          <w:lang w:val="en-GB"/>
        </w:rPr>
        <w:t>Authority</w:t>
      </w:r>
      <w:r>
        <w:rPr>
          <w:rFonts w:ascii="Arial" w:eastAsia="Calibri" w:hAnsi="Arial" w:cs="Arial"/>
          <w:lang w:val="en-GB"/>
        </w:rPr>
        <w:t xml:space="preserve"> and the Service Supplier will agree a set of Key Performance Indicators (KPIs) in advance of signing the contract. These </w:t>
      </w:r>
      <w:r w:rsidR="00072A5A">
        <w:rPr>
          <w:rFonts w:ascii="Arial" w:eastAsia="Calibri" w:hAnsi="Arial" w:cs="Arial"/>
          <w:lang w:val="en-GB"/>
        </w:rPr>
        <w:t>will</w:t>
      </w:r>
      <w:r>
        <w:rPr>
          <w:rFonts w:ascii="Arial" w:eastAsia="Calibri" w:hAnsi="Arial" w:cs="Arial"/>
          <w:lang w:val="en-GB"/>
        </w:rPr>
        <w:t xml:space="preserve"> include</w:t>
      </w:r>
      <w:r w:rsidR="00072A5A">
        <w:rPr>
          <w:rFonts w:ascii="Arial" w:eastAsia="Calibri" w:hAnsi="Arial" w:cs="Arial"/>
          <w:lang w:val="en-GB"/>
        </w:rPr>
        <w:t xml:space="preserve"> w</w:t>
      </w:r>
      <w:r>
        <w:rPr>
          <w:rFonts w:ascii="Arial" w:eastAsia="Calibri" w:hAnsi="Arial" w:cs="Arial"/>
          <w:lang w:val="en-GB"/>
        </w:rPr>
        <w:t>eekly reports highligh</w:t>
      </w:r>
      <w:r w:rsidR="00072A5A">
        <w:rPr>
          <w:rFonts w:ascii="Arial" w:eastAsia="Calibri" w:hAnsi="Arial" w:cs="Arial"/>
          <w:lang w:val="en-GB"/>
        </w:rPr>
        <w:t>ting risks and issues and w</w:t>
      </w:r>
      <w:r>
        <w:rPr>
          <w:rFonts w:ascii="Arial" w:eastAsia="Calibri" w:hAnsi="Arial" w:cs="Arial"/>
          <w:lang w:val="en-GB"/>
        </w:rPr>
        <w:t xml:space="preserve">eekly phone </w:t>
      </w:r>
      <w:r w:rsidRPr="0091595F">
        <w:rPr>
          <w:rFonts w:ascii="Arial" w:eastAsia="Calibri" w:hAnsi="Arial" w:cs="Arial"/>
          <w:lang w:val="en-GB"/>
        </w:rPr>
        <w:t>calls</w:t>
      </w:r>
      <w:r w:rsidR="00072A5A" w:rsidRPr="0091595F">
        <w:rPr>
          <w:rFonts w:ascii="Arial" w:eastAsia="Calibri" w:hAnsi="Arial" w:cs="Arial"/>
          <w:lang w:val="en-GB"/>
        </w:rPr>
        <w:t xml:space="preserve">. </w:t>
      </w:r>
    </w:p>
    <w:p w:rsidR="008801E7" w:rsidRPr="00BC0982" w:rsidRDefault="008801E7" w:rsidP="00F14027">
      <w:pPr>
        <w:spacing w:after="0"/>
        <w:jc w:val="both"/>
        <w:rPr>
          <w:rFonts w:ascii="Arial" w:eastAsia="Calibri" w:hAnsi="Arial" w:cs="Arial"/>
          <w:lang w:val="en-GB"/>
        </w:rPr>
      </w:pPr>
    </w:p>
    <w:p w:rsidR="00E4537B" w:rsidRPr="00500F5F" w:rsidRDefault="00E4537B" w:rsidP="0041289A">
      <w:pPr>
        <w:pStyle w:val="ListParagraph"/>
        <w:numPr>
          <w:ilvl w:val="0"/>
          <w:numId w:val="1"/>
        </w:numPr>
        <w:spacing w:after="0"/>
        <w:jc w:val="both"/>
        <w:rPr>
          <w:rFonts w:ascii="Arial" w:eastAsiaTheme="majorEastAsia" w:hAnsi="Arial" w:cs="Arial"/>
          <w:bCs/>
          <w:lang w:val="en-GB" w:eastAsia="en-GB"/>
        </w:rPr>
      </w:pPr>
      <w:r w:rsidRPr="00500F5F">
        <w:rPr>
          <w:rFonts w:ascii="Arial" w:eastAsiaTheme="majorEastAsia" w:hAnsi="Arial" w:cs="Arial"/>
          <w:bCs/>
          <w:lang w:val="en-GB" w:eastAsia="en-GB"/>
        </w:rPr>
        <w:t>In terms of logistics, the Supplier will work independently in setting up their own meetings with key stakeholders, arranging transport</w:t>
      </w:r>
      <w:r w:rsidR="00446F57" w:rsidRPr="00500F5F">
        <w:rPr>
          <w:rFonts w:ascii="Arial" w:eastAsiaTheme="majorEastAsia" w:hAnsi="Arial" w:cs="Arial"/>
          <w:bCs/>
          <w:lang w:val="en-GB" w:eastAsia="en-GB"/>
        </w:rPr>
        <w:t>, agenda, programmes,</w:t>
      </w:r>
      <w:r w:rsidRPr="00500F5F">
        <w:rPr>
          <w:rFonts w:ascii="Arial" w:eastAsiaTheme="majorEastAsia" w:hAnsi="Arial" w:cs="Arial"/>
          <w:bCs/>
          <w:lang w:val="en-GB" w:eastAsia="en-GB"/>
        </w:rPr>
        <w:t xml:space="preserve"> etc. Where appropriate, the </w:t>
      </w:r>
      <w:r w:rsidR="00AE2623" w:rsidRPr="00500F5F">
        <w:rPr>
          <w:rFonts w:ascii="Arial" w:eastAsiaTheme="majorEastAsia" w:hAnsi="Arial" w:cs="Arial"/>
          <w:bCs/>
          <w:lang w:val="en-GB" w:eastAsia="en-GB"/>
        </w:rPr>
        <w:t xml:space="preserve">Authority’s </w:t>
      </w:r>
      <w:r w:rsidRPr="00500F5F">
        <w:rPr>
          <w:rFonts w:ascii="Arial" w:eastAsiaTheme="majorEastAsia" w:hAnsi="Arial" w:cs="Arial"/>
          <w:bCs/>
          <w:lang w:val="en-GB" w:eastAsia="en-GB"/>
        </w:rPr>
        <w:t>Programme Manager at the British Embassy may assist in accessing government agencies or other ke</w:t>
      </w:r>
      <w:r w:rsidR="00446F57" w:rsidRPr="00500F5F">
        <w:rPr>
          <w:rFonts w:ascii="Arial" w:eastAsiaTheme="majorEastAsia" w:hAnsi="Arial" w:cs="Arial"/>
          <w:bCs/>
          <w:lang w:val="en-GB" w:eastAsia="en-GB"/>
        </w:rPr>
        <w:t>y</w:t>
      </w:r>
      <w:r w:rsidR="00500F5F" w:rsidRPr="00500F5F">
        <w:rPr>
          <w:rFonts w:ascii="Arial" w:eastAsiaTheme="majorEastAsia" w:hAnsi="Arial" w:cs="Arial"/>
          <w:bCs/>
          <w:lang w:val="en-GB" w:eastAsia="en-GB"/>
        </w:rPr>
        <w:t xml:space="preserve"> senior stakeholders, as per Methodology above</w:t>
      </w:r>
      <w:r w:rsidRPr="00500F5F">
        <w:rPr>
          <w:rFonts w:ascii="Arial" w:eastAsiaTheme="majorEastAsia" w:hAnsi="Arial" w:cs="Arial"/>
          <w:bCs/>
          <w:lang w:val="en-GB" w:eastAsia="en-GB"/>
        </w:rPr>
        <w:t>.</w:t>
      </w:r>
      <w:r w:rsidR="00446F57" w:rsidRPr="00500F5F">
        <w:rPr>
          <w:rFonts w:ascii="Arial" w:eastAsiaTheme="majorEastAsia" w:hAnsi="Arial" w:cs="Arial"/>
          <w:bCs/>
          <w:lang w:val="en-GB" w:eastAsia="en-GB"/>
        </w:rPr>
        <w:t xml:space="preserve"> The decision of when to accompany the </w:t>
      </w:r>
      <w:r w:rsidR="00AE2623" w:rsidRPr="00500F5F">
        <w:rPr>
          <w:rFonts w:ascii="Arial" w:eastAsiaTheme="majorEastAsia" w:hAnsi="Arial" w:cs="Arial"/>
          <w:bCs/>
          <w:lang w:val="en-GB" w:eastAsia="en-GB"/>
        </w:rPr>
        <w:t>S</w:t>
      </w:r>
      <w:r w:rsidR="00446F57" w:rsidRPr="00500F5F">
        <w:rPr>
          <w:rFonts w:ascii="Arial" w:eastAsiaTheme="majorEastAsia" w:hAnsi="Arial" w:cs="Arial"/>
          <w:bCs/>
          <w:lang w:val="en-GB" w:eastAsia="en-GB"/>
        </w:rPr>
        <w:t xml:space="preserve">upplier to meetings will be taken by the </w:t>
      </w:r>
      <w:r w:rsidR="00AE2623" w:rsidRPr="00500F5F">
        <w:rPr>
          <w:rFonts w:ascii="Arial" w:eastAsiaTheme="majorEastAsia" w:hAnsi="Arial" w:cs="Arial"/>
          <w:bCs/>
          <w:lang w:val="en-GB" w:eastAsia="en-GB"/>
        </w:rPr>
        <w:t>Authority</w:t>
      </w:r>
      <w:r w:rsidR="00446F57" w:rsidRPr="00500F5F">
        <w:rPr>
          <w:rFonts w:ascii="Arial" w:eastAsiaTheme="majorEastAsia" w:hAnsi="Arial" w:cs="Arial"/>
          <w:bCs/>
          <w:lang w:val="en-GB" w:eastAsia="en-GB"/>
        </w:rPr>
        <w:t xml:space="preserve">. </w:t>
      </w:r>
    </w:p>
    <w:p w:rsidR="00290852" w:rsidRDefault="00290852" w:rsidP="00290852">
      <w:pPr>
        <w:pStyle w:val="ListParagraph"/>
        <w:spacing w:after="0"/>
        <w:ind w:left="644"/>
        <w:jc w:val="both"/>
        <w:rPr>
          <w:rFonts w:ascii="Arial" w:eastAsiaTheme="majorEastAsia" w:hAnsi="Arial" w:cs="Arial"/>
          <w:bCs/>
          <w:lang w:val="en-GB" w:eastAsia="en-GB"/>
        </w:rPr>
      </w:pPr>
    </w:p>
    <w:p w:rsidR="00290852" w:rsidRPr="00BC0982" w:rsidRDefault="00290852" w:rsidP="00290852">
      <w:pPr>
        <w:pStyle w:val="ListParagraph"/>
        <w:spacing w:after="0"/>
        <w:ind w:left="644"/>
        <w:jc w:val="both"/>
        <w:rPr>
          <w:rFonts w:ascii="Arial" w:eastAsiaTheme="majorEastAsia" w:hAnsi="Arial" w:cs="Arial"/>
          <w:bCs/>
          <w:lang w:val="en-GB" w:eastAsia="en-GB"/>
        </w:rPr>
      </w:pPr>
    </w:p>
    <w:p w:rsidR="00ED1BC2" w:rsidRDefault="00ED14C4" w:rsidP="00ED1BC2">
      <w:pPr>
        <w:pStyle w:val="Heading2"/>
        <w:spacing w:before="0" w:line="240" w:lineRule="auto"/>
        <w:jc w:val="both"/>
        <w:rPr>
          <w:rFonts w:ascii="Arial" w:hAnsi="Arial" w:cs="Arial"/>
          <w:szCs w:val="22"/>
          <w:lang w:val="en-GB"/>
        </w:rPr>
      </w:pPr>
      <w:bookmarkStart w:id="4" w:name="_Toc532810029"/>
      <w:r w:rsidRPr="007E5291">
        <w:rPr>
          <w:rFonts w:ascii="Arial" w:hAnsi="Arial" w:cs="Arial"/>
          <w:szCs w:val="22"/>
          <w:lang w:val="en-GB"/>
        </w:rPr>
        <w:t>SKILLS AND COMPETENCES</w:t>
      </w:r>
      <w:bookmarkEnd w:id="4"/>
    </w:p>
    <w:p w:rsidR="00ED1BC2" w:rsidRPr="00ED1BC2" w:rsidRDefault="00ED1BC2" w:rsidP="00ED1BC2">
      <w:pPr>
        <w:spacing w:line="240" w:lineRule="auto"/>
        <w:rPr>
          <w:sz w:val="8"/>
          <w:lang w:val="en-GB" w:eastAsia="en-GB"/>
        </w:rPr>
      </w:pPr>
    </w:p>
    <w:p w:rsidR="008801E7" w:rsidRPr="00DF1001" w:rsidRDefault="00FB4FCD" w:rsidP="0041289A">
      <w:pPr>
        <w:pStyle w:val="ListParagraph"/>
        <w:numPr>
          <w:ilvl w:val="0"/>
          <w:numId w:val="1"/>
        </w:numPr>
        <w:spacing w:after="0"/>
        <w:jc w:val="both"/>
        <w:rPr>
          <w:rFonts w:ascii="Arial" w:hAnsi="Arial" w:cs="Arial"/>
          <w:lang w:val="en-GB"/>
        </w:rPr>
      </w:pPr>
      <w:r>
        <w:rPr>
          <w:rFonts w:ascii="Arial" w:eastAsiaTheme="majorEastAsia" w:hAnsi="Arial" w:cs="Arial"/>
          <w:bCs/>
          <w:lang w:val="en-GB" w:eastAsia="en-GB"/>
        </w:rPr>
        <w:t>P</w:t>
      </w:r>
      <w:r w:rsidR="00BA3BEE" w:rsidRPr="00746655">
        <w:rPr>
          <w:rFonts w:ascii="Arial" w:eastAsiaTheme="majorEastAsia" w:hAnsi="Arial" w:cs="Arial"/>
          <w:bCs/>
          <w:lang w:val="en-GB" w:eastAsia="en-GB"/>
        </w:rPr>
        <w:t xml:space="preserve">rospective suppliers are asked to provide </w:t>
      </w:r>
      <w:r w:rsidR="008A20D3" w:rsidRPr="00746655">
        <w:rPr>
          <w:rFonts w:ascii="Arial" w:eastAsiaTheme="majorEastAsia" w:hAnsi="Arial" w:cs="Arial"/>
          <w:bCs/>
          <w:lang w:val="en-GB" w:eastAsia="en-GB"/>
        </w:rPr>
        <w:t xml:space="preserve">whatever </w:t>
      </w:r>
      <w:r w:rsidR="007E5291" w:rsidRPr="00746655">
        <w:rPr>
          <w:rFonts w:ascii="Arial" w:eastAsiaTheme="majorEastAsia" w:hAnsi="Arial" w:cs="Arial"/>
          <w:bCs/>
          <w:lang w:val="en-GB" w:eastAsia="en-GB"/>
        </w:rPr>
        <w:t xml:space="preserve">evidence </w:t>
      </w:r>
      <w:r w:rsidR="008A20D3" w:rsidRPr="00746655">
        <w:rPr>
          <w:rFonts w:ascii="Arial" w:eastAsiaTheme="majorEastAsia" w:hAnsi="Arial" w:cs="Arial"/>
          <w:bCs/>
          <w:lang w:val="en-GB" w:eastAsia="en-GB"/>
        </w:rPr>
        <w:t xml:space="preserve">they have </w:t>
      </w:r>
      <w:r w:rsidR="007E5291" w:rsidRPr="00746655">
        <w:rPr>
          <w:rFonts w:ascii="Arial" w:eastAsiaTheme="majorEastAsia" w:hAnsi="Arial" w:cs="Arial"/>
          <w:bCs/>
          <w:lang w:val="en-GB" w:eastAsia="en-GB"/>
        </w:rPr>
        <w:t xml:space="preserve">of knowledge or capability in the following: </w:t>
      </w:r>
    </w:p>
    <w:p w:rsidR="00746655" w:rsidRPr="00DF1001" w:rsidRDefault="00746655" w:rsidP="00746655">
      <w:pPr>
        <w:pStyle w:val="ListParagraph"/>
        <w:spacing w:after="0"/>
        <w:ind w:left="644"/>
        <w:jc w:val="both"/>
        <w:rPr>
          <w:rFonts w:ascii="Arial" w:hAnsi="Arial" w:cs="Arial"/>
          <w:lang w:val="en-GB"/>
        </w:rPr>
      </w:pPr>
    </w:p>
    <w:p w:rsidR="00B50077" w:rsidRPr="00BC0982" w:rsidRDefault="00A465C0" w:rsidP="00A33225">
      <w:pPr>
        <w:pStyle w:val="ListParagraph"/>
        <w:numPr>
          <w:ilvl w:val="0"/>
          <w:numId w:val="6"/>
        </w:numPr>
        <w:ind w:left="1134" w:firstLine="0"/>
        <w:jc w:val="both"/>
        <w:rPr>
          <w:rFonts w:ascii="Arial" w:eastAsia="Calibri" w:hAnsi="Arial" w:cs="Arial"/>
          <w:lang w:val="en-GB"/>
        </w:rPr>
      </w:pPr>
      <w:r w:rsidRPr="00BC0982">
        <w:rPr>
          <w:rFonts w:ascii="Arial" w:eastAsia="Calibri" w:hAnsi="Arial" w:cs="Arial"/>
          <w:lang w:val="en-GB"/>
        </w:rPr>
        <w:t xml:space="preserve">The ability to provide timely access to high quality, cost-effective professional and technical advisory and management services. Particular attention will be given to the ability of organisations to mobilise high quality, cost effective personnel relatively rapidly in response, and flex inputs to tailor delivery to multiple and often complex environments. </w:t>
      </w:r>
    </w:p>
    <w:p w:rsidR="000D1244" w:rsidRPr="00BC0982" w:rsidRDefault="00A465C0" w:rsidP="00A33225">
      <w:pPr>
        <w:pStyle w:val="ListParagraph"/>
        <w:numPr>
          <w:ilvl w:val="0"/>
          <w:numId w:val="6"/>
        </w:numPr>
        <w:ind w:left="1134" w:firstLine="0"/>
        <w:jc w:val="both"/>
        <w:rPr>
          <w:rFonts w:ascii="Arial" w:hAnsi="Arial" w:cs="Arial"/>
          <w:lang w:val="en-GB" w:eastAsia="en-GB"/>
        </w:rPr>
      </w:pPr>
      <w:r w:rsidRPr="00BC0982">
        <w:rPr>
          <w:rFonts w:ascii="Arial" w:eastAsia="Calibri" w:hAnsi="Arial" w:cs="Arial"/>
          <w:lang w:val="en-GB"/>
        </w:rPr>
        <w:t>The ability to provide access to high quality, politically-aware, cost-effective professional assessment, project and high value overseas programme design skills including management, delivery and monitoring and evaluation expertise. Particular attention will be given to how individuals will be managed as teams e.g. including where various sector or thematic interests need to be incorporated into a single programme</w:t>
      </w:r>
      <w:r w:rsidR="00C84430">
        <w:rPr>
          <w:rFonts w:ascii="Arial" w:eastAsia="Calibri" w:hAnsi="Arial" w:cs="Arial"/>
          <w:lang w:val="en-GB"/>
        </w:rPr>
        <w:t>.</w:t>
      </w:r>
      <w:r w:rsidRPr="00BC0982">
        <w:rPr>
          <w:rFonts w:ascii="Arial" w:eastAsia="Calibri" w:hAnsi="Arial" w:cs="Arial"/>
          <w:lang w:val="en-GB"/>
        </w:rPr>
        <w:t xml:space="preserve"> </w:t>
      </w:r>
    </w:p>
    <w:p w:rsidR="00B50077" w:rsidRPr="00BC0982" w:rsidRDefault="00A465C0" w:rsidP="00A33225">
      <w:pPr>
        <w:pStyle w:val="ListParagraph"/>
        <w:numPr>
          <w:ilvl w:val="0"/>
          <w:numId w:val="6"/>
        </w:numPr>
        <w:ind w:left="1134" w:firstLine="0"/>
        <w:jc w:val="both"/>
        <w:rPr>
          <w:rFonts w:ascii="Arial" w:eastAsia="Calibri" w:hAnsi="Arial" w:cs="Arial"/>
          <w:lang w:val="en-GB"/>
        </w:rPr>
      </w:pPr>
      <w:r w:rsidRPr="00BC0982">
        <w:rPr>
          <w:rFonts w:ascii="Arial" w:eastAsia="Calibri" w:hAnsi="Arial" w:cs="Arial"/>
          <w:lang w:val="en-GB"/>
        </w:rPr>
        <w:t xml:space="preserve">Ability to demonstrate strong management and reporting skills, high levels of customer engagement, responsiveness, accountability, service delivery and delivery of value for money, as well as effective mechanisms for all aspects of management (including both international and local staff) including dealing with poor performance. </w:t>
      </w:r>
    </w:p>
    <w:p w:rsidR="00B50077" w:rsidRPr="00BC0982" w:rsidRDefault="00A465C0" w:rsidP="00A33225">
      <w:pPr>
        <w:pStyle w:val="ListParagraph"/>
        <w:numPr>
          <w:ilvl w:val="0"/>
          <w:numId w:val="6"/>
        </w:numPr>
        <w:ind w:left="1134" w:firstLine="0"/>
        <w:jc w:val="both"/>
        <w:rPr>
          <w:rFonts w:ascii="Arial" w:eastAsia="Calibri" w:hAnsi="Arial" w:cs="Arial"/>
          <w:lang w:val="en-GB"/>
        </w:rPr>
      </w:pPr>
      <w:r w:rsidRPr="002B1CD3">
        <w:rPr>
          <w:rFonts w:ascii="Arial" w:eastAsia="Calibri" w:hAnsi="Arial" w:cs="Arial"/>
          <w:lang w:val="en-GB"/>
        </w:rPr>
        <w:t>Demonstrated ability to provide operational support services overseas including local procurement of accommodation, material and services; experience of recruiting and managing local staff (including interpreters) and ensuring that they, and any related equipment is safely operated, maintained and accounted for</w:t>
      </w:r>
      <w:r w:rsidRPr="00BC0982">
        <w:rPr>
          <w:rFonts w:ascii="Arial" w:eastAsia="Calibri" w:hAnsi="Arial" w:cs="Arial"/>
          <w:lang w:val="en-GB"/>
        </w:rPr>
        <w:t xml:space="preserve">; and the ability to demonstrate appropriate cultural awareness, sensitivity and a </w:t>
      </w:r>
      <w:r w:rsidRPr="00BC0982">
        <w:rPr>
          <w:rFonts w:ascii="Arial" w:eastAsia="Calibri" w:hAnsi="Arial" w:cs="Arial"/>
          <w:lang w:val="en-GB"/>
        </w:rPr>
        <w:lastRenderedPageBreak/>
        <w:t xml:space="preserve">partnership approach, adapting concepts and materials to local needs and audiences. There is also a need to provide demonstrable experience of political stakeholder engagement, management and influence. </w:t>
      </w:r>
    </w:p>
    <w:p w:rsidR="00B50077" w:rsidRPr="00BC0982" w:rsidRDefault="00A465C0" w:rsidP="00A33225">
      <w:pPr>
        <w:pStyle w:val="ListParagraph"/>
        <w:numPr>
          <w:ilvl w:val="0"/>
          <w:numId w:val="6"/>
        </w:numPr>
        <w:ind w:left="1134" w:firstLine="0"/>
        <w:jc w:val="both"/>
        <w:rPr>
          <w:rFonts w:ascii="Arial" w:eastAsia="Calibri" w:hAnsi="Arial" w:cs="Arial"/>
          <w:lang w:val="en-GB"/>
        </w:rPr>
      </w:pPr>
      <w:r w:rsidRPr="00BC0982">
        <w:rPr>
          <w:rFonts w:ascii="Arial" w:eastAsia="Calibri" w:hAnsi="Arial" w:cs="Arial"/>
          <w:lang w:val="en-GB"/>
        </w:rPr>
        <w:t xml:space="preserve">Ability to work in English and Spanish. </w:t>
      </w:r>
    </w:p>
    <w:p w:rsidR="00B50077" w:rsidRPr="00BC0982" w:rsidRDefault="00ED14C4" w:rsidP="00F14027">
      <w:pPr>
        <w:pStyle w:val="Heading2"/>
        <w:spacing w:before="0"/>
        <w:jc w:val="both"/>
        <w:rPr>
          <w:rFonts w:ascii="Arial" w:hAnsi="Arial" w:cs="Arial"/>
          <w:szCs w:val="22"/>
          <w:lang w:val="en-GB"/>
        </w:rPr>
      </w:pPr>
      <w:bookmarkStart w:id="5" w:name="_Toc532810030"/>
      <w:r w:rsidRPr="00BC0982">
        <w:rPr>
          <w:rFonts w:ascii="Arial" w:hAnsi="Arial" w:cs="Arial"/>
          <w:szCs w:val="22"/>
          <w:lang w:val="en-GB"/>
        </w:rPr>
        <w:t>BUDGET</w:t>
      </w:r>
      <w:bookmarkEnd w:id="5"/>
    </w:p>
    <w:p w:rsidR="00DC3280" w:rsidRPr="00BC0982" w:rsidRDefault="00DC3280" w:rsidP="00F14027">
      <w:pPr>
        <w:spacing w:after="0"/>
        <w:jc w:val="both"/>
        <w:rPr>
          <w:rFonts w:ascii="Arial" w:hAnsi="Arial" w:cs="Arial"/>
          <w:lang w:val="en-GB" w:eastAsia="en-GB"/>
        </w:rPr>
      </w:pPr>
    </w:p>
    <w:p w:rsidR="00B50077" w:rsidRPr="00BC0982" w:rsidRDefault="002B1085" w:rsidP="0041289A">
      <w:pPr>
        <w:pStyle w:val="ListParagraph"/>
        <w:numPr>
          <w:ilvl w:val="0"/>
          <w:numId w:val="1"/>
        </w:numPr>
        <w:spacing w:after="0"/>
        <w:jc w:val="both"/>
        <w:rPr>
          <w:rFonts w:ascii="Arial" w:eastAsia="MS Mincho" w:hAnsi="Arial" w:cs="Arial"/>
          <w:lang w:val="en-GB"/>
        </w:rPr>
      </w:pPr>
      <w:r w:rsidRPr="00BC0982">
        <w:rPr>
          <w:rFonts w:ascii="Arial" w:eastAsia="MS Mincho" w:hAnsi="Arial" w:cs="Arial"/>
          <w:lang w:val="en-GB"/>
        </w:rPr>
        <w:t>The</w:t>
      </w:r>
      <w:r w:rsidR="00C7498A" w:rsidRPr="00BC0982">
        <w:rPr>
          <w:rFonts w:ascii="Arial" w:eastAsia="MS Mincho" w:hAnsi="Arial" w:cs="Arial"/>
          <w:lang w:val="en-GB"/>
        </w:rPr>
        <w:t xml:space="preserve"> maximum budget for th</w:t>
      </w:r>
      <w:r w:rsidR="00FA41F8" w:rsidRPr="00BC0982">
        <w:rPr>
          <w:rFonts w:ascii="Arial" w:eastAsia="MS Mincho" w:hAnsi="Arial" w:cs="Arial"/>
          <w:lang w:val="en-GB"/>
        </w:rPr>
        <w:t>e</w:t>
      </w:r>
      <w:r w:rsidR="00BE7FD7" w:rsidRPr="00BC0982">
        <w:rPr>
          <w:rFonts w:ascii="Arial" w:eastAsia="MS Mincho" w:hAnsi="Arial" w:cs="Arial"/>
          <w:lang w:val="en-GB"/>
        </w:rPr>
        <w:t xml:space="preserve"> </w:t>
      </w:r>
      <w:r w:rsidR="00DF0261" w:rsidRPr="00BC0982">
        <w:rPr>
          <w:rFonts w:ascii="Arial" w:eastAsia="MS Mincho" w:hAnsi="Arial" w:cs="Arial"/>
          <w:lang w:val="en-GB"/>
        </w:rPr>
        <w:t>service</w:t>
      </w:r>
      <w:r w:rsidR="00C53581" w:rsidRPr="00BC0982">
        <w:rPr>
          <w:rFonts w:ascii="Arial" w:eastAsia="MS Mincho" w:hAnsi="Arial" w:cs="Arial"/>
          <w:lang w:val="en-GB"/>
        </w:rPr>
        <w:t>, covered under these terms of reference</w:t>
      </w:r>
      <w:r w:rsidR="00FA41F8" w:rsidRPr="00BC0982">
        <w:rPr>
          <w:rFonts w:ascii="Arial" w:eastAsia="MS Mincho" w:hAnsi="Arial" w:cs="Arial"/>
          <w:lang w:val="en-GB"/>
        </w:rPr>
        <w:t>,</w:t>
      </w:r>
      <w:r w:rsidR="00C53581" w:rsidRPr="00BC0982">
        <w:rPr>
          <w:rFonts w:ascii="Arial" w:eastAsia="MS Mincho" w:hAnsi="Arial" w:cs="Arial"/>
          <w:lang w:val="en-GB"/>
        </w:rPr>
        <w:t xml:space="preserve"> will be no more than </w:t>
      </w:r>
      <w:r w:rsidR="00B93CD6">
        <w:rPr>
          <w:rFonts w:ascii="Arial" w:eastAsia="MS Mincho" w:hAnsi="Arial" w:cs="Arial"/>
          <w:lang w:val="en-GB"/>
        </w:rPr>
        <w:t>US $45</w:t>
      </w:r>
      <w:bookmarkStart w:id="6" w:name="_GoBack"/>
      <w:bookmarkEnd w:id="6"/>
      <w:r w:rsidR="00AE2623">
        <w:rPr>
          <w:rFonts w:ascii="Arial" w:eastAsia="MS Mincho" w:hAnsi="Arial" w:cs="Arial"/>
          <w:lang w:val="en-GB"/>
        </w:rPr>
        <w:t>,</w:t>
      </w:r>
      <w:r w:rsidR="00FB4FCD">
        <w:rPr>
          <w:rFonts w:ascii="Arial" w:eastAsia="MS Mincho" w:hAnsi="Arial" w:cs="Arial"/>
          <w:lang w:val="en-GB"/>
        </w:rPr>
        <w:t>000</w:t>
      </w:r>
      <w:r w:rsidR="00C7498A" w:rsidRPr="00BC0982">
        <w:rPr>
          <w:rFonts w:ascii="Arial" w:eastAsia="MS Mincho" w:hAnsi="Arial" w:cs="Arial"/>
          <w:lang w:val="en-GB"/>
        </w:rPr>
        <w:t xml:space="preserve">. </w:t>
      </w:r>
    </w:p>
    <w:p w:rsidR="00DC3280" w:rsidRPr="00BC0982" w:rsidRDefault="00DC3280" w:rsidP="00F14027">
      <w:pPr>
        <w:spacing w:after="0"/>
        <w:jc w:val="both"/>
        <w:rPr>
          <w:rFonts w:ascii="Arial" w:hAnsi="Arial" w:cs="Arial"/>
          <w:lang w:val="en-GB" w:eastAsia="en-GB"/>
        </w:rPr>
      </w:pPr>
    </w:p>
    <w:p w:rsidR="008F5BAA" w:rsidRPr="00CF683F" w:rsidRDefault="00C7498A" w:rsidP="002A28CD">
      <w:pPr>
        <w:pStyle w:val="ListParagraph"/>
        <w:numPr>
          <w:ilvl w:val="0"/>
          <w:numId w:val="1"/>
        </w:numPr>
        <w:spacing w:after="0"/>
        <w:jc w:val="both"/>
        <w:rPr>
          <w:rFonts w:ascii="Arial" w:eastAsia="MS Mincho" w:hAnsi="Arial" w:cs="Arial"/>
          <w:lang w:val="en-GB"/>
        </w:rPr>
      </w:pPr>
      <w:r w:rsidRPr="00CF683F">
        <w:rPr>
          <w:rFonts w:ascii="Arial" w:eastAsia="MS Mincho" w:hAnsi="Arial" w:cs="Arial"/>
          <w:lang w:val="en-GB"/>
        </w:rPr>
        <w:t>The</w:t>
      </w:r>
      <w:r w:rsidR="002B1085" w:rsidRPr="00CF683F">
        <w:rPr>
          <w:rFonts w:ascii="Arial" w:eastAsia="MS Mincho" w:hAnsi="Arial" w:cs="Arial"/>
          <w:lang w:val="en-GB"/>
        </w:rPr>
        <w:t xml:space="preserve"> supplier will propose the overall budget</w:t>
      </w:r>
      <w:r w:rsidR="00B93CD6">
        <w:rPr>
          <w:rFonts w:ascii="Arial" w:eastAsia="MS Mincho" w:hAnsi="Arial" w:cs="Arial"/>
          <w:lang w:val="en-GB"/>
        </w:rPr>
        <w:t xml:space="preserve"> in US Dollars (US $)</w:t>
      </w:r>
      <w:r w:rsidR="002B1085" w:rsidRPr="00CF683F">
        <w:rPr>
          <w:rFonts w:ascii="Arial" w:eastAsia="MS Mincho" w:hAnsi="Arial" w:cs="Arial"/>
          <w:lang w:val="en-GB"/>
        </w:rPr>
        <w:t xml:space="preserve"> for th</w:t>
      </w:r>
      <w:r w:rsidR="00A346D6" w:rsidRPr="00CF683F">
        <w:rPr>
          <w:rFonts w:ascii="Arial" w:eastAsia="MS Mincho" w:hAnsi="Arial" w:cs="Arial"/>
          <w:lang w:val="en-GB"/>
        </w:rPr>
        <w:t xml:space="preserve">is work which must be </w:t>
      </w:r>
      <w:r w:rsidR="002B1085" w:rsidRPr="00CF683F">
        <w:rPr>
          <w:rFonts w:ascii="Arial" w:eastAsia="MS Mincho" w:hAnsi="Arial" w:cs="Arial"/>
          <w:lang w:val="en-GB"/>
        </w:rPr>
        <w:t>inclusive of all applicable taxes, overheads and travel costs for</w:t>
      </w:r>
      <w:r w:rsidR="00F14769" w:rsidRPr="00CF683F">
        <w:rPr>
          <w:rFonts w:ascii="Arial" w:eastAsia="MS Mincho" w:hAnsi="Arial" w:cs="Arial"/>
          <w:lang w:val="en-GB"/>
        </w:rPr>
        <w:t xml:space="preserve"> any</w:t>
      </w:r>
      <w:r w:rsidR="002B1085" w:rsidRPr="00CF683F">
        <w:rPr>
          <w:rFonts w:ascii="Arial" w:eastAsia="MS Mincho" w:hAnsi="Arial" w:cs="Arial"/>
          <w:lang w:val="en-GB"/>
        </w:rPr>
        <w:t xml:space="preserve"> field visits. Bi</w:t>
      </w:r>
      <w:r w:rsidR="00C53581" w:rsidRPr="00CF683F">
        <w:rPr>
          <w:rFonts w:ascii="Arial" w:eastAsia="MS Mincho" w:hAnsi="Arial" w:cs="Arial"/>
          <w:lang w:val="en-GB"/>
        </w:rPr>
        <w:t>dders are expected to show V</w:t>
      </w:r>
      <w:r w:rsidR="00A346D6" w:rsidRPr="00CF683F">
        <w:rPr>
          <w:rFonts w:ascii="Arial" w:eastAsia="MS Mincho" w:hAnsi="Arial" w:cs="Arial"/>
          <w:lang w:val="en-GB"/>
        </w:rPr>
        <w:t>f</w:t>
      </w:r>
      <w:r w:rsidR="00C53581" w:rsidRPr="00CF683F">
        <w:rPr>
          <w:rFonts w:ascii="Arial" w:eastAsia="MS Mincho" w:hAnsi="Arial" w:cs="Arial"/>
          <w:lang w:val="en-GB"/>
        </w:rPr>
        <w:t xml:space="preserve">M </w:t>
      </w:r>
      <w:r w:rsidR="00A346D6" w:rsidRPr="00CF683F">
        <w:rPr>
          <w:rFonts w:ascii="Arial" w:eastAsia="MS Mincho" w:hAnsi="Arial" w:cs="Arial"/>
          <w:lang w:val="en-GB"/>
        </w:rPr>
        <w:t>and not reach t</w:t>
      </w:r>
      <w:r w:rsidR="00C53581" w:rsidRPr="00CF683F">
        <w:rPr>
          <w:rFonts w:ascii="Arial" w:eastAsia="MS Mincho" w:hAnsi="Arial" w:cs="Arial"/>
          <w:lang w:val="en-GB"/>
        </w:rPr>
        <w:t xml:space="preserve">he budget ceiling if costs can be lower. </w:t>
      </w:r>
      <w:r w:rsidR="00C15CFA" w:rsidRPr="00CF683F">
        <w:rPr>
          <w:rFonts w:ascii="Arial" w:eastAsia="MS Mincho" w:hAnsi="Arial" w:cs="Arial"/>
          <w:lang w:val="en-GB"/>
        </w:rPr>
        <w:t xml:space="preserve">Payments will be made in arrears upon receipt of </w:t>
      </w:r>
      <w:r w:rsidR="00CF683F">
        <w:rPr>
          <w:rFonts w:ascii="Arial" w:eastAsia="MS Mincho" w:hAnsi="Arial" w:cs="Arial"/>
          <w:lang w:val="en-GB"/>
        </w:rPr>
        <w:t>the final research report.</w:t>
      </w:r>
      <w:r w:rsidR="00040ED4" w:rsidRPr="00CF683F">
        <w:rPr>
          <w:rFonts w:ascii="Arial" w:eastAsia="MS Mincho" w:hAnsi="Arial" w:cs="Arial"/>
          <w:lang w:val="en-GB"/>
        </w:rPr>
        <w:t xml:space="preserve"> </w:t>
      </w:r>
    </w:p>
    <w:p w:rsidR="008F5BAA" w:rsidRDefault="008F5BAA" w:rsidP="008F5BAA">
      <w:pPr>
        <w:pStyle w:val="Heading2"/>
        <w:spacing w:before="0"/>
        <w:jc w:val="both"/>
        <w:rPr>
          <w:rFonts w:ascii="Arial" w:hAnsi="Arial" w:cs="Arial"/>
          <w:szCs w:val="22"/>
          <w:lang w:val="en-GB"/>
        </w:rPr>
      </w:pPr>
    </w:p>
    <w:p w:rsidR="008F5BAA" w:rsidRPr="00BC0982" w:rsidRDefault="008F5BAA" w:rsidP="008F5BAA">
      <w:pPr>
        <w:pStyle w:val="Heading2"/>
        <w:spacing w:before="0"/>
        <w:jc w:val="both"/>
        <w:rPr>
          <w:rFonts w:ascii="Arial" w:hAnsi="Arial" w:cs="Arial"/>
          <w:szCs w:val="22"/>
          <w:lang w:val="en-GB"/>
        </w:rPr>
      </w:pPr>
      <w:bookmarkStart w:id="7" w:name="_Toc532810031"/>
      <w:r>
        <w:rPr>
          <w:rFonts w:ascii="Arial" w:hAnsi="Arial" w:cs="Arial"/>
          <w:szCs w:val="22"/>
          <w:lang w:val="en-GB"/>
        </w:rPr>
        <w:t>ADDITIONAL POINTS</w:t>
      </w:r>
      <w:r w:rsidR="0058224E">
        <w:rPr>
          <w:rFonts w:ascii="Arial" w:hAnsi="Arial" w:cs="Arial"/>
          <w:szCs w:val="22"/>
          <w:lang w:val="en-GB"/>
        </w:rPr>
        <w:t xml:space="preserve"> – ETHICAL WALLS</w:t>
      </w:r>
      <w:bookmarkEnd w:id="7"/>
    </w:p>
    <w:p w:rsidR="008F5BAA" w:rsidRPr="008F5BAA" w:rsidRDefault="008F5BAA" w:rsidP="008F5BAA">
      <w:pPr>
        <w:spacing w:after="0"/>
        <w:jc w:val="both"/>
        <w:rPr>
          <w:rFonts w:ascii="Arial" w:eastAsia="MS Mincho" w:hAnsi="Arial" w:cs="Arial"/>
          <w:lang w:val="en-GB"/>
        </w:rPr>
      </w:pPr>
    </w:p>
    <w:p w:rsidR="008F5BAA" w:rsidRPr="00DF1001" w:rsidRDefault="008F5BAA" w:rsidP="0041289A">
      <w:pPr>
        <w:pStyle w:val="ListParagraph"/>
        <w:numPr>
          <w:ilvl w:val="0"/>
          <w:numId w:val="1"/>
        </w:numPr>
        <w:spacing w:after="0"/>
        <w:jc w:val="both"/>
        <w:rPr>
          <w:rFonts w:ascii="Arial" w:eastAsia="MS Mincho" w:hAnsi="Arial" w:cs="Arial"/>
          <w:lang w:val="en-GB"/>
        </w:rPr>
      </w:pPr>
      <w:r w:rsidRPr="00DF1001">
        <w:rPr>
          <w:rFonts w:ascii="Arial" w:eastAsia="MS Mincho" w:hAnsi="Arial" w:cs="Arial"/>
          <w:lang w:val="en-GB"/>
        </w:rPr>
        <w:t xml:space="preserve">The Bidder acknowledges that, if it is awarded the contract for </w:t>
      </w:r>
      <w:r w:rsidR="00AE2623" w:rsidRPr="00DF1001">
        <w:rPr>
          <w:rFonts w:ascii="Arial" w:eastAsia="MS Mincho" w:hAnsi="Arial" w:cs="Arial"/>
          <w:lang w:val="en-GB"/>
        </w:rPr>
        <w:t>the Project</w:t>
      </w:r>
      <w:r w:rsidRPr="00DF1001">
        <w:rPr>
          <w:rFonts w:ascii="Arial" w:eastAsia="MS Mincho" w:hAnsi="Arial" w:cs="Arial"/>
          <w:lang w:val="en-GB"/>
        </w:rPr>
        <w:t>, it may have access to or gain knowledge of certain confidential and/or commercially sensitive information which may be relevant to a subsequent procurement which is being run by the FCO (including a mini-competition run under the Prosperity Framework).</w:t>
      </w:r>
    </w:p>
    <w:p w:rsidR="008F5BAA" w:rsidRPr="00DF1001" w:rsidRDefault="008F5BAA" w:rsidP="008F5BAA">
      <w:pPr>
        <w:pStyle w:val="ListParagraph"/>
        <w:ind w:left="644"/>
        <w:jc w:val="both"/>
        <w:rPr>
          <w:rFonts w:ascii="Arial" w:eastAsia="MS Mincho" w:hAnsi="Arial" w:cs="Arial"/>
          <w:lang w:val="en-GB"/>
        </w:rPr>
      </w:pPr>
    </w:p>
    <w:p w:rsidR="008F5BAA" w:rsidRPr="00DF1001" w:rsidRDefault="008F5BAA" w:rsidP="0041289A">
      <w:pPr>
        <w:pStyle w:val="ListParagraph"/>
        <w:numPr>
          <w:ilvl w:val="0"/>
          <w:numId w:val="1"/>
        </w:numPr>
        <w:jc w:val="both"/>
        <w:rPr>
          <w:rFonts w:ascii="Arial" w:eastAsia="MS Mincho" w:hAnsi="Arial" w:cs="Arial"/>
          <w:lang w:val="en-GB"/>
        </w:rPr>
      </w:pPr>
      <w:r w:rsidRPr="00DF1001">
        <w:rPr>
          <w:rFonts w:ascii="Arial" w:eastAsia="MS Mincho" w:hAnsi="Arial" w:cs="Arial"/>
          <w:lang w:val="en-GB"/>
        </w:rPr>
        <w:t xml:space="preserve">The Bidder acknowledges that, under the Public Contract Regulations 2015, the FCO is required (among other things) to take appropriate measures to ensure that competition is not distorted by a bidder who has previously been involved in advising the FCO.  </w:t>
      </w:r>
    </w:p>
    <w:p w:rsidR="008F5BAA" w:rsidRPr="00DF1001" w:rsidRDefault="008F5BAA" w:rsidP="008F5BAA">
      <w:pPr>
        <w:pStyle w:val="ListParagraph"/>
        <w:ind w:left="644"/>
        <w:jc w:val="both"/>
        <w:rPr>
          <w:rFonts w:ascii="Arial" w:eastAsia="MS Mincho" w:hAnsi="Arial" w:cs="Arial"/>
          <w:lang w:val="en-GB"/>
        </w:rPr>
      </w:pPr>
    </w:p>
    <w:p w:rsidR="008F5BAA" w:rsidRPr="00DF1001" w:rsidRDefault="008F5BAA" w:rsidP="0041289A">
      <w:pPr>
        <w:pStyle w:val="ListParagraph"/>
        <w:numPr>
          <w:ilvl w:val="0"/>
          <w:numId w:val="1"/>
        </w:numPr>
        <w:jc w:val="both"/>
        <w:rPr>
          <w:rFonts w:ascii="Arial" w:eastAsia="MS Mincho" w:hAnsi="Arial" w:cs="Arial"/>
          <w:lang w:val="en-GB"/>
        </w:rPr>
      </w:pPr>
      <w:r w:rsidRPr="00DF1001">
        <w:rPr>
          <w:rFonts w:ascii="Arial" w:eastAsia="MS Mincho" w:hAnsi="Arial" w:cs="Arial"/>
          <w:lang w:val="en-GB"/>
        </w:rPr>
        <w:t>As part of meeting this requirement, the FCO requires that the successful bidder (if it is also bidding on a Subsequent Procurement) establish internal “ethical walls” (also known as “information barriers”) to ensure that its employees, suppliers and agents on the team involved in such Subsequent Procurement bid do not discuss the Subsequent Procurement or have passed to them any information from those employees, suppliers and agents who are familiar with or are currently engaged in providing the services under the Current Procurement.</w:t>
      </w:r>
    </w:p>
    <w:p w:rsidR="008F5BAA" w:rsidRPr="00DF1001" w:rsidRDefault="008F5BAA" w:rsidP="008F5BAA">
      <w:pPr>
        <w:pStyle w:val="ListParagraph"/>
        <w:ind w:left="644"/>
        <w:jc w:val="both"/>
        <w:rPr>
          <w:rFonts w:ascii="Arial" w:eastAsia="MS Mincho" w:hAnsi="Arial" w:cs="Arial"/>
          <w:lang w:val="en-GB"/>
        </w:rPr>
      </w:pPr>
    </w:p>
    <w:p w:rsidR="008F5BAA" w:rsidRPr="00DF1001" w:rsidRDefault="008F5BAA" w:rsidP="0041289A">
      <w:pPr>
        <w:pStyle w:val="ListParagraph"/>
        <w:numPr>
          <w:ilvl w:val="0"/>
          <w:numId w:val="1"/>
        </w:numPr>
        <w:jc w:val="both"/>
        <w:rPr>
          <w:rFonts w:ascii="Arial" w:eastAsia="MS Mincho" w:hAnsi="Arial" w:cs="Arial"/>
          <w:lang w:val="en-GB"/>
        </w:rPr>
      </w:pPr>
      <w:bookmarkStart w:id="8" w:name="_Ref475109234"/>
      <w:r w:rsidRPr="00DF1001">
        <w:rPr>
          <w:rFonts w:ascii="Arial" w:eastAsia="MS Mincho" w:hAnsi="Arial" w:cs="Arial"/>
          <w:lang w:val="en-GB"/>
        </w:rPr>
        <w:t xml:space="preserve">The FCO shall have the right to require that the Supplier puts in place "Ethical Walls" and will ensure and satisfy the FCO that all information relating to </w:t>
      </w:r>
      <w:r w:rsidR="00814D37" w:rsidRPr="00DF1001">
        <w:rPr>
          <w:rFonts w:ascii="Arial" w:eastAsia="MS Mincho" w:hAnsi="Arial" w:cs="Arial"/>
          <w:lang w:val="en-GB"/>
        </w:rPr>
        <w:t>this</w:t>
      </w:r>
      <w:r w:rsidRPr="00DF1001">
        <w:rPr>
          <w:rFonts w:ascii="Arial" w:eastAsia="MS Mincho" w:hAnsi="Arial" w:cs="Arial"/>
          <w:lang w:val="en-GB"/>
        </w:rPr>
        <w:t xml:space="preserve"> Contract and to the Services and Deliverables completed pursuant to it (to include all working papers, draft reports in both tangible and intangible form) are not shared or made available to other employees, suppliers or agents of the Supplier and that such matters are not discussed by the relevant staff with other employees, suppliers or agents of the Supplier.</w:t>
      </w:r>
      <w:bookmarkEnd w:id="8"/>
    </w:p>
    <w:p w:rsidR="008F5BAA" w:rsidRPr="008F5BAA" w:rsidRDefault="008F5BAA" w:rsidP="008F5BAA">
      <w:pPr>
        <w:pStyle w:val="ListParagraph"/>
        <w:ind w:left="644"/>
        <w:jc w:val="both"/>
        <w:rPr>
          <w:rFonts w:ascii="Arial" w:eastAsia="MS Mincho" w:hAnsi="Arial" w:cs="Arial"/>
          <w:lang w:val="en-GB"/>
        </w:rPr>
      </w:pPr>
    </w:p>
    <w:p w:rsidR="001371DD" w:rsidRPr="00FB4FCD" w:rsidRDefault="008F5BAA" w:rsidP="00636F0B">
      <w:pPr>
        <w:pStyle w:val="ListParagraph"/>
        <w:numPr>
          <w:ilvl w:val="0"/>
          <w:numId w:val="1"/>
        </w:numPr>
        <w:jc w:val="both"/>
        <w:rPr>
          <w:rFonts w:ascii="Arial" w:hAnsi="Arial" w:cs="Arial"/>
          <w:lang w:val="en-GB" w:eastAsia="en-GB"/>
        </w:rPr>
      </w:pPr>
      <w:r w:rsidRPr="00DF1001">
        <w:rPr>
          <w:rFonts w:ascii="Arial" w:eastAsia="MS Mincho" w:hAnsi="Arial" w:cs="Arial"/>
          <w:lang w:val="en-GB"/>
        </w:rPr>
        <w:lastRenderedPageBreak/>
        <w:t xml:space="preserve">In the event of a failure to maintain the Ethical Walls as described above, arising during the course of </w:t>
      </w:r>
      <w:r w:rsidR="00814D37" w:rsidRPr="00DF1001">
        <w:rPr>
          <w:rFonts w:ascii="Arial" w:eastAsia="MS Mincho" w:hAnsi="Arial" w:cs="Arial"/>
          <w:lang w:val="en-GB"/>
        </w:rPr>
        <w:t>this</w:t>
      </w:r>
      <w:r w:rsidRPr="00DF1001">
        <w:rPr>
          <w:rFonts w:ascii="Arial" w:eastAsia="MS Mincho" w:hAnsi="Arial" w:cs="Arial"/>
          <w:lang w:val="en-GB"/>
        </w:rPr>
        <w:t xml:space="preserve"> Contract, the FCO reserves the right to immediately terminate </w:t>
      </w:r>
      <w:r w:rsidR="00814D37" w:rsidRPr="00DF1001">
        <w:rPr>
          <w:rFonts w:ascii="Arial" w:eastAsia="MS Mincho" w:hAnsi="Arial" w:cs="Arial"/>
          <w:lang w:val="en-GB"/>
        </w:rPr>
        <w:t>this</w:t>
      </w:r>
      <w:r w:rsidRPr="00DF1001">
        <w:rPr>
          <w:rFonts w:ascii="Arial" w:eastAsia="MS Mincho" w:hAnsi="Arial" w:cs="Arial"/>
          <w:lang w:val="en-GB"/>
        </w:rPr>
        <w:t xml:space="preserve"> Contract on giving written notice to the Supplier.</w:t>
      </w:r>
    </w:p>
    <w:p w:rsidR="001371DD" w:rsidRDefault="001371DD" w:rsidP="001B66DD">
      <w:pPr>
        <w:jc w:val="both"/>
        <w:rPr>
          <w:rFonts w:ascii="Arial" w:hAnsi="Arial" w:cs="Arial"/>
          <w:lang w:val="en-GB" w:eastAsia="en-GB"/>
        </w:rPr>
      </w:pPr>
    </w:p>
    <w:p w:rsidR="001371DD" w:rsidRDefault="001371DD" w:rsidP="001B66DD">
      <w:pPr>
        <w:jc w:val="both"/>
        <w:rPr>
          <w:rFonts w:ascii="Arial" w:hAnsi="Arial" w:cs="Arial"/>
          <w:lang w:val="en-GB" w:eastAsia="en-GB"/>
        </w:rPr>
      </w:pPr>
    </w:p>
    <w:p w:rsidR="001371DD" w:rsidRDefault="001371DD">
      <w:pPr>
        <w:rPr>
          <w:rFonts w:ascii="Arial" w:hAnsi="Arial" w:cs="Arial"/>
          <w:lang w:val="en-GB" w:eastAsia="en-GB"/>
        </w:rPr>
      </w:pPr>
    </w:p>
    <w:sectPr w:rsidR="001371DD" w:rsidSect="00513DAE">
      <w:headerReference w:type="even" r:id="rId10"/>
      <w:headerReference w:type="default" r:id="rId11"/>
      <w:footerReference w:type="even" r:id="rId12"/>
      <w:footerReference w:type="default" r:id="rId13"/>
      <w:headerReference w:type="first" r:id="rId14"/>
      <w:footerReference w:type="first" r:id="rId15"/>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6F0" w:rsidRDefault="00FF66F0" w:rsidP="00700FB2">
      <w:pPr>
        <w:spacing w:after="0" w:line="240" w:lineRule="auto"/>
      </w:pPr>
      <w:r>
        <w:separator/>
      </w:r>
    </w:p>
  </w:endnote>
  <w:endnote w:type="continuationSeparator" w:id="0">
    <w:p w:rsidR="00FF66F0" w:rsidRDefault="00FF66F0" w:rsidP="00700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Humanist777BT-LightB">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DC1" w:rsidRDefault="002F6DC1">
    <w:pPr>
      <w:pStyle w:val="Footer"/>
    </w:pPr>
  </w:p>
  <w:p w:rsidR="002F6DC1" w:rsidRPr="00933DAD" w:rsidRDefault="002F6DC1" w:rsidP="00700FB2">
    <w:pPr>
      <w:pStyle w:val="Footer"/>
      <w:jc w:val="center"/>
      <w:rPr>
        <w:rFonts w:ascii="Arial" w:hAnsi="Arial" w:cs="Arial"/>
        <w:b/>
        <w:sz w:val="20"/>
        <w:lang w:val="en-GB"/>
      </w:rPr>
    </w:pPr>
    <w:r w:rsidRPr="00933DAD">
      <w:rPr>
        <w:rFonts w:ascii="Arial" w:hAnsi="Arial" w:cs="Arial"/>
        <w:b/>
        <w:sz w:val="20"/>
        <w:lang w:val="en-GB"/>
      </w:rPr>
      <w:t xml:space="preserve"> </w:t>
    </w:r>
  </w:p>
  <w:p w:rsidR="002F6DC1" w:rsidRPr="00735DA0" w:rsidRDefault="003E3A52" w:rsidP="00735DA0">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sidR="003C3A85">
      <w:rPr>
        <w:rFonts w:ascii="Arial" w:hAnsi="Arial" w:cs="Arial"/>
        <w:noProof/>
        <w:sz w:val="12"/>
        <w:lang w:val="en-GB"/>
      </w:rPr>
      <w:t>\</w:t>
    </w:r>
    <w:r w:rsidR="003C3A85" w:rsidRPr="003C3A85">
      <w:rPr>
        <w:noProof/>
        <w:lang w:val="en-GB"/>
      </w:rPr>
      <w:t>\ingbhspsmb0fp01\mexico_shareddata$\Regional Hub\Procurement Mexico\Tenders\Mexico Network\2018 - PF SKILLS STUDY\2. ITT\ATT 4 -</w:t>
    </w:r>
    <w:r w:rsidR="003C3A85">
      <w:rPr>
        <w:rFonts w:ascii="Arial" w:hAnsi="Arial" w:cs="Arial"/>
        <w:noProof/>
        <w:sz w:val="12"/>
        <w:lang w:val="en-GB"/>
      </w:rPr>
      <w:t xml:space="preserve"> Terms of Reference.docx</w:t>
    </w:r>
    <w:r>
      <w:rPr>
        <w:noProof/>
        <w:lang w:val="en-GB"/>
      </w:rPr>
      <w:fldChar w:fldCharType="end"/>
    </w:r>
    <w:r w:rsidR="002F6DC1" w:rsidRPr="00735DA0">
      <w:rPr>
        <w:lang w:val="en-GB"/>
      </w:rPr>
      <w:t xml:space="preserve"> </w:t>
    </w:r>
    <w:sdt>
      <w:sdtPr>
        <w:id w:val="91265662"/>
        <w:docPartObj>
          <w:docPartGallery w:val="Page Numbers (Bottom of Page)"/>
          <w:docPartUnique/>
        </w:docPartObj>
      </w:sdtPr>
      <w:sdtEndPr>
        <w:rPr>
          <w:color w:val="7F7F7F" w:themeColor="background1" w:themeShade="7F"/>
          <w:spacing w:val="60"/>
        </w:rPr>
      </w:sdtEndPr>
      <w:sdtContent>
        <w:r w:rsidR="002F6DC1">
          <w:fldChar w:fldCharType="begin"/>
        </w:r>
        <w:r w:rsidR="002F6DC1" w:rsidRPr="00C06BC7">
          <w:rPr>
            <w:lang w:val="en-GB"/>
          </w:rPr>
          <w:instrText xml:space="preserve"> PAGE   \* MERGEFORMAT </w:instrText>
        </w:r>
        <w:r w:rsidR="002F6DC1">
          <w:fldChar w:fldCharType="separate"/>
        </w:r>
        <w:r w:rsidR="002F6DC1">
          <w:rPr>
            <w:noProof/>
            <w:lang w:val="en-GB"/>
          </w:rPr>
          <w:t>1</w:t>
        </w:r>
        <w:r w:rsidR="002F6DC1">
          <w:fldChar w:fldCharType="end"/>
        </w:r>
        <w:r w:rsidR="002F6DC1" w:rsidRPr="00735DA0">
          <w:rPr>
            <w:lang w:val="en-GB"/>
          </w:rPr>
          <w:t xml:space="preserve"> | </w:t>
        </w:r>
        <w:r w:rsidR="002F6DC1" w:rsidRPr="00735DA0">
          <w:rPr>
            <w:color w:val="7F7F7F" w:themeColor="background1" w:themeShade="7F"/>
            <w:spacing w:val="60"/>
            <w:lang w:val="en-GB"/>
          </w:rPr>
          <w:t>Page</w:t>
        </w:r>
      </w:sdtContent>
    </w:sdt>
  </w:p>
  <w:p w:rsidR="002F6DC1" w:rsidRPr="00884669" w:rsidRDefault="002F6DC1"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r>
      <w:fldChar w:fldCharType="begin"/>
    </w:r>
    <w:r>
      <w:instrText xml:space="preserve"> DOCPROPERTY PRIVACY  \* MERGEFORMAT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DC1" w:rsidRDefault="002F6DC1">
    <w:pPr>
      <w:pStyle w:val="Footer"/>
      <w:jc w:val="center"/>
    </w:pPr>
  </w:p>
  <w:p w:rsidR="002F6DC1" w:rsidRPr="00884669" w:rsidRDefault="002F6DC1" w:rsidP="00884669">
    <w:pPr>
      <w:pStyle w:val="Footer"/>
      <w:jc w:val="center"/>
      <w:rPr>
        <w:rFonts w:ascii="Arial" w:hAnsi="Arial" w:cs="Arial"/>
        <w:b/>
        <w:sz w:val="20"/>
        <w:lang w:val="en-GB"/>
      </w:rPr>
    </w:pPr>
    <w:r w:rsidRPr="00884669">
      <w:rPr>
        <w:rFonts w:ascii="Arial" w:hAnsi="Arial" w:cs="Arial"/>
        <w:b/>
        <w:sz w:val="20"/>
        <w:lang w:val="en-GB"/>
      </w:rPr>
      <w:t xml:space="preserve"> </w:t>
    </w:r>
  </w:p>
  <w:sdt>
    <w:sdtPr>
      <w:id w:val="96627488"/>
      <w:docPartObj>
        <w:docPartGallery w:val="Page Numbers (Bottom of Page)"/>
        <w:docPartUnique/>
      </w:docPartObj>
    </w:sdtPr>
    <w:sdtEndPr>
      <w:rPr>
        <w:color w:val="7F7F7F" w:themeColor="background1" w:themeShade="7F"/>
        <w:spacing w:val="60"/>
      </w:rPr>
    </w:sdtEndPr>
    <w:sdtContent>
      <w:p w:rsidR="002F6DC1" w:rsidRPr="0027404E" w:rsidRDefault="002F6DC1" w:rsidP="00884669">
        <w:pPr>
          <w:pBdr>
            <w:top w:val="single" w:sz="4" w:space="1" w:color="D9D9D9" w:themeColor="background1" w:themeShade="D9"/>
          </w:pBdr>
          <w:tabs>
            <w:tab w:val="center" w:pos="4513"/>
            <w:tab w:val="right" w:pos="9026"/>
          </w:tabs>
          <w:spacing w:after="0" w:line="240" w:lineRule="auto"/>
          <w:jc w:val="right"/>
          <w:rPr>
            <w:color w:val="7F7F7F" w:themeColor="background1" w:themeShade="7F"/>
            <w:spacing w:val="60"/>
          </w:rPr>
        </w:pPr>
        <w:r>
          <w:fldChar w:fldCharType="begin"/>
        </w:r>
        <w:r>
          <w:instrText xml:space="preserve"> PAGE   \* MERGEFORMAT </w:instrText>
        </w:r>
        <w:r>
          <w:fldChar w:fldCharType="separate"/>
        </w:r>
        <w:r w:rsidR="00B93CD6">
          <w:rPr>
            <w:noProof/>
          </w:rPr>
          <w:t>2</w:t>
        </w:r>
        <w:r>
          <w:rPr>
            <w:noProof/>
          </w:rPr>
          <w:fldChar w:fldCharType="end"/>
        </w:r>
        <w:r w:rsidRPr="006A3AFA">
          <w:t xml:space="preserve"> | </w:t>
        </w:r>
        <w:r w:rsidRPr="006A3AFA">
          <w:rPr>
            <w:color w:val="7F7F7F" w:themeColor="background1" w:themeShade="7F"/>
            <w:spacing w:val="60"/>
          </w:rPr>
          <w:t>Page</w:t>
        </w:r>
      </w:p>
    </w:sdtContent>
  </w:sdt>
  <w:p w:rsidR="002F6DC1" w:rsidRPr="00884669" w:rsidRDefault="002F6DC1" w:rsidP="00700FB2">
    <w:pPr>
      <w:pStyle w:val="Footer"/>
      <w:spacing w:before="120"/>
      <w:jc w:val="right"/>
      <w:rPr>
        <w:rFonts w:ascii="Arial" w:hAnsi="Arial" w:cs="Arial"/>
        <w:sz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DC1" w:rsidRDefault="002F6DC1">
    <w:pPr>
      <w:pStyle w:val="Footer"/>
    </w:pPr>
  </w:p>
  <w:p w:rsidR="002F6DC1" w:rsidRPr="00080B45" w:rsidRDefault="002F6DC1" w:rsidP="00700FB2">
    <w:pPr>
      <w:pStyle w:val="Footer"/>
      <w:jc w:val="center"/>
      <w:rPr>
        <w:rFonts w:ascii="Arial" w:hAnsi="Arial" w:cs="Arial"/>
        <w:b/>
        <w:sz w:val="20"/>
        <w:lang w:val="en-GB"/>
      </w:rPr>
    </w:pPr>
    <w:r w:rsidRPr="00080B45">
      <w:rPr>
        <w:rFonts w:ascii="Arial" w:hAnsi="Arial" w:cs="Arial"/>
        <w:b/>
        <w:sz w:val="20"/>
        <w:lang w:val="en-GB"/>
      </w:rPr>
      <w:t xml:space="preserve"> </w:t>
    </w:r>
  </w:p>
  <w:p w:rsidR="002F6DC1" w:rsidRPr="00884669" w:rsidRDefault="003E3A52" w:rsidP="00700FB2">
    <w:pPr>
      <w:pStyle w:val="Footer"/>
      <w:spacing w:before="120"/>
      <w:jc w:val="right"/>
      <w:rPr>
        <w:lang w:val="en-GB"/>
      </w:rPr>
    </w:pPr>
    <w:r>
      <w:rPr>
        <w:rFonts w:ascii="Arial" w:hAnsi="Arial" w:cs="Arial"/>
        <w:noProof/>
        <w:sz w:val="12"/>
        <w:lang w:val="en-GB"/>
      </w:rPr>
      <w:fldChar w:fldCharType="begin"/>
    </w:r>
    <w:r>
      <w:rPr>
        <w:rFonts w:ascii="Arial" w:hAnsi="Arial" w:cs="Arial"/>
        <w:noProof/>
        <w:sz w:val="12"/>
        <w:lang w:val="en-GB"/>
      </w:rPr>
      <w:instrText xml:space="preserve"> FILENAME \p \* MERGEFORMAT </w:instrText>
    </w:r>
    <w:r>
      <w:rPr>
        <w:rFonts w:ascii="Arial" w:hAnsi="Arial" w:cs="Arial"/>
        <w:noProof/>
        <w:sz w:val="12"/>
        <w:lang w:val="en-GB"/>
      </w:rPr>
      <w:fldChar w:fldCharType="separate"/>
    </w:r>
    <w:r w:rsidR="003C3A85">
      <w:rPr>
        <w:rFonts w:ascii="Arial" w:hAnsi="Arial" w:cs="Arial"/>
        <w:noProof/>
        <w:sz w:val="12"/>
        <w:lang w:val="en-GB"/>
      </w:rPr>
      <w:t>\</w:t>
    </w:r>
    <w:r w:rsidR="003C3A85" w:rsidRPr="003C3A85">
      <w:rPr>
        <w:noProof/>
        <w:lang w:val="en-GB"/>
      </w:rPr>
      <w:t>\ingbhspsmb0fp01\mexico_shareddata$\Regional Hub\Procurement Mexico\Tenders\Mexico Network\2018 - PF SKILLS STUDY\2. ITT\ATT 4 -</w:t>
    </w:r>
    <w:r w:rsidR="003C3A85">
      <w:rPr>
        <w:rFonts w:ascii="Arial" w:hAnsi="Arial" w:cs="Arial"/>
        <w:noProof/>
        <w:sz w:val="12"/>
        <w:lang w:val="en-GB"/>
      </w:rPr>
      <w:t xml:space="preserve"> Terms of Reference.docx</w:t>
    </w:r>
    <w:r>
      <w:rPr>
        <w:noProof/>
        <w:lang w:val="en-GB"/>
      </w:rPr>
      <w:fldChar w:fldCharType="end"/>
    </w:r>
  </w:p>
  <w:p w:rsidR="002F6DC1" w:rsidRPr="00884669" w:rsidRDefault="002F6DC1" w:rsidP="00735DA0">
    <w:pPr>
      <w:pStyle w:val="Footer"/>
      <w:spacing w:before="120"/>
      <w:jc w:val="right"/>
      <w:rPr>
        <w:rFonts w:ascii="Arial" w:hAnsi="Arial" w:cs="Arial"/>
        <w:b/>
        <w:sz w:val="20"/>
        <w:lang w:val="en-GB"/>
      </w:rPr>
    </w:pPr>
    <w:r w:rsidRPr="00884669">
      <w:rPr>
        <w:rFonts w:ascii="Arial" w:hAnsi="Arial" w:cs="Arial"/>
        <w:b/>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6F0" w:rsidRDefault="00FF66F0" w:rsidP="00700FB2">
      <w:pPr>
        <w:spacing w:after="0" w:line="240" w:lineRule="auto"/>
      </w:pPr>
      <w:r>
        <w:separator/>
      </w:r>
    </w:p>
  </w:footnote>
  <w:footnote w:type="continuationSeparator" w:id="0">
    <w:p w:rsidR="00FF66F0" w:rsidRDefault="00FF66F0" w:rsidP="00700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DC1" w:rsidRPr="00884669" w:rsidRDefault="002F6DC1" w:rsidP="00884669">
    <w:pPr>
      <w:pStyle w:val="Header"/>
      <w:jc w:val="center"/>
      <w:rPr>
        <w:rFonts w:ascii="Arial" w:hAnsi="Arial" w:cs="Arial"/>
        <w:b/>
        <w:sz w:val="20"/>
      </w:rPr>
    </w:pPr>
    <w:r w:rsidRPr="00884669">
      <w:rPr>
        <w:rFonts w:ascii="Arial" w:hAnsi="Arial" w:cs="Arial"/>
        <w:b/>
        <w:sz w:val="20"/>
      </w:rPr>
      <w:t xml:space="preserve"> </w:t>
    </w:r>
  </w:p>
  <w:p w:rsidR="002F6DC1" w:rsidRPr="00700FB2" w:rsidRDefault="002F6DC1" w:rsidP="00700FB2">
    <w:pPr>
      <w:pStyle w:val="Header"/>
      <w:jc w:val="center"/>
      <w:rPr>
        <w:rFonts w:ascii="Arial" w:hAnsi="Arial" w:cs="Arial"/>
        <w:b/>
        <w:sz w:val="20"/>
      </w:rPr>
    </w:pPr>
    <w:r w:rsidRPr="00700FB2">
      <w:rPr>
        <w:rFonts w:ascii="Arial" w:hAnsi="Arial" w:cs="Arial"/>
        <w:b/>
        <w:sz w:val="20"/>
      </w:rPr>
      <w:t xml:space="preserve"> </w:t>
    </w:r>
  </w:p>
  <w:p w:rsidR="002F6DC1" w:rsidRDefault="002F6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DC1" w:rsidRPr="00884669" w:rsidRDefault="002F6DC1" w:rsidP="00884669">
    <w:pPr>
      <w:pStyle w:val="Header"/>
      <w:tabs>
        <w:tab w:val="clear" w:pos="9026"/>
        <w:tab w:val="right" w:pos="9072"/>
      </w:tabs>
      <w:ind w:right="-46"/>
      <w:jc w:val="center"/>
      <w:rPr>
        <w:rFonts w:ascii="Arial" w:hAnsi="Arial" w:cs="Arial"/>
        <w:b/>
        <w:sz w:val="20"/>
        <w:szCs w:val="18"/>
        <w:lang w:val="en-GB"/>
      </w:rPr>
    </w:pPr>
    <w:r w:rsidRPr="00884669">
      <w:rPr>
        <w:rFonts w:ascii="Arial" w:hAnsi="Arial" w:cs="Arial"/>
        <w:b/>
        <w:sz w:val="20"/>
        <w:szCs w:val="18"/>
        <w:lang w:val="en-GB"/>
      </w:rPr>
      <w:t xml:space="preserve"> </w:t>
    </w:r>
    <w:r>
      <w:fldChar w:fldCharType="begin"/>
    </w:r>
    <w:r w:rsidRPr="001F41DF">
      <w:rPr>
        <w:lang w:val="en-GB"/>
      </w:rPr>
      <w:instrText xml:space="preserve"> DOCPROPERTY PRIVACY  \* MERGEFORMAT </w:instrText>
    </w:r>
    <w:r>
      <w:fldChar w:fldCharType="end"/>
    </w:r>
  </w:p>
  <w:p w:rsidR="002F6DC1" w:rsidRPr="00A77C90" w:rsidRDefault="00CF683F" w:rsidP="005B4390">
    <w:pPr>
      <w:pStyle w:val="Header"/>
      <w:tabs>
        <w:tab w:val="clear" w:pos="9026"/>
        <w:tab w:val="right" w:pos="9072"/>
      </w:tabs>
      <w:ind w:right="-46"/>
      <w:jc w:val="right"/>
      <w:rPr>
        <w:rFonts w:ascii="Arial" w:hAnsi="Arial" w:cs="Arial"/>
        <w:sz w:val="18"/>
        <w:szCs w:val="18"/>
      </w:rPr>
    </w:pPr>
    <w:r>
      <w:rPr>
        <w:rFonts w:ascii="Arial" w:hAnsi="Arial" w:cs="Arial"/>
        <w:sz w:val="18"/>
        <w:szCs w:val="18"/>
      </w:rPr>
      <w:t>Contract #</w:t>
    </w:r>
  </w:p>
  <w:p w:rsidR="002F6DC1" w:rsidRPr="00A77C90" w:rsidRDefault="002F6DC1" w:rsidP="005B4390">
    <w:pPr>
      <w:pStyle w:val="Header"/>
      <w:jc w:val="both"/>
      <w:rPr>
        <w:rFonts w:ascii="Arial" w:hAnsi="Arial" w:cs="Arial"/>
        <w:b/>
        <w:sz w:val="18"/>
        <w:szCs w:val="18"/>
      </w:rPr>
    </w:pPr>
  </w:p>
  <w:p w:rsidR="002F6DC1" w:rsidRPr="00A77C90" w:rsidRDefault="002F6DC1" w:rsidP="005B4390">
    <w:pPr>
      <w:pStyle w:val="Header"/>
      <w:jc w:val="both"/>
      <w:rPr>
        <w:rFonts w:ascii="Arial" w:hAnsi="Arial" w:cs="Arial"/>
        <w:b/>
        <w:sz w:val="18"/>
        <w:szCs w:val="18"/>
      </w:rPr>
    </w:pPr>
  </w:p>
  <w:p w:rsidR="002F6DC1" w:rsidRPr="00A77C90" w:rsidRDefault="002F6DC1" w:rsidP="005B4390">
    <w:pPr>
      <w:pStyle w:val="Header"/>
      <w:jc w:val="both"/>
      <w:rPr>
        <w:rFonts w:ascii="Arial" w:hAnsi="Arial" w:cs="Arial"/>
        <w:b/>
        <w:sz w:val="18"/>
        <w:szCs w:val="18"/>
      </w:rPr>
    </w:pPr>
  </w:p>
  <w:p w:rsidR="002F6DC1" w:rsidRPr="00A77C90" w:rsidRDefault="002F6DC1" w:rsidP="005B4390">
    <w:pPr>
      <w:pStyle w:val="Header"/>
      <w:jc w:val="both"/>
      <w:rPr>
        <w:rFonts w:ascii="Arial" w:eastAsiaTheme="minorHAnsi" w:hAnsi="Arial" w:cs="Arial"/>
        <w:b/>
        <w:sz w:val="18"/>
        <w:szCs w:val="18"/>
        <w:lang w:val="en-GB" w:eastAsia="en-US"/>
      </w:rPr>
    </w:pPr>
    <w:r w:rsidRPr="00A77C90">
      <w:rPr>
        <w:rFonts w:ascii="Arial" w:hAnsi="Arial" w:cs="Arial"/>
        <w:b/>
        <w:sz w:val="18"/>
        <w:szCs w:val="18"/>
      </w:rPr>
      <w:t>ATT</w:t>
    </w:r>
    <w:r w:rsidRPr="00A77C90">
      <w:rPr>
        <w:rFonts w:ascii="Arial" w:eastAsiaTheme="minorHAnsi" w:hAnsi="Arial" w:cs="Arial"/>
        <w:b/>
        <w:sz w:val="18"/>
        <w:szCs w:val="18"/>
        <w:lang w:val="en-GB" w:eastAsia="en-US"/>
      </w:rPr>
      <w:t xml:space="preserve"> 4 – TERMS OF REFERENCE</w:t>
    </w:r>
  </w:p>
  <w:p w:rsidR="002F6DC1" w:rsidRPr="005B4390" w:rsidRDefault="002F6DC1" w:rsidP="005B4390">
    <w:pPr>
      <w:pStyle w:val="Header"/>
      <w:jc w:val="center"/>
      <w:rPr>
        <w:rFonts w:ascii="Arial" w:hAnsi="Arial" w:cs="Arial"/>
        <w:b/>
        <w:sz w:val="20"/>
        <w:lang w:val="en-GB"/>
      </w:rPr>
    </w:pPr>
    <w:r w:rsidRPr="00B944E3">
      <w:rPr>
        <w:rFonts w:ascii="Arial" w:hAnsi="Arial" w:cs="Arial"/>
        <w:b/>
        <w:sz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DC1" w:rsidRPr="00884669" w:rsidRDefault="002F6DC1" w:rsidP="00884669">
    <w:pPr>
      <w:pStyle w:val="Header"/>
      <w:jc w:val="center"/>
      <w:rPr>
        <w:rFonts w:ascii="Arial" w:hAnsi="Arial" w:cs="Arial"/>
        <w:b/>
        <w:sz w:val="20"/>
      </w:rPr>
    </w:pPr>
    <w:r w:rsidRPr="00884669">
      <w:rPr>
        <w:rFonts w:ascii="Arial" w:hAnsi="Arial" w:cs="Arial"/>
        <w:b/>
        <w:sz w:val="20"/>
      </w:rPr>
      <w:t xml:space="preserve"> </w:t>
    </w:r>
  </w:p>
  <w:p w:rsidR="002F6DC1" w:rsidRPr="00700FB2" w:rsidRDefault="002F6DC1" w:rsidP="00700FB2">
    <w:pPr>
      <w:pStyle w:val="Header"/>
      <w:jc w:val="center"/>
      <w:rPr>
        <w:rFonts w:ascii="Arial" w:hAnsi="Arial" w:cs="Arial"/>
        <w:b/>
        <w:sz w:val="20"/>
      </w:rPr>
    </w:pPr>
    <w:r w:rsidRPr="00700FB2">
      <w:rPr>
        <w:rFonts w:ascii="Arial" w:hAnsi="Arial" w:cs="Arial"/>
        <w:b/>
        <w:sz w:val="20"/>
      </w:rPr>
      <w:t xml:space="preserve"> </w:t>
    </w:r>
  </w:p>
  <w:p w:rsidR="002F6DC1" w:rsidRDefault="002F6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7014"/>
    <w:multiLevelType w:val="hybridMultilevel"/>
    <w:tmpl w:val="E41237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4168FF"/>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F299F"/>
    <w:multiLevelType w:val="multilevel"/>
    <w:tmpl w:val="DB5878F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512BC1"/>
    <w:multiLevelType w:val="hybridMultilevel"/>
    <w:tmpl w:val="9C02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B2A61"/>
    <w:multiLevelType w:val="multilevel"/>
    <w:tmpl w:val="CADE421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D55AD"/>
    <w:multiLevelType w:val="hybridMultilevel"/>
    <w:tmpl w:val="44AAB1F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6353462"/>
    <w:multiLevelType w:val="hybridMultilevel"/>
    <w:tmpl w:val="D6E0D404"/>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94A4B"/>
    <w:multiLevelType w:val="hybridMultilevel"/>
    <w:tmpl w:val="D5409684"/>
    <w:lvl w:ilvl="0" w:tplc="08090019">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19BA3C74"/>
    <w:multiLevelType w:val="multilevel"/>
    <w:tmpl w:val="E0D88274"/>
    <w:lvl w:ilvl="0">
      <w:start w:val="1"/>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9" w15:restartNumberingAfterBreak="0">
    <w:nsid w:val="1ABE2180"/>
    <w:multiLevelType w:val="hybridMultilevel"/>
    <w:tmpl w:val="BB58BD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55BF9"/>
    <w:multiLevelType w:val="hybridMultilevel"/>
    <w:tmpl w:val="5F604A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118DE"/>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CE652E"/>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EA5676"/>
    <w:multiLevelType w:val="hybridMultilevel"/>
    <w:tmpl w:val="D9644918"/>
    <w:lvl w:ilvl="0" w:tplc="C9BEF4E4">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4A505B"/>
    <w:multiLevelType w:val="hybridMultilevel"/>
    <w:tmpl w:val="50E0290E"/>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2602429B"/>
    <w:multiLevelType w:val="hybridMultilevel"/>
    <w:tmpl w:val="5E00B3B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970637C"/>
    <w:multiLevelType w:val="multilevel"/>
    <w:tmpl w:val="A31A8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E82F0B"/>
    <w:multiLevelType w:val="hybridMultilevel"/>
    <w:tmpl w:val="DEBEAF02"/>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2D1D672B"/>
    <w:multiLevelType w:val="hybridMultilevel"/>
    <w:tmpl w:val="0A523E7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F354147"/>
    <w:multiLevelType w:val="hybridMultilevel"/>
    <w:tmpl w:val="7608B0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704737"/>
    <w:multiLevelType w:val="hybridMultilevel"/>
    <w:tmpl w:val="B4862560"/>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15:restartNumberingAfterBreak="0">
    <w:nsid w:val="334D573D"/>
    <w:multiLevelType w:val="hybridMultilevel"/>
    <w:tmpl w:val="EBFE12D0"/>
    <w:lvl w:ilvl="0" w:tplc="0809001B">
      <w:start w:val="1"/>
      <w:numFmt w:val="lowerRoman"/>
      <w:lvlText w:val="%1."/>
      <w:lvlJc w:val="right"/>
      <w:pPr>
        <w:ind w:left="2804" w:hanging="18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2" w15:restartNumberingAfterBreak="0">
    <w:nsid w:val="34195DBB"/>
    <w:multiLevelType w:val="hybridMultilevel"/>
    <w:tmpl w:val="CDA0EC1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5611A64"/>
    <w:multiLevelType w:val="multilevel"/>
    <w:tmpl w:val="2F1CB220"/>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382B17B4"/>
    <w:multiLevelType w:val="hybridMultilevel"/>
    <w:tmpl w:val="B4B29B16"/>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711064"/>
    <w:multiLevelType w:val="hybridMultilevel"/>
    <w:tmpl w:val="B22E0D18"/>
    <w:lvl w:ilvl="0" w:tplc="8C82FE60">
      <w:start w:val="1"/>
      <w:numFmt w:val="lowerRoman"/>
      <w:lvlText w:val="%1."/>
      <w:lvlJc w:val="right"/>
      <w:pPr>
        <w:ind w:left="1648" w:hanging="360"/>
      </w:pPr>
      <w:rPr>
        <w:rFonts w:ascii="Arial" w:eastAsia="Calibri" w:hAnsi="Arial" w:cs="Arial"/>
        <w:b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6" w15:restartNumberingAfterBreak="0">
    <w:nsid w:val="38792CA1"/>
    <w:multiLevelType w:val="hybridMultilevel"/>
    <w:tmpl w:val="EF7048E6"/>
    <w:lvl w:ilvl="0" w:tplc="FA2E4464">
      <w:start w:val="1"/>
      <w:numFmt w:val="lowerLetter"/>
      <w:lvlText w:val="%1)"/>
      <w:lvlJc w:val="left"/>
      <w:pPr>
        <w:ind w:left="1098" w:hanging="360"/>
      </w:pPr>
      <w:rPr>
        <w:b w:val="0"/>
      </w:rPr>
    </w:lvl>
    <w:lvl w:ilvl="1" w:tplc="08090019">
      <w:start w:val="1"/>
      <w:numFmt w:val="lowerLetter"/>
      <w:lvlText w:val="%2."/>
      <w:lvlJc w:val="left"/>
      <w:pPr>
        <w:ind w:left="1818" w:hanging="360"/>
      </w:pPr>
    </w:lvl>
    <w:lvl w:ilvl="2" w:tplc="0809001B">
      <w:start w:val="1"/>
      <w:numFmt w:val="lowerRoman"/>
      <w:lvlText w:val="%3."/>
      <w:lvlJc w:val="right"/>
      <w:pPr>
        <w:ind w:left="2538" w:hanging="180"/>
      </w:pPr>
    </w:lvl>
    <w:lvl w:ilvl="3" w:tplc="0809000F">
      <w:start w:val="1"/>
      <w:numFmt w:val="decimal"/>
      <w:lvlText w:val="%4."/>
      <w:lvlJc w:val="left"/>
      <w:pPr>
        <w:ind w:left="3258" w:hanging="360"/>
      </w:pPr>
    </w:lvl>
    <w:lvl w:ilvl="4" w:tplc="08090019">
      <w:start w:val="1"/>
      <w:numFmt w:val="lowerLetter"/>
      <w:lvlText w:val="%5."/>
      <w:lvlJc w:val="left"/>
      <w:pPr>
        <w:ind w:left="3978" w:hanging="360"/>
      </w:pPr>
    </w:lvl>
    <w:lvl w:ilvl="5" w:tplc="0809001B">
      <w:start w:val="1"/>
      <w:numFmt w:val="lowerRoman"/>
      <w:lvlText w:val="%6."/>
      <w:lvlJc w:val="right"/>
      <w:pPr>
        <w:ind w:left="4698" w:hanging="180"/>
      </w:pPr>
    </w:lvl>
    <w:lvl w:ilvl="6" w:tplc="0809000F">
      <w:start w:val="1"/>
      <w:numFmt w:val="decimal"/>
      <w:lvlText w:val="%7."/>
      <w:lvlJc w:val="left"/>
      <w:pPr>
        <w:ind w:left="5418" w:hanging="360"/>
      </w:pPr>
    </w:lvl>
    <w:lvl w:ilvl="7" w:tplc="08090019">
      <w:start w:val="1"/>
      <w:numFmt w:val="lowerLetter"/>
      <w:lvlText w:val="%8."/>
      <w:lvlJc w:val="left"/>
      <w:pPr>
        <w:ind w:left="6138" w:hanging="360"/>
      </w:pPr>
    </w:lvl>
    <w:lvl w:ilvl="8" w:tplc="0809001B">
      <w:start w:val="1"/>
      <w:numFmt w:val="lowerRoman"/>
      <w:lvlText w:val="%9."/>
      <w:lvlJc w:val="right"/>
      <w:pPr>
        <w:ind w:left="6858" w:hanging="180"/>
      </w:pPr>
    </w:lvl>
  </w:abstractNum>
  <w:abstractNum w:abstractNumId="27" w15:restartNumberingAfterBreak="0">
    <w:nsid w:val="3A10315B"/>
    <w:multiLevelType w:val="hybridMultilevel"/>
    <w:tmpl w:val="BE8CB3E8"/>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444EFE"/>
    <w:multiLevelType w:val="hybridMultilevel"/>
    <w:tmpl w:val="16C26596"/>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9" w15:restartNumberingAfterBreak="0">
    <w:nsid w:val="3FA60DEF"/>
    <w:multiLevelType w:val="hybridMultilevel"/>
    <w:tmpl w:val="63EA8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1837A42"/>
    <w:multiLevelType w:val="hybridMultilevel"/>
    <w:tmpl w:val="2514F180"/>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1" w15:restartNumberingAfterBreak="0">
    <w:nsid w:val="47C344F6"/>
    <w:multiLevelType w:val="hybridMultilevel"/>
    <w:tmpl w:val="D614639C"/>
    <w:lvl w:ilvl="0" w:tplc="EDA45C06">
      <w:start w:val="1"/>
      <w:numFmt w:val="decimal"/>
      <w:lvlText w:val="%1."/>
      <w:lvlJc w:val="left"/>
      <w:pPr>
        <w:ind w:left="644"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EF19DF"/>
    <w:multiLevelType w:val="hybridMultilevel"/>
    <w:tmpl w:val="BE58AD7E"/>
    <w:lvl w:ilvl="0" w:tplc="6ACC7AF4">
      <w:start w:val="1"/>
      <w:numFmt w:val="lowerRoman"/>
      <w:lvlText w:val="%1."/>
      <w:lvlJc w:val="right"/>
      <w:pPr>
        <w:ind w:left="4564" w:hanging="360"/>
      </w:pPr>
      <w:rPr>
        <w:rFonts w:ascii="Arial" w:eastAsia="Calibri" w:hAnsi="Arial" w:cs="Arial"/>
        <w:b w:val="0"/>
      </w:rPr>
    </w:lvl>
    <w:lvl w:ilvl="1" w:tplc="08090019" w:tentative="1">
      <w:start w:val="1"/>
      <w:numFmt w:val="lowerLetter"/>
      <w:lvlText w:val="%2."/>
      <w:lvlJc w:val="left"/>
      <w:pPr>
        <w:ind w:left="5284" w:hanging="360"/>
      </w:pPr>
    </w:lvl>
    <w:lvl w:ilvl="2" w:tplc="0809001B" w:tentative="1">
      <w:start w:val="1"/>
      <w:numFmt w:val="lowerRoman"/>
      <w:lvlText w:val="%3."/>
      <w:lvlJc w:val="right"/>
      <w:pPr>
        <w:ind w:left="6004" w:hanging="180"/>
      </w:pPr>
    </w:lvl>
    <w:lvl w:ilvl="3" w:tplc="0809000F" w:tentative="1">
      <w:start w:val="1"/>
      <w:numFmt w:val="decimal"/>
      <w:lvlText w:val="%4."/>
      <w:lvlJc w:val="left"/>
      <w:pPr>
        <w:ind w:left="6724" w:hanging="360"/>
      </w:pPr>
    </w:lvl>
    <w:lvl w:ilvl="4" w:tplc="08090019" w:tentative="1">
      <w:start w:val="1"/>
      <w:numFmt w:val="lowerLetter"/>
      <w:lvlText w:val="%5."/>
      <w:lvlJc w:val="left"/>
      <w:pPr>
        <w:ind w:left="7444" w:hanging="360"/>
      </w:pPr>
    </w:lvl>
    <w:lvl w:ilvl="5" w:tplc="0809001B" w:tentative="1">
      <w:start w:val="1"/>
      <w:numFmt w:val="lowerRoman"/>
      <w:lvlText w:val="%6."/>
      <w:lvlJc w:val="right"/>
      <w:pPr>
        <w:ind w:left="8164" w:hanging="180"/>
      </w:pPr>
    </w:lvl>
    <w:lvl w:ilvl="6" w:tplc="0809000F" w:tentative="1">
      <w:start w:val="1"/>
      <w:numFmt w:val="decimal"/>
      <w:lvlText w:val="%7."/>
      <w:lvlJc w:val="left"/>
      <w:pPr>
        <w:ind w:left="8884" w:hanging="360"/>
      </w:pPr>
    </w:lvl>
    <w:lvl w:ilvl="7" w:tplc="08090019" w:tentative="1">
      <w:start w:val="1"/>
      <w:numFmt w:val="lowerLetter"/>
      <w:lvlText w:val="%8."/>
      <w:lvlJc w:val="left"/>
      <w:pPr>
        <w:ind w:left="9604" w:hanging="360"/>
      </w:pPr>
    </w:lvl>
    <w:lvl w:ilvl="8" w:tplc="0809001B" w:tentative="1">
      <w:start w:val="1"/>
      <w:numFmt w:val="lowerRoman"/>
      <w:lvlText w:val="%9."/>
      <w:lvlJc w:val="right"/>
      <w:pPr>
        <w:ind w:left="10324" w:hanging="180"/>
      </w:pPr>
    </w:lvl>
  </w:abstractNum>
  <w:abstractNum w:abstractNumId="33" w15:restartNumberingAfterBreak="0">
    <w:nsid w:val="4E874E4F"/>
    <w:multiLevelType w:val="multilevel"/>
    <w:tmpl w:val="3C946B92"/>
    <w:lvl w:ilvl="0">
      <w:start w:val="1"/>
      <w:numFmt w:val="decimal"/>
      <w:lvlText w:val="%1."/>
      <w:lvlJc w:val="left"/>
      <w:pPr>
        <w:tabs>
          <w:tab w:val="num" w:pos="720"/>
        </w:tabs>
        <w:ind w:left="720" w:hanging="360"/>
      </w:pPr>
    </w:lvl>
    <w:lvl w:ilvl="1">
      <w:start w:val="1"/>
      <w:numFmt w:val="lowerLetter"/>
      <w:lvlText w:val="%2)"/>
      <w:lvlJc w:val="left"/>
      <w:pPr>
        <w:ind w:left="1440" w:hanging="360"/>
      </w:pPr>
      <w:rPr>
        <w:color w:val="0B0C0C"/>
      </w:rPr>
    </w:lvl>
    <w:lvl w:ilvl="2">
      <w:start w:val="4"/>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F5C3917"/>
    <w:multiLevelType w:val="hybridMultilevel"/>
    <w:tmpl w:val="8E6C4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E42358"/>
    <w:multiLevelType w:val="hybridMultilevel"/>
    <w:tmpl w:val="5FDCD016"/>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7" w15:restartNumberingAfterBreak="0">
    <w:nsid w:val="5B6F73A7"/>
    <w:multiLevelType w:val="hybridMultilevel"/>
    <w:tmpl w:val="1838968A"/>
    <w:lvl w:ilvl="0" w:tplc="08090017">
      <w:start w:val="1"/>
      <w:numFmt w:val="lowerLetter"/>
      <w:lvlText w:val="%1)"/>
      <w:lvlJc w:val="left"/>
      <w:pPr>
        <w:ind w:left="1778"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8" w15:restartNumberingAfterBreak="0">
    <w:nsid w:val="5C5F6EB0"/>
    <w:multiLevelType w:val="hybridMultilevel"/>
    <w:tmpl w:val="CC7AF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632779"/>
    <w:multiLevelType w:val="hybridMultilevel"/>
    <w:tmpl w:val="06CE61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CA6811"/>
    <w:multiLevelType w:val="multilevel"/>
    <w:tmpl w:val="3C68DDBC"/>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6ADA0B27"/>
    <w:multiLevelType w:val="hybridMultilevel"/>
    <w:tmpl w:val="8E6C43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B5D2204"/>
    <w:multiLevelType w:val="hybridMultilevel"/>
    <w:tmpl w:val="A0B602EC"/>
    <w:lvl w:ilvl="0" w:tplc="199A9512">
      <w:start w:val="1"/>
      <w:numFmt w:val="decimal"/>
      <w:lvlText w:val="%1."/>
      <w:lvlJc w:val="left"/>
      <w:pPr>
        <w:ind w:left="644" w:hanging="36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383A30"/>
    <w:multiLevelType w:val="hybridMultilevel"/>
    <w:tmpl w:val="9EF8FC9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4" w15:restartNumberingAfterBreak="0">
    <w:nsid w:val="71564E10"/>
    <w:multiLevelType w:val="hybridMultilevel"/>
    <w:tmpl w:val="108893D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5" w15:restartNumberingAfterBreak="0">
    <w:nsid w:val="746C33EF"/>
    <w:multiLevelType w:val="multilevel"/>
    <w:tmpl w:val="2F1CB220"/>
    <w:lvl w:ilvl="0">
      <w:start w:val="1"/>
      <w:numFmt w:val="decimal"/>
      <w:lvlText w:val="%1"/>
      <w:lvlJc w:val="left"/>
      <w:pPr>
        <w:ind w:left="360" w:hanging="360"/>
      </w:pPr>
      <w:rPr>
        <w:rFonts w:hint="default"/>
        <w:u w:val="single"/>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75A47793"/>
    <w:multiLevelType w:val="multilevel"/>
    <w:tmpl w:val="3C68DDBC"/>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78761510"/>
    <w:multiLevelType w:val="hybridMultilevel"/>
    <w:tmpl w:val="771CF264"/>
    <w:lvl w:ilvl="0" w:tplc="0809001B">
      <w:start w:val="1"/>
      <w:numFmt w:val="lowerRoman"/>
      <w:lvlText w:val="%1."/>
      <w:lvlJc w:val="righ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27"/>
  </w:num>
  <w:num w:numId="2">
    <w:abstractNumId w:val="18"/>
  </w:num>
  <w:num w:numId="3">
    <w:abstractNumId w:val="32"/>
  </w:num>
  <w:num w:numId="4">
    <w:abstractNumId w:val="25"/>
  </w:num>
  <w:num w:numId="5">
    <w:abstractNumId w:val="10"/>
  </w:num>
  <w:num w:numId="6">
    <w:abstractNumId w:val="9"/>
  </w:num>
  <w:num w:numId="7">
    <w:abstractNumId w:val="35"/>
  </w:num>
  <w:num w:numId="8">
    <w:abstractNumId w:val="19"/>
  </w:num>
  <w:num w:numId="9">
    <w:abstractNumId w:val="39"/>
  </w:num>
  <w:num w:numId="10">
    <w:abstractNumId w:val="13"/>
  </w:num>
  <w:num w:numId="11">
    <w:abstractNumId w:val="44"/>
  </w:num>
  <w:num w:numId="12">
    <w:abstractNumId w:val="40"/>
  </w:num>
  <w:num w:numId="13">
    <w:abstractNumId w:val="46"/>
  </w:num>
  <w:num w:numId="14">
    <w:abstractNumId w:val="8"/>
  </w:num>
  <w:num w:numId="15">
    <w:abstractNumId w:val="15"/>
  </w:num>
  <w:num w:numId="16">
    <w:abstractNumId w:val="23"/>
  </w:num>
  <w:num w:numId="17">
    <w:abstractNumId w:val="12"/>
  </w:num>
  <w:num w:numId="18">
    <w:abstractNumId w:val="1"/>
  </w:num>
  <w:num w:numId="19">
    <w:abstractNumId w:val="11"/>
  </w:num>
  <w:num w:numId="20">
    <w:abstractNumId w:val="28"/>
  </w:num>
  <w:num w:numId="21">
    <w:abstractNumId w:val="41"/>
  </w:num>
  <w:num w:numId="22">
    <w:abstractNumId w:val="34"/>
  </w:num>
  <w:num w:numId="23">
    <w:abstractNumId w:val="22"/>
  </w:num>
  <w:num w:numId="24">
    <w:abstractNumId w:val="7"/>
  </w:num>
  <w:num w:numId="25">
    <w:abstractNumId w:val="30"/>
  </w:num>
  <w:num w:numId="26">
    <w:abstractNumId w:val="17"/>
  </w:num>
  <w:num w:numId="27">
    <w:abstractNumId w:val="14"/>
  </w:num>
  <w:num w:numId="28">
    <w:abstractNumId w:val="20"/>
  </w:num>
  <w:num w:numId="29">
    <w:abstractNumId w:val="5"/>
  </w:num>
  <w:num w:numId="30">
    <w:abstractNumId w:val="29"/>
  </w:num>
  <w:num w:numId="31">
    <w:abstractNumId w:val="3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6"/>
  </w:num>
  <w:num w:numId="35">
    <w:abstractNumId w:val="21"/>
  </w:num>
  <w:num w:numId="36">
    <w:abstractNumId w:val="47"/>
  </w:num>
  <w:num w:numId="37">
    <w:abstractNumId w:val="24"/>
  </w:num>
  <w:num w:numId="38">
    <w:abstractNumId w:val="37"/>
  </w:num>
  <w:num w:numId="39">
    <w:abstractNumId w:val="3"/>
  </w:num>
  <w:num w:numId="40">
    <w:abstractNumId w:val="43"/>
  </w:num>
  <w:num w:numId="41">
    <w:abstractNumId w:val="45"/>
  </w:num>
  <w:num w:numId="42">
    <w:abstractNumId w:val="42"/>
  </w:num>
  <w:num w:numId="43">
    <w:abstractNumId w:val="6"/>
  </w:num>
  <w:num w:numId="44">
    <w:abstractNumId w:val="4"/>
    <w:lvlOverride w:ilvl="0"/>
    <w:lvlOverride w:ilvl="1">
      <w:startOverride w:val="4"/>
    </w:lvlOverride>
    <w:lvlOverride w:ilvl="2"/>
    <w:lvlOverride w:ilvl="3"/>
    <w:lvlOverride w:ilvl="4"/>
    <w:lvlOverride w:ilvl="5"/>
    <w:lvlOverride w:ilvl="6"/>
    <w:lvlOverride w:ilvl="7"/>
    <w:lvlOverride w:ilvl="8"/>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Catrina Kenny"/>
    <w:docVar w:name="PDMaintainMarking" w:val="-1"/>
    <w:docVar w:name="PDMaintainPath" w:val="-1"/>
    <w:docVar w:name="PDPhoneNo" w:val=" "/>
    <w:docVar w:name="PDSection" w:val="DIT"/>
  </w:docVars>
  <w:rsids>
    <w:rsidRoot w:val="00700FB2"/>
    <w:rsid w:val="00007996"/>
    <w:rsid w:val="00010FDB"/>
    <w:rsid w:val="000132D2"/>
    <w:rsid w:val="00014B62"/>
    <w:rsid w:val="00021442"/>
    <w:rsid w:val="00030A92"/>
    <w:rsid w:val="0003184E"/>
    <w:rsid w:val="00035261"/>
    <w:rsid w:val="00036B13"/>
    <w:rsid w:val="00040ED4"/>
    <w:rsid w:val="00042B45"/>
    <w:rsid w:val="00046A19"/>
    <w:rsid w:val="0005193F"/>
    <w:rsid w:val="000520B5"/>
    <w:rsid w:val="00056245"/>
    <w:rsid w:val="000567BF"/>
    <w:rsid w:val="00057504"/>
    <w:rsid w:val="00061FA4"/>
    <w:rsid w:val="0006458F"/>
    <w:rsid w:val="000652AC"/>
    <w:rsid w:val="00070A6F"/>
    <w:rsid w:val="00071451"/>
    <w:rsid w:val="00072A5A"/>
    <w:rsid w:val="0007313A"/>
    <w:rsid w:val="000753E0"/>
    <w:rsid w:val="000776F0"/>
    <w:rsid w:val="0008013D"/>
    <w:rsid w:val="00080B45"/>
    <w:rsid w:val="0008793B"/>
    <w:rsid w:val="00091AE2"/>
    <w:rsid w:val="00091DAB"/>
    <w:rsid w:val="000932A6"/>
    <w:rsid w:val="00097048"/>
    <w:rsid w:val="000A285B"/>
    <w:rsid w:val="000A2954"/>
    <w:rsid w:val="000A4436"/>
    <w:rsid w:val="000A4F00"/>
    <w:rsid w:val="000A4F63"/>
    <w:rsid w:val="000B32A2"/>
    <w:rsid w:val="000B66D5"/>
    <w:rsid w:val="000B7998"/>
    <w:rsid w:val="000C1233"/>
    <w:rsid w:val="000C2622"/>
    <w:rsid w:val="000C2FE0"/>
    <w:rsid w:val="000D1244"/>
    <w:rsid w:val="000D6C0E"/>
    <w:rsid w:val="000D7052"/>
    <w:rsid w:val="000E35A7"/>
    <w:rsid w:val="000E7D87"/>
    <w:rsid w:val="000F21C4"/>
    <w:rsid w:val="000F3753"/>
    <w:rsid w:val="000F4DCD"/>
    <w:rsid w:val="000F7438"/>
    <w:rsid w:val="00111686"/>
    <w:rsid w:val="00120E66"/>
    <w:rsid w:val="00123DB0"/>
    <w:rsid w:val="001269FF"/>
    <w:rsid w:val="001302A6"/>
    <w:rsid w:val="00130EB9"/>
    <w:rsid w:val="001312AC"/>
    <w:rsid w:val="00134D36"/>
    <w:rsid w:val="00136D14"/>
    <w:rsid w:val="001371DD"/>
    <w:rsid w:val="0014061F"/>
    <w:rsid w:val="00146644"/>
    <w:rsid w:val="00147519"/>
    <w:rsid w:val="00147A8D"/>
    <w:rsid w:val="00150220"/>
    <w:rsid w:val="00160414"/>
    <w:rsid w:val="0016208D"/>
    <w:rsid w:val="00162BCB"/>
    <w:rsid w:val="00164E13"/>
    <w:rsid w:val="001654AC"/>
    <w:rsid w:val="001666B1"/>
    <w:rsid w:val="001675D1"/>
    <w:rsid w:val="00167D12"/>
    <w:rsid w:val="001706F8"/>
    <w:rsid w:val="00173940"/>
    <w:rsid w:val="00180B0D"/>
    <w:rsid w:val="001815A5"/>
    <w:rsid w:val="0018439E"/>
    <w:rsid w:val="00191CB6"/>
    <w:rsid w:val="00194E79"/>
    <w:rsid w:val="00195CF3"/>
    <w:rsid w:val="001967B7"/>
    <w:rsid w:val="00196EC6"/>
    <w:rsid w:val="001A30BF"/>
    <w:rsid w:val="001A4D50"/>
    <w:rsid w:val="001A546F"/>
    <w:rsid w:val="001A6B16"/>
    <w:rsid w:val="001A738B"/>
    <w:rsid w:val="001B0A88"/>
    <w:rsid w:val="001B4720"/>
    <w:rsid w:val="001B66DD"/>
    <w:rsid w:val="001C0FF2"/>
    <w:rsid w:val="001C70D6"/>
    <w:rsid w:val="001D0158"/>
    <w:rsid w:val="001D2609"/>
    <w:rsid w:val="001D6719"/>
    <w:rsid w:val="001E1EE3"/>
    <w:rsid w:val="001E4AB3"/>
    <w:rsid w:val="001E5014"/>
    <w:rsid w:val="001F01B4"/>
    <w:rsid w:val="001F3187"/>
    <w:rsid w:val="001F3D42"/>
    <w:rsid w:val="001F41DF"/>
    <w:rsid w:val="001F5FF9"/>
    <w:rsid w:val="002017F7"/>
    <w:rsid w:val="00202513"/>
    <w:rsid w:val="0020622A"/>
    <w:rsid w:val="00207736"/>
    <w:rsid w:val="00207991"/>
    <w:rsid w:val="00214B0E"/>
    <w:rsid w:val="0022105E"/>
    <w:rsid w:val="00221A54"/>
    <w:rsid w:val="00227D48"/>
    <w:rsid w:val="0023386A"/>
    <w:rsid w:val="00242A58"/>
    <w:rsid w:val="0024329F"/>
    <w:rsid w:val="00247D94"/>
    <w:rsid w:val="00252382"/>
    <w:rsid w:val="00254A70"/>
    <w:rsid w:val="0025537F"/>
    <w:rsid w:val="00255B9B"/>
    <w:rsid w:val="00257C54"/>
    <w:rsid w:val="00257FB8"/>
    <w:rsid w:val="00267800"/>
    <w:rsid w:val="0027227D"/>
    <w:rsid w:val="00273922"/>
    <w:rsid w:val="002778D1"/>
    <w:rsid w:val="00283DF6"/>
    <w:rsid w:val="00290852"/>
    <w:rsid w:val="002922E6"/>
    <w:rsid w:val="002937EC"/>
    <w:rsid w:val="002939B3"/>
    <w:rsid w:val="002940BB"/>
    <w:rsid w:val="00294232"/>
    <w:rsid w:val="00296F87"/>
    <w:rsid w:val="0029746C"/>
    <w:rsid w:val="002A4E54"/>
    <w:rsid w:val="002B0F64"/>
    <w:rsid w:val="002B1085"/>
    <w:rsid w:val="002B1CD3"/>
    <w:rsid w:val="002B31CE"/>
    <w:rsid w:val="002C7503"/>
    <w:rsid w:val="002D30BF"/>
    <w:rsid w:val="002D33B9"/>
    <w:rsid w:val="002E3BD6"/>
    <w:rsid w:val="002E4733"/>
    <w:rsid w:val="002E4D6E"/>
    <w:rsid w:val="002F099D"/>
    <w:rsid w:val="002F111E"/>
    <w:rsid w:val="002F6DC1"/>
    <w:rsid w:val="00307313"/>
    <w:rsid w:val="00311811"/>
    <w:rsid w:val="0031213A"/>
    <w:rsid w:val="0031447F"/>
    <w:rsid w:val="00316C26"/>
    <w:rsid w:val="003243E6"/>
    <w:rsid w:val="003253C1"/>
    <w:rsid w:val="00327783"/>
    <w:rsid w:val="00330E44"/>
    <w:rsid w:val="00341006"/>
    <w:rsid w:val="00341CA6"/>
    <w:rsid w:val="003425FD"/>
    <w:rsid w:val="00343BA1"/>
    <w:rsid w:val="00345A77"/>
    <w:rsid w:val="00355082"/>
    <w:rsid w:val="00355270"/>
    <w:rsid w:val="00357813"/>
    <w:rsid w:val="003665D6"/>
    <w:rsid w:val="00372F3A"/>
    <w:rsid w:val="00373745"/>
    <w:rsid w:val="003740C5"/>
    <w:rsid w:val="00380A78"/>
    <w:rsid w:val="00382DCA"/>
    <w:rsid w:val="00383AE6"/>
    <w:rsid w:val="00384F78"/>
    <w:rsid w:val="00386438"/>
    <w:rsid w:val="003A067D"/>
    <w:rsid w:val="003A18F2"/>
    <w:rsid w:val="003A6BA3"/>
    <w:rsid w:val="003B2F45"/>
    <w:rsid w:val="003B7820"/>
    <w:rsid w:val="003C237B"/>
    <w:rsid w:val="003C3A85"/>
    <w:rsid w:val="003C3C5F"/>
    <w:rsid w:val="003C5D3A"/>
    <w:rsid w:val="003C63C7"/>
    <w:rsid w:val="003C7847"/>
    <w:rsid w:val="003D3624"/>
    <w:rsid w:val="003E006C"/>
    <w:rsid w:val="003E0247"/>
    <w:rsid w:val="003E3097"/>
    <w:rsid w:val="003E3A52"/>
    <w:rsid w:val="003F0B45"/>
    <w:rsid w:val="003F0C38"/>
    <w:rsid w:val="003F2CE3"/>
    <w:rsid w:val="003F5375"/>
    <w:rsid w:val="003F635A"/>
    <w:rsid w:val="003F63CA"/>
    <w:rsid w:val="00403CBD"/>
    <w:rsid w:val="00406A1D"/>
    <w:rsid w:val="00410717"/>
    <w:rsid w:val="0041289A"/>
    <w:rsid w:val="004175CF"/>
    <w:rsid w:val="00425C0B"/>
    <w:rsid w:val="004319FD"/>
    <w:rsid w:val="00432ABD"/>
    <w:rsid w:val="00435082"/>
    <w:rsid w:val="00435ABA"/>
    <w:rsid w:val="00436659"/>
    <w:rsid w:val="0044352C"/>
    <w:rsid w:val="00444C8F"/>
    <w:rsid w:val="004454F9"/>
    <w:rsid w:val="00446F57"/>
    <w:rsid w:val="0044704F"/>
    <w:rsid w:val="00450343"/>
    <w:rsid w:val="004527DB"/>
    <w:rsid w:val="0046185E"/>
    <w:rsid w:val="00461D0A"/>
    <w:rsid w:val="0046207C"/>
    <w:rsid w:val="00463A00"/>
    <w:rsid w:val="00464647"/>
    <w:rsid w:val="00467F42"/>
    <w:rsid w:val="00480FBF"/>
    <w:rsid w:val="004820D4"/>
    <w:rsid w:val="00482923"/>
    <w:rsid w:val="00482F01"/>
    <w:rsid w:val="00483D22"/>
    <w:rsid w:val="00485702"/>
    <w:rsid w:val="004924E7"/>
    <w:rsid w:val="004959F9"/>
    <w:rsid w:val="004A1413"/>
    <w:rsid w:val="004A64AA"/>
    <w:rsid w:val="004B3625"/>
    <w:rsid w:val="004B6261"/>
    <w:rsid w:val="004C5CCD"/>
    <w:rsid w:val="004E4DCD"/>
    <w:rsid w:val="004F2A34"/>
    <w:rsid w:val="00500F5F"/>
    <w:rsid w:val="005023A2"/>
    <w:rsid w:val="00502B69"/>
    <w:rsid w:val="00510CD9"/>
    <w:rsid w:val="00513D29"/>
    <w:rsid w:val="00513DAE"/>
    <w:rsid w:val="00516582"/>
    <w:rsid w:val="00522536"/>
    <w:rsid w:val="00524D0F"/>
    <w:rsid w:val="00527BE3"/>
    <w:rsid w:val="00534A03"/>
    <w:rsid w:val="0053599F"/>
    <w:rsid w:val="00537F8E"/>
    <w:rsid w:val="005458C7"/>
    <w:rsid w:val="00547567"/>
    <w:rsid w:val="00547EC9"/>
    <w:rsid w:val="00560D0C"/>
    <w:rsid w:val="00561512"/>
    <w:rsid w:val="00564C72"/>
    <w:rsid w:val="005675FD"/>
    <w:rsid w:val="0057070F"/>
    <w:rsid w:val="00573A9A"/>
    <w:rsid w:val="00574637"/>
    <w:rsid w:val="00576D3B"/>
    <w:rsid w:val="0058224E"/>
    <w:rsid w:val="00587B6B"/>
    <w:rsid w:val="00592E87"/>
    <w:rsid w:val="005960F7"/>
    <w:rsid w:val="00597FCF"/>
    <w:rsid w:val="005A0D93"/>
    <w:rsid w:val="005A2BF3"/>
    <w:rsid w:val="005A595C"/>
    <w:rsid w:val="005A761E"/>
    <w:rsid w:val="005B4390"/>
    <w:rsid w:val="005B62B2"/>
    <w:rsid w:val="005B6DE2"/>
    <w:rsid w:val="005B74FD"/>
    <w:rsid w:val="005C00EF"/>
    <w:rsid w:val="005D16B2"/>
    <w:rsid w:val="005D3A9C"/>
    <w:rsid w:val="005E2073"/>
    <w:rsid w:val="005E63F7"/>
    <w:rsid w:val="005F10C3"/>
    <w:rsid w:val="005F7744"/>
    <w:rsid w:val="0060131C"/>
    <w:rsid w:val="006018C4"/>
    <w:rsid w:val="00612CA1"/>
    <w:rsid w:val="006153F5"/>
    <w:rsid w:val="00624BEF"/>
    <w:rsid w:val="00624FC5"/>
    <w:rsid w:val="006271C5"/>
    <w:rsid w:val="00633128"/>
    <w:rsid w:val="00637AC6"/>
    <w:rsid w:val="0064075C"/>
    <w:rsid w:val="00640C5D"/>
    <w:rsid w:val="00644D24"/>
    <w:rsid w:val="00650C2B"/>
    <w:rsid w:val="00650F79"/>
    <w:rsid w:val="00653E1D"/>
    <w:rsid w:val="00653FA4"/>
    <w:rsid w:val="00656425"/>
    <w:rsid w:val="00657629"/>
    <w:rsid w:val="00665112"/>
    <w:rsid w:val="00666795"/>
    <w:rsid w:val="0067083E"/>
    <w:rsid w:val="006806AE"/>
    <w:rsid w:val="00680AC0"/>
    <w:rsid w:val="0068177B"/>
    <w:rsid w:val="00683989"/>
    <w:rsid w:val="00685768"/>
    <w:rsid w:val="006909E8"/>
    <w:rsid w:val="006915E3"/>
    <w:rsid w:val="00693955"/>
    <w:rsid w:val="00693D2A"/>
    <w:rsid w:val="00695F76"/>
    <w:rsid w:val="006B0226"/>
    <w:rsid w:val="006B12C0"/>
    <w:rsid w:val="006B4A88"/>
    <w:rsid w:val="006B513D"/>
    <w:rsid w:val="006B65FA"/>
    <w:rsid w:val="006B76CD"/>
    <w:rsid w:val="006C16BB"/>
    <w:rsid w:val="006C2E2E"/>
    <w:rsid w:val="006D41AC"/>
    <w:rsid w:val="006D7F83"/>
    <w:rsid w:val="006E0D35"/>
    <w:rsid w:val="006F0A83"/>
    <w:rsid w:val="006F65E4"/>
    <w:rsid w:val="006F6D1C"/>
    <w:rsid w:val="006F74AA"/>
    <w:rsid w:val="00700FB2"/>
    <w:rsid w:val="007018E4"/>
    <w:rsid w:val="00705277"/>
    <w:rsid w:val="0070737F"/>
    <w:rsid w:val="0071562C"/>
    <w:rsid w:val="00723F60"/>
    <w:rsid w:val="00724E9E"/>
    <w:rsid w:val="007265EB"/>
    <w:rsid w:val="00727FC4"/>
    <w:rsid w:val="0073051E"/>
    <w:rsid w:val="007307B6"/>
    <w:rsid w:val="00732C0D"/>
    <w:rsid w:val="00735997"/>
    <w:rsid w:val="00735DA0"/>
    <w:rsid w:val="00742E72"/>
    <w:rsid w:val="0074412D"/>
    <w:rsid w:val="00744428"/>
    <w:rsid w:val="00744DAC"/>
    <w:rsid w:val="0074566B"/>
    <w:rsid w:val="00746655"/>
    <w:rsid w:val="00754334"/>
    <w:rsid w:val="00755850"/>
    <w:rsid w:val="00755ED8"/>
    <w:rsid w:val="00756376"/>
    <w:rsid w:val="00767978"/>
    <w:rsid w:val="00772D59"/>
    <w:rsid w:val="00773456"/>
    <w:rsid w:val="00777920"/>
    <w:rsid w:val="00783C61"/>
    <w:rsid w:val="007972F7"/>
    <w:rsid w:val="007A5999"/>
    <w:rsid w:val="007A6FC2"/>
    <w:rsid w:val="007A76FC"/>
    <w:rsid w:val="007A77E3"/>
    <w:rsid w:val="007B2822"/>
    <w:rsid w:val="007B29B8"/>
    <w:rsid w:val="007B2F2F"/>
    <w:rsid w:val="007B44ED"/>
    <w:rsid w:val="007C0394"/>
    <w:rsid w:val="007C09E4"/>
    <w:rsid w:val="007C501C"/>
    <w:rsid w:val="007C7293"/>
    <w:rsid w:val="007D0A26"/>
    <w:rsid w:val="007D46EC"/>
    <w:rsid w:val="007E4C19"/>
    <w:rsid w:val="007E5002"/>
    <w:rsid w:val="007E5291"/>
    <w:rsid w:val="007E6209"/>
    <w:rsid w:val="007E70EA"/>
    <w:rsid w:val="007F26E1"/>
    <w:rsid w:val="00800FB8"/>
    <w:rsid w:val="00803EFE"/>
    <w:rsid w:val="008064B9"/>
    <w:rsid w:val="008122C0"/>
    <w:rsid w:val="008139D9"/>
    <w:rsid w:val="008147B3"/>
    <w:rsid w:val="00814D37"/>
    <w:rsid w:val="00816C18"/>
    <w:rsid w:val="00820D58"/>
    <w:rsid w:val="00820E85"/>
    <w:rsid w:val="00825E66"/>
    <w:rsid w:val="00827824"/>
    <w:rsid w:val="008314AF"/>
    <w:rsid w:val="00856696"/>
    <w:rsid w:val="0086193D"/>
    <w:rsid w:val="008629ED"/>
    <w:rsid w:val="00863B2A"/>
    <w:rsid w:val="00877801"/>
    <w:rsid w:val="008801E7"/>
    <w:rsid w:val="00882A3B"/>
    <w:rsid w:val="00884669"/>
    <w:rsid w:val="008867A2"/>
    <w:rsid w:val="008909FD"/>
    <w:rsid w:val="00891278"/>
    <w:rsid w:val="00891C80"/>
    <w:rsid w:val="00893EB6"/>
    <w:rsid w:val="008A20D3"/>
    <w:rsid w:val="008A31F0"/>
    <w:rsid w:val="008A477D"/>
    <w:rsid w:val="008A48BC"/>
    <w:rsid w:val="008A5889"/>
    <w:rsid w:val="008A6284"/>
    <w:rsid w:val="008B38F8"/>
    <w:rsid w:val="008B5F65"/>
    <w:rsid w:val="008B7357"/>
    <w:rsid w:val="008B73CE"/>
    <w:rsid w:val="008C0AC0"/>
    <w:rsid w:val="008C381E"/>
    <w:rsid w:val="008C3F8D"/>
    <w:rsid w:val="008C6BBA"/>
    <w:rsid w:val="008C7519"/>
    <w:rsid w:val="008D1C51"/>
    <w:rsid w:val="008D3837"/>
    <w:rsid w:val="008D766D"/>
    <w:rsid w:val="008E2A62"/>
    <w:rsid w:val="008E4A5D"/>
    <w:rsid w:val="008E52A2"/>
    <w:rsid w:val="008E7046"/>
    <w:rsid w:val="008F4771"/>
    <w:rsid w:val="008F5049"/>
    <w:rsid w:val="008F5BAA"/>
    <w:rsid w:val="0090111C"/>
    <w:rsid w:val="00914503"/>
    <w:rsid w:val="00915098"/>
    <w:rsid w:val="0091595F"/>
    <w:rsid w:val="00920D3F"/>
    <w:rsid w:val="00922E41"/>
    <w:rsid w:val="00925BFC"/>
    <w:rsid w:val="009314E8"/>
    <w:rsid w:val="00931D44"/>
    <w:rsid w:val="009329D5"/>
    <w:rsid w:val="00933DAD"/>
    <w:rsid w:val="0093442D"/>
    <w:rsid w:val="00935B80"/>
    <w:rsid w:val="00944A36"/>
    <w:rsid w:val="009473D8"/>
    <w:rsid w:val="00947CED"/>
    <w:rsid w:val="00951BED"/>
    <w:rsid w:val="00954B41"/>
    <w:rsid w:val="00955A2B"/>
    <w:rsid w:val="009564A2"/>
    <w:rsid w:val="00957885"/>
    <w:rsid w:val="00961599"/>
    <w:rsid w:val="00970D8F"/>
    <w:rsid w:val="009726B6"/>
    <w:rsid w:val="00975867"/>
    <w:rsid w:val="00977C98"/>
    <w:rsid w:val="00980894"/>
    <w:rsid w:val="00980B78"/>
    <w:rsid w:val="00987B3D"/>
    <w:rsid w:val="00993772"/>
    <w:rsid w:val="009975E5"/>
    <w:rsid w:val="009A14AD"/>
    <w:rsid w:val="009A2366"/>
    <w:rsid w:val="009A3FFF"/>
    <w:rsid w:val="009B391B"/>
    <w:rsid w:val="009C4AE3"/>
    <w:rsid w:val="009D2948"/>
    <w:rsid w:val="009D2F07"/>
    <w:rsid w:val="009D3BD2"/>
    <w:rsid w:val="009D6FA0"/>
    <w:rsid w:val="009E0F2C"/>
    <w:rsid w:val="009E13EA"/>
    <w:rsid w:val="009E5AF6"/>
    <w:rsid w:val="009E623E"/>
    <w:rsid w:val="009E713E"/>
    <w:rsid w:val="009F5C1D"/>
    <w:rsid w:val="00A0013D"/>
    <w:rsid w:val="00A02E0D"/>
    <w:rsid w:val="00A05F09"/>
    <w:rsid w:val="00A11845"/>
    <w:rsid w:val="00A16453"/>
    <w:rsid w:val="00A224A4"/>
    <w:rsid w:val="00A229CA"/>
    <w:rsid w:val="00A33225"/>
    <w:rsid w:val="00A33ECA"/>
    <w:rsid w:val="00A346D6"/>
    <w:rsid w:val="00A37B88"/>
    <w:rsid w:val="00A41EA2"/>
    <w:rsid w:val="00A446F7"/>
    <w:rsid w:val="00A45D9F"/>
    <w:rsid w:val="00A465C0"/>
    <w:rsid w:val="00A46FDF"/>
    <w:rsid w:val="00A50526"/>
    <w:rsid w:val="00A50DA7"/>
    <w:rsid w:val="00A54C12"/>
    <w:rsid w:val="00A5763C"/>
    <w:rsid w:val="00A723CF"/>
    <w:rsid w:val="00A76D6E"/>
    <w:rsid w:val="00A77C90"/>
    <w:rsid w:val="00A81F68"/>
    <w:rsid w:val="00A87A5F"/>
    <w:rsid w:val="00A90597"/>
    <w:rsid w:val="00A909CF"/>
    <w:rsid w:val="00A90C40"/>
    <w:rsid w:val="00A9116F"/>
    <w:rsid w:val="00A91536"/>
    <w:rsid w:val="00A9417E"/>
    <w:rsid w:val="00A946F1"/>
    <w:rsid w:val="00AA1736"/>
    <w:rsid w:val="00AA6820"/>
    <w:rsid w:val="00AB64A7"/>
    <w:rsid w:val="00AB6CC8"/>
    <w:rsid w:val="00AB7EF0"/>
    <w:rsid w:val="00AC0593"/>
    <w:rsid w:val="00AC1A47"/>
    <w:rsid w:val="00AC69BB"/>
    <w:rsid w:val="00AC771D"/>
    <w:rsid w:val="00AD0EAE"/>
    <w:rsid w:val="00AD2216"/>
    <w:rsid w:val="00AD6067"/>
    <w:rsid w:val="00AD6174"/>
    <w:rsid w:val="00AE2623"/>
    <w:rsid w:val="00AF16D9"/>
    <w:rsid w:val="00AF26DA"/>
    <w:rsid w:val="00AF53DA"/>
    <w:rsid w:val="00AF6EAE"/>
    <w:rsid w:val="00B00684"/>
    <w:rsid w:val="00B00760"/>
    <w:rsid w:val="00B00A2E"/>
    <w:rsid w:val="00B02B2F"/>
    <w:rsid w:val="00B037FB"/>
    <w:rsid w:val="00B15DCC"/>
    <w:rsid w:val="00B20F3B"/>
    <w:rsid w:val="00B324AF"/>
    <w:rsid w:val="00B32BF0"/>
    <w:rsid w:val="00B401E9"/>
    <w:rsid w:val="00B40A9F"/>
    <w:rsid w:val="00B47C95"/>
    <w:rsid w:val="00B50077"/>
    <w:rsid w:val="00B524A9"/>
    <w:rsid w:val="00B53B94"/>
    <w:rsid w:val="00B56C5A"/>
    <w:rsid w:val="00B600DA"/>
    <w:rsid w:val="00B6218D"/>
    <w:rsid w:val="00B6468E"/>
    <w:rsid w:val="00B65664"/>
    <w:rsid w:val="00B66AB0"/>
    <w:rsid w:val="00B67CE6"/>
    <w:rsid w:val="00B71094"/>
    <w:rsid w:val="00B83591"/>
    <w:rsid w:val="00B84AB9"/>
    <w:rsid w:val="00B93B6A"/>
    <w:rsid w:val="00B93CD6"/>
    <w:rsid w:val="00B943A6"/>
    <w:rsid w:val="00B944E3"/>
    <w:rsid w:val="00BA079D"/>
    <w:rsid w:val="00BA0AF8"/>
    <w:rsid w:val="00BA0F5D"/>
    <w:rsid w:val="00BA1C7C"/>
    <w:rsid w:val="00BA2E12"/>
    <w:rsid w:val="00BA354E"/>
    <w:rsid w:val="00BA3BEE"/>
    <w:rsid w:val="00BA56C9"/>
    <w:rsid w:val="00BA7035"/>
    <w:rsid w:val="00BB3243"/>
    <w:rsid w:val="00BB3578"/>
    <w:rsid w:val="00BB3E0F"/>
    <w:rsid w:val="00BB51E5"/>
    <w:rsid w:val="00BB5CC7"/>
    <w:rsid w:val="00BB7AA5"/>
    <w:rsid w:val="00BC0982"/>
    <w:rsid w:val="00BC7BA4"/>
    <w:rsid w:val="00BD3462"/>
    <w:rsid w:val="00BD711B"/>
    <w:rsid w:val="00BE3842"/>
    <w:rsid w:val="00BE39B7"/>
    <w:rsid w:val="00BE7FD7"/>
    <w:rsid w:val="00BF0483"/>
    <w:rsid w:val="00C02ADC"/>
    <w:rsid w:val="00C043DB"/>
    <w:rsid w:val="00C0694B"/>
    <w:rsid w:val="00C06BC7"/>
    <w:rsid w:val="00C151B7"/>
    <w:rsid w:val="00C15CFA"/>
    <w:rsid w:val="00C1697B"/>
    <w:rsid w:val="00C16BC7"/>
    <w:rsid w:val="00C20C36"/>
    <w:rsid w:val="00C27DEE"/>
    <w:rsid w:val="00C3090A"/>
    <w:rsid w:val="00C31E3D"/>
    <w:rsid w:val="00C31FCB"/>
    <w:rsid w:val="00C41B26"/>
    <w:rsid w:val="00C41FF1"/>
    <w:rsid w:val="00C42489"/>
    <w:rsid w:val="00C42FD4"/>
    <w:rsid w:val="00C441D8"/>
    <w:rsid w:val="00C44FC5"/>
    <w:rsid w:val="00C4514A"/>
    <w:rsid w:val="00C50048"/>
    <w:rsid w:val="00C50FA4"/>
    <w:rsid w:val="00C52A79"/>
    <w:rsid w:val="00C5301C"/>
    <w:rsid w:val="00C53581"/>
    <w:rsid w:val="00C53822"/>
    <w:rsid w:val="00C57B41"/>
    <w:rsid w:val="00C609AF"/>
    <w:rsid w:val="00C640CB"/>
    <w:rsid w:val="00C64692"/>
    <w:rsid w:val="00C6725E"/>
    <w:rsid w:val="00C67E76"/>
    <w:rsid w:val="00C73D95"/>
    <w:rsid w:val="00C7498A"/>
    <w:rsid w:val="00C80085"/>
    <w:rsid w:val="00C805BA"/>
    <w:rsid w:val="00C84430"/>
    <w:rsid w:val="00C84BEB"/>
    <w:rsid w:val="00C874A2"/>
    <w:rsid w:val="00C92E37"/>
    <w:rsid w:val="00C946A1"/>
    <w:rsid w:val="00C962A1"/>
    <w:rsid w:val="00CA50F5"/>
    <w:rsid w:val="00CB1695"/>
    <w:rsid w:val="00CB3576"/>
    <w:rsid w:val="00CB453F"/>
    <w:rsid w:val="00CB5EC8"/>
    <w:rsid w:val="00CB7A73"/>
    <w:rsid w:val="00CC19AC"/>
    <w:rsid w:val="00CC3B60"/>
    <w:rsid w:val="00CC635E"/>
    <w:rsid w:val="00CD06D0"/>
    <w:rsid w:val="00CD0C26"/>
    <w:rsid w:val="00CD0C42"/>
    <w:rsid w:val="00CD484C"/>
    <w:rsid w:val="00CD7FDA"/>
    <w:rsid w:val="00CE5F74"/>
    <w:rsid w:val="00CF008D"/>
    <w:rsid w:val="00CF683F"/>
    <w:rsid w:val="00CF7B5B"/>
    <w:rsid w:val="00D10082"/>
    <w:rsid w:val="00D11738"/>
    <w:rsid w:val="00D119BF"/>
    <w:rsid w:val="00D1372F"/>
    <w:rsid w:val="00D13BF8"/>
    <w:rsid w:val="00D21440"/>
    <w:rsid w:val="00D24DDE"/>
    <w:rsid w:val="00D30675"/>
    <w:rsid w:val="00D32E6F"/>
    <w:rsid w:val="00D33148"/>
    <w:rsid w:val="00D36F32"/>
    <w:rsid w:val="00D36FF1"/>
    <w:rsid w:val="00D4026C"/>
    <w:rsid w:val="00D4171F"/>
    <w:rsid w:val="00D42531"/>
    <w:rsid w:val="00D47B83"/>
    <w:rsid w:val="00D503D1"/>
    <w:rsid w:val="00D537AE"/>
    <w:rsid w:val="00D54FAC"/>
    <w:rsid w:val="00D55A6E"/>
    <w:rsid w:val="00D574F0"/>
    <w:rsid w:val="00D60169"/>
    <w:rsid w:val="00D64C6D"/>
    <w:rsid w:val="00D660A7"/>
    <w:rsid w:val="00D661AF"/>
    <w:rsid w:val="00D67816"/>
    <w:rsid w:val="00D82948"/>
    <w:rsid w:val="00D853C2"/>
    <w:rsid w:val="00D86AC1"/>
    <w:rsid w:val="00DA0374"/>
    <w:rsid w:val="00DA4472"/>
    <w:rsid w:val="00DB0886"/>
    <w:rsid w:val="00DB731D"/>
    <w:rsid w:val="00DB7BC2"/>
    <w:rsid w:val="00DC142F"/>
    <w:rsid w:val="00DC3280"/>
    <w:rsid w:val="00DC7F61"/>
    <w:rsid w:val="00DD3657"/>
    <w:rsid w:val="00DE23D0"/>
    <w:rsid w:val="00DE54EA"/>
    <w:rsid w:val="00DF00A5"/>
    <w:rsid w:val="00DF0261"/>
    <w:rsid w:val="00DF1001"/>
    <w:rsid w:val="00DF504A"/>
    <w:rsid w:val="00DF73F9"/>
    <w:rsid w:val="00E016EA"/>
    <w:rsid w:val="00E1320E"/>
    <w:rsid w:val="00E14A6B"/>
    <w:rsid w:val="00E16349"/>
    <w:rsid w:val="00E211FF"/>
    <w:rsid w:val="00E22642"/>
    <w:rsid w:val="00E23CC0"/>
    <w:rsid w:val="00E24761"/>
    <w:rsid w:val="00E260F1"/>
    <w:rsid w:val="00E41913"/>
    <w:rsid w:val="00E430B5"/>
    <w:rsid w:val="00E430DD"/>
    <w:rsid w:val="00E44D23"/>
    <w:rsid w:val="00E4537B"/>
    <w:rsid w:val="00E4690C"/>
    <w:rsid w:val="00E547D9"/>
    <w:rsid w:val="00E548A7"/>
    <w:rsid w:val="00E60198"/>
    <w:rsid w:val="00E65A09"/>
    <w:rsid w:val="00E711FF"/>
    <w:rsid w:val="00E71AD3"/>
    <w:rsid w:val="00E763D5"/>
    <w:rsid w:val="00E77AE1"/>
    <w:rsid w:val="00E81393"/>
    <w:rsid w:val="00E90D99"/>
    <w:rsid w:val="00E91116"/>
    <w:rsid w:val="00EA2984"/>
    <w:rsid w:val="00EA36B3"/>
    <w:rsid w:val="00EA39ED"/>
    <w:rsid w:val="00EA45F8"/>
    <w:rsid w:val="00EA672A"/>
    <w:rsid w:val="00EA6FC3"/>
    <w:rsid w:val="00EB0606"/>
    <w:rsid w:val="00EB5989"/>
    <w:rsid w:val="00ED14C4"/>
    <w:rsid w:val="00ED1BC2"/>
    <w:rsid w:val="00ED2630"/>
    <w:rsid w:val="00ED2D63"/>
    <w:rsid w:val="00ED3D5B"/>
    <w:rsid w:val="00ED3F61"/>
    <w:rsid w:val="00EE1129"/>
    <w:rsid w:val="00EE4CFE"/>
    <w:rsid w:val="00EF73D6"/>
    <w:rsid w:val="00F011A6"/>
    <w:rsid w:val="00F020D5"/>
    <w:rsid w:val="00F038C8"/>
    <w:rsid w:val="00F03FC0"/>
    <w:rsid w:val="00F07836"/>
    <w:rsid w:val="00F11173"/>
    <w:rsid w:val="00F11D05"/>
    <w:rsid w:val="00F136A6"/>
    <w:rsid w:val="00F14027"/>
    <w:rsid w:val="00F143B3"/>
    <w:rsid w:val="00F14769"/>
    <w:rsid w:val="00F14A05"/>
    <w:rsid w:val="00F16EC2"/>
    <w:rsid w:val="00F257A3"/>
    <w:rsid w:val="00F2737C"/>
    <w:rsid w:val="00F309EE"/>
    <w:rsid w:val="00F327DF"/>
    <w:rsid w:val="00F32EAB"/>
    <w:rsid w:val="00F36827"/>
    <w:rsid w:val="00F37DE3"/>
    <w:rsid w:val="00F407E8"/>
    <w:rsid w:val="00F4353A"/>
    <w:rsid w:val="00F43FE1"/>
    <w:rsid w:val="00F44AFD"/>
    <w:rsid w:val="00F44F23"/>
    <w:rsid w:val="00F54323"/>
    <w:rsid w:val="00F57BC2"/>
    <w:rsid w:val="00F62D92"/>
    <w:rsid w:val="00F6393F"/>
    <w:rsid w:val="00F651B2"/>
    <w:rsid w:val="00F65FB9"/>
    <w:rsid w:val="00F72DD3"/>
    <w:rsid w:val="00F741ED"/>
    <w:rsid w:val="00F75881"/>
    <w:rsid w:val="00F75EB6"/>
    <w:rsid w:val="00F8019A"/>
    <w:rsid w:val="00F844F2"/>
    <w:rsid w:val="00F85024"/>
    <w:rsid w:val="00F854D9"/>
    <w:rsid w:val="00F8796B"/>
    <w:rsid w:val="00F87A94"/>
    <w:rsid w:val="00F92B01"/>
    <w:rsid w:val="00F95D4B"/>
    <w:rsid w:val="00FA05A9"/>
    <w:rsid w:val="00FA3EDA"/>
    <w:rsid w:val="00FA41F8"/>
    <w:rsid w:val="00FA5C9E"/>
    <w:rsid w:val="00FA6D34"/>
    <w:rsid w:val="00FA7548"/>
    <w:rsid w:val="00FB240F"/>
    <w:rsid w:val="00FB29D4"/>
    <w:rsid w:val="00FB2BDD"/>
    <w:rsid w:val="00FB4FCD"/>
    <w:rsid w:val="00FB51BF"/>
    <w:rsid w:val="00FB6FBF"/>
    <w:rsid w:val="00FB7CE1"/>
    <w:rsid w:val="00FC4F85"/>
    <w:rsid w:val="00FC5915"/>
    <w:rsid w:val="00FD1BB7"/>
    <w:rsid w:val="00FD5D12"/>
    <w:rsid w:val="00FE13A7"/>
    <w:rsid w:val="00FE211E"/>
    <w:rsid w:val="00FE5DFB"/>
    <w:rsid w:val="00FE6D68"/>
    <w:rsid w:val="00FE7382"/>
    <w:rsid w:val="00FF32B5"/>
    <w:rsid w:val="00FF52D0"/>
    <w:rsid w:val="00FF6015"/>
    <w:rsid w:val="00FF66F0"/>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2D1AD"/>
  <w15:docId w15:val="{CC0A0E77-BB56-4075-9E35-8B12135D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B0"/>
  </w:style>
  <w:style w:type="paragraph" w:styleId="Heading1">
    <w:name w:val="heading 1"/>
    <w:basedOn w:val="Normal"/>
    <w:next w:val="Normal"/>
    <w:link w:val="Heading1Char"/>
    <w:uiPriority w:val="9"/>
    <w:qFormat/>
    <w:rsid w:val="006C2E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F3D42"/>
    <w:pPr>
      <w:keepNext/>
      <w:keepLines/>
      <w:spacing w:before="200" w:after="0"/>
      <w:outlineLvl w:val="1"/>
    </w:pPr>
    <w:rPr>
      <w:rFonts w:eastAsiaTheme="majorEastAsia" w:cstheme="majorBidi"/>
      <w:b/>
      <w:bCs/>
      <w:szCs w:val="26"/>
      <w:lang w:eastAsia="en-GB"/>
    </w:rPr>
  </w:style>
  <w:style w:type="paragraph" w:styleId="Heading3">
    <w:name w:val="heading 3"/>
    <w:basedOn w:val="Normal"/>
    <w:next w:val="Normal"/>
    <w:link w:val="Heading3Char"/>
    <w:uiPriority w:val="9"/>
    <w:semiHidden/>
    <w:unhideWhenUsed/>
    <w:qFormat/>
    <w:rsid w:val="00B56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0FB2"/>
  </w:style>
  <w:style w:type="paragraph" w:styleId="Footer">
    <w:name w:val="footer"/>
    <w:basedOn w:val="Normal"/>
    <w:link w:val="FooterChar"/>
    <w:uiPriority w:val="99"/>
    <w:unhideWhenUsed/>
    <w:rsid w:val="00700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B2"/>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700FB2"/>
    <w:pPr>
      <w:ind w:left="720"/>
      <w:contextualSpacing/>
    </w:pPr>
  </w:style>
  <w:style w:type="paragraph" w:customStyle="1" w:styleId="Char">
    <w:name w:val="Char"/>
    <w:basedOn w:val="Normal"/>
    <w:rsid w:val="00700FB2"/>
    <w:pPr>
      <w:spacing w:after="160" w:line="240" w:lineRule="exact"/>
    </w:pPr>
    <w:rPr>
      <w:rFonts w:ascii="Verdana" w:eastAsia="Times New Roman" w:hAnsi="Verdana" w:cs="Arial"/>
      <w:sz w:val="20"/>
      <w:szCs w:val="20"/>
      <w:lang w:val="en-US"/>
    </w:rPr>
  </w:style>
  <w:style w:type="table" w:styleId="TableGrid">
    <w:name w:val="Table Grid"/>
    <w:basedOn w:val="TableNormal"/>
    <w:uiPriority w:val="59"/>
    <w:rsid w:val="0070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2B1085"/>
  </w:style>
  <w:style w:type="character" w:styleId="Hyperlink">
    <w:name w:val="Hyperlink"/>
    <w:uiPriority w:val="99"/>
    <w:rsid w:val="002B1085"/>
    <w:rPr>
      <w:color w:val="0000FF"/>
      <w:u w:val="single"/>
    </w:rPr>
  </w:style>
  <w:style w:type="paragraph" w:styleId="NormalWeb">
    <w:name w:val="Normal (Web)"/>
    <w:basedOn w:val="Normal"/>
    <w:uiPriority w:val="99"/>
    <w:rsid w:val="002B1085"/>
    <w:pPr>
      <w:spacing w:after="77" w:line="240" w:lineRule="auto"/>
    </w:pPr>
    <w:rPr>
      <w:rFonts w:ascii="Verdana" w:eastAsia="MS Mincho" w:hAnsi="Verdana" w:cs="Times New Roman"/>
      <w:sz w:val="19"/>
      <w:szCs w:val="19"/>
      <w:lang w:eastAsia="ja-JP"/>
    </w:rPr>
  </w:style>
  <w:style w:type="paragraph" w:styleId="FootnoteText">
    <w:name w:val="footnote text"/>
    <w:aliases w:val="fn,Footnote Text Char1 Char1,Footnote Text Char Char Char1,Footnote Text Char1 Char Char,Footnote Text Char Char Char Char,FIAS Rpt Footnote,ALTS FOOTNOTE,FOOTNOTES,single space,ft,Footnote Text Char Char Char Char Char Char Char,FA Fu,f"/>
    <w:basedOn w:val="Normal"/>
    <w:link w:val="FootnoteTextChar"/>
    <w:uiPriority w:val="99"/>
    <w:qFormat/>
    <w:rsid w:val="002B1085"/>
    <w:pPr>
      <w:spacing w:after="0" w:line="240" w:lineRule="auto"/>
    </w:pPr>
    <w:rPr>
      <w:rFonts w:ascii="Arial" w:eastAsia="Times New Roman" w:hAnsi="Arial"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FIAS Rpt Footnote Char,ALTS FOOTNOTE Char,FOOTNOTES Char,single space Char,ft Char"/>
    <w:basedOn w:val="DefaultParagraphFont"/>
    <w:link w:val="FootnoteText"/>
    <w:uiPriority w:val="99"/>
    <w:rsid w:val="002B1085"/>
    <w:rPr>
      <w:rFonts w:ascii="Arial" w:eastAsia="Times New Roman" w:hAnsi="Arial" w:cs="Times New Roman"/>
      <w:sz w:val="20"/>
      <w:szCs w:val="20"/>
    </w:rPr>
  </w:style>
  <w:style w:type="character" w:styleId="FootnoteReference">
    <w:name w:val="footnote reference"/>
    <w:aliases w:val="ftref,Footnote Reference1,Знак сноски 1,16 Point,Superscript 6 Point,BVI fnr Char Char Char Char,BVI fnr Car Car Char Char Char Char,BVI fnr Car Char Char Char Char,BVI fnr Car Car Car Car Char Char Char1 Char Char,R,BVI fnr,Footnote"/>
    <w:link w:val="FootnoteReferencePara"/>
    <w:uiPriority w:val="99"/>
    <w:qFormat/>
    <w:rsid w:val="002B1085"/>
    <w:rPr>
      <w:vertAlign w:val="superscript"/>
    </w:rPr>
  </w:style>
  <w:style w:type="character" w:customStyle="1" w:styleId="url">
    <w:name w:val="url"/>
    <w:rsid w:val="002B1085"/>
  </w:style>
  <w:style w:type="paragraph" w:styleId="CommentText">
    <w:name w:val="annotation text"/>
    <w:basedOn w:val="Normal"/>
    <w:link w:val="CommentTextChar"/>
    <w:uiPriority w:val="99"/>
    <w:unhideWhenUsed/>
    <w:rsid w:val="001F3D42"/>
    <w:pPr>
      <w:spacing w:line="240" w:lineRule="auto"/>
    </w:pPr>
    <w:rPr>
      <w:sz w:val="20"/>
      <w:szCs w:val="20"/>
      <w:lang w:eastAsia="en-GB"/>
    </w:rPr>
  </w:style>
  <w:style w:type="character" w:customStyle="1" w:styleId="CommentTextChar">
    <w:name w:val="Comment Text Char"/>
    <w:basedOn w:val="DefaultParagraphFont"/>
    <w:link w:val="CommentText"/>
    <w:uiPriority w:val="99"/>
    <w:rsid w:val="001F3D42"/>
    <w:rPr>
      <w:rFonts w:eastAsiaTheme="minorEastAsia"/>
      <w:sz w:val="20"/>
      <w:szCs w:val="20"/>
      <w:lang w:eastAsia="en-GB"/>
    </w:rPr>
  </w:style>
  <w:style w:type="paragraph" w:customStyle="1" w:styleId="Default">
    <w:name w:val="Default"/>
    <w:rsid w:val="001F3D42"/>
    <w:pPr>
      <w:autoSpaceDE w:val="0"/>
      <w:autoSpaceDN w:val="0"/>
      <w:adjustRightInd w:val="0"/>
      <w:spacing w:after="0" w:line="240" w:lineRule="auto"/>
    </w:pPr>
    <w:rPr>
      <w:rFonts w:ascii="Humanist777BT-LightB" w:hAnsi="Humanist777BT-LightB" w:cs="Humanist777BT-LightB"/>
      <w:color w:val="000000"/>
      <w:sz w:val="24"/>
      <w:szCs w:val="24"/>
      <w:lang w:eastAsia="en-GB"/>
    </w:rPr>
  </w:style>
  <w:style w:type="paragraph" w:styleId="BalloonText">
    <w:name w:val="Balloon Text"/>
    <w:basedOn w:val="Normal"/>
    <w:link w:val="BalloonTextChar"/>
    <w:uiPriority w:val="99"/>
    <w:semiHidden/>
    <w:unhideWhenUsed/>
    <w:rsid w:val="001F3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D42"/>
    <w:rPr>
      <w:rFonts w:ascii="Tahoma" w:hAnsi="Tahoma" w:cs="Tahoma"/>
      <w:sz w:val="16"/>
      <w:szCs w:val="16"/>
    </w:rPr>
  </w:style>
  <w:style w:type="character" w:customStyle="1" w:styleId="Heading2Char">
    <w:name w:val="Heading 2 Char"/>
    <w:basedOn w:val="DefaultParagraphFont"/>
    <w:link w:val="Heading2"/>
    <w:uiPriority w:val="9"/>
    <w:rsid w:val="001F3D42"/>
    <w:rPr>
      <w:rFonts w:eastAsiaTheme="majorEastAsia" w:cstheme="majorBidi"/>
      <w:b/>
      <w:bCs/>
      <w:szCs w:val="26"/>
      <w:lang w:eastAsia="en-GB"/>
    </w:rPr>
  </w:style>
  <w:style w:type="character" w:styleId="EndnoteReference">
    <w:name w:val="endnote reference"/>
    <w:basedOn w:val="DefaultParagraphFont"/>
    <w:uiPriority w:val="99"/>
    <w:semiHidden/>
    <w:unhideWhenUsed/>
    <w:rsid w:val="001F3D42"/>
    <w:rPr>
      <w:vertAlign w:val="superscript"/>
    </w:rPr>
  </w:style>
  <w:style w:type="table" w:customStyle="1" w:styleId="TableGrid1">
    <w:name w:val="Table Grid1"/>
    <w:basedOn w:val="TableNormal"/>
    <w:next w:val="TableGrid"/>
    <w:uiPriority w:val="59"/>
    <w:rsid w:val="001F3D42"/>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53581"/>
    <w:pPr>
      <w:spacing w:after="160" w:line="240" w:lineRule="exact"/>
    </w:pPr>
    <w:rPr>
      <w:rFonts w:ascii="Verdana" w:eastAsia="Times New Roman" w:hAnsi="Verdana" w:cs="Arial"/>
      <w:sz w:val="20"/>
      <w:szCs w:val="20"/>
      <w:lang w:val="en-US"/>
    </w:rPr>
  </w:style>
  <w:style w:type="character" w:customStyle="1" w:styleId="Fuentedeprrafopredeter1">
    <w:name w:val="Fuente de párrafo predeter.1"/>
    <w:rsid w:val="00FD5D12"/>
  </w:style>
  <w:style w:type="character" w:customStyle="1" w:styleId="Heading1Char">
    <w:name w:val="Heading 1 Char"/>
    <w:basedOn w:val="DefaultParagraphFont"/>
    <w:link w:val="Heading1"/>
    <w:uiPriority w:val="9"/>
    <w:rsid w:val="006C2E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C2E2E"/>
    <w:pPr>
      <w:outlineLvl w:val="9"/>
    </w:pPr>
    <w:rPr>
      <w:lang w:val="en-US"/>
    </w:rPr>
  </w:style>
  <w:style w:type="paragraph" w:styleId="TOC2">
    <w:name w:val="toc 2"/>
    <w:basedOn w:val="Normal"/>
    <w:next w:val="Normal"/>
    <w:autoRedefine/>
    <w:uiPriority w:val="39"/>
    <w:unhideWhenUsed/>
    <w:rsid w:val="006C2E2E"/>
    <w:pPr>
      <w:spacing w:after="100"/>
      <w:ind w:left="220"/>
    </w:pPr>
  </w:style>
  <w:style w:type="character" w:styleId="CommentReference">
    <w:name w:val="annotation reference"/>
    <w:basedOn w:val="DefaultParagraphFont"/>
    <w:uiPriority w:val="99"/>
    <w:semiHidden/>
    <w:unhideWhenUsed/>
    <w:rsid w:val="009975E5"/>
    <w:rPr>
      <w:sz w:val="16"/>
      <w:szCs w:val="16"/>
    </w:rPr>
  </w:style>
  <w:style w:type="paragraph" w:styleId="CommentSubject">
    <w:name w:val="annotation subject"/>
    <w:basedOn w:val="CommentText"/>
    <w:next w:val="CommentText"/>
    <w:link w:val="CommentSubjectChar"/>
    <w:uiPriority w:val="99"/>
    <w:semiHidden/>
    <w:unhideWhenUsed/>
    <w:rsid w:val="009975E5"/>
    <w:rPr>
      <w:b/>
      <w:bCs/>
      <w:lang w:eastAsia="es-CO"/>
    </w:rPr>
  </w:style>
  <w:style w:type="character" w:customStyle="1" w:styleId="CommentSubjectChar">
    <w:name w:val="Comment Subject Char"/>
    <w:basedOn w:val="CommentTextChar"/>
    <w:link w:val="CommentSubject"/>
    <w:uiPriority w:val="99"/>
    <w:semiHidden/>
    <w:rsid w:val="009975E5"/>
    <w:rPr>
      <w:rFonts w:eastAsiaTheme="minorEastAsia"/>
      <w:b/>
      <w:bCs/>
      <w:sz w:val="20"/>
      <w:szCs w:val="20"/>
      <w:lang w:eastAsia="en-GB"/>
    </w:rPr>
  </w:style>
  <w:style w:type="paragraph" w:styleId="Revision">
    <w:name w:val="Revision"/>
    <w:hidden/>
    <w:uiPriority w:val="99"/>
    <w:semiHidden/>
    <w:rsid w:val="00B944E3"/>
    <w:pPr>
      <w:spacing w:after="0" w:line="240" w:lineRule="auto"/>
    </w:pPr>
  </w:style>
  <w:style w:type="paragraph" w:customStyle="1" w:styleId="FootnoteReferencePara">
    <w:name w:val="Footnote Reference Para"/>
    <w:aliases w:val="ftref Para,Footnote Reference1 Para"/>
    <w:basedOn w:val="Normal"/>
    <w:link w:val="FootnoteReference"/>
    <w:uiPriority w:val="99"/>
    <w:rsid w:val="000D7052"/>
    <w:pPr>
      <w:spacing w:before="80" w:after="240" w:line="240" w:lineRule="auto"/>
      <w:jc w:val="both"/>
    </w:pPr>
    <w:rPr>
      <w:vertAlign w:val="superscript"/>
    </w:rPr>
  </w:style>
  <w:style w:type="paragraph" w:styleId="NoSpacing">
    <w:name w:val="No Spacing"/>
    <w:uiPriority w:val="1"/>
    <w:qFormat/>
    <w:rsid w:val="00F14769"/>
    <w:pPr>
      <w:spacing w:after="0" w:line="240" w:lineRule="auto"/>
    </w:pPr>
    <w:rPr>
      <w:rFonts w:ascii="Calibri" w:eastAsia="Calibri" w:hAnsi="Calibri" w:cs="Times New Roman"/>
      <w:lang w:val="en-GB" w:eastAsia="en-US"/>
    </w:rPr>
  </w:style>
  <w:style w:type="paragraph" w:customStyle="1" w:styleId="Numbered">
    <w:name w:val="Numbered"/>
    <w:basedOn w:val="Normal"/>
    <w:link w:val="NumberedChar"/>
    <w:uiPriority w:val="99"/>
    <w:rsid w:val="00FA6D34"/>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eastAsia="en-US"/>
    </w:rPr>
  </w:style>
  <w:style w:type="character" w:customStyle="1" w:styleId="NumberedChar">
    <w:name w:val="Numbered Char"/>
    <w:link w:val="Numbered"/>
    <w:uiPriority w:val="99"/>
    <w:locked/>
    <w:rsid w:val="00FA6D34"/>
    <w:rPr>
      <w:rFonts w:ascii="Arial" w:eastAsia="Times New Roman" w:hAnsi="Arial" w:cs="Times New Roman"/>
      <w:sz w:val="24"/>
      <w:szCs w:val="20"/>
      <w:lang w:eastAsia="en-US"/>
    </w:rPr>
  </w:style>
  <w:style w:type="paragraph" w:customStyle="1" w:styleId="Normal1">
    <w:name w:val="Normal1"/>
    <w:rsid w:val="00FA6D34"/>
    <w:pPr>
      <w:spacing w:after="0"/>
    </w:pPr>
    <w:rPr>
      <w:rFonts w:ascii="Arial" w:eastAsia="Arial" w:hAnsi="Arial" w:cs="Arial"/>
      <w:color w:val="000000"/>
      <w:lang w:val="en-GB" w:eastAsia="en-GB"/>
    </w:rPr>
  </w:style>
  <w:style w:type="paragraph" w:styleId="TOC1">
    <w:name w:val="toc 1"/>
    <w:basedOn w:val="Normal"/>
    <w:next w:val="Normal"/>
    <w:autoRedefine/>
    <w:uiPriority w:val="39"/>
    <w:unhideWhenUsed/>
    <w:rsid w:val="00BC7BA4"/>
    <w:pPr>
      <w:spacing w:after="100"/>
    </w:pPr>
    <w:rPr>
      <w:lang w:val="en-GB" w:eastAsia="en-GB"/>
    </w:rPr>
  </w:style>
  <w:style w:type="paragraph" w:styleId="TOC3">
    <w:name w:val="toc 3"/>
    <w:basedOn w:val="Normal"/>
    <w:next w:val="Normal"/>
    <w:autoRedefine/>
    <w:uiPriority w:val="39"/>
    <w:unhideWhenUsed/>
    <w:rsid w:val="00BC7BA4"/>
    <w:pPr>
      <w:spacing w:after="100"/>
      <w:ind w:left="440"/>
    </w:pPr>
    <w:rPr>
      <w:lang w:val="en-GB" w:eastAsia="en-GB"/>
    </w:rPr>
  </w:style>
  <w:style w:type="paragraph" w:styleId="TOC4">
    <w:name w:val="toc 4"/>
    <w:basedOn w:val="Normal"/>
    <w:next w:val="Normal"/>
    <w:autoRedefine/>
    <w:uiPriority w:val="39"/>
    <w:unhideWhenUsed/>
    <w:rsid w:val="00BC7BA4"/>
    <w:pPr>
      <w:spacing w:after="100"/>
      <w:ind w:left="660"/>
    </w:pPr>
    <w:rPr>
      <w:lang w:val="en-GB" w:eastAsia="en-GB"/>
    </w:rPr>
  </w:style>
  <w:style w:type="paragraph" w:styleId="TOC5">
    <w:name w:val="toc 5"/>
    <w:basedOn w:val="Normal"/>
    <w:next w:val="Normal"/>
    <w:autoRedefine/>
    <w:uiPriority w:val="39"/>
    <w:unhideWhenUsed/>
    <w:rsid w:val="00BC7BA4"/>
    <w:pPr>
      <w:spacing w:after="100"/>
      <w:ind w:left="880"/>
    </w:pPr>
    <w:rPr>
      <w:lang w:val="en-GB" w:eastAsia="en-GB"/>
    </w:rPr>
  </w:style>
  <w:style w:type="paragraph" w:styleId="TOC6">
    <w:name w:val="toc 6"/>
    <w:basedOn w:val="Normal"/>
    <w:next w:val="Normal"/>
    <w:autoRedefine/>
    <w:uiPriority w:val="39"/>
    <w:unhideWhenUsed/>
    <w:rsid w:val="00BC7BA4"/>
    <w:pPr>
      <w:spacing w:after="100"/>
      <w:ind w:left="1100"/>
    </w:pPr>
    <w:rPr>
      <w:lang w:val="en-GB" w:eastAsia="en-GB"/>
    </w:rPr>
  </w:style>
  <w:style w:type="paragraph" w:styleId="TOC7">
    <w:name w:val="toc 7"/>
    <w:basedOn w:val="Normal"/>
    <w:next w:val="Normal"/>
    <w:autoRedefine/>
    <w:uiPriority w:val="39"/>
    <w:unhideWhenUsed/>
    <w:rsid w:val="00BC7BA4"/>
    <w:pPr>
      <w:spacing w:after="100"/>
      <w:ind w:left="1320"/>
    </w:pPr>
    <w:rPr>
      <w:lang w:val="en-GB" w:eastAsia="en-GB"/>
    </w:rPr>
  </w:style>
  <w:style w:type="paragraph" w:styleId="TOC8">
    <w:name w:val="toc 8"/>
    <w:basedOn w:val="Normal"/>
    <w:next w:val="Normal"/>
    <w:autoRedefine/>
    <w:uiPriority w:val="39"/>
    <w:unhideWhenUsed/>
    <w:rsid w:val="00BC7BA4"/>
    <w:pPr>
      <w:spacing w:after="100"/>
      <w:ind w:left="1540"/>
    </w:pPr>
    <w:rPr>
      <w:lang w:val="en-GB" w:eastAsia="en-GB"/>
    </w:rPr>
  </w:style>
  <w:style w:type="paragraph" w:styleId="TOC9">
    <w:name w:val="toc 9"/>
    <w:basedOn w:val="Normal"/>
    <w:next w:val="Normal"/>
    <w:autoRedefine/>
    <w:uiPriority w:val="39"/>
    <w:unhideWhenUsed/>
    <w:rsid w:val="00BC7BA4"/>
    <w:pPr>
      <w:spacing w:after="100"/>
      <w:ind w:left="1760"/>
    </w:pPr>
    <w:rPr>
      <w:lang w:val="en-GB" w:eastAsia="en-GB"/>
    </w:rPr>
  </w:style>
  <w:style w:type="character" w:customStyle="1" w:styleId="Heading3Char">
    <w:name w:val="Heading 3 Char"/>
    <w:basedOn w:val="DefaultParagraphFont"/>
    <w:link w:val="Heading3"/>
    <w:uiPriority w:val="9"/>
    <w:semiHidden/>
    <w:rsid w:val="00B56C5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5728">
      <w:bodyDiv w:val="1"/>
      <w:marLeft w:val="0"/>
      <w:marRight w:val="0"/>
      <w:marTop w:val="0"/>
      <w:marBottom w:val="0"/>
      <w:divBdr>
        <w:top w:val="none" w:sz="0" w:space="0" w:color="auto"/>
        <w:left w:val="none" w:sz="0" w:space="0" w:color="auto"/>
        <w:bottom w:val="none" w:sz="0" w:space="0" w:color="auto"/>
        <w:right w:val="none" w:sz="0" w:space="0" w:color="auto"/>
      </w:divBdr>
    </w:div>
    <w:div w:id="91513662">
      <w:bodyDiv w:val="1"/>
      <w:marLeft w:val="0"/>
      <w:marRight w:val="0"/>
      <w:marTop w:val="0"/>
      <w:marBottom w:val="0"/>
      <w:divBdr>
        <w:top w:val="none" w:sz="0" w:space="0" w:color="auto"/>
        <w:left w:val="none" w:sz="0" w:space="0" w:color="auto"/>
        <w:bottom w:val="none" w:sz="0" w:space="0" w:color="auto"/>
        <w:right w:val="none" w:sz="0" w:space="0" w:color="auto"/>
      </w:divBdr>
    </w:div>
    <w:div w:id="584802064">
      <w:bodyDiv w:val="1"/>
      <w:marLeft w:val="0"/>
      <w:marRight w:val="0"/>
      <w:marTop w:val="0"/>
      <w:marBottom w:val="0"/>
      <w:divBdr>
        <w:top w:val="none" w:sz="0" w:space="0" w:color="auto"/>
        <w:left w:val="none" w:sz="0" w:space="0" w:color="auto"/>
        <w:bottom w:val="none" w:sz="0" w:space="0" w:color="auto"/>
        <w:right w:val="none" w:sz="0" w:space="0" w:color="auto"/>
      </w:divBdr>
    </w:div>
    <w:div w:id="934678035">
      <w:bodyDiv w:val="1"/>
      <w:marLeft w:val="0"/>
      <w:marRight w:val="0"/>
      <w:marTop w:val="0"/>
      <w:marBottom w:val="0"/>
      <w:divBdr>
        <w:top w:val="none" w:sz="0" w:space="0" w:color="auto"/>
        <w:left w:val="none" w:sz="0" w:space="0" w:color="auto"/>
        <w:bottom w:val="none" w:sz="0" w:space="0" w:color="auto"/>
        <w:right w:val="none" w:sz="0" w:space="0" w:color="auto"/>
      </w:divBdr>
    </w:div>
    <w:div w:id="959458633">
      <w:bodyDiv w:val="1"/>
      <w:marLeft w:val="0"/>
      <w:marRight w:val="0"/>
      <w:marTop w:val="0"/>
      <w:marBottom w:val="0"/>
      <w:divBdr>
        <w:top w:val="none" w:sz="0" w:space="0" w:color="auto"/>
        <w:left w:val="none" w:sz="0" w:space="0" w:color="auto"/>
        <w:bottom w:val="none" w:sz="0" w:space="0" w:color="auto"/>
        <w:right w:val="none" w:sz="0" w:space="0" w:color="auto"/>
      </w:divBdr>
    </w:div>
    <w:div w:id="1134323780">
      <w:bodyDiv w:val="1"/>
      <w:marLeft w:val="0"/>
      <w:marRight w:val="0"/>
      <w:marTop w:val="0"/>
      <w:marBottom w:val="0"/>
      <w:divBdr>
        <w:top w:val="none" w:sz="0" w:space="0" w:color="auto"/>
        <w:left w:val="none" w:sz="0" w:space="0" w:color="auto"/>
        <w:bottom w:val="none" w:sz="0" w:space="0" w:color="auto"/>
        <w:right w:val="none" w:sz="0" w:space="0" w:color="auto"/>
      </w:divBdr>
    </w:div>
    <w:div w:id="1370035453">
      <w:bodyDiv w:val="1"/>
      <w:marLeft w:val="0"/>
      <w:marRight w:val="0"/>
      <w:marTop w:val="0"/>
      <w:marBottom w:val="0"/>
      <w:divBdr>
        <w:top w:val="none" w:sz="0" w:space="0" w:color="auto"/>
        <w:left w:val="none" w:sz="0" w:space="0" w:color="auto"/>
        <w:bottom w:val="none" w:sz="0" w:space="0" w:color="auto"/>
        <w:right w:val="none" w:sz="0" w:space="0" w:color="auto"/>
      </w:divBdr>
    </w:div>
    <w:div w:id="1371224703">
      <w:bodyDiv w:val="1"/>
      <w:marLeft w:val="0"/>
      <w:marRight w:val="0"/>
      <w:marTop w:val="0"/>
      <w:marBottom w:val="0"/>
      <w:divBdr>
        <w:top w:val="none" w:sz="0" w:space="0" w:color="auto"/>
        <w:left w:val="none" w:sz="0" w:space="0" w:color="auto"/>
        <w:bottom w:val="none" w:sz="0" w:space="0" w:color="auto"/>
        <w:right w:val="none" w:sz="0" w:space="0" w:color="auto"/>
      </w:divBdr>
    </w:div>
    <w:div w:id="1387221303">
      <w:bodyDiv w:val="1"/>
      <w:marLeft w:val="0"/>
      <w:marRight w:val="0"/>
      <w:marTop w:val="0"/>
      <w:marBottom w:val="0"/>
      <w:divBdr>
        <w:top w:val="none" w:sz="0" w:space="0" w:color="auto"/>
        <w:left w:val="none" w:sz="0" w:space="0" w:color="auto"/>
        <w:bottom w:val="none" w:sz="0" w:space="0" w:color="auto"/>
        <w:right w:val="none" w:sz="0" w:space="0" w:color="auto"/>
      </w:divBdr>
    </w:div>
    <w:div w:id="1387874847">
      <w:bodyDiv w:val="1"/>
      <w:marLeft w:val="0"/>
      <w:marRight w:val="0"/>
      <w:marTop w:val="0"/>
      <w:marBottom w:val="0"/>
      <w:divBdr>
        <w:top w:val="none" w:sz="0" w:space="0" w:color="auto"/>
        <w:left w:val="none" w:sz="0" w:space="0" w:color="auto"/>
        <w:bottom w:val="none" w:sz="0" w:space="0" w:color="auto"/>
        <w:right w:val="none" w:sz="0" w:space="0" w:color="auto"/>
      </w:divBdr>
    </w:div>
    <w:div w:id="1462452874">
      <w:bodyDiv w:val="1"/>
      <w:marLeft w:val="0"/>
      <w:marRight w:val="0"/>
      <w:marTop w:val="0"/>
      <w:marBottom w:val="0"/>
      <w:divBdr>
        <w:top w:val="none" w:sz="0" w:space="0" w:color="auto"/>
        <w:left w:val="none" w:sz="0" w:space="0" w:color="auto"/>
        <w:bottom w:val="none" w:sz="0" w:space="0" w:color="auto"/>
        <w:right w:val="none" w:sz="0" w:space="0" w:color="auto"/>
      </w:divBdr>
    </w:div>
    <w:div w:id="1686403363">
      <w:bodyDiv w:val="1"/>
      <w:marLeft w:val="0"/>
      <w:marRight w:val="0"/>
      <w:marTop w:val="0"/>
      <w:marBottom w:val="0"/>
      <w:divBdr>
        <w:top w:val="none" w:sz="0" w:space="0" w:color="auto"/>
        <w:left w:val="none" w:sz="0" w:space="0" w:color="auto"/>
        <w:bottom w:val="none" w:sz="0" w:space="0" w:color="auto"/>
        <w:right w:val="none" w:sz="0" w:space="0" w:color="auto"/>
      </w:divBdr>
    </w:div>
    <w:div w:id="1865901863">
      <w:bodyDiv w:val="1"/>
      <w:marLeft w:val="0"/>
      <w:marRight w:val="0"/>
      <w:marTop w:val="0"/>
      <w:marBottom w:val="0"/>
      <w:divBdr>
        <w:top w:val="none" w:sz="0" w:space="0" w:color="auto"/>
        <w:left w:val="none" w:sz="0" w:space="0" w:color="auto"/>
        <w:bottom w:val="none" w:sz="0" w:space="0" w:color="auto"/>
        <w:right w:val="none" w:sz="0" w:space="0" w:color="auto"/>
      </w:divBdr>
    </w:div>
    <w:div w:id="1901357207">
      <w:bodyDiv w:val="1"/>
      <w:marLeft w:val="0"/>
      <w:marRight w:val="0"/>
      <w:marTop w:val="0"/>
      <w:marBottom w:val="0"/>
      <w:divBdr>
        <w:top w:val="none" w:sz="0" w:space="0" w:color="auto"/>
        <w:left w:val="none" w:sz="0" w:space="0" w:color="auto"/>
        <w:bottom w:val="none" w:sz="0" w:space="0" w:color="auto"/>
        <w:right w:val="none" w:sz="0" w:space="0" w:color="auto"/>
      </w:divBdr>
    </w:div>
    <w:div w:id="1913003004">
      <w:bodyDiv w:val="1"/>
      <w:marLeft w:val="0"/>
      <w:marRight w:val="0"/>
      <w:marTop w:val="0"/>
      <w:marBottom w:val="0"/>
      <w:divBdr>
        <w:top w:val="none" w:sz="0" w:space="0" w:color="auto"/>
        <w:left w:val="none" w:sz="0" w:space="0" w:color="auto"/>
        <w:bottom w:val="none" w:sz="0" w:space="0" w:color="auto"/>
        <w:right w:val="none" w:sz="0" w:space="0" w:color="auto"/>
      </w:divBdr>
      <w:divsChild>
        <w:div w:id="850068940">
          <w:marLeft w:val="0"/>
          <w:marRight w:val="0"/>
          <w:marTop w:val="0"/>
          <w:marBottom w:val="0"/>
          <w:divBdr>
            <w:top w:val="none" w:sz="0" w:space="0" w:color="auto"/>
            <w:left w:val="none" w:sz="0" w:space="0" w:color="auto"/>
            <w:bottom w:val="none" w:sz="0" w:space="0" w:color="auto"/>
            <w:right w:val="none" w:sz="0" w:space="0" w:color="auto"/>
          </w:divBdr>
          <w:divsChild>
            <w:div w:id="38094588">
              <w:marLeft w:val="0"/>
              <w:marRight w:val="0"/>
              <w:marTop w:val="0"/>
              <w:marBottom w:val="0"/>
              <w:divBdr>
                <w:top w:val="none" w:sz="0" w:space="0" w:color="auto"/>
                <w:left w:val="none" w:sz="0" w:space="0" w:color="auto"/>
                <w:bottom w:val="none" w:sz="0" w:space="0" w:color="auto"/>
                <w:right w:val="none" w:sz="0" w:space="0" w:color="auto"/>
              </w:divBdr>
              <w:divsChild>
                <w:div w:id="48264450">
                  <w:marLeft w:val="0"/>
                  <w:marRight w:val="0"/>
                  <w:marTop w:val="0"/>
                  <w:marBottom w:val="0"/>
                  <w:divBdr>
                    <w:top w:val="none" w:sz="0" w:space="0" w:color="auto"/>
                    <w:left w:val="none" w:sz="0" w:space="0" w:color="auto"/>
                    <w:bottom w:val="none" w:sz="0" w:space="0" w:color="auto"/>
                    <w:right w:val="none" w:sz="0" w:space="0" w:color="auto"/>
                  </w:divBdr>
                </w:div>
              </w:divsChild>
            </w:div>
            <w:div w:id="1707564814">
              <w:marLeft w:val="0"/>
              <w:marRight w:val="0"/>
              <w:marTop w:val="0"/>
              <w:marBottom w:val="0"/>
              <w:divBdr>
                <w:top w:val="none" w:sz="0" w:space="0" w:color="auto"/>
                <w:left w:val="none" w:sz="0" w:space="0" w:color="auto"/>
                <w:bottom w:val="none" w:sz="0" w:space="0" w:color="auto"/>
                <w:right w:val="none" w:sz="0" w:space="0" w:color="auto"/>
              </w:divBdr>
              <w:divsChild>
                <w:div w:id="1380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19253">
          <w:marLeft w:val="0"/>
          <w:marRight w:val="0"/>
          <w:marTop w:val="0"/>
          <w:marBottom w:val="0"/>
          <w:divBdr>
            <w:top w:val="none" w:sz="0" w:space="0" w:color="auto"/>
            <w:left w:val="none" w:sz="0" w:space="0" w:color="auto"/>
            <w:bottom w:val="none" w:sz="0" w:space="0" w:color="auto"/>
            <w:right w:val="none" w:sz="0" w:space="0" w:color="auto"/>
          </w:divBdr>
          <w:divsChild>
            <w:div w:id="1140000173">
              <w:marLeft w:val="0"/>
              <w:marRight w:val="0"/>
              <w:marTop w:val="0"/>
              <w:marBottom w:val="0"/>
              <w:divBdr>
                <w:top w:val="none" w:sz="0" w:space="0" w:color="auto"/>
                <w:left w:val="none" w:sz="0" w:space="0" w:color="auto"/>
                <w:bottom w:val="none" w:sz="0" w:space="0" w:color="auto"/>
                <w:right w:val="none" w:sz="0" w:space="0" w:color="auto"/>
              </w:divBdr>
              <w:divsChild>
                <w:div w:id="1064765379">
                  <w:marLeft w:val="0"/>
                  <w:marRight w:val="0"/>
                  <w:marTop w:val="0"/>
                  <w:marBottom w:val="0"/>
                  <w:divBdr>
                    <w:top w:val="none" w:sz="0" w:space="0" w:color="auto"/>
                    <w:left w:val="none" w:sz="0" w:space="0" w:color="auto"/>
                    <w:bottom w:val="none" w:sz="0" w:space="0" w:color="auto"/>
                    <w:right w:val="none" w:sz="0" w:space="0" w:color="auto"/>
                  </w:divBdr>
                </w:div>
              </w:divsChild>
            </w:div>
            <w:div w:id="2103605476">
              <w:marLeft w:val="0"/>
              <w:marRight w:val="0"/>
              <w:marTop w:val="0"/>
              <w:marBottom w:val="0"/>
              <w:divBdr>
                <w:top w:val="none" w:sz="0" w:space="0" w:color="auto"/>
                <w:left w:val="none" w:sz="0" w:space="0" w:color="auto"/>
                <w:bottom w:val="none" w:sz="0" w:space="0" w:color="auto"/>
                <w:right w:val="none" w:sz="0" w:space="0" w:color="auto"/>
              </w:divBdr>
              <w:divsChild>
                <w:div w:id="1212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38764">
      <w:bodyDiv w:val="1"/>
      <w:marLeft w:val="0"/>
      <w:marRight w:val="0"/>
      <w:marTop w:val="0"/>
      <w:marBottom w:val="0"/>
      <w:divBdr>
        <w:top w:val="none" w:sz="0" w:space="0" w:color="auto"/>
        <w:left w:val="none" w:sz="0" w:space="0" w:color="auto"/>
        <w:bottom w:val="none" w:sz="0" w:space="0" w:color="auto"/>
        <w:right w:val="none" w:sz="0" w:space="0" w:color="auto"/>
      </w:divBdr>
    </w:div>
    <w:div w:id="21104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FB9EB-8B1F-4A1E-882A-7D9DA489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2345</Words>
  <Characters>13372</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PF ToR Cities and Regions</vt:lpstr>
    </vt:vector>
  </TitlesOfParts>
  <Company>FCO</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 ToR Cities and Regions</dc:title>
  <dc:subject/>
  <dc:creator>catrinakenny</dc:creator>
  <cp:keywords/>
  <dc:description/>
  <cp:lastModifiedBy>Sam Gilbert (Sensitive)</cp:lastModifiedBy>
  <cp:revision>2</cp:revision>
  <cp:lastPrinted>2018-09-05T03:20:00Z</cp:lastPrinted>
  <dcterms:created xsi:type="dcterms:W3CDTF">2018-12-20T19:08:00Z</dcterms:created>
  <dcterms:modified xsi:type="dcterms:W3CDTF">2018-12-20T19:08:00Z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2017-03-22T05:00:00Z</vt:filetime>
  </property>
</Properties>
</file>