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5B" w:rsidRPr="0039375B" w:rsidRDefault="0039375B" w:rsidP="0039375B">
      <w:pPr>
        <w:pStyle w:val="Heading3"/>
        <w:ind w:left="851"/>
        <w:rPr>
          <w:rFonts w:ascii="Arial" w:hAnsi="Arial" w:cs="Arial"/>
          <w:b/>
          <w:color w:val="auto"/>
          <w:sz w:val="21"/>
          <w:szCs w:val="21"/>
        </w:rPr>
      </w:pPr>
      <w:bookmarkStart w:id="0" w:name="_Toc447527501"/>
      <w:bookmarkStart w:id="1" w:name="_Toc455047662"/>
      <w:bookmarkStart w:id="2" w:name="_Toc446589236"/>
      <w:bookmarkStart w:id="3" w:name="_Toc446596141"/>
      <w:bookmarkStart w:id="4" w:name="_Toc447285823"/>
      <w:bookmarkStart w:id="5" w:name="_Toc447527500"/>
      <w:bookmarkStart w:id="6" w:name="_Toc455047661"/>
      <w:r w:rsidRPr="0039375B">
        <w:rPr>
          <w:rFonts w:ascii="Arial" w:hAnsi="Arial" w:cs="Arial"/>
          <w:b/>
          <w:color w:val="auto"/>
          <w:sz w:val="21"/>
          <w:szCs w:val="21"/>
        </w:rPr>
        <w:t>Schedul</w:t>
      </w:r>
      <w:bookmarkEnd w:id="2"/>
      <w:bookmarkEnd w:id="3"/>
      <w:bookmarkEnd w:id="4"/>
      <w:bookmarkEnd w:id="5"/>
      <w:bookmarkEnd w:id="6"/>
      <w:r w:rsidRPr="0039375B">
        <w:rPr>
          <w:rFonts w:ascii="Arial" w:hAnsi="Arial" w:cs="Arial"/>
          <w:b/>
          <w:color w:val="auto"/>
          <w:sz w:val="21"/>
          <w:szCs w:val="21"/>
        </w:rPr>
        <w:t>e A</w:t>
      </w:r>
      <w:r w:rsidRPr="0039375B">
        <w:rPr>
          <w:sz w:val="21"/>
          <w:szCs w:val="21"/>
        </w:rPr>
        <w:t xml:space="preserve"> </w:t>
      </w:r>
      <w:r w:rsidRPr="0039375B">
        <w:rPr>
          <w:sz w:val="21"/>
          <w:szCs w:val="21"/>
        </w:rPr>
        <w:tab/>
      </w:r>
      <w:r w:rsidRPr="0039375B">
        <w:rPr>
          <w:rFonts w:ascii="Arial" w:hAnsi="Arial" w:cs="Arial"/>
          <w:b/>
          <w:color w:val="auto"/>
          <w:sz w:val="21"/>
          <w:szCs w:val="21"/>
        </w:rPr>
        <w:t>Specification of Requirements</w:t>
      </w:r>
    </w:p>
    <w:p w:rsidR="0039375B" w:rsidRPr="0039375B" w:rsidRDefault="0039375B" w:rsidP="0039375B">
      <w:pPr>
        <w:ind w:left="851"/>
        <w:rPr>
          <w:sz w:val="21"/>
          <w:szCs w:val="21"/>
        </w:rPr>
      </w:pPr>
    </w:p>
    <w:p w:rsidR="0039375B" w:rsidRPr="0039375B" w:rsidRDefault="0039375B" w:rsidP="0039375B">
      <w:pPr>
        <w:tabs>
          <w:tab w:val="left" w:pos="851"/>
        </w:tabs>
        <w:ind w:left="1134" w:hanging="1134"/>
        <w:rPr>
          <w:rFonts w:cs="Arial"/>
          <w:b/>
          <w:sz w:val="21"/>
          <w:szCs w:val="21"/>
        </w:rPr>
      </w:pPr>
      <w:r w:rsidRPr="0039375B">
        <w:rPr>
          <w:rFonts w:cs="Arial"/>
          <w:b/>
          <w:sz w:val="21"/>
          <w:szCs w:val="21"/>
        </w:rPr>
        <w:t xml:space="preserve">A1       </w:t>
      </w:r>
      <w:r w:rsidRPr="0039375B">
        <w:rPr>
          <w:rFonts w:cs="Arial"/>
          <w:b/>
          <w:sz w:val="21"/>
          <w:szCs w:val="21"/>
        </w:rPr>
        <w:tab/>
        <w:t>AGREEMENT OVERVIEW</w:t>
      </w:r>
      <w:bookmarkStart w:id="7" w:name="_GoBack"/>
      <w:bookmarkEnd w:id="7"/>
    </w:p>
    <w:p w:rsidR="0039375B" w:rsidRPr="0039375B" w:rsidRDefault="0039375B" w:rsidP="0039375B">
      <w:pPr>
        <w:ind w:left="851" w:hanging="851"/>
        <w:rPr>
          <w:rFonts w:cs="Arial"/>
          <w:b/>
          <w:sz w:val="21"/>
          <w:szCs w:val="21"/>
        </w:rPr>
      </w:pPr>
      <w:r w:rsidRPr="0039375B">
        <w:rPr>
          <w:rFonts w:cs="Arial"/>
          <w:b/>
          <w:sz w:val="21"/>
          <w:szCs w:val="21"/>
        </w:rPr>
        <w:t xml:space="preserve">A1.1    </w:t>
      </w:r>
      <w:r w:rsidRPr="0039375B">
        <w:rPr>
          <w:rFonts w:cs="Arial"/>
          <w:b/>
          <w:sz w:val="21"/>
          <w:szCs w:val="21"/>
        </w:rPr>
        <w:tab/>
        <w:t>Background</w:t>
      </w:r>
    </w:p>
    <w:p w:rsidR="0039375B" w:rsidRPr="0039375B" w:rsidRDefault="0039375B" w:rsidP="0039375B">
      <w:pPr>
        <w:ind w:left="851" w:hanging="851"/>
        <w:rPr>
          <w:rFonts w:cs="Arial"/>
          <w:sz w:val="21"/>
          <w:szCs w:val="21"/>
        </w:rPr>
      </w:pPr>
      <w:r w:rsidRPr="0039375B">
        <w:rPr>
          <w:rFonts w:cs="Arial"/>
          <w:sz w:val="21"/>
          <w:szCs w:val="21"/>
        </w:rPr>
        <w:t>A1.1.1</w:t>
      </w:r>
      <w:r w:rsidRPr="0039375B">
        <w:rPr>
          <w:rFonts w:cs="Arial"/>
          <w:sz w:val="21"/>
          <w:szCs w:val="21"/>
        </w:rPr>
        <w:tab/>
        <w:t xml:space="preserve">HMRC uses more than 13,000 customer letters and forms, in addition to a growing number of emails, secure messages and SMS and online guidance (GOV.UK). </w:t>
      </w:r>
    </w:p>
    <w:p w:rsidR="0039375B" w:rsidRPr="0039375B" w:rsidRDefault="0039375B" w:rsidP="0039375B">
      <w:pPr>
        <w:ind w:left="851" w:hanging="851"/>
        <w:rPr>
          <w:rFonts w:cs="Arial"/>
          <w:sz w:val="21"/>
          <w:szCs w:val="21"/>
        </w:rPr>
      </w:pPr>
      <w:r w:rsidRPr="0039375B">
        <w:rPr>
          <w:rFonts w:cs="Arial"/>
          <w:sz w:val="21"/>
          <w:szCs w:val="21"/>
        </w:rPr>
        <w:t>A1.1.2</w:t>
      </w:r>
      <w:r w:rsidRPr="0039375B">
        <w:rPr>
          <w:rFonts w:cs="Arial"/>
          <w:sz w:val="21"/>
          <w:szCs w:val="21"/>
        </w:rPr>
        <w:tab/>
        <w:t>Some of these letters and forms are sent in very large volumes to a wide range of customers. For instance, our Self-Assessment outputs alone are sent to around 11 million people, some with a sophisticated knowledge of tax (60% of SA customers use a tax agent) and others with little tax knowledge and variable levels of reading skills (e.g. where English is not their first language).</w:t>
      </w:r>
    </w:p>
    <w:p w:rsidR="0039375B" w:rsidRPr="0039375B" w:rsidRDefault="0039375B" w:rsidP="0039375B">
      <w:pPr>
        <w:tabs>
          <w:tab w:val="left" w:pos="851"/>
        </w:tabs>
        <w:ind w:left="851" w:hanging="851"/>
        <w:rPr>
          <w:rFonts w:cs="Arial"/>
          <w:sz w:val="21"/>
          <w:szCs w:val="21"/>
        </w:rPr>
      </w:pPr>
      <w:r w:rsidRPr="0039375B">
        <w:rPr>
          <w:rFonts w:cs="Arial"/>
          <w:sz w:val="21"/>
          <w:szCs w:val="21"/>
        </w:rPr>
        <w:t>A1.1.3</w:t>
      </w:r>
      <w:r w:rsidRPr="0039375B">
        <w:rPr>
          <w:rFonts w:cs="Arial"/>
          <w:sz w:val="21"/>
          <w:szCs w:val="21"/>
        </w:rPr>
        <w:tab/>
        <w:t>HMRC’s Corporate Comms team know that the department can increase compliance and reduce low-value contact by simplifying HMRC’s direct customer communications, using a more consistent tone and form of wording. Our correspondence is a key driver of customer perceptions of HMRC, as well as of behaviour. Corporate Comms wants to encourage more people to use our online tools and services, and discourage unnecessary telephone contact. Progress has been made – for instance, last year, 93% of Self-Assessment customers completed their tax return online; the team wishes to continue to increase these numbers.</w:t>
      </w:r>
    </w:p>
    <w:p w:rsidR="0039375B" w:rsidRPr="0039375B" w:rsidRDefault="0039375B" w:rsidP="0039375B">
      <w:pPr>
        <w:tabs>
          <w:tab w:val="left" w:pos="851"/>
        </w:tabs>
        <w:ind w:left="851" w:hanging="851"/>
        <w:rPr>
          <w:rFonts w:cs="Arial"/>
          <w:sz w:val="21"/>
          <w:szCs w:val="21"/>
        </w:rPr>
      </w:pPr>
      <w:r w:rsidRPr="0039375B">
        <w:rPr>
          <w:rFonts w:cs="Arial"/>
          <w:sz w:val="21"/>
          <w:szCs w:val="21"/>
        </w:rPr>
        <w:t>A1.1.4</w:t>
      </w:r>
      <w:r w:rsidRPr="0039375B">
        <w:rPr>
          <w:rFonts w:cs="Arial"/>
          <w:sz w:val="21"/>
          <w:szCs w:val="21"/>
        </w:rPr>
        <w:tab/>
        <w:t xml:space="preserve">HMRC has already reviewed and improved more than 100 of its direct customer letters, forms, emails and SMS messages, resulting in a reduction in calls from recipients. </w:t>
      </w:r>
    </w:p>
    <w:p w:rsidR="0039375B" w:rsidRPr="0039375B" w:rsidRDefault="0039375B" w:rsidP="0039375B">
      <w:pPr>
        <w:tabs>
          <w:tab w:val="left" w:pos="993"/>
        </w:tabs>
        <w:ind w:left="851" w:hanging="851"/>
        <w:rPr>
          <w:rFonts w:cs="Arial"/>
          <w:sz w:val="21"/>
          <w:szCs w:val="21"/>
        </w:rPr>
      </w:pPr>
      <w:r w:rsidRPr="0039375B">
        <w:rPr>
          <w:rFonts w:cs="Arial"/>
          <w:sz w:val="21"/>
          <w:szCs w:val="21"/>
        </w:rPr>
        <w:t>A.1.1.5  Corporate Comms is now looking for specialist support from experienced communications experts to assess where further improvements can be made, and to scale up this important work. This project will take no longer than 6 months to complete, and so this will be the maximal term of the contract.</w:t>
      </w:r>
    </w:p>
    <w:p w:rsidR="0039375B" w:rsidRPr="0039375B" w:rsidRDefault="0039375B" w:rsidP="0039375B">
      <w:pPr>
        <w:tabs>
          <w:tab w:val="num" w:pos="851"/>
        </w:tabs>
        <w:spacing w:after="120"/>
        <w:rPr>
          <w:rFonts w:cs="Arial"/>
          <w:b/>
          <w:bCs/>
          <w:sz w:val="21"/>
          <w:szCs w:val="21"/>
        </w:rPr>
      </w:pPr>
    </w:p>
    <w:p w:rsidR="0039375B" w:rsidRPr="0039375B" w:rsidRDefault="0039375B" w:rsidP="0039375B">
      <w:pPr>
        <w:tabs>
          <w:tab w:val="num" w:pos="851"/>
        </w:tabs>
        <w:spacing w:after="120"/>
        <w:ind w:left="993" w:hanging="993"/>
        <w:rPr>
          <w:rFonts w:cs="Arial"/>
          <w:b/>
          <w:bCs/>
          <w:sz w:val="21"/>
          <w:szCs w:val="21"/>
        </w:rPr>
      </w:pPr>
      <w:r w:rsidRPr="0039375B">
        <w:rPr>
          <w:rFonts w:cs="Arial"/>
          <w:b/>
          <w:bCs/>
          <w:sz w:val="21"/>
          <w:szCs w:val="21"/>
        </w:rPr>
        <w:t>A2</w:t>
      </w:r>
      <w:r w:rsidRPr="0039375B">
        <w:rPr>
          <w:rFonts w:cs="Arial"/>
          <w:b/>
          <w:bCs/>
          <w:sz w:val="21"/>
          <w:szCs w:val="21"/>
        </w:rPr>
        <w:tab/>
        <w:t>SERVICE PROVISION</w:t>
      </w:r>
    </w:p>
    <w:p w:rsidR="0039375B" w:rsidRPr="0039375B" w:rsidRDefault="0039375B" w:rsidP="0039375B">
      <w:pPr>
        <w:tabs>
          <w:tab w:val="left" w:pos="851"/>
        </w:tabs>
        <w:autoSpaceDE w:val="0"/>
        <w:autoSpaceDN w:val="0"/>
        <w:adjustRightInd w:val="0"/>
        <w:spacing w:after="0"/>
        <w:ind w:left="851" w:hanging="851"/>
        <w:rPr>
          <w:rFonts w:cs="Arial"/>
          <w:iCs/>
          <w:sz w:val="21"/>
          <w:szCs w:val="21"/>
        </w:rPr>
      </w:pPr>
    </w:p>
    <w:p w:rsidR="0039375B" w:rsidRPr="0039375B" w:rsidRDefault="0039375B" w:rsidP="0039375B">
      <w:pPr>
        <w:tabs>
          <w:tab w:val="num" w:pos="851"/>
        </w:tabs>
        <w:spacing w:after="120"/>
        <w:ind w:left="902" w:hanging="902"/>
        <w:rPr>
          <w:rFonts w:cs="Arial"/>
          <w:b/>
          <w:bCs/>
          <w:sz w:val="21"/>
          <w:szCs w:val="21"/>
        </w:rPr>
      </w:pPr>
      <w:r w:rsidRPr="0039375B">
        <w:rPr>
          <w:rFonts w:cs="Arial"/>
          <w:b/>
          <w:bCs/>
          <w:sz w:val="21"/>
          <w:szCs w:val="21"/>
        </w:rPr>
        <w:t>A2.2</w:t>
      </w:r>
      <w:r w:rsidRPr="0039375B">
        <w:rPr>
          <w:rFonts w:cs="Arial"/>
          <w:b/>
          <w:bCs/>
          <w:sz w:val="21"/>
          <w:szCs w:val="21"/>
        </w:rPr>
        <w:tab/>
        <w:t>Aims and Objectives</w:t>
      </w:r>
    </w:p>
    <w:p w:rsidR="0039375B" w:rsidRPr="0039375B" w:rsidRDefault="0039375B" w:rsidP="0039375B">
      <w:pPr>
        <w:tabs>
          <w:tab w:val="left" w:pos="851"/>
        </w:tabs>
        <w:autoSpaceDE w:val="0"/>
        <w:autoSpaceDN w:val="0"/>
        <w:adjustRightInd w:val="0"/>
        <w:spacing w:after="0"/>
        <w:ind w:left="851" w:hanging="851"/>
        <w:rPr>
          <w:rFonts w:cs="Arial"/>
          <w:iCs/>
          <w:sz w:val="21"/>
          <w:szCs w:val="21"/>
        </w:rPr>
      </w:pPr>
      <w:r w:rsidRPr="0039375B">
        <w:rPr>
          <w:rFonts w:cs="Arial"/>
          <w:iCs/>
          <w:sz w:val="21"/>
          <w:szCs w:val="21"/>
        </w:rPr>
        <w:t>A2.2.1</w:t>
      </w:r>
      <w:r w:rsidRPr="0039375B">
        <w:rPr>
          <w:rFonts w:cs="Arial"/>
          <w:iCs/>
          <w:sz w:val="21"/>
          <w:szCs w:val="21"/>
        </w:rPr>
        <w:tab/>
        <w:t>Over the past 18 months, HMRC has reviewed and improved more than 100 of its direct customer letters, forms, emails and SMS messages, resulting in a reduction in calls from recipients.</w:t>
      </w:r>
    </w:p>
    <w:p w:rsidR="0039375B" w:rsidRPr="0039375B" w:rsidRDefault="0039375B" w:rsidP="0039375B">
      <w:pPr>
        <w:tabs>
          <w:tab w:val="left" w:pos="851"/>
        </w:tabs>
        <w:autoSpaceDE w:val="0"/>
        <w:autoSpaceDN w:val="0"/>
        <w:adjustRightInd w:val="0"/>
        <w:spacing w:after="0"/>
        <w:ind w:left="851" w:hanging="851"/>
        <w:rPr>
          <w:rFonts w:cs="Arial"/>
          <w:iCs/>
          <w:sz w:val="21"/>
          <w:szCs w:val="21"/>
        </w:rPr>
      </w:pPr>
    </w:p>
    <w:p w:rsidR="0039375B" w:rsidRPr="0039375B" w:rsidRDefault="0039375B" w:rsidP="0039375B">
      <w:pPr>
        <w:tabs>
          <w:tab w:val="left" w:pos="851"/>
        </w:tabs>
        <w:autoSpaceDE w:val="0"/>
        <w:autoSpaceDN w:val="0"/>
        <w:adjustRightInd w:val="0"/>
        <w:spacing w:after="0"/>
        <w:ind w:left="851" w:hanging="851"/>
        <w:rPr>
          <w:rFonts w:cs="Arial"/>
          <w:iCs/>
          <w:sz w:val="21"/>
          <w:szCs w:val="21"/>
        </w:rPr>
      </w:pPr>
      <w:r w:rsidRPr="0039375B">
        <w:rPr>
          <w:rFonts w:cs="Arial"/>
          <w:iCs/>
          <w:sz w:val="21"/>
          <w:szCs w:val="21"/>
        </w:rPr>
        <w:t>A2.2.2</w:t>
      </w:r>
      <w:r w:rsidRPr="0039375B">
        <w:rPr>
          <w:rFonts w:cs="Arial"/>
          <w:iCs/>
          <w:sz w:val="21"/>
          <w:szCs w:val="21"/>
        </w:rPr>
        <w:tab/>
        <w:t>HMRC’s Corporate Comms team want to add the perspective of an external agency to this work, to see where further improvements can be made to our approach, and to learn lessons that are transferrable to HMRC teams as the team looks to increase the scale of this important initiative.</w:t>
      </w:r>
    </w:p>
    <w:p w:rsidR="0039375B" w:rsidRPr="0039375B" w:rsidRDefault="0039375B" w:rsidP="0039375B">
      <w:pPr>
        <w:tabs>
          <w:tab w:val="left" w:pos="851"/>
        </w:tabs>
        <w:autoSpaceDE w:val="0"/>
        <w:autoSpaceDN w:val="0"/>
        <w:adjustRightInd w:val="0"/>
        <w:spacing w:after="0"/>
        <w:ind w:left="851" w:hanging="851"/>
        <w:rPr>
          <w:rFonts w:cs="Arial"/>
          <w:iCs/>
          <w:sz w:val="21"/>
          <w:szCs w:val="21"/>
        </w:rPr>
      </w:pPr>
    </w:p>
    <w:p w:rsidR="0039375B" w:rsidRPr="0039375B" w:rsidRDefault="0039375B" w:rsidP="0039375B">
      <w:pPr>
        <w:tabs>
          <w:tab w:val="left" w:pos="851"/>
        </w:tabs>
        <w:autoSpaceDE w:val="0"/>
        <w:autoSpaceDN w:val="0"/>
        <w:adjustRightInd w:val="0"/>
        <w:spacing w:after="0" w:line="240" w:lineRule="auto"/>
        <w:ind w:left="851" w:hanging="851"/>
        <w:rPr>
          <w:rFonts w:cs="Arial"/>
          <w:iCs/>
          <w:sz w:val="21"/>
          <w:szCs w:val="21"/>
        </w:rPr>
      </w:pPr>
      <w:r w:rsidRPr="0039375B">
        <w:rPr>
          <w:rFonts w:cs="Arial"/>
          <w:iCs/>
          <w:sz w:val="21"/>
          <w:szCs w:val="21"/>
        </w:rPr>
        <w:t>A2.2.3</w:t>
      </w:r>
      <w:r w:rsidRPr="0039375B">
        <w:rPr>
          <w:rFonts w:cs="Arial"/>
          <w:iCs/>
          <w:sz w:val="21"/>
          <w:szCs w:val="21"/>
        </w:rPr>
        <w:tab/>
        <w:t xml:space="preserve">The Contractor – using their skills, experience and expertise – must achieve the following objectives: </w:t>
      </w:r>
    </w:p>
    <w:p w:rsidR="0039375B" w:rsidRPr="0039375B" w:rsidRDefault="0039375B" w:rsidP="0039375B">
      <w:pPr>
        <w:tabs>
          <w:tab w:val="left" w:pos="851"/>
        </w:tabs>
        <w:autoSpaceDE w:val="0"/>
        <w:autoSpaceDN w:val="0"/>
        <w:adjustRightInd w:val="0"/>
        <w:spacing w:after="0" w:line="240" w:lineRule="auto"/>
        <w:ind w:left="851" w:hanging="851"/>
        <w:rPr>
          <w:rFonts w:cs="Arial"/>
          <w:iCs/>
          <w:sz w:val="21"/>
          <w:szCs w:val="21"/>
        </w:rPr>
      </w:pPr>
    </w:p>
    <w:p w:rsidR="0039375B" w:rsidRPr="0039375B" w:rsidRDefault="0039375B" w:rsidP="0039375B">
      <w:pPr>
        <w:tabs>
          <w:tab w:val="left" w:pos="851"/>
        </w:tabs>
        <w:autoSpaceDE w:val="0"/>
        <w:autoSpaceDN w:val="0"/>
        <w:adjustRightInd w:val="0"/>
        <w:spacing w:after="0" w:line="240" w:lineRule="auto"/>
        <w:rPr>
          <w:rFonts w:cs="Arial"/>
          <w:iCs/>
          <w:sz w:val="21"/>
          <w:szCs w:val="21"/>
        </w:rPr>
      </w:pPr>
    </w:p>
    <w:p w:rsidR="0039375B" w:rsidRPr="0039375B" w:rsidRDefault="0039375B" w:rsidP="0039375B">
      <w:pPr>
        <w:pStyle w:val="ListParagraph"/>
        <w:numPr>
          <w:ilvl w:val="0"/>
          <w:numId w:val="4"/>
        </w:numPr>
        <w:spacing w:after="0" w:line="240" w:lineRule="auto"/>
        <w:ind w:left="714" w:hanging="357"/>
        <w:rPr>
          <w:rFonts w:eastAsia="Times New Roman" w:cs="Arial"/>
          <w:sz w:val="21"/>
          <w:szCs w:val="21"/>
          <w:lang w:eastAsia="en-GB"/>
        </w:rPr>
      </w:pPr>
      <w:r w:rsidRPr="0039375B">
        <w:rPr>
          <w:rFonts w:eastAsia="Times New Roman" w:cs="Arial"/>
          <w:sz w:val="21"/>
          <w:szCs w:val="21"/>
          <w:lang w:eastAsia="en-GB"/>
        </w:rPr>
        <w:t>To increase compliance through direct communications that are clearer on what the customer needs to do.</w:t>
      </w:r>
    </w:p>
    <w:p w:rsidR="0039375B" w:rsidRPr="0039375B" w:rsidRDefault="0039375B" w:rsidP="0039375B">
      <w:pPr>
        <w:pStyle w:val="ListParagraph"/>
        <w:numPr>
          <w:ilvl w:val="0"/>
          <w:numId w:val="4"/>
        </w:numPr>
        <w:spacing w:after="0" w:line="240" w:lineRule="auto"/>
        <w:ind w:left="714" w:hanging="357"/>
        <w:rPr>
          <w:rFonts w:eastAsia="Times New Roman" w:cs="Arial"/>
          <w:sz w:val="21"/>
          <w:szCs w:val="21"/>
          <w:lang w:eastAsia="en-GB"/>
        </w:rPr>
      </w:pPr>
      <w:r w:rsidRPr="0039375B">
        <w:rPr>
          <w:rFonts w:eastAsia="Times New Roman" w:cs="Arial"/>
          <w:sz w:val="21"/>
          <w:szCs w:val="21"/>
          <w:lang w:eastAsia="en-GB"/>
        </w:rPr>
        <w:t xml:space="preserve">To reduce unnecessary customer contact from customers who are confused by the content of HMRC’s correspondence, or worried by its tone. </w:t>
      </w:r>
    </w:p>
    <w:p w:rsidR="0039375B" w:rsidRPr="0039375B" w:rsidRDefault="0039375B" w:rsidP="0039375B">
      <w:pPr>
        <w:pStyle w:val="ListParagraph"/>
        <w:numPr>
          <w:ilvl w:val="0"/>
          <w:numId w:val="4"/>
        </w:numPr>
        <w:spacing w:after="0" w:line="240" w:lineRule="auto"/>
        <w:ind w:left="714" w:hanging="357"/>
        <w:rPr>
          <w:rFonts w:eastAsia="Times New Roman" w:cs="Arial"/>
          <w:sz w:val="21"/>
          <w:szCs w:val="21"/>
          <w:lang w:eastAsia="en-GB"/>
        </w:rPr>
      </w:pPr>
      <w:r w:rsidRPr="0039375B">
        <w:rPr>
          <w:rFonts w:eastAsia="Times New Roman" w:cs="Arial"/>
          <w:sz w:val="21"/>
          <w:szCs w:val="21"/>
          <w:lang w:eastAsia="en-GB"/>
        </w:rPr>
        <w:lastRenderedPageBreak/>
        <w:t>To encourage customers to make the shift to self-serve through digital channels where appropriate.</w:t>
      </w:r>
    </w:p>
    <w:p w:rsidR="0039375B" w:rsidRPr="0039375B" w:rsidRDefault="0039375B" w:rsidP="0039375B">
      <w:pPr>
        <w:tabs>
          <w:tab w:val="left" w:pos="851"/>
        </w:tabs>
        <w:autoSpaceDE w:val="0"/>
        <w:autoSpaceDN w:val="0"/>
        <w:adjustRightInd w:val="0"/>
        <w:spacing w:after="0" w:line="240" w:lineRule="auto"/>
        <w:rPr>
          <w:rFonts w:cs="Arial"/>
          <w:iCs/>
          <w:sz w:val="21"/>
          <w:szCs w:val="21"/>
        </w:rPr>
      </w:pPr>
    </w:p>
    <w:p w:rsidR="0039375B" w:rsidRPr="0039375B" w:rsidRDefault="0039375B" w:rsidP="0039375B">
      <w:pPr>
        <w:tabs>
          <w:tab w:val="left" w:pos="851"/>
        </w:tabs>
        <w:autoSpaceDE w:val="0"/>
        <w:autoSpaceDN w:val="0"/>
        <w:adjustRightInd w:val="0"/>
        <w:rPr>
          <w:rFonts w:cs="Arial"/>
          <w:b/>
          <w:iCs/>
          <w:sz w:val="21"/>
          <w:szCs w:val="21"/>
        </w:rPr>
      </w:pPr>
      <w:r w:rsidRPr="0039375B">
        <w:rPr>
          <w:rFonts w:cs="Arial"/>
          <w:b/>
          <w:iCs/>
          <w:sz w:val="21"/>
          <w:szCs w:val="21"/>
        </w:rPr>
        <w:t>A3</w:t>
      </w:r>
      <w:r w:rsidRPr="0039375B">
        <w:rPr>
          <w:rFonts w:cs="Arial"/>
          <w:b/>
          <w:iCs/>
          <w:sz w:val="21"/>
          <w:szCs w:val="21"/>
        </w:rPr>
        <w:tab/>
        <w:t>SPECIFICATION OF REQUIREMENTS</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b/>
          <w:sz w:val="21"/>
          <w:szCs w:val="21"/>
        </w:rPr>
      </w:pPr>
      <w:r w:rsidRPr="0039375B">
        <w:rPr>
          <w:rFonts w:cs="Arial"/>
          <w:b/>
          <w:sz w:val="21"/>
          <w:szCs w:val="21"/>
        </w:rPr>
        <w:t>A3.1      Requirements and proposed approach</w:t>
      </w:r>
    </w:p>
    <w:p w:rsidR="0039375B" w:rsidRPr="0039375B" w:rsidRDefault="0039375B" w:rsidP="0039375B">
      <w:pPr>
        <w:spacing w:after="0" w:line="240" w:lineRule="auto"/>
        <w:rPr>
          <w:rFonts w:cs="Arial"/>
          <w:b/>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The Corporate Comms team want to approach this work by focussing on a range of products within a specific end-to-end ‘customer journey’. Corporate Comms would like to focus on our Self-Assessment customer products, as they encompasses a wide range of channels (letters, forms, emails and SMS) and interventions (notices to file, reminders, customer support and penalty notices).</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 xml:space="preserve">In doing so, Corporate Comms can also explore whether a range of personas is required / effective. In other words, how the team can be both the helpful supporter of customers looking to complete a tax return and the strict enforcers of penalties where required. </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 xml:space="preserve">Self-Assessment is a well-established process for HMRC affecting a broad audience, and the department has a wealth of data to measure improvements against – for instance, the proportion of customers complying on time / online and the relative volumes of contact resulting from the outputs sent.   </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Having completed this distinct piece of work, HMRC teams would then spread the learning from the Self-Assessment products more broadly to our other customer communications – our other tax and payment regimes which also use similar channels and interventions.</w:t>
      </w:r>
    </w:p>
    <w:p w:rsidR="0039375B" w:rsidRPr="0039375B" w:rsidRDefault="0039375B" w:rsidP="0039375B">
      <w:pPr>
        <w:keepNext/>
        <w:spacing w:after="0"/>
        <w:ind w:left="851" w:hanging="851"/>
        <w:outlineLvl w:val="1"/>
        <w:rPr>
          <w:rFonts w:cs="Arial"/>
          <w:b/>
          <w:sz w:val="21"/>
          <w:szCs w:val="21"/>
        </w:rPr>
      </w:pPr>
    </w:p>
    <w:p w:rsidR="0039375B" w:rsidRPr="0039375B" w:rsidRDefault="0039375B" w:rsidP="0039375B">
      <w:pPr>
        <w:keepNext/>
        <w:spacing w:after="0"/>
        <w:ind w:left="851" w:hanging="851"/>
        <w:outlineLvl w:val="1"/>
        <w:rPr>
          <w:rFonts w:cs="Arial"/>
          <w:b/>
          <w:iCs/>
          <w:sz w:val="21"/>
          <w:szCs w:val="21"/>
        </w:rPr>
      </w:pPr>
    </w:p>
    <w:p w:rsidR="0039375B" w:rsidRPr="0039375B" w:rsidRDefault="0039375B" w:rsidP="0039375B">
      <w:pPr>
        <w:keepNext/>
        <w:spacing w:after="0"/>
        <w:ind w:left="851" w:hanging="851"/>
        <w:outlineLvl w:val="1"/>
        <w:rPr>
          <w:rFonts w:cs="Arial"/>
          <w:b/>
          <w:iCs/>
          <w:sz w:val="21"/>
          <w:szCs w:val="21"/>
          <w:highlight w:val="yellow"/>
        </w:rPr>
      </w:pPr>
      <w:r w:rsidRPr="0039375B">
        <w:rPr>
          <w:rFonts w:cs="Arial"/>
          <w:b/>
          <w:iCs/>
          <w:sz w:val="21"/>
          <w:szCs w:val="21"/>
        </w:rPr>
        <w:t>A4 P</w:t>
      </w:r>
      <w:r w:rsidRPr="0039375B">
        <w:rPr>
          <w:rFonts w:cs="Arial"/>
          <w:b/>
          <w:sz w:val="21"/>
          <w:szCs w:val="21"/>
        </w:rPr>
        <w:t>roject Outputs/Deliverables</w:t>
      </w:r>
    </w:p>
    <w:p w:rsidR="0039375B" w:rsidRPr="0039375B" w:rsidRDefault="0039375B" w:rsidP="0039375B">
      <w:pPr>
        <w:pStyle w:val="ListParagraph"/>
        <w:tabs>
          <w:tab w:val="left" w:pos="851"/>
        </w:tabs>
        <w:autoSpaceDE w:val="0"/>
        <w:autoSpaceDN w:val="0"/>
        <w:adjustRightInd w:val="0"/>
        <w:ind w:left="1208"/>
        <w:rPr>
          <w:rFonts w:cs="Arial"/>
          <w:iCs/>
          <w:sz w:val="21"/>
          <w:szCs w:val="21"/>
        </w:rPr>
      </w:pPr>
    </w:p>
    <w:p w:rsidR="0039375B" w:rsidRPr="0039375B" w:rsidRDefault="0039375B" w:rsidP="0039375B">
      <w:pPr>
        <w:pStyle w:val="ListParagraph"/>
        <w:spacing w:after="0" w:line="240" w:lineRule="auto"/>
        <w:ind w:left="851" w:hanging="851"/>
        <w:rPr>
          <w:rFonts w:cs="Arial"/>
          <w:sz w:val="21"/>
          <w:szCs w:val="21"/>
        </w:rPr>
      </w:pPr>
      <w:r w:rsidRPr="0039375B">
        <w:rPr>
          <w:rFonts w:cs="Arial"/>
          <w:sz w:val="21"/>
          <w:szCs w:val="21"/>
        </w:rPr>
        <w:t>The key deliverables of this project are as follows:</w:t>
      </w:r>
    </w:p>
    <w:p w:rsidR="0039375B" w:rsidRPr="0039375B" w:rsidRDefault="0039375B" w:rsidP="0039375B">
      <w:pPr>
        <w:pStyle w:val="ListParagraph"/>
        <w:spacing w:after="0" w:line="240" w:lineRule="auto"/>
        <w:ind w:left="851" w:hanging="851"/>
        <w:rPr>
          <w:rFonts w:cs="Arial"/>
          <w:sz w:val="21"/>
          <w:szCs w:val="21"/>
        </w:rPr>
      </w:pPr>
    </w:p>
    <w:p w:rsidR="0039375B" w:rsidRPr="0039375B" w:rsidRDefault="0039375B" w:rsidP="0039375B">
      <w:pPr>
        <w:pStyle w:val="ListParagraph"/>
        <w:numPr>
          <w:ilvl w:val="6"/>
          <w:numId w:val="1"/>
        </w:numPr>
        <w:spacing w:after="0" w:line="240" w:lineRule="auto"/>
        <w:ind w:left="709" w:hanging="425"/>
        <w:rPr>
          <w:rFonts w:cs="Arial"/>
          <w:sz w:val="21"/>
          <w:szCs w:val="21"/>
        </w:rPr>
      </w:pPr>
      <w:r w:rsidRPr="0039375B">
        <w:rPr>
          <w:rFonts w:cs="Arial"/>
          <w:sz w:val="21"/>
          <w:szCs w:val="21"/>
        </w:rPr>
        <w:t xml:space="preserve">To assess and recommend improvements to the simplicity, clarity and tone of a range of HMRC’s outputs to Self-Assessment customers. </w:t>
      </w:r>
    </w:p>
    <w:p w:rsidR="0039375B" w:rsidRPr="0039375B" w:rsidRDefault="0039375B" w:rsidP="0039375B">
      <w:pPr>
        <w:pStyle w:val="ListParagraph"/>
        <w:numPr>
          <w:ilvl w:val="6"/>
          <w:numId w:val="1"/>
        </w:numPr>
        <w:spacing w:after="0" w:line="240" w:lineRule="auto"/>
        <w:ind w:left="709" w:hanging="393"/>
        <w:rPr>
          <w:rFonts w:cs="Arial"/>
          <w:sz w:val="21"/>
          <w:szCs w:val="21"/>
        </w:rPr>
      </w:pPr>
      <w:r w:rsidRPr="0039375B">
        <w:rPr>
          <w:rFonts w:cs="Arial"/>
          <w:sz w:val="21"/>
          <w:szCs w:val="21"/>
        </w:rPr>
        <w:t>To recommend principles and learning points that HMRC can apply to other outputs and share with teams responsible for their production.</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b/>
          <w:sz w:val="21"/>
          <w:szCs w:val="21"/>
        </w:rPr>
      </w:pPr>
      <w:r w:rsidRPr="0039375B">
        <w:rPr>
          <w:rFonts w:cs="Arial"/>
          <w:b/>
          <w:sz w:val="21"/>
          <w:szCs w:val="21"/>
        </w:rPr>
        <w:t>A5 Tender Proposal</w:t>
      </w:r>
    </w:p>
    <w:p w:rsidR="0039375B" w:rsidRPr="0039375B" w:rsidRDefault="0039375B" w:rsidP="0039375B">
      <w:pPr>
        <w:spacing w:after="0" w:line="240" w:lineRule="auto"/>
        <w:rPr>
          <w:rFonts w:cs="Arial"/>
          <w:b/>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 xml:space="preserve">A.5.1 As part of their bids, tenderers must submit a bid to be attached to the event on HMRC’s instance of Ariba (for which tenderers must register if they have not already done so). </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rPr>
      </w:pPr>
      <w:r w:rsidRPr="0039375B">
        <w:rPr>
          <w:rFonts w:cs="Arial"/>
          <w:sz w:val="21"/>
          <w:szCs w:val="21"/>
        </w:rPr>
        <w:t xml:space="preserve">A.5.2. The proposal should be </w:t>
      </w:r>
      <w:r w:rsidRPr="0039375B">
        <w:rPr>
          <w:rFonts w:cs="Arial"/>
          <w:b/>
          <w:sz w:val="21"/>
          <w:szCs w:val="21"/>
        </w:rPr>
        <w:t>no longer than 10 pages including appendices</w:t>
      </w:r>
      <w:r w:rsidRPr="0039375B">
        <w:rPr>
          <w:rFonts w:cs="Arial"/>
          <w:sz w:val="21"/>
          <w:szCs w:val="21"/>
        </w:rPr>
        <w:t>.  It should specify who will be responsible for delivering this project and, if more than one person, should provide detail of the input into the project that will be provided by each named person. The proposal submitted should include:</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u w:val="single"/>
        </w:rPr>
      </w:pPr>
    </w:p>
    <w:p w:rsidR="0039375B" w:rsidRPr="0039375B" w:rsidRDefault="0039375B" w:rsidP="0039375B">
      <w:pPr>
        <w:spacing w:after="0" w:line="240" w:lineRule="auto"/>
        <w:rPr>
          <w:rFonts w:cs="Arial"/>
          <w:sz w:val="21"/>
          <w:szCs w:val="21"/>
          <w:u w:val="single"/>
        </w:rPr>
      </w:pPr>
    </w:p>
    <w:p w:rsidR="0039375B" w:rsidRPr="0039375B" w:rsidRDefault="0039375B" w:rsidP="0039375B">
      <w:pPr>
        <w:spacing w:after="0" w:line="240" w:lineRule="auto"/>
        <w:rPr>
          <w:rFonts w:cs="Arial"/>
          <w:sz w:val="21"/>
          <w:szCs w:val="21"/>
          <w:u w:val="single"/>
        </w:rPr>
      </w:pPr>
    </w:p>
    <w:p w:rsidR="0039375B" w:rsidRPr="0039375B" w:rsidRDefault="0039375B" w:rsidP="0039375B">
      <w:pPr>
        <w:spacing w:after="0" w:line="240" w:lineRule="auto"/>
        <w:rPr>
          <w:rFonts w:cs="Arial"/>
          <w:sz w:val="21"/>
          <w:szCs w:val="21"/>
          <w:u w:val="single"/>
        </w:rPr>
      </w:pPr>
      <w:r w:rsidRPr="0039375B">
        <w:rPr>
          <w:rFonts w:cs="Arial"/>
          <w:sz w:val="21"/>
          <w:szCs w:val="21"/>
          <w:u w:val="single"/>
        </w:rPr>
        <w:t>Background:</w:t>
      </w:r>
    </w:p>
    <w:p w:rsidR="0039375B" w:rsidRPr="0039375B" w:rsidRDefault="0039375B" w:rsidP="0039375B">
      <w:pPr>
        <w:spacing w:after="0" w:line="240" w:lineRule="auto"/>
        <w:rPr>
          <w:rFonts w:cs="Arial"/>
          <w:sz w:val="21"/>
          <w:szCs w:val="21"/>
          <w:u w:val="single"/>
        </w:rPr>
      </w:pPr>
    </w:p>
    <w:p w:rsidR="0039375B" w:rsidRPr="0039375B" w:rsidRDefault="0039375B" w:rsidP="0039375B">
      <w:pPr>
        <w:pStyle w:val="ListParagraph"/>
        <w:numPr>
          <w:ilvl w:val="0"/>
          <w:numId w:val="5"/>
        </w:numPr>
        <w:spacing w:after="0" w:line="240" w:lineRule="auto"/>
        <w:rPr>
          <w:rFonts w:cs="Arial"/>
          <w:sz w:val="21"/>
          <w:szCs w:val="21"/>
        </w:rPr>
      </w:pPr>
      <w:r w:rsidRPr="0039375B">
        <w:rPr>
          <w:rFonts w:cs="Arial"/>
          <w:sz w:val="21"/>
          <w:szCs w:val="21"/>
        </w:rPr>
        <w:t>Understanding of the specification;</w:t>
      </w:r>
    </w:p>
    <w:p w:rsidR="0039375B" w:rsidRPr="0039375B" w:rsidRDefault="0039375B" w:rsidP="0039375B">
      <w:pPr>
        <w:pStyle w:val="ListParagraph"/>
        <w:numPr>
          <w:ilvl w:val="0"/>
          <w:numId w:val="5"/>
        </w:numPr>
        <w:spacing w:after="0" w:line="240" w:lineRule="auto"/>
        <w:rPr>
          <w:rFonts w:cs="Arial"/>
          <w:sz w:val="21"/>
          <w:szCs w:val="21"/>
        </w:rPr>
      </w:pPr>
      <w:r w:rsidRPr="0039375B">
        <w:rPr>
          <w:rFonts w:cs="Arial"/>
          <w:sz w:val="21"/>
          <w:szCs w:val="21"/>
        </w:rPr>
        <w:t>Evidence of your understanding of the business area and knowledge and expertise in relation to the project’s objectives with two case studies of similar contracts you have performed (preferably for a public-sector organisation).</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u w:val="single"/>
        </w:rPr>
      </w:pPr>
      <w:r w:rsidRPr="0039375B">
        <w:rPr>
          <w:rFonts w:cs="Arial"/>
          <w:sz w:val="21"/>
          <w:szCs w:val="21"/>
          <w:u w:val="single"/>
        </w:rPr>
        <w:t>Your suggested approach/method:</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Your suggested approach (for each ‘phase’ of work, if applicable)</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u w:val="single"/>
        </w:rPr>
      </w:pPr>
      <w:r w:rsidRPr="0039375B">
        <w:rPr>
          <w:rFonts w:cs="Arial"/>
          <w:sz w:val="21"/>
          <w:szCs w:val="21"/>
          <w:u w:val="single"/>
        </w:rPr>
        <w:t>Project Management:</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Details of all individuals who will be working on the project and evidence of their ability to deliver the aims of the project (including detail of the input into the project that will be provided by each named person if more than one person will be responsible for project delivery);</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Whether any part of the project will be subcontracted, and if so, to whom;</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Evidence of capacity to deliver the requirement in the specified timeframe;</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Timetable for delivering the work including key milestones ;</w:t>
      </w:r>
    </w:p>
    <w:p w:rsidR="0039375B" w:rsidRPr="0039375B" w:rsidRDefault="0039375B" w:rsidP="0039375B">
      <w:pPr>
        <w:pStyle w:val="ListParagraph"/>
        <w:numPr>
          <w:ilvl w:val="0"/>
          <w:numId w:val="6"/>
        </w:numPr>
        <w:spacing w:after="0" w:line="240" w:lineRule="auto"/>
        <w:rPr>
          <w:rFonts w:cs="Arial"/>
          <w:sz w:val="21"/>
          <w:szCs w:val="21"/>
        </w:rPr>
      </w:pPr>
      <w:r w:rsidRPr="0039375B">
        <w:rPr>
          <w:rFonts w:cs="Arial"/>
          <w:sz w:val="21"/>
          <w:szCs w:val="21"/>
        </w:rPr>
        <w:t>Details of main risks to the project as you see them and the contingencies you will use to manage them;</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u w:val="single"/>
        </w:rPr>
      </w:pPr>
      <w:r w:rsidRPr="0039375B">
        <w:rPr>
          <w:rFonts w:cs="Arial"/>
          <w:sz w:val="21"/>
          <w:szCs w:val="21"/>
          <w:u w:val="single"/>
        </w:rPr>
        <w:t>Example Document:</w:t>
      </w:r>
    </w:p>
    <w:p w:rsidR="0039375B" w:rsidRPr="0039375B" w:rsidRDefault="0039375B" w:rsidP="0039375B">
      <w:pPr>
        <w:spacing w:after="0" w:line="240" w:lineRule="auto"/>
        <w:rPr>
          <w:rFonts w:cs="Arial"/>
          <w:sz w:val="21"/>
          <w:szCs w:val="21"/>
          <w:u w:val="single"/>
        </w:rPr>
      </w:pPr>
    </w:p>
    <w:p w:rsidR="0039375B" w:rsidRPr="0039375B" w:rsidRDefault="0039375B" w:rsidP="0039375B">
      <w:pPr>
        <w:pStyle w:val="ListParagraph"/>
        <w:numPr>
          <w:ilvl w:val="0"/>
          <w:numId w:val="7"/>
        </w:numPr>
        <w:spacing w:after="0" w:line="240" w:lineRule="auto"/>
        <w:rPr>
          <w:rFonts w:cs="Arial"/>
          <w:sz w:val="21"/>
          <w:szCs w:val="21"/>
          <w:u w:val="single"/>
        </w:rPr>
      </w:pPr>
      <w:r w:rsidRPr="0039375B">
        <w:rPr>
          <w:rFonts w:cs="Arial"/>
          <w:sz w:val="21"/>
          <w:szCs w:val="21"/>
        </w:rPr>
        <w:t xml:space="preserve">As part of the question set in the e-Sourcing event for this tender, an example document of HMRC’s direct written communications will be included as an attachment to the event on SAP Ariba. </w:t>
      </w:r>
    </w:p>
    <w:p w:rsidR="0039375B" w:rsidRPr="0039375B" w:rsidRDefault="0039375B" w:rsidP="0039375B">
      <w:pPr>
        <w:pStyle w:val="ListParagraph"/>
        <w:numPr>
          <w:ilvl w:val="0"/>
          <w:numId w:val="7"/>
        </w:numPr>
        <w:spacing w:after="0" w:line="240" w:lineRule="auto"/>
        <w:rPr>
          <w:rFonts w:cs="Arial"/>
          <w:sz w:val="21"/>
          <w:szCs w:val="21"/>
          <w:u w:val="single"/>
        </w:rPr>
      </w:pPr>
      <w:r w:rsidRPr="0039375B">
        <w:rPr>
          <w:rFonts w:cs="Arial"/>
          <w:sz w:val="21"/>
          <w:szCs w:val="21"/>
        </w:rPr>
        <w:t>In line with the key deliverables listed above, the bidding organisation must give suggestions to improve the tone of the document, as well as improving the clarity of the written content.</w:t>
      </w:r>
    </w:p>
    <w:p w:rsidR="0039375B" w:rsidRPr="0039375B" w:rsidRDefault="0039375B" w:rsidP="0039375B">
      <w:pPr>
        <w:pStyle w:val="ListParagraph"/>
        <w:numPr>
          <w:ilvl w:val="0"/>
          <w:numId w:val="7"/>
        </w:numPr>
        <w:spacing w:after="0" w:line="240" w:lineRule="auto"/>
        <w:rPr>
          <w:rFonts w:cs="Arial"/>
          <w:sz w:val="21"/>
          <w:szCs w:val="21"/>
          <w:u w:val="single"/>
        </w:rPr>
      </w:pPr>
      <w:r w:rsidRPr="0039375B">
        <w:rPr>
          <w:rFonts w:cs="Arial"/>
          <w:sz w:val="21"/>
          <w:szCs w:val="21"/>
        </w:rPr>
        <w:t>The appraisal of this example text should be Appendix A within the 10-page proposal, and will be factored into the evaluation scoring for each bid.</w:t>
      </w:r>
    </w:p>
    <w:p w:rsidR="0039375B" w:rsidRPr="0039375B" w:rsidRDefault="0039375B" w:rsidP="0039375B">
      <w:pPr>
        <w:spacing w:after="0" w:line="240" w:lineRule="auto"/>
        <w:rPr>
          <w:rFonts w:cs="Arial"/>
          <w:sz w:val="21"/>
          <w:szCs w:val="21"/>
        </w:rPr>
      </w:pPr>
    </w:p>
    <w:p w:rsidR="0039375B" w:rsidRPr="0039375B" w:rsidRDefault="0039375B" w:rsidP="0039375B">
      <w:pPr>
        <w:spacing w:after="0" w:line="240" w:lineRule="auto"/>
        <w:rPr>
          <w:rFonts w:cs="Arial"/>
          <w:sz w:val="21"/>
          <w:szCs w:val="21"/>
          <w:u w:val="single"/>
        </w:rPr>
      </w:pPr>
      <w:r w:rsidRPr="0039375B">
        <w:rPr>
          <w:rFonts w:cs="Arial"/>
          <w:sz w:val="21"/>
          <w:szCs w:val="21"/>
          <w:u w:val="single"/>
        </w:rPr>
        <w:t>Costs:</w:t>
      </w:r>
    </w:p>
    <w:p w:rsidR="0039375B" w:rsidRPr="0039375B" w:rsidRDefault="0039375B" w:rsidP="0039375B">
      <w:pPr>
        <w:spacing w:after="0" w:line="240" w:lineRule="auto"/>
        <w:rPr>
          <w:rFonts w:cs="Arial"/>
          <w:sz w:val="21"/>
          <w:szCs w:val="21"/>
        </w:rPr>
      </w:pPr>
    </w:p>
    <w:p w:rsidR="0039375B" w:rsidRPr="0039375B" w:rsidRDefault="0039375B" w:rsidP="0039375B">
      <w:pPr>
        <w:pStyle w:val="ListParagraph"/>
        <w:numPr>
          <w:ilvl w:val="0"/>
          <w:numId w:val="8"/>
        </w:numPr>
        <w:spacing w:after="0" w:line="240" w:lineRule="auto"/>
        <w:rPr>
          <w:rFonts w:cs="Arial"/>
          <w:sz w:val="21"/>
          <w:szCs w:val="21"/>
        </w:rPr>
      </w:pPr>
      <w:r w:rsidRPr="0039375B">
        <w:rPr>
          <w:rFonts w:cs="Arial"/>
          <w:sz w:val="21"/>
          <w:szCs w:val="21"/>
        </w:rPr>
        <w:t>Full breakdown of costs, (including daily/hourly rates for travel and subsistence and out of pocket expenses) to be presented as a resource profile, giving a breakdown of the resources in person days to each task (see Appendix A)</w:t>
      </w:r>
    </w:p>
    <w:p w:rsidR="0039375B" w:rsidRPr="0039375B" w:rsidRDefault="0039375B" w:rsidP="0039375B">
      <w:pPr>
        <w:pStyle w:val="ListParagraph"/>
        <w:numPr>
          <w:ilvl w:val="0"/>
          <w:numId w:val="8"/>
        </w:numPr>
        <w:spacing w:after="0" w:line="240" w:lineRule="auto"/>
        <w:rPr>
          <w:rFonts w:cs="Arial"/>
          <w:sz w:val="21"/>
          <w:szCs w:val="21"/>
        </w:rPr>
      </w:pPr>
      <w:r w:rsidRPr="0039375B">
        <w:rPr>
          <w:rFonts w:cs="Arial"/>
          <w:sz w:val="21"/>
          <w:szCs w:val="21"/>
        </w:rPr>
        <w:t>When costing proposals, tenderers must ensure the contracting authority can see these key stages clearly. Tenderers must make the Sourcing team aware of any conflict of interest in submitting a proposal.</w:t>
      </w:r>
    </w:p>
    <w:p w:rsidR="0039375B" w:rsidRPr="0039375B" w:rsidRDefault="0039375B" w:rsidP="0039375B">
      <w:pPr>
        <w:spacing w:after="0" w:line="240" w:lineRule="auto"/>
        <w:rPr>
          <w:rFonts w:cs="Arial"/>
          <w:bCs/>
          <w:iCs/>
          <w:sz w:val="21"/>
          <w:szCs w:val="21"/>
        </w:rPr>
      </w:pPr>
    </w:p>
    <w:p w:rsidR="0039375B" w:rsidRPr="0039375B" w:rsidRDefault="0039375B" w:rsidP="0039375B">
      <w:pPr>
        <w:keepNext/>
        <w:spacing w:after="120"/>
        <w:ind w:left="851" w:hanging="851"/>
        <w:outlineLvl w:val="1"/>
        <w:rPr>
          <w:rFonts w:cs="Arial"/>
          <w:b/>
          <w:sz w:val="21"/>
          <w:szCs w:val="21"/>
        </w:rPr>
      </w:pPr>
      <w:r w:rsidRPr="0039375B">
        <w:rPr>
          <w:rFonts w:cs="Arial"/>
          <w:b/>
          <w:sz w:val="21"/>
          <w:szCs w:val="21"/>
        </w:rPr>
        <w:t>A6</w:t>
      </w:r>
      <w:r w:rsidRPr="0039375B">
        <w:rPr>
          <w:rFonts w:cs="Arial"/>
          <w:b/>
          <w:sz w:val="21"/>
          <w:szCs w:val="21"/>
        </w:rPr>
        <w:tab/>
        <w:t xml:space="preserve">Location and Travel Expenses </w:t>
      </w:r>
    </w:p>
    <w:p w:rsidR="0039375B" w:rsidRPr="0039375B" w:rsidRDefault="0039375B" w:rsidP="0039375B">
      <w:pPr>
        <w:tabs>
          <w:tab w:val="left" w:pos="851"/>
          <w:tab w:val="left" w:pos="993"/>
        </w:tabs>
        <w:spacing w:after="0" w:line="240" w:lineRule="auto"/>
        <w:ind w:left="851" w:hanging="851"/>
        <w:rPr>
          <w:rFonts w:cs="Arial"/>
          <w:bCs/>
          <w:iCs/>
          <w:sz w:val="21"/>
          <w:szCs w:val="21"/>
        </w:rPr>
      </w:pPr>
      <w:r w:rsidRPr="0039375B">
        <w:rPr>
          <w:rFonts w:cs="Arial"/>
          <w:sz w:val="21"/>
          <w:szCs w:val="21"/>
        </w:rPr>
        <w:t>A6.1</w:t>
      </w:r>
      <w:r w:rsidRPr="0039375B">
        <w:rPr>
          <w:rFonts w:cs="Arial"/>
          <w:b/>
          <w:sz w:val="21"/>
          <w:szCs w:val="21"/>
        </w:rPr>
        <w:tab/>
      </w:r>
      <w:r w:rsidRPr="0039375B">
        <w:rPr>
          <w:rFonts w:cs="Arial"/>
          <w:sz w:val="21"/>
          <w:szCs w:val="21"/>
        </w:rPr>
        <w:t xml:space="preserve">To assist the Contractor with resource planning only, it is envisaged that 10 South Colonnade, Canary Wharf, London, will be the Base Location for the majority of assignments. </w:t>
      </w:r>
    </w:p>
    <w:p w:rsidR="0039375B" w:rsidRPr="0039375B" w:rsidRDefault="0039375B" w:rsidP="0039375B">
      <w:pPr>
        <w:tabs>
          <w:tab w:val="left" w:pos="851"/>
          <w:tab w:val="left" w:pos="993"/>
        </w:tabs>
        <w:spacing w:after="0" w:line="240" w:lineRule="auto"/>
        <w:ind w:left="851" w:hanging="851"/>
        <w:rPr>
          <w:rFonts w:cs="Arial"/>
          <w:bCs/>
          <w:iCs/>
          <w:sz w:val="21"/>
          <w:szCs w:val="21"/>
        </w:rPr>
      </w:pPr>
    </w:p>
    <w:p w:rsidR="0039375B" w:rsidRPr="0039375B" w:rsidRDefault="0039375B" w:rsidP="0039375B">
      <w:pPr>
        <w:tabs>
          <w:tab w:val="left" w:pos="851"/>
          <w:tab w:val="left" w:pos="993"/>
        </w:tabs>
        <w:spacing w:after="0" w:line="240" w:lineRule="auto"/>
        <w:ind w:left="851" w:hanging="851"/>
        <w:rPr>
          <w:rFonts w:cs="Arial"/>
          <w:sz w:val="21"/>
          <w:szCs w:val="21"/>
        </w:rPr>
      </w:pPr>
      <w:r w:rsidRPr="0039375B">
        <w:rPr>
          <w:rFonts w:cs="Arial"/>
          <w:sz w:val="21"/>
          <w:szCs w:val="21"/>
        </w:rPr>
        <w:t>A6.2</w:t>
      </w:r>
      <w:r w:rsidRPr="0039375B">
        <w:rPr>
          <w:rFonts w:cs="Arial"/>
          <w:sz w:val="21"/>
          <w:szCs w:val="21"/>
        </w:rPr>
        <w:tab/>
      </w:r>
      <w:r w:rsidRPr="0039375B">
        <w:rPr>
          <w:rFonts w:cs="Arial"/>
          <w:bCs/>
          <w:iCs/>
          <w:sz w:val="21"/>
          <w:szCs w:val="21"/>
        </w:rPr>
        <w:t xml:space="preserve">Travel to and from the Base Location stated in the contract must be included in the Contractor’s basic proposal charge, as these costs will not be reimbursed separately by HMRC. </w:t>
      </w:r>
    </w:p>
    <w:p w:rsidR="0039375B" w:rsidRPr="0039375B" w:rsidRDefault="0039375B" w:rsidP="0039375B">
      <w:pPr>
        <w:tabs>
          <w:tab w:val="left" w:pos="851"/>
          <w:tab w:val="left" w:pos="993"/>
        </w:tabs>
        <w:spacing w:after="0"/>
        <w:ind w:left="851" w:hanging="851"/>
        <w:rPr>
          <w:rFonts w:cs="Arial"/>
          <w:sz w:val="21"/>
          <w:szCs w:val="21"/>
        </w:rPr>
      </w:pPr>
    </w:p>
    <w:p w:rsidR="0039375B" w:rsidRPr="0039375B" w:rsidRDefault="0039375B" w:rsidP="0039375B">
      <w:pPr>
        <w:tabs>
          <w:tab w:val="left" w:pos="851"/>
          <w:tab w:val="left" w:pos="993"/>
        </w:tabs>
        <w:spacing w:after="0" w:line="240" w:lineRule="auto"/>
        <w:ind w:left="851" w:hanging="851"/>
        <w:rPr>
          <w:rFonts w:cs="Arial"/>
          <w:color w:val="000000"/>
          <w:sz w:val="21"/>
          <w:szCs w:val="21"/>
        </w:rPr>
      </w:pPr>
      <w:r w:rsidRPr="0039375B">
        <w:rPr>
          <w:rFonts w:cs="Arial"/>
          <w:sz w:val="21"/>
          <w:szCs w:val="21"/>
        </w:rPr>
        <w:t>A6.3</w:t>
      </w:r>
      <w:r w:rsidRPr="0039375B">
        <w:rPr>
          <w:rFonts w:cs="Arial"/>
          <w:sz w:val="21"/>
          <w:szCs w:val="21"/>
        </w:rPr>
        <w:tab/>
      </w:r>
      <w:r w:rsidRPr="0039375B">
        <w:rPr>
          <w:rFonts w:cs="Arial"/>
          <w:color w:val="000000"/>
          <w:sz w:val="21"/>
          <w:szCs w:val="21"/>
        </w:rPr>
        <w:t>Expenses are payable where travel to</w:t>
      </w:r>
      <w:r w:rsidRPr="0039375B">
        <w:rPr>
          <w:rFonts w:cs="Arial"/>
          <w:i/>
          <w:color w:val="000000"/>
          <w:sz w:val="21"/>
          <w:szCs w:val="21"/>
        </w:rPr>
        <w:t xml:space="preserve"> </w:t>
      </w:r>
      <w:r w:rsidRPr="0039375B">
        <w:rPr>
          <w:rFonts w:cs="Arial"/>
          <w:color w:val="000000"/>
          <w:sz w:val="21"/>
          <w:szCs w:val="21"/>
        </w:rPr>
        <w:t xml:space="preserve">other locations is required as part of the assignment forming part of this agreement.  Where an </w:t>
      </w:r>
      <w:r w:rsidRPr="0039375B">
        <w:rPr>
          <w:rFonts w:cs="Arial"/>
          <w:sz w:val="21"/>
          <w:szCs w:val="21"/>
        </w:rPr>
        <w:t xml:space="preserve">overnight stay is required HMRC will pay for actual bed and breakfast costs within </w:t>
      </w:r>
      <w:r w:rsidRPr="0039375B">
        <w:rPr>
          <w:rFonts w:cs="Arial"/>
          <w:color w:val="000000"/>
          <w:sz w:val="21"/>
          <w:szCs w:val="21"/>
        </w:rPr>
        <w:t xml:space="preserve">the current maximum limits detailed below.  </w:t>
      </w:r>
      <w:r w:rsidRPr="0039375B">
        <w:rPr>
          <w:rFonts w:cs="Arial"/>
          <w:sz w:val="21"/>
          <w:szCs w:val="21"/>
        </w:rPr>
        <w:t>Any other subsistence or incidental expenses are not payable.</w:t>
      </w:r>
      <w:r w:rsidRPr="0039375B">
        <w:rPr>
          <w:rFonts w:cs="Arial"/>
          <w:color w:val="000000"/>
          <w:sz w:val="21"/>
          <w:szCs w:val="21"/>
        </w:rPr>
        <w:t xml:space="preserve">  Receipts must be provided.</w:t>
      </w:r>
    </w:p>
    <w:p w:rsidR="00421C79" w:rsidRPr="0039375B" w:rsidRDefault="00421C79" w:rsidP="0039375B"/>
    <w:bookmarkEnd w:id="0"/>
    <w:bookmarkEnd w:id="1"/>
    <w:sectPr w:rsidR="00421C79" w:rsidRPr="003937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79" w:rsidRDefault="00421C79" w:rsidP="00421C79">
      <w:pPr>
        <w:spacing w:after="0" w:line="240" w:lineRule="auto"/>
      </w:pPr>
      <w:r>
        <w:separator/>
      </w:r>
    </w:p>
  </w:endnote>
  <w:endnote w:type="continuationSeparator" w:id="0">
    <w:p w:rsidR="00421C79" w:rsidRDefault="00421C79" w:rsidP="0042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79" w:rsidRDefault="00421C79" w:rsidP="00421C79">
      <w:pPr>
        <w:spacing w:after="0" w:line="240" w:lineRule="auto"/>
      </w:pPr>
      <w:r>
        <w:separator/>
      </w:r>
    </w:p>
  </w:footnote>
  <w:footnote w:type="continuationSeparator" w:id="0">
    <w:p w:rsidR="00421C79" w:rsidRDefault="00421C79" w:rsidP="00421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67E6"/>
    <w:multiLevelType w:val="hybridMultilevel"/>
    <w:tmpl w:val="CCC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77FC"/>
    <w:multiLevelType w:val="hybridMultilevel"/>
    <w:tmpl w:val="89F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31521"/>
    <w:multiLevelType w:val="hybridMultilevel"/>
    <w:tmpl w:val="8ADCB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21047"/>
    <w:multiLevelType w:val="multilevel"/>
    <w:tmpl w:val="6D7A483E"/>
    <w:lvl w:ilvl="0">
      <w:start w:val="1"/>
      <w:numFmt w:val="lowerLetter"/>
      <w:lvlText w:val="%1)"/>
      <w:lvlJc w:val="left"/>
      <w:pPr>
        <w:ind w:left="720" w:hanging="720"/>
      </w:pPr>
      <w:rPr>
        <w:rFonts w:hint="default"/>
      </w:rPr>
    </w:lvl>
    <w:lvl w:ilvl="1">
      <w:start w:val="1"/>
      <w:numFmt w:val="upperLetter"/>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1E2E1F"/>
    <w:multiLevelType w:val="hybridMultilevel"/>
    <w:tmpl w:val="3D14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C085F"/>
    <w:multiLevelType w:val="hybridMultilevel"/>
    <w:tmpl w:val="9C4C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79"/>
    <w:rsid w:val="0039375B"/>
    <w:rsid w:val="00421C79"/>
    <w:rsid w:val="00F0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BFE74-D2CD-45FF-AA16-9CB33909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79"/>
    <w:rPr>
      <w:rFonts w:ascii="Arial" w:hAnsi="Arial"/>
    </w:rPr>
  </w:style>
  <w:style w:type="paragraph" w:styleId="Heading3">
    <w:name w:val="heading 3"/>
    <w:basedOn w:val="Normal"/>
    <w:next w:val="Normal"/>
    <w:link w:val="Heading3Char"/>
    <w:uiPriority w:val="9"/>
    <w:semiHidden/>
    <w:unhideWhenUsed/>
    <w:qFormat/>
    <w:rsid w:val="00421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1C79"/>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421C79"/>
    <w:pPr>
      <w:spacing w:after="0" w:line="240" w:lineRule="auto"/>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C79"/>
    <w:pPr>
      <w:ind w:left="720"/>
      <w:contextualSpacing/>
    </w:pPr>
  </w:style>
  <w:style w:type="paragraph" w:customStyle="1" w:styleId="Bodytextprebullet">
    <w:name w:val="Body text pre bullet"/>
    <w:basedOn w:val="Normal"/>
    <w:rsid w:val="00421C79"/>
    <w:pPr>
      <w:keepNext/>
      <w:spacing w:before="240" w:after="140" w:line="240" w:lineRule="auto"/>
    </w:pPr>
    <w:rPr>
      <w:rFonts w:ascii="Univers 45 Light" w:eastAsia="Times New Roman" w:hAnsi="Univers 45 Light" w:cs="Times New Roman"/>
      <w:color w:val="000000"/>
      <w:sz w:val="20"/>
    </w:rPr>
  </w:style>
  <w:style w:type="paragraph" w:styleId="Header">
    <w:name w:val="header"/>
    <w:basedOn w:val="Normal"/>
    <w:link w:val="HeaderChar"/>
    <w:uiPriority w:val="99"/>
    <w:unhideWhenUsed/>
    <w:rsid w:val="00421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C79"/>
    <w:rPr>
      <w:rFonts w:ascii="Arial" w:hAnsi="Arial"/>
    </w:rPr>
  </w:style>
  <w:style w:type="paragraph" w:styleId="Footer">
    <w:name w:val="footer"/>
    <w:basedOn w:val="Normal"/>
    <w:link w:val="FooterChar"/>
    <w:uiPriority w:val="99"/>
    <w:unhideWhenUsed/>
    <w:rsid w:val="00421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C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 Rohan (Commercial)</dc:creator>
  <cp:keywords/>
  <dc:description/>
  <cp:lastModifiedBy>Pai, Rohan (Commercial)</cp:lastModifiedBy>
  <cp:revision>2</cp:revision>
  <dcterms:created xsi:type="dcterms:W3CDTF">2018-03-22T10:00:00Z</dcterms:created>
  <dcterms:modified xsi:type="dcterms:W3CDTF">2018-03-22T10:58:00Z</dcterms:modified>
</cp:coreProperties>
</file>