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0318" w14:textId="5C18A785" w:rsidR="00FB245D" w:rsidRDefault="00FB245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Threatened Species Recovery Actions project 2023-24</w:t>
      </w:r>
    </w:p>
    <w:p w14:paraId="59404BC3" w14:textId="3928CA29" w:rsidR="00C244D1" w:rsidRDefault="0038685E">
      <w:pPr>
        <w:rPr>
          <w:rFonts w:ascii="Arial" w:hAnsi="Arial" w:cs="Arial"/>
          <w:b/>
          <w:bCs/>
          <w:sz w:val="24"/>
          <w:szCs w:val="24"/>
        </w:rPr>
      </w:pPr>
      <w:r w:rsidRPr="00FB245D">
        <w:rPr>
          <w:rFonts w:ascii="Arial" w:hAnsi="Arial" w:cs="Arial"/>
          <w:b/>
          <w:bCs/>
          <w:sz w:val="24"/>
          <w:szCs w:val="24"/>
        </w:rPr>
        <w:t xml:space="preserve">Further guidance on </w:t>
      </w:r>
      <w:r w:rsidR="00660049">
        <w:rPr>
          <w:rFonts w:ascii="Arial" w:hAnsi="Arial" w:cs="Arial"/>
          <w:b/>
          <w:bCs/>
          <w:sz w:val="24"/>
          <w:szCs w:val="24"/>
        </w:rPr>
        <w:t xml:space="preserve">writing </w:t>
      </w:r>
      <w:r w:rsidRPr="00FB245D">
        <w:rPr>
          <w:rFonts w:ascii="Arial" w:hAnsi="Arial" w:cs="Arial"/>
          <w:b/>
          <w:bCs/>
          <w:sz w:val="24"/>
          <w:szCs w:val="24"/>
        </w:rPr>
        <w:t>Actions (</w:t>
      </w:r>
      <w:r w:rsidR="00660049">
        <w:rPr>
          <w:rFonts w:ascii="Arial" w:hAnsi="Arial" w:cs="Arial"/>
          <w:b/>
          <w:bCs/>
          <w:sz w:val="24"/>
          <w:szCs w:val="24"/>
        </w:rPr>
        <w:t xml:space="preserve">spreadsheet </w:t>
      </w:r>
      <w:r w:rsidRPr="00FB245D">
        <w:rPr>
          <w:rFonts w:ascii="Arial" w:hAnsi="Arial" w:cs="Arial"/>
          <w:b/>
          <w:bCs/>
          <w:sz w:val="24"/>
          <w:szCs w:val="24"/>
        </w:rPr>
        <w:t>columns R, AC, AN)</w:t>
      </w:r>
    </w:p>
    <w:p w14:paraId="6CE06800" w14:textId="7BC8A74C" w:rsidR="00FF15B9" w:rsidRPr="0077121E" w:rsidRDefault="00FF15B9">
      <w:pPr>
        <w:rPr>
          <w:rFonts w:ascii="Arial" w:hAnsi="Arial" w:cs="Arial"/>
        </w:rPr>
      </w:pPr>
      <w:r w:rsidRPr="0077121E">
        <w:rPr>
          <w:rFonts w:ascii="Arial" w:hAnsi="Arial" w:cs="Arial"/>
        </w:rPr>
        <w:t xml:space="preserve">This guidance has been produced </w:t>
      </w:r>
      <w:r w:rsidR="009D2094" w:rsidRPr="0077121E">
        <w:rPr>
          <w:rFonts w:ascii="Arial" w:hAnsi="Arial" w:cs="Arial"/>
        </w:rPr>
        <w:t xml:space="preserve">in response to comments on the Request for Quotation and </w:t>
      </w:r>
      <w:r w:rsidR="0077121E" w:rsidRPr="0077121E">
        <w:rPr>
          <w:rFonts w:ascii="Arial" w:hAnsi="Arial" w:cs="Arial"/>
        </w:rPr>
        <w:t xml:space="preserve">should be </w:t>
      </w:r>
      <w:r w:rsidR="009D2094" w:rsidRPr="0077121E">
        <w:rPr>
          <w:rFonts w:ascii="Arial" w:hAnsi="Arial" w:cs="Arial"/>
        </w:rPr>
        <w:t xml:space="preserve">considered </w:t>
      </w:r>
      <w:r w:rsidR="0077121E" w:rsidRPr="0077121E">
        <w:rPr>
          <w:rFonts w:ascii="Arial" w:hAnsi="Arial" w:cs="Arial"/>
        </w:rPr>
        <w:t>part of the contract specification.</w:t>
      </w:r>
    </w:p>
    <w:p w14:paraId="0955C8F8" w14:textId="6F1EF08F" w:rsidR="0038685E" w:rsidRPr="00B25388" w:rsidRDefault="007B6EED" w:rsidP="00B94123">
      <w:pPr>
        <w:rPr>
          <w:rFonts w:ascii="Arial" w:eastAsia="Segoe UI" w:hAnsi="Arial" w:cs="Arial"/>
          <w:b/>
          <w:bCs/>
          <w:color w:val="171717" w:themeColor="background2" w:themeShade="1A"/>
          <w:lang w:eastAsia="en-GB"/>
        </w:rPr>
      </w:pPr>
      <w:r>
        <w:rPr>
          <w:rFonts w:ascii="Arial" w:eastAsia="Segoe UI" w:hAnsi="Arial" w:cs="Arial"/>
          <w:b/>
          <w:bCs/>
          <w:color w:val="171717" w:themeColor="background2" w:themeShade="1A"/>
          <w:lang w:eastAsia="en-GB"/>
        </w:rPr>
        <w:t>Attributes</w:t>
      </w:r>
    </w:p>
    <w:p w14:paraId="3329C284" w14:textId="02E36316" w:rsidR="0029745E" w:rsidRPr="00FC4511" w:rsidRDefault="004905A0" w:rsidP="0038685E">
      <w:pPr>
        <w:spacing w:after="0" w:line="276" w:lineRule="auto"/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B25388">
        <w:rPr>
          <w:rFonts w:ascii="Arial" w:eastAsia="Segoe UI" w:hAnsi="Arial" w:cs="Arial"/>
          <w:color w:val="171717" w:themeColor="background2" w:themeShade="1A"/>
          <w:lang w:eastAsia="en-GB"/>
        </w:rPr>
        <w:t>Wherever possible, a</w:t>
      </w:r>
      <w:r w:rsidR="0038685E" w:rsidRPr="00B25388">
        <w:rPr>
          <w:rFonts w:ascii="Arial" w:eastAsia="Segoe UI" w:hAnsi="Arial" w:cs="Arial"/>
          <w:color w:val="171717" w:themeColor="background2" w:themeShade="1A"/>
          <w:lang w:eastAsia="en-GB"/>
        </w:rPr>
        <w:t>ctions should be SMART</w:t>
      </w:r>
      <w:r w:rsidR="008D4BD4">
        <w:rPr>
          <w:rFonts w:ascii="Arial" w:eastAsia="Segoe UI" w:hAnsi="Arial" w:cs="Arial"/>
          <w:color w:val="171717" w:themeColor="background2" w:themeShade="1A"/>
          <w:lang w:eastAsia="en-GB"/>
        </w:rPr>
        <w:t xml:space="preserve">. </w:t>
      </w:r>
      <w:r w:rsidR="0029745E" w:rsidRPr="00FC4511">
        <w:rPr>
          <w:rFonts w:ascii="Arial" w:eastAsia="Segoe UI" w:hAnsi="Arial" w:cs="Arial"/>
          <w:color w:val="171717" w:themeColor="background2" w:themeShade="1A"/>
          <w:lang w:eastAsia="en-GB"/>
        </w:rPr>
        <w:t>For the purposes of this project</w:t>
      </w:r>
      <w:r w:rsidR="00FC4511" w:rsidRPr="00FC4511">
        <w:rPr>
          <w:rFonts w:ascii="Arial" w:eastAsia="Segoe UI" w:hAnsi="Arial" w:cs="Arial"/>
          <w:color w:val="171717" w:themeColor="background2" w:themeShade="1A"/>
          <w:lang w:eastAsia="en-GB"/>
        </w:rPr>
        <w:t>, SMART is defined as</w:t>
      </w:r>
      <w:r w:rsidR="0029745E" w:rsidRPr="00FC4511">
        <w:rPr>
          <w:rFonts w:ascii="Arial" w:eastAsia="Segoe UI" w:hAnsi="Arial" w:cs="Arial"/>
          <w:color w:val="171717" w:themeColor="background2" w:themeShade="1A"/>
          <w:lang w:eastAsia="en-GB"/>
        </w:rPr>
        <w:t>:</w:t>
      </w:r>
    </w:p>
    <w:p w14:paraId="41C2C9F6" w14:textId="13D24247" w:rsidR="0029745E" w:rsidRPr="00BA12DC" w:rsidRDefault="0029745E" w:rsidP="00BA12DC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BA12DC">
        <w:rPr>
          <w:rFonts w:ascii="Arial" w:eastAsia="Segoe UI" w:hAnsi="Arial" w:cs="Arial"/>
          <w:i/>
          <w:iCs/>
          <w:color w:val="171717" w:themeColor="background2" w:themeShade="1A"/>
          <w:lang w:eastAsia="en-GB"/>
        </w:rPr>
        <w:t>Specific</w:t>
      </w:r>
      <w:r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= </w:t>
      </w:r>
      <w:r w:rsidR="00DF0232" w:rsidRPr="00BA12DC">
        <w:rPr>
          <w:rFonts w:ascii="Arial" w:eastAsia="Segoe UI" w:hAnsi="Arial" w:cs="Arial"/>
          <w:color w:val="171717" w:themeColor="background2" w:themeShade="1A"/>
          <w:lang w:eastAsia="en-GB"/>
        </w:rPr>
        <w:t>sufficient</w:t>
      </w:r>
      <w:r w:rsidR="006F7023">
        <w:rPr>
          <w:rFonts w:ascii="Arial" w:eastAsia="Segoe UI" w:hAnsi="Arial" w:cs="Arial"/>
          <w:color w:val="171717" w:themeColor="background2" w:themeShade="1A"/>
          <w:lang w:eastAsia="en-GB"/>
        </w:rPr>
        <w:t>ly</w:t>
      </w:r>
      <w:r w:rsidR="00DF0232"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</w:t>
      </w:r>
      <w:r w:rsidRPr="00BA12DC">
        <w:rPr>
          <w:rFonts w:ascii="Arial" w:eastAsia="Segoe UI" w:hAnsi="Arial" w:cs="Arial"/>
          <w:color w:val="171717" w:themeColor="background2" w:themeShade="1A"/>
          <w:lang w:eastAsia="en-GB"/>
        </w:rPr>
        <w:t>detail</w:t>
      </w:r>
      <w:r w:rsidR="006F7023">
        <w:rPr>
          <w:rFonts w:ascii="Arial" w:eastAsia="Segoe UI" w:hAnsi="Arial" w:cs="Arial"/>
          <w:color w:val="171717" w:themeColor="background2" w:themeShade="1A"/>
          <w:lang w:eastAsia="en-GB"/>
        </w:rPr>
        <w:t>ed</w:t>
      </w:r>
      <w:r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</w:t>
      </w:r>
      <w:r w:rsidR="00A9665F"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to be understood </w:t>
      </w:r>
      <w:r w:rsidR="003C7E5E"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and </w:t>
      </w:r>
      <w:r w:rsidR="00DA6122">
        <w:rPr>
          <w:rFonts w:ascii="Arial" w:eastAsia="Segoe UI" w:hAnsi="Arial" w:cs="Arial"/>
          <w:color w:val="171717" w:themeColor="background2" w:themeShade="1A"/>
          <w:lang w:eastAsia="en-GB"/>
        </w:rPr>
        <w:t>deliverable</w:t>
      </w:r>
      <w:r w:rsidR="003C7E5E"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</w:t>
      </w:r>
      <w:r w:rsidR="00A9665F" w:rsidRPr="00BA12DC">
        <w:rPr>
          <w:rFonts w:ascii="Arial" w:eastAsia="Segoe UI" w:hAnsi="Arial" w:cs="Arial"/>
          <w:color w:val="171717" w:themeColor="background2" w:themeShade="1A"/>
          <w:lang w:eastAsia="en-GB"/>
        </w:rPr>
        <w:t>without</w:t>
      </w:r>
      <w:r w:rsidR="006F7023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</w:t>
      </w:r>
      <w:r w:rsidR="006F7023" w:rsidRPr="006F7023">
        <w:rPr>
          <w:rFonts w:ascii="Arial" w:eastAsia="Segoe UI" w:hAnsi="Arial" w:cs="Arial"/>
          <w:color w:val="171717" w:themeColor="background2" w:themeShade="1A"/>
          <w:lang w:eastAsia="en-GB"/>
        </w:rPr>
        <w:t>misinterpretation</w:t>
      </w:r>
      <w:r w:rsidR="003C7E5E" w:rsidRPr="00BA12DC">
        <w:rPr>
          <w:rFonts w:ascii="Arial" w:eastAsia="Segoe UI" w:hAnsi="Arial" w:cs="Arial"/>
          <w:color w:val="171717" w:themeColor="background2" w:themeShade="1A"/>
          <w:lang w:eastAsia="en-GB"/>
        </w:rPr>
        <w:t>;</w:t>
      </w:r>
    </w:p>
    <w:p w14:paraId="1ADBAF75" w14:textId="14CB0791" w:rsidR="00E3219C" w:rsidRPr="00BA12DC" w:rsidRDefault="00E3219C" w:rsidP="00BA12DC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BA12DC">
        <w:rPr>
          <w:rFonts w:ascii="Arial" w:eastAsia="Segoe UI" w:hAnsi="Arial" w:cs="Arial"/>
          <w:i/>
          <w:iCs/>
          <w:color w:val="171717" w:themeColor="background2" w:themeShade="1A"/>
          <w:lang w:eastAsia="en-GB"/>
        </w:rPr>
        <w:t>Measurable</w:t>
      </w:r>
      <w:r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= </w:t>
      </w:r>
      <w:r w:rsidR="00C941F0"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can </w:t>
      </w:r>
      <w:r w:rsidR="00F97130"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be </w:t>
      </w:r>
      <w:r w:rsidRPr="00BA12DC">
        <w:rPr>
          <w:rFonts w:ascii="Arial" w:eastAsia="Segoe UI" w:hAnsi="Arial" w:cs="Arial"/>
          <w:color w:val="171717" w:themeColor="background2" w:themeShade="1A"/>
          <w:lang w:eastAsia="en-GB"/>
        </w:rPr>
        <w:t>determine</w:t>
      </w:r>
      <w:r w:rsidR="00F97130" w:rsidRPr="00BA12DC">
        <w:rPr>
          <w:rFonts w:ascii="Arial" w:eastAsia="Segoe UI" w:hAnsi="Arial" w:cs="Arial"/>
          <w:color w:val="171717" w:themeColor="background2" w:themeShade="1A"/>
          <w:lang w:eastAsia="en-GB"/>
        </w:rPr>
        <w:t>d</w:t>
      </w:r>
      <w:r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whether the action has been completed or not</w:t>
      </w:r>
      <w:r w:rsidR="001F2DEA"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, or </w:t>
      </w:r>
      <w:r w:rsidR="00704735">
        <w:rPr>
          <w:rFonts w:ascii="Arial" w:eastAsia="Segoe UI" w:hAnsi="Arial" w:cs="Arial"/>
          <w:color w:val="171717" w:themeColor="background2" w:themeShade="1A"/>
          <w:lang w:eastAsia="en-GB"/>
        </w:rPr>
        <w:t xml:space="preserve">action </w:t>
      </w:r>
      <w:r w:rsidR="001F2DEA" w:rsidRPr="00BA12DC">
        <w:rPr>
          <w:rFonts w:ascii="Arial" w:eastAsia="Segoe UI" w:hAnsi="Arial" w:cs="Arial"/>
          <w:color w:val="171717" w:themeColor="background2" w:themeShade="1A"/>
          <w:lang w:eastAsia="en-GB"/>
        </w:rPr>
        <w:t>progress</w:t>
      </w:r>
      <w:r w:rsid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can be quantified</w:t>
      </w:r>
      <w:r w:rsidR="001F2DEA" w:rsidRPr="00BA12DC">
        <w:rPr>
          <w:rFonts w:ascii="Arial" w:eastAsia="Segoe UI" w:hAnsi="Arial" w:cs="Arial"/>
          <w:color w:val="171717" w:themeColor="background2" w:themeShade="1A"/>
          <w:lang w:eastAsia="en-GB"/>
        </w:rPr>
        <w:t>;</w:t>
      </w:r>
    </w:p>
    <w:p w14:paraId="083C75D1" w14:textId="79B5A498" w:rsidR="00E3219C" w:rsidRPr="00BA12DC" w:rsidRDefault="00E3219C" w:rsidP="00BA12DC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BA12DC">
        <w:rPr>
          <w:rFonts w:ascii="Arial" w:eastAsia="Segoe UI" w:hAnsi="Arial" w:cs="Arial"/>
          <w:i/>
          <w:iCs/>
          <w:color w:val="171717" w:themeColor="background2" w:themeShade="1A"/>
          <w:lang w:eastAsia="en-GB"/>
        </w:rPr>
        <w:t xml:space="preserve">Achievable </w:t>
      </w:r>
      <w:r w:rsidR="00C45997" w:rsidRPr="00BA12DC">
        <w:rPr>
          <w:rFonts w:ascii="Arial" w:eastAsia="Segoe UI" w:hAnsi="Arial" w:cs="Arial"/>
          <w:i/>
          <w:iCs/>
          <w:color w:val="171717" w:themeColor="background2" w:themeShade="1A"/>
          <w:lang w:eastAsia="en-GB"/>
        </w:rPr>
        <w:t>&amp; Realistic</w:t>
      </w:r>
      <w:r w:rsidR="00C45997" w:rsidRPr="00BA12D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= </w:t>
      </w:r>
      <w:r w:rsidR="00D41840" w:rsidRPr="00BA12DC">
        <w:rPr>
          <w:rFonts w:ascii="Arial" w:eastAsia="Segoe UI" w:hAnsi="Arial" w:cs="Arial"/>
          <w:color w:val="171717" w:themeColor="background2" w:themeShade="1A"/>
          <w:lang w:eastAsia="en-GB"/>
        </w:rPr>
        <w:t>the action is considered deliverable</w:t>
      </w:r>
      <w:r w:rsidR="00C03E63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in the below timeframe</w:t>
      </w:r>
      <w:r w:rsidR="003C7E5E" w:rsidRPr="00BA12DC">
        <w:rPr>
          <w:rFonts w:ascii="Arial" w:eastAsia="Segoe UI" w:hAnsi="Arial" w:cs="Arial"/>
          <w:color w:val="171717" w:themeColor="background2" w:themeShade="1A"/>
          <w:lang w:eastAsia="en-GB"/>
        </w:rPr>
        <w:t>;</w:t>
      </w:r>
    </w:p>
    <w:p w14:paraId="4D574A37" w14:textId="2C0AF3D2" w:rsidR="00294EA3" w:rsidRPr="00D16122" w:rsidRDefault="002A04BC" w:rsidP="00DB75AD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D16122">
        <w:rPr>
          <w:rFonts w:ascii="Arial" w:eastAsia="Segoe UI" w:hAnsi="Arial" w:cs="Arial"/>
          <w:i/>
          <w:iCs/>
          <w:color w:val="171717" w:themeColor="background2" w:themeShade="1A"/>
          <w:lang w:eastAsia="en-GB"/>
        </w:rPr>
        <w:t>Time-bound</w:t>
      </w:r>
      <w:r w:rsidRPr="00D16122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= covered by </w:t>
      </w:r>
      <w:r w:rsidR="003C7E5E" w:rsidRPr="00D16122">
        <w:rPr>
          <w:rFonts w:ascii="Arial" w:eastAsia="Segoe UI" w:hAnsi="Arial" w:cs="Arial"/>
          <w:color w:val="171717" w:themeColor="background2" w:themeShade="1A"/>
          <w:lang w:eastAsia="en-GB"/>
        </w:rPr>
        <w:t>‘</w:t>
      </w:r>
      <w:r w:rsidRPr="00D16122">
        <w:rPr>
          <w:rFonts w:ascii="Arial" w:eastAsia="Segoe UI" w:hAnsi="Arial" w:cs="Arial"/>
          <w:color w:val="171717" w:themeColor="background2" w:themeShade="1A"/>
          <w:lang w:eastAsia="en-GB"/>
        </w:rPr>
        <w:t>Duration</w:t>
      </w:r>
      <w:r w:rsidR="003C7E5E" w:rsidRPr="00D16122">
        <w:rPr>
          <w:rFonts w:ascii="Arial" w:eastAsia="Segoe UI" w:hAnsi="Arial" w:cs="Arial"/>
          <w:color w:val="171717" w:themeColor="background2" w:themeShade="1A"/>
          <w:lang w:eastAsia="en-GB"/>
        </w:rPr>
        <w:t>’</w:t>
      </w:r>
      <w:r w:rsidRPr="00D16122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</w:t>
      </w:r>
      <w:r w:rsidR="00E966F2" w:rsidRPr="00D16122">
        <w:rPr>
          <w:rFonts w:ascii="Arial" w:eastAsia="Segoe UI" w:hAnsi="Arial" w:cs="Arial"/>
          <w:color w:val="171717" w:themeColor="background2" w:themeShade="1A"/>
          <w:lang w:eastAsia="en-GB"/>
        </w:rPr>
        <w:t>(</w:t>
      </w:r>
      <w:r w:rsidRPr="00D16122">
        <w:rPr>
          <w:rFonts w:ascii="Arial" w:eastAsia="Segoe UI" w:hAnsi="Arial" w:cs="Arial"/>
          <w:color w:val="171717" w:themeColor="background2" w:themeShade="1A"/>
          <w:lang w:eastAsia="en-GB"/>
        </w:rPr>
        <w:t xml:space="preserve">columns </w:t>
      </w:r>
      <w:r w:rsidR="00E966F2" w:rsidRPr="00D16122">
        <w:rPr>
          <w:rFonts w:ascii="Arial" w:eastAsia="Segoe UI" w:hAnsi="Arial" w:cs="Arial"/>
          <w:color w:val="171717" w:themeColor="background2" w:themeShade="1A"/>
          <w:lang w:eastAsia="en-GB"/>
        </w:rPr>
        <w:t xml:space="preserve">U, AF, </w:t>
      </w:r>
      <w:proofErr w:type="spellStart"/>
      <w:r w:rsidR="00E966F2" w:rsidRPr="00D16122">
        <w:rPr>
          <w:rFonts w:ascii="Arial" w:eastAsia="Segoe UI" w:hAnsi="Arial" w:cs="Arial"/>
          <w:color w:val="171717" w:themeColor="background2" w:themeShade="1A"/>
          <w:lang w:eastAsia="en-GB"/>
        </w:rPr>
        <w:t>AQ</w:t>
      </w:r>
      <w:proofErr w:type="spellEnd"/>
      <w:r w:rsidR="00E966F2" w:rsidRPr="00D16122">
        <w:rPr>
          <w:rFonts w:ascii="Arial" w:eastAsia="Segoe UI" w:hAnsi="Arial" w:cs="Arial"/>
          <w:color w:val="171717" w:themeColor="background2" w:themeShade="1A"/>
          <w:lang w:eastAsia="en-GB"/>
        </w:rPr>
        <w:t>)</w:t>
      </w:r>
      <w:r w:rsidR="00711A95" w:rsidRPr="00D16122">
        <w:rPr>
          <w:rFonts w:ascii="Arial" w:eastAsia="Segoe UI" w:hAnsi="Arial" w:cs="Arial"/>
          <w:color w:val="171717" w:themeColor="background2" w:themeShade="1A"/>
          <w:lang w:eastAsia="en-GB"/>
        </w:rPr>
        <w:t>.</w:t>
      </w:r>
      <w:r w:rsidR="00C602BD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Most actions should be deliverable over </w:t>
      </w:r>
      <w:r w:rsidR="004D12FB">
        <w:rPr>
          <w:rFonts w:ascii="Arial" w:eastAsia="Segoe UI" w:hAnsi="Arial" w:cs="Arial"/>
          <w:color w:val="171717" w:themeColor="background2" w:themeShade="1A"/>
          <w:lang w:eastAsia="en-GB"/>
        </w:rPr>
        <w:t xml:space="preserve">the </w:t>
      </w:r>
      <w:r w:rsidR="00C602BD">
        <w:rPr>
          <w:rFonts w:ascii="Arial" w:eastAsia="Segoe UI" w:hAnsi="Arial" w:cs="Arial"/>
          <w:color w:val="171717" w:themeColor="background2" w:themeShade="1A"/>
          <w:lang w:eastAsia="en-GB"/>
        </w:rPr>
        <w:t xml:space="preserve">short </w:t>
      </w:r>
      <w:r w:rsidR="004D12FB">
        <w:rPr>
          <w:rFonts w:ascii="Arial" w:eastAsia="Segoe UI" w:hAnsi="Arial" w:cs="Arial"/>
          <w:color w:val="171717" w:themeColor="background2" w:themeShade="1A"/>
          <w:lang w:eastAsia="en-GB"/>
        </w:rPr>
        <w:t xml:space="preserve">term (1-2 years) </w:t>
      </w:r>
      <w:r w:rsidR="00C602BD">
        <w:rPr>
          <w:rFonts w:ascii="Arial" w:eastAsia="Segoe UI" w:hAnsi="Arial" w:cs="Arial"/>
          <w:color w:val="171717" w:themeColor="background2" w:themeShade="1A"/>
          <w:lang w:eastAsia="en-GB"/>
        </w:rPr>
        <w:t>or medium</w:t>
      </w:r>
      <w:r w:rsidR="004D12FB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term</w:t>
      </w:r>
      <w:r w:rsidR="00C602BD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</w:t>
      </w:r>
      <w:r w:rsidR="004D12FB">
        <w:rPr>
          <w:rFonts w:ascii="Arial" w:eastAsia="Segoe UI" w:hAnsi="Arial" w:cs="Arial"/>
          <w:color w:val="171717" w:themeColor="background2" w:themeShade="1A"/>
          <w:lang w:eastAsia="en-GB"/>
        </w:rPr>
        <w:t>(2-5 years)</w:t>
      </w:r>
      <w:r w:rsidR="00C602BD">
        <w:rPr>
          <w:rFonts w:ascii="Arial" w:eastAsia="Segoe UI" w:hAnsi="Arial" w:cs="Arial"/>
          <w:color w:val="171717" w:themeColor="background2" w:themeShade="1A"/>
          <w:lang w:eastAsia="en-GB"/>
        </w:rPr>
        <w:t>.</w:t>
      </w:r>
    </w:p>
    <w:p w14:paraId="5C995670" w14:textId="6B487640" w:rsidR="0038685E" w:rsidRPr="00B25388" w:rsidRDefault="005069A3" w:rsidP="00D67753">
      <w:pPr>
        <w:spacing w:before="240"/>
        <w:rPr>
          <w:rFonts w:ascii="Arial" w:eastAsia="Segoe UI" w:hAnsi="Arial" w:cs="Arial"/>
          <w:b/>
          <w:bCs/>
          <w:color w:val="171717" w:themeColor="background2" w:themeShade="1A"/>
          <w:lang w:eastAsia="en-GB"/>
        </w:rPr>
      </w:pPr>
      <w:r w:rsidRPr="00B25388">
        <w:rPr>
          <w:rFonts w:ascii="Arial" w:eastAsia="Segoe UI" w:hAnsi="Arial" w:cs="Arial"/>
          <w:b/>
          <w:bCs/>
          <w:color w:val="171717" w:themeColor="background2" w:themeShade="1A"/>
          <w:lang w:eastAsia="en-GB"/>
        </w:rPr>
        <w:t>Length</w:t>
      </w:r>
    </w:p>
    <w:p w14:paraId="6E5A86A2" w14:textId="5E0B63EB" w:rsidR="0038685E" w:rsidRPr="00B25388" w:rsidRDefault="005951D5" w:rsidP="005069A3">
      <w:pPr>
        <w:spacing w:after="0" w:line="276" w:lineRule="auto"/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472BA9">
        <w:rPr>
          <w:rFonts w:ascii="Arial" w:eastAsia="Segoe UI" w:hAnsi="Arial" w:cs="Arial"/>
          <w:color w:val="171717" w:themeColor="background2" w:themeShade="1A"/>
          <w:lang w:eastAsia="en-GB"/>
        </w:rPr>
        <w:t xml:space="preserve">There is no word limit </w:t>
      </w:r>
      <w:r w:rsidR="003C7E5E" w:rsidRPr="00472BA9">
        <w:rPr>
          <w:rFonts w:ascii="Arial" w:eastAsia="Segoe UI" w:hAnsi="Arial" w:cs="Arial"/>
          <w:color w:val="171717" w:themeColor="background2" w:themeShade="1A"/>
          <w:lang w:eastAsia="en-GB"/>
        </w:rPr>
        <w:t xml:space="preserve">for actions </w:t>
      </w:r>
      <w:r w:rsidRPr="00472BA9">
        <w:rPr>
          <w:rFonts w:ascii="Arial" w:eastAsia="Segoe UI" w:hAnsi="Arial" w:cs="Arial"/>
          <w:color w:val="171717" w:themeColor="background2" w:themeShade="1A"/>
          <w:lang w:eastAsia="en-GB"/>
        </w:rPr>
        <w:t>but a</w:t>
      </w:r>
      <w:r w:rsidR="0038685E" w:rsidRPr="00472BA9">
        <w:rPr>
          <w:rFonts w:ascii="Arial" w:eastAsia="Segoe UI" w:hAnsi="Arial" w:cs="Arial"/>
          <w:color w:val="171717" w:themeColor="background2" w:themeShade="1A"/>
          <w:lang w:eastAsia="en-GB"/>
        </w:rPr>
        <w:t xml:space="preserve">s a rule of thumb, we suggest </w:t>
      </w:r>
      <w:r w:rsidR="00472BA9" w:rsidRPr="00472BA9">
        <w:rPr>
          <w:rFonts w:ascii="Arial" w:eastAsia="Segoe UI" w:hAnsi="Arial" w:cs="Arial"/>
          <w:color w:val="171717" w:themeColor="background2" w:themeShade="1A"/>
          <w:lang w:eastAsia="en-GB"/>
        </w:rPr>
        <w:t xml:space="preserve">no more than </w:t>
      </w:r>
      <w:r w:rsidR="0038685E" w:rsidRPr="00472BA9">
        <w:rPr>
          <w:rFonts w:ascii="Arial" w:eastAsia="Segoe UI" w:hAnsi="Arial" w:cs="Arial"/>
          <w:color w:val="171717" w:themeColor="background2" w:themeShade="1A"/>
          <w:lang w:eastAsia="en-GB"/>
        </w:rPr>
        <w:t>several sentences.</w:t>
      </w:r>
    </w:p>
    <w:p w14:paraId="4FF063F1" w14:textId="77777777" w:rsidR="005069A3" w:rsidRPr="00B25388" w:rsidRDefault="005069A3" w:rsidP="005069A3">
      <w:pPr>
        <w:spacing w:after="0" w:line="276" w:lineRule="auto"/>
        <w:rPr>
          <w:rFonts w:ascii="Arial" w:eastAsia="Segoe UI" w:hAnsi="Arial" w:cs="Arial"/>
          <w:color w:val="171717" w:themeColor="background2" w:themeShade="1A"/>
          <w:lang w:eastAsia="en-GB"/>
        </w:rPr>
      </w:pPr>
    </w:p>
    <w:p w14:paraId="23283890" w14:textId="008113CB" w:rsidR="00D03BA6" w:rsidRDefault="00D03BA6" w:rsidP="0038685E">
      <w:pPr>
        <w:rPr>
          <w:rFonts w:ascii="Arial" w:eastAsia="Segoe UI" w:hAnsi="Arial" w:cs="Arial"/>
          <w:b/>
          <w:bCs/>
          <w:color w:val="171717" w:themeColor="background2" w:themeShade="1A"/>
          <w:lang w:eastAsia="en-GB"/>
        </w:rPr>
      </w:pPr>
      <w:r w:rsidRPr="00B25388">
        <w:rPr>
          <w:rFonts w:ascii="Arial" w:eastAsia="Segoe UI" w:hAnsi="Arial" w:cs="Arial"/>
          <w:b/>
          <w:bCs/>
          <w:color w:val="171717" w:themeColor="background2" w:themeShade="1A"/>
          <w:lang w:eastAsia="en-GB"/>
        </w:rPr>
        <w:t>Content</w:t>
      </w:r>
    </w:p>
    <w:p w14:paraId="6C294FBD" w14:textId="5C8DB9A6" w:rsidR="007D1F96" w:rsidRDefault="007D1F96" w:rsidP="0038685E">
      <w:pPr>
        <w:rPr>
          <w:rFonts w:ascii="Arial" w:eastAsia="Segoe UI" w:hAnsi="Arial" w:cs="Arial"/>
          <w:color w:val="171717" w:themeColor="background2" w:themeShade="1A"/>
          <w:lang w:eastAsia="en-GB"/>
        </w:rPr>
      </w:pPr>
      <w:r>
        <w:rPr>
          <w:rFonts w:ascii="Arial" w:eastAsia="Segoe UI" w:hAnsi="Arial" w:cs="Arial"/>
          <w:color w:val="171717" w:themeColor="background2" w:themeShade="1A"/>
          <w:lang w:eastAsia="en-GB"/>
        </w:rPr>
        <w:t xml:space="preserve">The examples overleaf </w:t>
      </w:r>
      <w:r w:rsidR="00EA3D71">
        <w:rPr>
          <w:rFonts w:ascii="Arial" w:eastAsia="Segoe UI" w:hAnsi="Arial" w:cs="Arial"/>
          <w:color w:val="171717" w:themeColor="background2" w:themeShade="1A"/>
          <w:lang w:eastAsia="en-GB"/>
        </w:rPr>
        <w:t>use</w:t>
      </w:r>
      <w:r>
        <w:rPr>
          <w:rFonts w:ascii="Arial" w:eastAsia="Segoe UI" w:hAnsi="Arial" w:cs="Arial"/>
          <w:color w:val="171717" w:themeColor="background2" w:themeShade="1A"/>
          <w:lang w:eastAsia="en-GB"/>
        </w:rPr>
        <w:t xml:space="preserve"> </w:t>
      </w:r>
      <w:r w:rsidR="00517A82">
        <w:rPr>
          <w:rFonts w:ascii="Arial" w:eastAsia="Segoe UI" w:hAnsi="Arial" w:cs="Arial"/>
          <w:color w:val="171717" w:themeColor="background2" w:themeShade="1A"/>
          <w:lang w:eastAsia="en-GB"/>
        </w:rPr>
        <w:t>one</w:t>
      </w:r>
      <w:r w:rsidR="002138C0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suitable</w:t>
      </w:r>
      <w:r w:rsidR="00517A82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format: a brief statement</w:t>
      </w:r>
      <w:r w:rsidR="00D60C02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as context</w:t>
      </w:r>
      <w:r w:rsidR="00EA3D71">
        <w:rPr>
          <w:rFonts w:ascii="Arial" w:eastAsia="Segoe UI" w:hAnsi="Arial" w:cs="Arial"/>
          <w:color w:val="171717" w:themeColor="background2" w:themeShade="1A"/>
          <w:lang w:eastAsia="en-GB"/>
        </w:rPr>
        <w:t>/justification</w:t>
      </w:r>
      <w:r w:rsidR="00517A82">
        <w:rPr>
          <w:rFonts w:ascii="Arial" w:eastAsia="Segoe UI" w:hAnsi="Arial" w:cs="Arial"/>
          <w:color w:val="171717" w:themeColor="background2" w:themeShade="1A"/>
          <w:lang w:eastAsia="en-GB"/>
        </w:rPr>
        <w:t>, followed by the action.</w:t>
      </w:r>
    </w:p>
    <w:p w14:paraId="44180CD1" w14:textId="3FB07F9F" w:rsidR="00D25FBA" w:rsidRPr="007D1F96" w:rsidRDefault="00D25FBA" w:rsidP="0038685E">
      <w:pPr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321422">
        <w:rPr>
          <w:rFonts w:ascii="Arial" w:eastAsia="Segoe UI" w:hAnsi="Arial" w:cs="Arial"/>
          <w:color w:val="FF0000"/>
          <w:lang w:eastAsia="en-GB"/>
        </w:rPr>
        <w:t>Please do not cite third party sources of evidence as this can create licensing issues</w:t>
      </w:r>
      <w:r>
        <w:rPr>
          <w:rFonts w:ascii="Arial" w:eastAsia="Segoe UI" w:hAnsi="Arial" w:cs="Arial"/>
          <w:color w:val="FF0000"/>
          <w:lang w:eastAsia="en-GB"/>
        </w:rPr>
        <w:t xml:space="preserve"> for Natural England</w:t>
      </w:r>
      <w:r w:rsidRPr="00321422">
        <w:rPr>
          <w:rFonts w:ascii="Arial" w:eastAsia="Segoe UI" w:hAnsi="Arial" w:cs="Arial"/>
          <w:color w:val="FF0000"/>
          <w:lang w:eastAsia="en-GB"/>
        </w:rPr>
        <w:t>.</w:t>
      </w:r>
    </w:p>
    <w:p w14:paraId="583EE2A5" w14:textId="22BC4861" w:rsidR="005951D5" w:rsidRDefault="00E6533A" w:rsidP="0038685E">
      <w:pPr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B25388">
        <w:rPr>
          <w:rFonts w:ascii="Arial" w:eastAsia="Segoe UI" w:hAnsi="Arial" w:cs="Arial"/>
          <w:color w:val="171717" w:themeColor="background2" w:themeShade="1A"/>
          <w:lang w:eastAsia="en-GB"/>
        </w:rPr>
        <w:t>Each action</w:t>
      </w:r>
      <w:r w:rsidR="005951D5" w:rsidRPr="00B25388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should address only one aspect of the recovery needs of the species and so link to </w:t>
      </w:r>
      <w:r w:rsidR="00362F34">
        <w:rPr>
          <w:rFonts w:ascii="Arial" w:eastAsia="Segoe UI" w:hAnsi="Arial" w:cs="Arial"/>
          <w:color w:val="171717" w:themeColor="background2" w:themeShade="1A"/>
          <w:lang w:eastAsia="en-GB"/>
        </w:rPr>
        <w:t xml:space="preserve">just </w:t>
      </w:r>
      <w:r w:rsidR="005951D5" w:rsidRPr="00B25388">
        <w:rPr>
          <w:rFonts w:ascii="Arial" w:eastAsia="Segoe UI" w:hAnsi="Arial" w:cs="Arial"/>
          <w:color w:val="171717" w:themeColor="background2" w:themeShade="1A"/>
          <w:lang w:eastAsia="en-GB"/>
        </w:rPr>
        <w:t xml:space="preserve">one </w:t>
      </w:r>
      <w:r w:rsidR="00362F34">
        <w:rPr>
          <w:rFonts w:ascii="Arial" w:eastAsia="Segoe UI" w:hAnsi="Arial" w:cs="Arial"/>
          <w:color w:val="171717" w:themeColor="background2" w:themeShade="1A"/>
          <w:lang w:eastAsia="en-GB"/>
        </w:rPr>
        <w:t>Species Recovery Curve (</w:t>
      </w:r>
      <w:proofErr w:type="spellStart"/>
      <w:r w:rsidR="00362F34">
        <w:rPr>
          <w:rFonts w:ascii="Arial" w:eastAsia="Segoe UI" w:hAnsi="Arial" w:cs="Arial"/>
          <w:color w:val="171717" w:themeColor="background2" w:themeShade="1A"/>
          <w:lang w:eastAsia="en-GB"/>
        </w:rPr>
        <w:t>SRC</w:t>
      </w:r>
      <w:proofErr w:type="spellEnd"/>
      <w:r w:rsidR="00362F34">
        <w:rPr>
          <w:rFonts w:ascii="Arial" w:eastAsia="Segoe UI" w:hAnsi="Arial" w:cs="Arial"/>
          <w:color w:val="171717" w:themeColor="background2" w:themeShade="1A"/>
          <w:lang w:eastAsia="en-GB"/>
        </w:rPr>
        <w:t>)</w:t>
      </w:r>
      <w:r w:rsidR="005951D5" w:rsidRPr="00B25388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step.</w:t>
      </w:r>
    </w:p>
    <w:p w14:paraId="580367DF" w14:textId="32E5FA66" w:rsidR="00B43246" w:rsidRDefault="00B43246" w:rsidP="0038685E">
      <w:pPr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B25388">
        <w:rPr>
          <w:rFonts w:ascii="Arial" w:eastAsia="Segoe UI" w:hAnsi="Arial" w:cs="Arial"/>
          <w:color w:val="171717" w:themeColor="background2" w:themeShade="1A"/>
          <w:lang w:eastAsia="en-GB"/>
        </w:rPr>
        <w:t>Actions can be site-specific, e.g. for rare taxa, or where a site supports a nationally important population.</w:t>
      </w:r>
    </w:p>
    <w:p w14:paraId="16368E36" w14:textId="3B9B33FB" w:rsidR="00F36936" w:rsidRPr="00B25388" w:rsidRDefault="00F36936" w:rsidP="00F36936">
      <w:pPr>
        <w:rPr>
          <w:rFonts w:ascii="Arial" w:eastAsia="Segoe UI" w:hAnsi="Arial" w:cs="Arial"/>
          <w:color w:val="171717" w:themeColor="background2" w:themeShade="1A"/>
          <w:lang w:eastAsia="en-GB"/>
        </w:rPr>
      </w:pPr>
      <w:r>
        <w:rPr>
          <w:rFonts w:ascii="Arial" w:eastAsia="Segoe UI" w:hAnsi="Arial" w:cs="Arial"/>
          <w:color w:val="171717" w:themeColor="background2" w:themeShade="1A"/>
          <w:lang w:eastAsia="en-GB"/>
        </w:rPr>
        <w:t xml:space="preserve">It’s </w:t>
      </w:r>
      <w:r w:rsidR="0088158E">
        <w:rPr>
          <w:rFonts w:ascii="Arial" w:eastAsia="Segoe UI" w:hAnsi="Arial" w:cs="Arial"/>
          <w:color w:val="171717" w:themeColor="background2" w:themeShade="1A"/>
          <w:lang w:eastAsia="en-GB"/>
        </w:rPr>
        <w:t>acknowledged</w:t>
      </w:r>
      <w:r>
        <w:rPr>
          <w:rFonts w:ascii="Arial" w:eastAsia="Segoe UI" w:hAnsi="Arial" w:cs="Arial"/>
          <w:color w:val="171717" w:themeColor="background2" w:themeShade="1A"/>
          <w:lang w:eastAsia="en-GB"/>
        </w:rPr>
        <w:t xml:space="preserve"> that g</w:t>
      </w:r>
      <w:r w:rsidRPr="00B25388">
        <w:rPr>
          <w:rFonts w:ascii="Arial" w:eastAsia="Segoe UI" w:hAnsi="Arial" w:cs="Arial"/>
          <w:color w:val="171717" w:themeColor="background2" w:themeShade="1A"/>
          <w:lang w:eastAsia="en-GB"/>
        </w:rPr>
        <w:t>eneric management approaches may be necessary for some taxa due to knowledge limitations</w:t>
      </w:r>
      <w:r w:rsidR="00990E17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but actions such as </w:t>
      </w:r>
      <w:r w:rsidR="0049551D">
        <w:rPr>
          <w:rFonts w:ascii="Arial" w:eastAsia="Segoe UI" w:hAnsi="Arial" w:cs="Arial"/>
          <w:color w:val="171717" w:themeColor="background2" w:themeShade="1A"/>
          <w:lang w:eastAsia="en-GB"/>
        </w:rPr>
        <w:t>“</w:t>
      </w:r>
      <w:r w:rsidR="00990E17">
        <w:rPr>
          <w:rFonts w:ascii="Arial" w:eastAsia="Segoe UI" w:hAnsi="Arial" w:cs="Arial"/>
          <w:color w:val="171717" w:themeColor="background2" w:themeShade="1A"/>
          <w:lang w:eastAsia="en-GB"/>
        </w:rPr>
        <w:t xml:space="preserve">manage </w:t>
      </w:r>
      <w:r w:rsidR="0049551D">
        <w:rPr>
          <w:rFonts w:ascii="Arial" w:eastAsia="Segoe UI" w:hAnsi="Arial" w:cs="Arial"/>
          <w:color w:val="171717" w:themeColor="background2" w:themeShade="1A"/>
          <w:lang w:eastAsia="en-GB"/>
        </w:rPr>
        <w:t>each site appropriately” are not acceptable</w:t>
      </w:r>
      <w:r w:rsidRPr="00B25388">
        <w:rPr>
          <w:rFonts w:ascii="Arial" w:eastAsia="Segoe UI" w:hAnsi="Arial" w:cs="Arial"/>
          <w:color w:val="171717" w:themeColor="background2" w:themeShade="1A"/>
          <w:lang w:eastAsia="en-GB"/>
        </w:rPr>
        <w:t>.</w:t>
      </w:r>
    </w:p>
    <w:p w14:paraId="6C48EABA" w14:textId="7E0D3A97" w:rsidR="00997A3B" w:rsidRDefault="005A6330" w:rsidP="00997A3B">
      <w:pPr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B25388">
        <w:rPr>
          <w:rFonts w:ascii="Arial" w:eastAsia="Segoe UI" w:hAnsi="Arial" w:cs="Arial"/>
          <w:color w:val="171717" w:themeColor="background2" w:themeShade="1A"/>
          <w:lang w:eastAsia="en-GB"/>
        </w:rPr>
        <w:t xml:space="preserve">Because monitoring is implicit in many of recovery </w:t>
      </w:r>
      <w:r w:rsidR="00623C55" w:rsidRPr="00B25388">
        <w:rPr>
          <w:rFonts w:ascii="Arial" w:eastAsia="Segoe UI" w:hAnsi="Arial" w:cs="Arial"/>
          <w:color w:val="171717" w:themeColor="background2" w:themeShade="1A"/>
          <w:lang w:eastAsia="en-GB"/>
        </w:rPr>
        <w:t xml:space="preserve">curve </w:t>
      </w:r>
      <w:r w:rsidR="00D55428" w:rsidRPr="00B25388">
        <w:rPr>
          <w:rFonts w:ascii="Arial" w:eastAsia="Segoe UI" w:hAnsi="Arial" w:cs="Arial"/>
          <w:color w:val="171717" w:themeColor="background2" w:themeShade="1A"/>
          <w:lang w:eastAsia="en-GB"/>
        </w:rPr>
        <w:t>steps</w:t>
      </w:r>
      <w:r w:rsidR="00DA20B3">
        <w:rPr>
          <w:rFonts w:ascii="Arial" w:eastAsia="Segoe UI" w:hAnsi="Arial" w:cs="Arial"/>
          <w:color w:val="171717" w:themeColor="background2" w:themeShade="1A"/>
          <w:lang w:eastAsia="en-GB"/>
        </w:rPr>
        <w:t>,</w:t>
      </w:r>
      <w:r w:rsidR="00C6056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</w:t>
      </w:r>
      <w:r w:rsidR="00362F34">
        <w:rPr>
          <w:rFonts w:ascii="Arial" w:eastAsia="Segoe UI" w:hAnsi="Arial" w:cs="Arial"/>
          <w:color w:val="171717" w:themeColor="background2" w:themeShade="1A"/>
          <w:lang w:eastAsia="en-GB"/>
        </w:rPr>
        <w:t>combined with</w:t>
      </w:r>
      <w:r w:rsidR="00C6056C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the existence of national monitoring schemes for some groups</w:t>
      </w:r>
      <w:r w:rsidRPr="00B25388">
        <w:rPr>
          <w:rFonts w:ascii="Arial" w:eastAsia="Segoe UI" w:hAnsi="Arial" w:cs="Arial"/>
          <w:color w:val="171717" w:themeColor="background2" w:themeShade="1A"/>
          <w:lang w:eastAsia="en-GB"/>
        </w:rPr>
        <w:t xml:space="preserve">, we </w:t>
      </w:r>
      <w:r w:rsidR="00D55428" w:rsidRPr="00B25388">
        <w:rPr>
          <w:rFonts w:ascii="Arial" w:eastAsia="Segoe UI" w:hAnsi="Arial" w:cs="Arial"/>
          <w:color w:val="171717" w:themeColor="background2" w:themeShade="1A"/>
          <w:lang w:eastAsia="en-GB"/>
        </w:rPr>
        <w:t xml:space="preserve">urge you to think carefully before </w:t>
      </w:r>
      <w:r w:rsidR="00623C55" w:rsidRPr="00B25388">
        <w:rPr>
          <w:rFonts w:ascii="Arial" w:eastAsia="Segoe UI" w:hAnsi="Arial" w:cs="Arial"/>
          <w:color w:val="171717" w:themeColor="background2" w:themeShade="1A"/>
          <w:lang w:eastAsia="en-GB"/>
        </w:rPr>
        <w:t xml:space="preserve">setting </w:t>
      </w:r>
      <w:r w:rsidR="006D2F6D">
        <w:rPr>
          <w:rFonts w:ascii="Arial" w:eastAsia="Segoe UI" w:hAnsi="Arial" w:cs="Arial"/>
          <w:color w:val="171717" w:themeColor="background2" w:themeShade="1A"/>
          <w:lang w:eastAsia="en-GB"/>
        </w:rPr>
        <w:t>priority</w:t>
      </w:r>
      <w:r w:rsidR="00623C55" w:rsidRPr="00B25388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actions</w:t>
      </w:r>
      <w:r w:rsidR="006D2F6D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for monitoring</w:t>
      </w:r>
      <w:r w:rsidR="00293740" w:rsidRPr="00B25388">
        <w:rPr>
          <w:rFonts w:ascii="Arial" w:eastAsia="Segoe UI" w:hAnsi="Arial" w:cs="Arial"/>
          <w:color w:val="171717" w:themeColor="background2" w:themeShade="1A"/>
          <w:lang w:eastAsia="en-GB"/>
        </w:rPr>
        <w:t>.</w:t>
      </w:r>
      <w:r w:rsidR="00D25FBA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</w:t>
      </w:r>
      <w:r w:rsidR="00997A3B" w:rsidRPr="00997A3B">
        <w:rPr>
          <w:rFonts w:ascii="Arial" w:eastAsia="Segoe UI" w:hAnsi="Arial" w:cs="Arial"/>
          <w:color w:val="171717" w:themeColor="background2" w:themeShade="1A"/>
          <w:lang w:eastAsia="en-GB"/>
        </w:rPr>
        <w:t>Nevertheless, there can be exceptions where there are specific monitoring needs that cannot be met elsewhere, examples are:</w:t>
      </w:r>
    </w:p>
    <w:p w14:paraId="0568105C" w14:textId="4292A92B" w:rsidR="006D2F6D" w:rsidRDefault="006D2F6D" w:rsidP="006D2F6D">
      <w:pPr>
        <w:pStyle w:val="ListParagraph"/>
        <w:numPr>
          <w:ilvl w:val="0"/>
          <w:numId w:val="4"/>
        </w:numPr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6D2F6D">
        <w:rPr>
          <w:rFonts w:ascii="Arial" w:eastAsia="Segoe UI" w:hAnsi="Arial" w:cs="Arial"/>
          <w:color w:val="171717" w:themeColor="background2" w:themeShade="1A"/>
          <w:lang w:eastAsia="en-GB"/>
        </w:rPr>
        <w:t>Species surveys to review national status</w:t>
      </w:r>
      <w:r>
        <w:rPr>
          <w:rFonts w:ascii="Arial" w:eastAsia="Segoe UI" w:hAnsi="Arial" w:cs="Arial"/>
          <w:color w:val="171717" w:themeColor="background2" w:themeShade="1A"/>
          <w:lang w:eastAsia="en-GB"/>
        </w:rPr>
        <w:t xml:space="preserve"> </w:t>
      </w:r>
      <w:r w:rsidRPr="006D2F6D">
        <w:rPr>
          <w:rFonts w:ascii="Arial" w:eastAsia="Segoe UI" w:hAnsi="Arial" w:cs="Arial"/>
          <w:color w:val="171717" w:themeColor="background2" w:themeShade="1A"/>
          <w:lang w:eastAsia="en-GB"/>
        </w:rPr>
        <w:t>(</w:t>
      </w:r>
      <w:proofErr w:type="spellStart"/>
      <w:r w:rsidRPr="006D2F6D">
        <w:rPr>
          <w:rFonts w:ascii="Arial" w:eastAsia="Segoe UI" w:hAnsi="Arial" w:cs="Arial"/>
          <w:color w:val="171717" w:themeColor="background2" w:themeShade="1A"/>
          <w:lang w:eastAsia="en-GB"/>
        </w:rPr>
        <w:t>SRC</w:t>
      </w:r>
      <w:proofErr w:type="spellEnd"/>
      <w:r w:rsidRPr="006D2F6D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Step 2)</w:t>
      </w:r>
      <w:r w:rsidR="00626D4F">
        <w:rPr>
          <w:rFonts w:ascii="Arial" w:eastAsia="Segoe UI" w:hAnsi="Arial" w:cs="Arial"/>
          <w:color w:val="171717" w:themeColor="background2" w:themeShade="1A"/>
          <w:lang w:eastAsia="en-GB"/>
        </w:rPr>
        <w:t>;</w:t>
      </w:r>
    </w:p>
    <w:p w14:paraId="7775F966" w14:textId="0F70BFE6" w:rsidR="00997A3B" w:rsidRDefault="00997A3B" w:rsidP="00E76369">
      <w:pPr>
        <w:pStyle w:val="ListParagraph"/>
        <w:numPr>
          <w:ilvl w:val="0"/>
          <w:numId w:val="4"/>
        </w:numPr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E76369">
        <w:rPr>
          <w:rFonts w:ascii="Arial" w:eastAsia="Segoe UI" w:hAnsi="Arial" w:cs="Arial"/>
          <w:color w:val="171717" w:themeColor="background2" w:themeShade="1A"/>
          <w:lang w:eastAsia="en-GB"/>
        </w:rPr>
        <w:t>Species with low recovery potential where the aim is maintain/protect populations</w:t>
      </w:r>
      <w:r w:rsidR="00626D4F">
        <w:rPr>
          <w:rFonts w:ascii="Arial" w:eastAsia="Segoe UI" w:hAnsi="Arial" w:cs="Arial"/>
          <w:color w:val="171717" w:themeColor="background2" w:themeShade="1A"/>
          <w:lang w:eastAsia="en-GB"/>
        </w:rPr>
        <w:t>;</w:t>
      </w:r>
    </w:p>
    <w:p w14:paraId="487C86B7" w14:textId="737E95E5" w:rsidR="00997A3B" w:rsidRPr="00E76369" w:rsidRDefault="00997A3B" w:rsidP="0038685E">
      <w:pPr>
        <w:pStyle w:val="ListParagraph"/>
        <w:numPr>
          <w:ilvl w:val="0"/>
          <w:numId w:val="4"/>
        </w:numPr>
        <w:rPr>
          <w:rFonts w:ascii="Arial" w:eastAsia="Segoe UI" w:hAnsi="Arial" w:cs="Arial"/>
          <w:color w:val="171717" w:themeColor="background2" w:themeShade="1A"/>
          <w:lang w:eastAsia="en-GB"/>
        </w:rPr>
      </w:pPr>
      <w:r w:rsidRPr="00E76369">
        <w:rPr>
          <w:rFonts w:ascii="Arial" w:eastAsia="Segoe UI" w:hAnsi="Arial" w:cs="Arial"/>
          <w:color w:val="171717" w:themeColor="background2" w:themeShade="1A"/>
          <w:lang w:eastAsia="en-GB"/>
        </w:rPr>
        <w:t>Recovering species (</w:t>
      </w:r>
      <w:proofErr w:type="spellStart"/>
      <w:r w:rsidRPr="00E76369">
        <w:rPr>
          <w:rFonts w:ascii="Arial" w:eastAsia="Segoe UI" w:hAnsi="Arial" w:cs="Arial"/>
          <w:color w:val="171717" w:themeColor="background2" w:themeShade="1A"/>
          <w:lang w:eastAsia="en-GB"/>
        </w:rPr>
        <w:t>SRC</w:t>
      </w:r>
      <w:proofErr w:type="spellEnd"/>
      <w:r w:rsidRPr="00E76369">
        <w:rPr>
          <w:rFonts w:ascii="Arial" w:eastAsia="Segoe UI" w:hAnsi="Arial" w:cs="Arial"/>
          <w:color w:val="171717" w:themeColor="background2" w:themeShade="1A"/>
          <w:lang w:eastAsia="en-GB"/>
        </w:rPr>
        <w:t xml:space="preserve"> Step 8) in the absence of other monitoring mechanisms</w:t>
      </w:r>
      <w:r w:rsidR="00626D4F">
        <w:rPr>
          <w:rFonts w:ascii="Arial" w:eastAsia="Segoe UI" w:hAnsi="Arial" w:cs="Arial"/>
          <w:color w:val="171717" w:themeColor="background2" w:themeShade="1A"/>
          <w:lang w:eastAsia="en-GB"/>
        </w:rPr>
        <w:t>.</w:t>
      </w:r>
    </w:p>
    <w:p w14:paraId="710785C8" w14:textId="397B0661" w:rsidR="00294EA3" w:rsidRPr="00321422" w:rsidRDefault="00294EA3" w:rsidP="00133431">
      <w:pPr>
        <w:spacing w:before="240"/>
        <w:rPr>
          <w:rFonts w:ascii="Arial" w:eastAsia="Segoe UI" w:hAnsi="Arial" w:cs="Arial"/>
          <w:color w:val="FF0000"/>
          <w:lang w:eastAsia="en-GB"/>
        </w:rPr>
      </w:pPr>
    </w:p>
    <w:p w14:paraId="1D4D0583" w14:textId="77777777" w:rsidR="008F7F5B" w:rsidRDefault="008F7F5B">
      <w:pPr>
        <w:rPr>
          <w:rFonts w:ascii="Arial" w:eastAsia="Segoe UI" w:hAnsi="Arial" w:cs="Arial"/>
          <w:b/>
          <w:bCs/>
          <w:color w:val="171717" w:themeColor="background2" w:themeShade="1A"/>
          <w:lang w:eastAsia="en-GB"/>
        </w:rPr>
      </w:pPr>
      <w:r>
        <w:rPr>
          <w:rFonts w:ascii="Arial" w:eastAsia="Segoe UI" w:hAnsi="Arial" w:cs="Arial"/>
          <w:b/>
          <w:bCs/>
          <w:color w:val="171717" w:themeColor="background2" w:themeShade="1A"/>
          <w:lang w:eastAsia="en-GB"/>
        </w:rPr>
        <w:br w:type="page"/>
      </w:r>
    </w:p>
    <w:p w14:paraId="2B76FF0E" w14:textId="2171D84E" w:rsidR="009E7C2F" w:rsidRDefault="009E7C2F" w:rsidP="0038685E">
      <w:pPr>
        <w:rPr>
          <w:rFonts w:ascii="Arial" w:eastAsia="Segoe UI" w:hAnsi="Arial" w:cs="Arial"/>
          <w:b/>
          <w:bCs/>
          <w:color w:val="171717" w:themeColor="background2" w:themeShade="1A"/>
          <w:lang w:eastAsia="en-GB"/>
        </w:rPr>
      </w:pPr>
      <w:r w:rsidRPr="009E7C2F">
        <w:rPr>
          <w:rFonts w:ascii="Arial" w:eastAsia="Segoe UI" w:hAnsi="Arial" w:cs="Arial"/>
          <w:b/>
          <w:bCs/>
          <w:color w:val="171717" w:themeColor="background2" w:themeShade="1A"/>
          <w:lang w:eastAsia="en-GB"/>
        </w:rPr>
        <w:lastRenderedPageBreak/>
        <w:t>Examples</w:t>
      </w:r>
    </w:p>
    <w:p w14:paraId="2783FD9B" w14:textId="77777777" w:rsidR="009B21C8" w:rsidRDefault="009B21C8" w:rsidP="0038685E">
      <w:pPr>
        <w:rPr>
          <w:rFonts w:ascii="Arial" w:eastAsia="Segoe UI" w:hAnsi="Arial" w:cs="Arial"/>
          <w:color w:val="171717" w:themeColor="background2" w:themeShade="1A"/>
          <w:lang w:eastAsia="en-GB"/>
        </w:rPr>
      </w:pPr>
    </w:p>
    <w:tbl>
      <w:tblPr>
        <w:tblStyle w:val="GridTable2-Accent6"/>
        <w:tblW w:w="5000" w:type="pct"/>
        <w:tblLook w:val="04A0" w:firstRow="1" w:lastRow="0" w:firstColumn="1" w:lastColumn="0" w:noHBand="0" w:noVBand="1"/>
      </w:tblPr>
      <w:tblGrid>
        <w:gridCol w:w="2742"/>
        <w:gridCol w:w="6284"/>
      </w:tblGrid>
      <w:tr w:rsidR="008F7F5B" w:rsidRPr="00C033A1" w14:paraId="53ADD88A" w14:textId="77777777" w:rsidTr="00A115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pct"/>
          </w:tcPr>
          <w:p w14:paraId="12636AF9" w14:textId="77777777" w:rsidR="008F7F5B" w:rsidRPr="00C033A1" w:rsidRDefault="008F7F5B" w:rsidP="008F7F5B">
            <w:pPr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</w:pPr>
            <w:proofErr w:type="spellStart"/>
            <w:r w:rsidRPr="00C033A1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>SRC</w:t>
            </w:r>
            <w:proofErr w:type="spellEnd"/>
            <w:r w:rsidRPr="00C033A1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 xml:space="preserve"> STEP</w:t>
            </w:r>
          </w:p>
        </w:tc>
        <w:tc>
          <w:tcPr>
            <w:tcW w:w="3481" w:type="pct"/>
          </w:tcPr>
          <w:p w14:paraId="0B0B8304" w14:textId="6CBFAECD" w:rsidR="008F7F5B" w:rsidRPr="00D36ABA" w:rsidRDefault="008F7F5B" w:rsidP="008F7F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</w:pPr>
            <w:r w:rsidRPr="00D36ABA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>ACTION</w:t>
            </w:r>
          </w:p>
        </w:tc>
      </w:tr>
      <w:tr w:rsidR="008F7F5B" w:rsidRPr="008F7F5B" w14:paraId="247157A4" w14:textId="77777777" w:rsidTr="00A1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pct"/>
            <w:hideMark/>
          </w:tcPr>
          <w:p w14:paraId="3DFF3E82" w14:textId="6E0605FD" w:rsidR="008F7F5B" w:rsidRPr="008F7F5B" w:rsidRDefault="008F7F5B" w:rsidP="008F7F5B">
            <w:pPr>
              <w:spacing w:after="160" w:line="259" w:lineRule="auto"/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</w:pPr>
            <w:r w:rsidRPr="008F7F5B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 xml:space="preserve">1. Taxonomy </w:t>
            </w:r>
            <w:r w:rsidR="005027E4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>established</w:t>
            </w:r>
          </w:p>
        </w:tc>
        <w:tc>
          <w:tcPr>
            <w:tcW w:w="3481" w:type="pct"/>
            <w:hideMark/>
          </w:tcPr>
          <w:p w14:paraId="040DE75C" w14:textId="7B6368F0" w:rsidR="008F7F5B" w:rsidRPr="00D36ABA" w:rsidRDefault="00096518" w:rsidP="008F7F5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</w:pPr>
            <w:r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Recent evidence suggests this species is an aggregate of three taxa. </w:t>
            </w:r>
            <w:r w:rsidR="00124DAE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Carry out </w:t>
            </w:r>
            <w:r w:rsidR="00D33EA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research</w:t>
            </w:r>
            <w:r w:rsidR="00EB3E8C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using morphometric/DNA techniques to </w:t>
            </w:r>
            <w:r w:rsidR="001F58C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resolve</w:t>
            </w:r>
            <w:r w:rsidR="00EB3E8C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taxon</w:t>
            </w:r>
            <w:r w:rsidR="007F790F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omy</w:t>
            </w:r>
            <w:r w:rsidR="00A6457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and identification</w:t>
            </w:r>
            <w:r w:rsidR="006559B4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7F7027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traits</w:t>
            </w:r>
            <w:r w:rsidR="00EB3E8C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.</w:t>
            </w:r>
          </w:p>
        </w:tc>
      </w:tr>
      <w:tr w:rsidR="008F7F5B" w:rsidRPr="008F7F5B" w14:paraId="4471F718" w14:textId="77777777" w:rsidTr="00A115AB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pct"/>
            <w:hideMark/>
          </w:tcPr>
          <w:p w14:paraId="2B3BF04B" w14:textId="64C82A27" w:rsidR="008F7F5B" w:rsidRPr="008F7F5B" w:rsidRDefault="008F7F5B" w:rsidP="008F7F5B">
            <w:pPr>
              <w:spacing w:after="160" w:line="259" w:lineRule="auto"/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</w:pPr>
            <w:r w:rsidRPr="008F7F5B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>2. Biological status assessment exists</w:t>
            </w:r>
          </w:p>
        </w:tc>
        <w:tc>
          <w:tcPr>
            <w:tcW w:w="3481" w:type="pct"/>
            <w:hideMark/>
          </w:tcPr>
          <w:p w14:paraId="357E2C30" w14:textId="1E83DD5D" w:rsidR="008F7F5B" w:rsidRPr="00D36ABA" w:rsidRDefault="00E845FB" w:rsidP="00316D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</w:pPr>
            <w:r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Current </w:t>
            </w:r>
            <w:r w:rsidR="00D65E46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GB Red List status</w:t>
            </w:r>
            <w:r w:rsidR="00E62BC7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A11DD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is Data Deficient. </w:t>
            </w:r>
            <w:r w:rsidR="00E62BC7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Conduct a status review </w:t>
            </w:r>
            <w:r w:rsidR="003C64C8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through a programme of targeted surveys</w:t>
            </w:r>
            <w:r w:rsidR="00316D5E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,</w:t>
            </w:r>
            <w:r w:rsidR="007F3611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aiming</w:t>
            </w:r>
            <w:r w:rsidR="006559B4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to </w:t>
            </w:r>
            <w:r w:rsidR="007F7027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clarifying</w:t>
            </w:r>
            <w:r w:rsidR="006559B4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its </w:t>
            </w:r>
            <w:r w:rsidR="00556AA5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Red List status</w:t>
            </w:r>
            <w:r w:rsidR="008844A3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at GB and England scales</w:t>
            </w:r>
            <w:r w:rsidR="00556AA5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.</w:t>
            </w:r>
          </w:p>
        </w:tc>
      </w:tr>
      <w:tr w:rsidR="008F7F5B" w:rsidRPr="008F7F5B" w14:paraId="03404CF8" w14:textId="77777777" w:rsidTr="0099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pct"/>
            <w:hideMark/>
          </w:tcPr>
          <w:p w14:paraId="7F0418F5" w14:textId="27096D4F" w:rsidR="008F7F5B" w:rsidRPr="008F7F5B" w:rsidRDefault="008F7F5B" w:rsidP="00C4412C">
            <w:pPr>
              <w:spacing w:after="160" w:line="259" w:lineRule="auto"/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</w:pPr>
            <w:r w:rsidRPr="008F7F5B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>4.</w:t>
            </w:r>
            <w:r w:rsidR="00C4412C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C4412C" w:rsidRPr="00C4412C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>Autecology sufficiently understood</w:t>
            </w:r>
          </w:p>
        </w:tc>
        <w:tc>
          <w:tcPr>
            <w:tcW w:w="3481" w:type="pct"/>
          </w:tcPr>
          <w:p w14:paraId="5B3E61F1" w14:textId="15587EBA" w:rsidR="008F7F5B" w:rsidRPr="00D36ABA" w:rsidRDefault="00DD1EB8" w:rsidP="008F7F5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</w:pPr>
            <w:r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The exact causes of this </w:t>
            </w:r>
            <w:r w:rsidR="009E697E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rapid</w:t>
            </w:r>
            <w:r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ly</w:t>
            </w:r>
            <w:r w:rsidR="009E697E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declin</w:t>
            </w:r>
            <w:r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ing taxon are </w:t>
            </w:r>
            <w:r w:rsidR="00E845FB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un</w:t>
            </w:r>
            <w:r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known</w:t>
            </w:r>
            <w:r w:rsidR="00502AB9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but are suspected to be pesticide related</w:t>
            </w:r>
            <w:r w:rsidR="006F58CC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.</w:t>
            </w:r>
            <w:r w:rsidR="00826E62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502AB9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Carry out a </w:t>
            </w:r>
            <w:r w:rsidR="00301353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correlative </w:t>
            </w:r>
            <w:r w:rsidR="00502AB9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study</w:t>
            </w:r>
            <w:r w:rsidR="00D15FE2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across extant sites</w:t>
            </w:r>
            <w:r w:rsidR="00502AB9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301353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and </w:t>
            </w:r>
            <w:r w:rsidR="0015574E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investigate direct impacts on the species.</w:t>
            </w:r>
          </w:p>
        </w:tc>
      </w:tr>
      <w:tr w:rsidR="00BC0713" w:rsidRPr="00BC0713" w14:paraId="278F3B11" w14:textId="77777777" w:rsidTr="00A115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pct"/>
            <w:hideMark/>
          </w:tcPr>
          <w:p w14:paraId="54D58795" w14:textId="4BA95A5E" w:rsidR="008F7F5B" w:rsidRPr="00BC0713" w:rsidRDefault="008F7F5B" w:rsidP="008F7F5B">
            <w:pPr>
              <w:spacing w:after="160" w:line="259" w:lineRule="auto"/>
              <w:rPr>
                <w:rFonts w:ascii="Arial" w:eastAsia="Segoe UI" w:hAnsi="Arial" w:cs="Arial"/>
                <w:sz w:val="20"/>
                <w:szCs w:val="20"/>
              </w:rPr>
            </w:pPr>
            <w:r w:rsidRPr="00BC0713">
              <w:rPr>
                <w:rFonts w:ascii="Arial" w:eastAsia="Segoe UI" w:hAnsi="Arial" w:cs="Arial"/>
                <w:sz w:val="20"/>
                <w:szCs w:val="20"/>
              </w:rPr>
              <w:t>5. Remedial action identified</w:t>
            </w:r>
          </w:p>
        </w:tc>
        <w:tc>
          <w:tcPr>
            <w:tcW w:w="3481" w:type="pct"/>
            <w:hideMark/>
          </w:tcPr>
          <w:p w14:paraId="1EBF2F88" w14:textId="0D3A6CAC" w:rsidR="008F7F5B" w:rsidRPr="00D36ABA" w:rsidRDefault="005D11CB" w:rsidP="008F7F5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egoe UI" w:hAnsi="Arial" w:cs="Arial"/>
                <w:i/>
                <w:iCs/>
                <w:sz w:val="20"/>
                <w:szCs w:val="20"/>
              </w:rPr>
            </w:pPr>
            <w:r w:rsidRPr="00D36ABA">
              <w:rPr>
                <w:rFonts w:ascii="Arial" w:eastAsia="Segoe UI" w:hAnsi="Arial" w:cs="Arial"/>
                <w:i/>
                <w:iCs/>
                <w:sz w:val="20"/>
                <w:szCs w:val="20"/>
              </w:rPr>
              <w:t xml:space="preserve">Conservation techniques </w:t>
            </w:r>
            <w:r w:rsidR="005C5C79" w:rsidRPr="00D36ABA">
              <w:rPr>
                <w:rFonts w:ascii="Arial" w:eastAsia="Segoe UI" w:hAnsi="Arial" w:cs="Arial"/>
                <w:i/>
                <w:iCs/>
                <w:sz w:val="20"/>
                <w:szCs w:val="20"/>
              </w:rPr>
              <w:t xml:space="preserve">for this species </w:t>
            </w:r>
            <w:r w:rsidR="00891C81" w:rsidRPr="00D36ABA">
              <w:rPr>
                <w:rFonts w:ascii="Arial" w:eastAsia="Segoe UI" w:hAnsi="Arial" w:cs="Arial"/>
                <w:i/>
                <w:iCs/>
                <w:sz w:val="20"/>
                <w:szCs w:val="20"/>
              </w:rPr>
              <w:t>have varied across the UK and in northern Europe</w:t>
            </w:r>
            <w:r w:rsidRPr="00D36ABA">
              <w:rPr>
                <w:rFonts w:ascii="Arial" w:eastAsia="Segoe UI" w:hAnsi="Arial" w:cs="Arial"/>
                <w:i/>
                <w:iCs/>
                <w:sz w:val="20"/>
                <w:szCs w:val="20"/>
              </w:rPr>
              <w:t>. Conduct a literature review</w:t>
            </w:r>
            <w:r w:rsidR="004D38D0" w:rsidRPr="00D36ABA">
              <w:rPr>
                <w:rFonts w:ascii="Arial" w:eastAsia="Segoe UI" w:hAnsi="Arial" w:cs="Arial"/>
                <w:i/>
                <w:iCs/>
                <w:sz w:val="20"/>
                <w:szCs w:val="20"/>
              </w:rPr>
              <w:t xml:space="preserve"> to identify </w:t>
            </w:r>
            <w:r w:rsidR="003C040A">
              <w:rPr>
                <w:rFonts w:ascii="Arial" w:eastAsia="Segoe UI" w:hAnsi="Arial" w:cs="Arial"/>
                <w:i/>
                <w:iCs/>
                <w:sz w:val="20"/>
                <w:szCs w:val="20"/>
              </w:rPr>
              <w:t xml:space="preserve">the </w:t>
            </w:r>
            <w:r w:rsidR="004D38D0" w:rsidRPr="00D36ABA">
              <w:rPr>
                <w:rFonts w:ascii="Arial" w:eastAsia="Segoe UI" w:hAnsi="Arial" w:cs="Arial"/>
                <w:i/>
                <w:iCs/>
                <w:sz w:val="20"/>
                <w:szCs w:val="20"/>
              </w:rPr>
              <w:t>recovery solutions</w:t>
            </w:r>
            <w:r w:rsidR="00EA25DC" w:rsidRPr="00D36ABA">
              <w:rPr>
                <w:rFonts w:ascii="Arial" w:eastAsia="Segoe UI" w:hAnsi="Arial" w:cs="Arial"/>
                <w:i/>
                <w:iCs/>
                <w:sz w:val="20"/>
                <w:szCs w:val="20"/>
              </w:rPr>
              <w:t xml:space="preserve"> with greatest potential</w:t>
            </w:r>
            <w:r w:rsidR="004D38D0" w:rsidRPr="00D36ABA">
              <w:rPr>
                <w:rFonts w:ascii="Arial" w:eastAsia="Segoe UI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8F7F5B" w:rsidRPr="008F7F5B" w14:paraId="36B7C6EC" w14:textId="77777777" w:rsidTr="00A115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pct"/>
            <w:hideMark/>
          </w:tcPr>
          <w:p w14:paraId="3CD9B9AB" w14:textId="77777777" w:rsidR="008F7F5B" w:rsidRPr="008F7F5B" w:rsidRDefault="008F7F5B" w:rsidP="008F7F5B">
            <w:pPr>
              <w:spacing w:after="160" w:line="259" w:lineRule="auto"/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</w:pPr>
            <w:r w:rsidRPr="008F7F5B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>6. Recovery solutions trialled </w:t>
            </w:r>
          </w:p>
        </w:tc>
        <w:tc>
          <w:tcPr>
            <w:tcW w:w="3481" w:type="pct"/>
            <w:hideMark/>
          </w:tcPr>
          <w:p w14:paraId="07B49B55" w14:textId="62C0A773" w:rsidR="008F7F5B" w:rsidRPr="00D36ABA" w:rsidRDefault="00B86652" w:rsidP="008F7F5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</w:pPr>
            <w:r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Recent advances in reintroduction techniques </w:t>
            </w:r>
            <w:r w:rsidR="00F73D8B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show promise for </w:t>
            </w:r>
            <w:r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this species.</w:t>
            </w:r>
            <w:r w:rsidR="007062B5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</w:t>
            </w:r>
            <w:r w:rsidR="00DC10BD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Conduct a controlled trial </w:t>
            </w:r>
            <w:r w:rsidR="003C1D54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across </w:t>
            </w:r>
            <w:r w:rsidR="00BD2E99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parts</w:t>
            </w:r>
            <w:r w:rsidR="003C1D54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of</w:t>
            </w:r>
            <w:r w:rsidR="00DC10BD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sites</w:t>
            </w:r>
            <w:r w:rsidR="00BD2E99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/populations</w:t>
            </w:r>
            <w:r w:rsidR="00D00425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to compare efficacy</w:t>
            </w:r>
            <w:r w:rsidR="000321DD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, strengths and weaknesses.</w:t>
            </w:r>
          </w:p>
        </w:tc>
      </w:tr>
      <w:tr w:rsidR="008F7F5B" w:rsidRPr="008F7F5B" w14:paraId="3E5FB4DB" w14:textId="77777777" w:rsidTr="00A115A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" w:type="pct"/>
            <w:hideMark/>
          </w:tcPr>
          <w:p w14:paraId="43572AAB" w14:textId="77777777" w:rsidR="008F7F5B" w:rsidRPr="009B21C8" w:rsidRDefault="008F7F5B" w:rsidP="008F7F5B">
            <w:pPr>
              <w:spacing w:after="160" w:line="259" w:lineRule="auto"/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</w:pPr>
            <w:r w:rsidRPr="009B21C8">
              <w:rPr>
                <w:rFonts w:ascii="Arial" w:eastAsia="Segoe UI" w:hAnsi="Arial" w:cs="Arial"/>
                <w:color w:val="171717" w:themeColor="background2" w:themeShade="1A"/>
                <w:sz w:val="20"/>
                <w:szCs w:val="20"/>
              </w:rPr>
              <w:t>7. Best approach adopted and deployed at appropriate scales </w:t>
            </w:r>
          </w:p>
        </w:tc>
        <w:tc>
          <w:tcPr>
            <w:tcW w:w="3481" w:type="pct"/>
            <w:hideMark/>
          </w:tcPr>
          <w:p w14:paraId="020CC149" w14:textId="7CD98B19" w:rsidR="008F7F5B" w:rsidRPr="00D36ABA" w:rsidRDefault="00B46984" w:rsidP="00854DE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</w:pPr>
            <w:r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Although recovery </w:t>
            </w:r>
            <w:r w:rsidR="00B04E33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method</w:t>
            </w:r>
            <w:r w:rsidR="00854DE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s are</w:t>
            </w:r>
            <w:r w:rsidR="00B04E33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known, </w:t>
            </w:r>
            <w:r w:rsidR="00854DE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take-up of these has so far been limited. </w:t>
            </w:r>
            <w:r w:rsidR="005F71A5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Produce a</w:t>
            </w:r>
            <w:r w:rsidR="00F04AAF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n illustrated </w:t>
            </w:r>
            <w:r w:rsidR="005F71A5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practical guide</w:t>
            </w:r>
            <w:r w:rsidR="00272E6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for</w:t>
            </w:r>
            <w:r w:rsidR="005F71A5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land managers</w:t>
            </w:r>
            <w:r w:rsidR="00272E6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on</w:t>
            </w:r>
            <w:r w:rsidR="005F71A5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how to </w:t>
            </w:r>
            <w:r w:rsidR="00272E6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manage </w:t>
            </w:r>
            <w:r w:rsidR="007C2198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for </w:t>
            </w:r>
            <w:r w:rsidR="00272E6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this species</w:t>
            </w:r>
            <w:r w:rsidR="007C2198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 xml:space="preserve"> and its habitat</w:t>
            </w:r>
            <w:r w:rsidR="00272E60" w:rsidRPr="00D36ABA">
              <w:rPr>
                <w:rFonts w:ascii="Arial" w:eastAsia="Segoe UI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.</w:t>
            </w:r>
          </w:p>
        </w:tc>
      </w:tr>
    </w:tbl>
    <w:p w14:paraId="3AD230CC" w14:textId="3677BAC7" w:rsidR="008F7F5B" w:rsidRDefault="008F7F5B" w:rsidP="008F7F5B">
      <w:pPr>
        <w:rPr>
          <w:rFonts w:ascii="Arial" w:eastAsia="Segoe UI" w:hAnsi="Arial" w:cs="Arial"/>
          <w:color w:val="171717" w:themeColor="background2" w:themeShade="1A"/>
          <w:sz w:val="20"/>
          <w:szCs w:val="20"/>
          <w:lang w:eastAsia="en-GB"/>
        </w:rPr>
      </w:pPr>
    </w:p>
    <w:p w14:paraId="2A453E95" w14:textId="77777777" w:rsidR="009B21C8" w:rsidRPr="008F7F5B" w:rsidRDefault="009B21C8" w:rsidP="008F7F5B">
      <w:pPr>
        <w:rPr>
          <w:rFonts w:ascii="Arial" w:eastAsia="Segoe UI" w:hAnsi="Arial" w:cs="Arial"/>
          <w:color w:val="171717" w:themeColor="background2" w:themeShade="1A"/>
          <w:sz w:val="20"/>
          <w:szCs w:val="20"/>
          <w:lang w:eastAsia="en-GB"/>
        </w:rPr>
      </w:pPr>
    </w:p>
    <w:sectPr w:rsidR="009B21C8" w:rsidRPr="008F7F5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6F4C4" w14:textId="77777777" w:rsidR="006B0743" w:rsidRDefault="006B0743" w:rsidP="006B0743">
      <w:pPr>
        <w:spacing w:after="0" w:line="240" w:lineRule="auto"/>
      </w:pPr>
      <w:r>
        <w:separator/>
      </w:r>
    </w:p>
  </w:endnote>
  <w:endnote w:type="continuationSeparator" w:id="0">
    <w:p w14:paraId="2C76AA31" w14:textId="77777777" w:rsidR="006B0743" w:rsidRDefault="006B0743" w:rsidP="006B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A26BA" w14:textId="77777777" w:rsidR="006B0743" w:rsidRDefault="006B0743" w:rsidP="006B0743">
      <w:pPr>
        <w:spacing w:after="0" w:line="240" w:lineRule="auto"/>
      </w:pPr>
      <w:r>
        <w:separator/>
      </w:r>
    </w:p>
  </w:footnote>
  <w:footnote w:type="continuationSeparator" w:id="0">
    <w:p w14:paraId="1D6C2919" w14:textId="77777777" w:rsidR="006B0743" w:rsidRDefault="006B0743" w:rsidP="006B0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B3945" w14:textId="668F537D" w:rsidR="006B0743" w:rsidRDefault="006B0743" w:rsidP="006B0743">
    <w:pPr>
      <w:pStyle w:val="Header"/>
      <w:jc w:val="right"/>
    </w:pPr>
    <w:r>
      <w:rPr>
        <w:b/>
        <w:bCs/>
        <w:noProof/>
        <w:color w:val="000000"/>
        <w:sz w:val="28"/>
        <w:szCs w:val="28"/>
      </w:rPr>
      <w:drawing>
        <wp:inline distT="0" distB="0" distL="0" distR="0" wp14:anchorId="2382C95D" wp14:editId="6B73BE4A">
          <wp:extent cx="664234" cy="664234"/>
          <wp:effectExtent l="0" t="0" r="2540" b="2540"/>
          <wp:docPr id="1" name="Picture 1" descr="A green squar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squar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136" cy="68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4CC"/>
    <w:multiLevelType w:val="hybridMultilevel"/>
    <w:tmpl w:val="5A668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4F9F"/>
    <w:multiLevelType w:val="hybridMultilevel"/>
    <w:tmpl w:val="60F04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F5C1F"/>
    <w:multiLevelType w:val="hybridMultilevel"/>
    <w:tmpl w:val="D25A7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B2C9E"/>
    <w:multiLevelType w:val="hybridMultilevel"/>
    <w:tmpl w:val="C63EE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95476">
    <w:abstractNumId w:val="1"/>
  </w:num>
  <w:num w:numId="2" w16cid:durableId="1929773538">
    <w:abstractNumId w:val="3"/>
  </w:num>
  <w:num w:numId="3" w16cid:durableId="1058162759">
    <w:abstractNumId w:val="0"/>
  </w:num>
  <w:num w:numId="4" w16cid:durableId="569579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5E"/>
    <w:rsid w:val="000144F3"/>
    <w:rsid w:val="0001766C"/>
    <w:rsid w:val="000321DD"/>
    <w:rsid w:val="00080BD4"/>
    <w:rsid w:val="000845C9"/>
    <w:rsid w:val="00096518"/>
    <w:rsid w:val="00124DAE"/>
    <w:rsid w:val="00133431"/>
    <w:rsid w:val="0015574E"/>
    <w:rsid w:val="00192E0D"/>
    <w:rsid w:val="001F2DEA"/>
    <w:rsid w:val="001F58C0"/>
    <w:rsid w:val="002138C0"/>
    <w:rsid w:val="00226655"/>
    <w:rsid w:val="00232384"/>
    <w:rsid w:val="00272E60"/>
    <w:rsid w:val="00275B14"/>
    <w:rsid w:val="00293740"/>
    <w:rsid w:val="00294EA3"/>
    <w:rsid w:val="00295925"/>
    <w:rsid w:val="00297151"/>
    <w:rsid w:val="0029745E"/>
    <w:rsid w:val="002A04BC"/>
    <w:rsid w:val="002D5420"/>
    <w:rsid w:val="002E06BA"/>
    <w:rsid w:val="00301353"/>
    <w:rsid w:val="00316D5E"/>
    <w:rsid w:val="00321422"/>
    <w:rsid w:val="00362F34"/>
    <w:rsid w:val="0038685E"/>
    <w:rsid w:val="00393E8B"/>
    <w:rsid w:val="003C040A"/>
    <w:rsid w:val="003C1D54"/>
    <w:rsid w:val="003C64C8"/>
    <w:rsid w:val="003C7E5E"/>
    <w:rsid w:val="00472BA9"/>
    <w:rsid w:val="004905A0"/>
    <w:rsid w:val="0049551D"/>
    <w:rsid w:val="004A1A73"/>
    <w:rsid w:val="004B0C0A"/>
    <w:rsid w:val="004D12FB"/>
    <w:rsid w:val="004D3388"/>
    <w:rsid w:val="004D38D0"/>
    <w:rsid w:val="004E2E35"/>
    <w:rsid w:val="005014A2"/>
    <w:rsid w:val="005027E4"/>
    <w:rsid w:val="00502AB9"/>
    <w:rsid w:val="005069A3"/>
    <w:rsid w:val="00517A82"/>
    <w:rsid w:val="00556AA5"/>
    <w:rsid w:val="0056742D"/>
    <w:rsid w:val="00573667"/>
    <w:rsid w:val="00583A87"/>
    <w:rsid w:val="0058411E"/>
    <w:rsid w:val="005951D5"/>
    <w:rsid w:val="005A6330"/>
    <w:rsid w:val="005C250A"/>
    <w:rsid w:val="005C5C79"/>
    <w:rsid w:val="005D11CB"/>
    <w:rsid w:val="005D7214"/>
    <w:rsid w:val="005F71A5"/>
    <w:rsid w:val="00606303"/>
    <w:rsid w:val="00623C55"/>
    <w:rsid w:val="00626D4F"/>
    <w:rsid w:val="006420F5"/>
    <w:rsid w:val="006466A2"/>
    <w:rsid w:val="006559B4"/>
    <w:rsid w:val="00660049"/>
    <w:rsid w:val="006803D2"/>
    <w:rsid w:val="0068453D"/>
    <w:rsid w:val="006B0743"/>
    <w:rsid w:val="006C1772"/>
    <w:rsid w:val="006D2F6D"/>
    <w:rsid w:val="006F58CC"/>
    <w:rsid w:val="006F7023"/>
    <w:rsid w:val="00704735"/>
    <w:rsid w:val="007062B5"/>
    <w:rsid w:val="00711A95"/>
    <w:rsid w:val="00743086"/>
    <w:rsid w:val="007508C4"/>
    <w:rsid w:val="0077121E"/>
    <w:rsid w:val="0077428E"/>
    <w:rsid w:val="00797F7E"/>
    <w:rsid w:val="007B6EED"/>
    <w:rsid w:val="007C2198"/>
    <w:rsid w:val="007D1F96"/>
    <w:rsid w:val="007F3611"/>
    <w:rsid w:val="007F7027"/>
    <w:rsid w:val="007F790F"/>
    <w:rsid w:val="00811C45"/>
    <w:rsid w:val="00826E62"/>
    <w:rsid w:val="00854DE0"/>
    <w:rsid w:val="00870E9F"/>
    <w:rsid w:val="0088158E"/>
    <w:rsid w:val="008844A3"/>
    <w:rsid w:val="00891C81"/>
    <w:rsid w:val="00897700"/>
    <w:rsid w:val="008D4BD4"/>
    <w:rsid w:val="008E557D"/>
    <w:rsid w:val="008F7F5B"/>
    <w:rsid w:val="0095099D"/>
    <w:rsid w:val="009559CD"/>
    <w:rsid w:val="00990E17"/>
    <w:rsid w:val="00993F50"/>
    <w:rsid w:val="0099414D"/>
    <w:rsid w:val="00997A3B"/>
    <w:rsid w:val="009B21C8"/>
    <w:rsid w:val="009B64BB"/>
    <w:rsid w:val="009D2094"/>
    <w:rsid w:val="009E6128"/>
    <w:rsid w:val="009E697E"/>
    <w:rsid w:val="009E7C2F"/>
    <w:rsid w:val="00A0041A"/>
    <w:rsid w:val="00A11DD0"/>
    <w:rsid w:val="00A5204A"/>
    <w:rsid w:val="00A54D25"/>
    <w:rsid w:val="00A64570"/>
    <w:rsid w:val="00A9665F"/>
    <w:rsid w:val="00B04E33"/>
    <w:rsid w:val="00B25388"/>
    <w:rsid w:val="00B43246"/>
    <w:rsid w:val="00B43509"/>
    <w:rsid w:val="00B46984"/>
    <w:rsid w:val="00B6209C"/>
    <w:rsid w:val="00B86652"/>
    <w:rsid w:val="00B9235D"/>
    <w:rsid w:val="00B94123"/>
    <w:rsid w:val="00BA12DC"/>
    <w:rsid w:val="00BC0713"/>
    <w:rsid w:val="00BC1D71"/>
    <w:rsid w:val="00BD2E99"/>
    <w:rsid w:val="00BE430B"/>
    <w:rsid w:val="00C025E8"/>
    <w:rsid w:val="00C033A1"/>
    <w:rsid w:val="00C03E63"/>
    <w:rsid w:val="00C10007"/>
    <w:rsid w:val="00C244D1"/>
    <w:rsid w:val="00C26752"/>
    <w:rsid w:val="00C27054"/>
    <w:rsid w:val="00C43DB7"/>
    <w:rsid w:val="00C4412C"/>
    <w:rsid w:val="00C45997"/>
    <w:rsid w:val="00C46F08"/>
    <w:rsid w:val="00C602BD"/>
    <w:rsid w:val="00C6056C"/>
    <w:rsid w:val="00C941F0"/>
    <w:rsid w:val="00CB27B9"/>
    <w:rsid w:val="00CF03E4"/>
    <w:rsid w:val="00D00425"/>
    <w:rsid w:val="00D03BA6"/>
    <w:rsid w:val="00D05F58"/>
    <w:rsid w:val="00D15FE2"/>
    <w:rsid w:val="00D16122"/>
    <w:rsid w:val="00D2386F"/>
    <w:rsid w:val="00D25FBA"/>
    <w:rsid w:val="00D31A50"/>
    <w:rsid w:val="00D33EA0"/>
    <w:rsid w:val="00D36ABA"/>
    <w:rsid w:val="00D41840"/>
    <w:rsid w:val="00D55428"/>
    <w:rsid w:val="00D60C02"/>
    <w:rsid w:val="00D643E4"/>
    <w:rsid w:val="00D65E46"/>
    <w:rsid w:val="00D67753"/>
    <w:rsid w:val="00D921FD"/>
    <w:rsid w:val="00DA20B3"/>
    <w:rsid w:val="00DA3475"/>
    <w:rsid w:val="00DA6122"/>
    <w:rsid w:val="00DC10BD"/>
    <w:rsid w:val="00DD1EB8"/>
    <w:rsid w:val="00DE6246"/>
    <w:rsid w:val="00DF0232"/>
    <w:rsid w:val="00E21209"/>
    <w:rsid w:val="00E3219C"/>
    <w:rsid w:val="00E43A12"/>
    <w:rsid w:val="00E62BC7"/>
    <w:rsid w:val="00E6533A"/>
    <w:rsid w:val="00E76369"/>
    <w:rsid w:val="00E845FB"/>
    <w:rsid w:val="00E966F2"/>
    <w:rsid w:val="00EA25DC"/>
    <w:rsid w:val="00EA3D71"/>
    <w:rsid w:val="00EA6995"/>
    <w:rsid w:val="00EB3E8C"/>
    <w:rsid w:val="00F04AAF"/>
    <w:rsid w:val="00F12A29"/>
    <w:rsid w:val="00F36936"/>
    <w:rsid w:val="00F73D8B"/>
    <w:rsid w:val="00F82F99"/>
    <w:rsid w:val="00F918D0"/>
    <w:rsid w:val="00F97130"/>
    <w:rsid w:val="00FB1FBA"/>
    <w:rsid w:val="00FB245D"/>
    <w:rsid w:val="00FC4511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F076"/>
  <w15:chartTrackingRefBased/>
  <w15:docId w15:val="{18291424-FF97-4A57-8B55-474940BB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743"/>
  </w:style>
  <w:style w:type="paragraph" w:styleId="Footer">
    <w:name w:val="footer"/>
    <w:basedOn w:val="Normal"/>
    <w:link w:val="FooterChar"/>
    <w:uiPriority w:val="99"/>
    <w:unhideWhenUsed/>
    <w:rsid w:val="006B07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743"/>
  </w:style>
  <w:style w:type="table" w:styleId="GridTable2-Accent6">
    <w:name w:val="Grid Table 2 Accent 6"/>
    <w:basedOn w:val="TableNormal"/>
    <w:uiPriority w:val="47"/>
    <w:rsid w:val="008F7F5B"/>
    <w:pPr>
      <w:spacing w:after="0" w:line="240" w:lineRule="auto"/>
    </w:pPr>
    <w:rPr>
      <w:rFonts w:eastAsiaTheme="minorEastAsia"/>
      <w:kern w:val="2"/>
      <w:lang w:eastAsia="en-GB"/>
      <w14:ligatures w14:val="standardContextual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Wilkins, Tim (NE)</dc:creator>
  <cp:keywords/>
  <dc:description/>
  <cp:lastModifiedBy>Wilkins, Tim (NE)</cp:lastModifiedBy>
  <cp:revision>38</cp:revision>
  <dcterms:created xsi:type="dcterms:W3CDTF">2023-08-19T08:49:00Z</dcterms:created>
  <dcterms:modified xsi:type="dcterms:W3CDTF">2023-09-01T09:01:00Z</dcterms:modified>
</cp:coreProperties>
</file>