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0776B" w14:textId="77777777" w:rsidR="00D37BAC" w:rsidRPr="00EE5AE1" w:rsidRDefault="00BE608A" w:rsidP="00F62CB1">
      <w:pPr>
        <w:pStyle w:val="Chapter"/>
      </w:pPr>
      <w:bookmarkStart w:id="0" w:name="_Toc452982264"/>
      <w:bookmarkStart w:id="1" w:name="_Toc278544909"/>
      <w:bookmarkStart w:id="2" w:name="_Toc297988806"/>
      <w:r>
        <w:t>A</w:t>
      </w:r>
      <w:r w:rsidR="008B5D18">
        <w:t xml:space="preserve">ttachment </w:t>
      </w:r>
      <w:r w:rsidR="00E9276E">
        <w:t>8</w:t>
      </w:r>
      <w:r w:rsidR="00AA5679" w:rsidRPr="00EE5AE1">
        <w:t xml:space="preserve"> - </w:t>
      </w:r>
      <w:bookmarkEnd w:id="0"/>
      <w:r w:rsidR="00E9276E">
        <w:t>Pricing Schedule</w:t>
      </w:r>
      <w:r w:rsidR="0097221B">
        <w:t xml:space="preserve"> </w:t>
      </w:r>
    </w:p>
    <w:bookmarkEnd w:id="1"/>
    <w:bookmarkEnd w:id="2"/>
    <w:p w14:paraId="1932182B" w14:textId="77777777" w:rsidR="00F54C56" w:rsidRDefault="00F54C56" w:rsidP="00F54C56">
      <w:pPr>
        <w:jc w:val="both"/>
        <w:rPr>
          <w:szCs w:val="20"/>
        </w:rPr>
      </w:pPr>
    </w:p>
    <w:p w14:paraId="31D5EA5C" w14:textId="77777777" w:rsidR="00F54C56" w:rsidRPr="00E9276E" w:rsidRDefault="00E9276E" w:rsidP="00871F3B">
      <w:pPr>
        <w:pStyle w:val="ListParagraph"/>
        <w:numPr>
          <w:ilvl w:val="0"/>
          <w:numId w:val="37"/>
        </w:numPr>
        <w:ind w:hanging="720"/>
        <w:jc w:val="both"/>
        <w:rPr>
          <w:b/>
          <w:bCs/>
          <w:color w:val="00AE9C"/>
          <w:spacing w:val="10"/>
          <w:kern w:val="28"/>
          <w:sz w:val="24"/>
        </w:rPr>
      </w:pPr>
      <w:r w:rsidRPr="00E9276E">
        <w:rPr>
          <w:b/>
          <w:bCs/>
          <w:color w:val="00AE9C"/>
          <w:spacing w:val="10"/>
          <w:kern w:val="28"/>
          <w:sz w:val="24"/>
        </w:rPr>
        <w:t>G</w:t>
      </w:r>
      <w:r w:rsidR="00871F3B">
        <w:rPr>
          <w:b/>
          <w:bCs/>
          <w:color w:val="00AE9C"/>
          <w:spacing w:val="10"/>
          <w:kern w:val="28"/>
          <w:sz w:val="24"/>
        </w:rPr>
        <w:t>ENERAL</w:t>
      </w:r>
      <w:r w:rsidRPr="00E9276E">
        <w:rPr>
          <w:b/>
          <w:bCs/>
          <w:color w:val="00AE9C"/>
          <w:spacing w:val="10"/>
          <w:kern w:val="28"/>
          <w:sz w:val="24"/>
        </w:rPr>
        <w:t xml:space="preserve"> I</w:t>
      </w:r>
      <w:r w:rsidR="00871F3B">
        <w:rPr>
          <w:b/>
          <w:bCs/>
          <w:color w:val="00AE9C"/>
          <w:spacing w:val="10"/>
          <w:kern w:val="28"/>
          <w:sz w:val="24"/>
        </w:rPr>
        <w:t>NSTRUCTIONS</w:t>
      </w:r>
      <w:r w:rsidRPr="00E9276E">
        <w:rPr>
          <w:b/>
          <w:bCs/>
          <w:color w:val="00AE9C"/>
          <w:spacing w:val="10"/>
          <w:kern w:val="28"/>
          <w:sz w:val="24"/>
        </w:rPr>
        <w:t xml:space="preserve"> </w:t>
      </w:r>
    </w:p>
    <w:p w14:paraId="768CA2DC" w14:textId="77777777" w:rsidR="00F54C56" w:rsidRDefault="00F54C56" w:rsidP="00F54C56">
      <w:pPr>
        <w:jc w:val="both"/>
        <w:rPr>
          <w:b/>
          <w:szCs w:val="20"/>
        </w:rPr>
      </w:pPr>
    </w:p>
    <w:p w14:paraId="0C50D127" w14:textId="7362E943" w:rsidR="00E9276E" w:rsidRPr="003B54C3" w:rsidRDefault="00E9276E" w:rsidP="00E9276E">
      <w:pPr>
        <w:pStyle w:val="ListParagraph"/>
        <w:numPr>
          <w:ilvl w:val="0"/>
          <w:numId w:val="36"/>
        </w:numPr>
        <w:spacing w:line="360" w:lineRule="auto"/>
        <w:jc w:val="both"/>
        <w:rPr>
          <w:rFonts w:ascii="Helvetica Neue" w:hAnsi="Helvetica Neue"/>
          <w:szCs w:val="20"/>
        </w:rPr>
      </w:pPr>
      <w:r w:rsidRPr="003B54C3">
        <w:rPr>
          <w:rFonts w:ascii="Helvetica Neue" w:hAnsi="Helvetica Neue"/>
          <w:szCs w:val="20"/>
        </w:rPr>
        <w:t>The rates contained within the Pricing Schedule are, unless otherwise expressly agreed between the parties, firm.</w:t>
      </w:r>
    </w:p>
    <w:p w14:paraId="13748922" w14:textId="77777777" w:rsidR="00E9276E" w:rsidRPr="003B54C3" w:rsidRDefault="00E9276E" w:rsidP="00E9276E">
      <w:pPr>
        <w:pStyle w:val="ListParagraph"/>
        <w:numPr>
          <w:ilvl w:val="0"/>
          <w:numId w:val="36"/>
        </w:numPr>
        <w:spacing w:line="360" w:lineRule="auto"/>
        <w:jc w:val="both"/>
        <w:rPr>
          <w:rFonts w:ascii="Helvetica Neue" w:hAnsi="Helvetica Neue"/>
          <w:szCs w:val="20"/>
        </w:rPr>
      </w:pPr>
      <w:r w:rsidRPr="003B54C3">
        <w:rPr>
          <w:rFonts w:ascii="Helvetica Neue" w:hAnsi="Helvetica Neue"/>
          <w:szCs w:val="20"/>
        </w:rPr>
        <w:t>The rates agreed shall be deemed to include complete provision for full compliance with the requirements of the Contract.</w:t>
      </w:r>
    </w:p>
    <w:p w14:paraId="78BD8729" w14:textId="77777777" w:rsidR="00E9276E" w:rsidRPr="003B54C3" w:rsidRDefault="00E9276E" w:rsidP="00E9276E">
      <w:pPr>
        <w:pStyle w:val="ListParagraph"/>
        <w:numPr>
          <w:ilvl w:val="0"/>
          <w:numId w:val="36"/>
        </w:numPr>
        <w:spacing w:line="360" w:lineRule="auto"/>
        <w:jc w:val="both"/>
        <w:rPr>
          <w:rFonts w:ascii="Helvetica Neue" w:hAnsi="Helvetica Neue"/>
          <w:szCs w:val="20"/>
        </w:rPr>
      </w:pPr>
      <w:r w:rsidRPr="003B54C3">
        <w:rPr>
          <w:rFonts w:ascii="Helvetica Neue" w:hAnsi="Helvetica Neue"/>
          <w:szCs w:val="20"/>
        </w:rPr>
        <w:t>The rates entered in the Pricing Schedule shall include all travel and subsistence costs.</w:t>
      </w:r>
    </w:p>
    <w:p w14:paraId="19F71760" w14:textId="77777777" w:rsidR="00E9276E" w:rsidRPr="003B54C3" w:rsidRDefault="00E9276E" w:rsidP="00E9276E">
      <w:pPr>
        <w:spacing w:line="360" w:lineRule="auto"/>
        <w:ind w:left="720"/>
        <w:jc w:val="both"/>
        <w:rPr>
          <w:rFonts w:eastAsia="SimSun"/>
          <w:sz w:val="22"/>
          <w:szCs w:val="20"/>
          <w:lang w:eastAsia="zh-CN"/>
        </w:rPr>
      </w:pPr>
      <w:r w:rsidRPr="003B54C3">
        <w:rPr>
          <w:rFonts w:eastAsia="SimSun"/>
          <w:sz w:val="22"/>
          <w:szCs w:val="20"/>
          <w:lang w:eastAsia="zh-CN"/>
        </w:rPr>
        <w:t>Expenses will only be approved if supported by original receipts.</w:t>
      </w:r>
    </w:p>
    <w:p w14:paraId="37486B82" w14:textId="77777777" w:rsidR="00E9276E" w:rsidRPr="003B54C3" w:rsidRDefault="00E9276E" w:rsidP="00E9276E">
      <w:pPr>
        <w:pStyle w:val="ListParagraph"/>
        <w:numPr>
          <w:ilvl w:val="0"/>
          <w:numId w:val="36"/>
        </w:numPr>
        <w:spacing w:line="360" w:lineRule="auto"/>
        <w:jc w:val="both"/>
        <w:rPr>
          <w:rFonts w:ascii="Helvetica Neue" w:hAnsi="Helvetica Neue"/>
          <w:szCs w:val="20"/>
        </w:rPr>
      </w:pPr>
      <w:r w:rsidRPr="003B54C3">
        <w:rPr>
          <w:rFonts w:ascii="Helvetica Neue" w:hAnsi="Helvetica Neue"/>
          <w:szCs w:val="20"/>
        </w:rPr>
        <w:t>The Authority will only pay for expenses claimed that are in line with the Department’s guidelines for expenses.</w:t>
      </w:r>
    </w:p>
    <w:p w14:paraId="70512574" w14:textId="77777777" w:rsidR="00E9276E" w:rsidRPr="003B54C3" w:rsidRDefault="00E9276E" w:rsidP="00E9276E">
      <w:pPr>
        <w:pStyle w:val="ListParagraph"/>
        <w:numPr>
          <w:ilvl w:val="0"/>
          <w:numId w:val="36"/>
        </w:numPr>
        <w:spacing w:line="360" w:lineRule="auto"/>
        <w:jc w:val="both"/>
        <w:rPr>
          <w:rFonts w:ascii="Helvetica Neue" w:hAnsi="Helvetica Neue"/>
          <w:szCs w:val="20"/>
        </w:rPr>
      </w:pPr>
      <w:r w:rsidRPr="003B54C3">
        <w:rPr>
          <w:rFonts w:ascii="Helvetica Neue" w:hAnsi="Helvetica Neue"/>
          <w:szCs w:val="20"/>
        </w:rPr>
        <w:t>The Authority will only make payment for overnight stays that have been authorised beforehand in writing by the Authority’s Representative.</w:t>
      </w:r>
    </w:p>
    <w:p w14:paraId="7416BB10" w14:textId="77777777" w:rsidR="00E9276E" w:rsidRPr="003B54C3" w:rsidRDefault="00E9276E" w:rsidP="00E9276E">
      <w:pPr>
        <w:pStyle w:val="ListParagraph"/>
        <w:numPr>
          <w:ilvl w:val="0"/>
          <w:numId w:val="36"/>
        </w:numPr>
        <w:spacing w:line="360" w:lineRule="auto"/>
        <w:jc w:val="both"/>
        <w:rPr>
          <w:rFonts w:ascii="Helvetica Neue" w:hAnsi="Helvetica Neue"/>
          <w:szCs w:val="20"/>
        </w:rPr>
      </w:pPr>
      <w:r w:rsidRPr="003B54C3">
        <w:rPr>
          <w:rFonts w:ascii="Helvetica Neue" w:hAnsi="Helvetica Neue"/>
          <w:szCs w:val="20"/>
        </w:rPr>
        <w:t>The rates exclude VAT.</w:t>
      </w:r>
    </w:p>
    <w:p w14:paraId="2713529E" w14:textId="77777777" w:rsidR="00E9276E" w:rsidRPr="003B54C3" w:rsidRDefault="00E9276E" w:rsidP="00E9276E">
      <w:pPr>
        <w:pStyle w:val="ListParagraph"/>
        <w:numPr>
          <w:ilvl w:val="0"/>
          <w:numId w:val="36"/>
        </w:numPr>
        <w:spacing w:line="360" w:lineRule="auto"/>
        <w:jc w:val="both"/>
        <w:rPr>
          <w:rFonts w:ascii="Helvetica Neue" w:hAnsi="Helvetica Neue"/>
          <w:szCs w:val="20"/>
        </w:rPr>
      </w:pPr>
      <w:r w:rsidRPr="003B54C3">
        <w:rPr>
          <w:rFonts w:ascii="Helvetica Neue" w:hAnsi="Helvetica Neue"/>
          <w:szCs w:val="20"/>
        </w:rPr>
        <w:t>Original receipts will need to be provided for all expenses.</w:t>
      </w:r>
    </w:p>
    <w:p w14:paraId="2B555057" w14:textId="77777777" w:rsidR="00E9276E" w:rsidRDefault="00E9276E" w:rsidP="00E9276E">
      <w:pPr>
        <w:jc w:val="both"/>
        <w:rPr>
          <w:szCs w:val="20"/>
        </w:rPr>
      </w:pPr>
    </w:p>
    <w:p w14:paraId="02F7E463" w14:textId="77777777" w:rsidR="00F54C56" w:rsidRPr="00BC7F99" w:rsidRDefault="00F54C56" w:rsidP="00F54C56">
      <w:pPr>
        <w:pStyle w:val="ListParagraph"/>
        <w:rPr>
          <w:szCs w:val="20"/>
        </w:rPr>
      </w:pPr>
    </w:p>
    <w:p w14:paraId="7B016814" w14:textId="77777777" w:rsidR="00F54C56" w:rsidRPr="008458B1" w:rsidRDefault="00E9276E" w:rsidP="00F54C56">
      <w:pPr>
        <w:jc w:val="both"/>
        <w:rPr>
          <w:rFonts w:ascii="Arial" w:eastAsia="SimSun" w:hAnsi="Arial"/>
          <w:b/>
          <w:bCs/>
          <w:color w:val="00AE9C"/>
          <w:spacing w:val="10"/>
          <w:kern w:val="28"/>
          <w:sz w:val="24"/>
          <w:szCs w:val="24"/>
          <w:lang w:eastAsia="zh-CN"/>
        </w:rPr>
      </w:pPr>
      <w:r>
        <w:rPr>
          <w:rFonts w:ascii="Arial" w:eastAsia="SimSun" w:hAnsi="Arial"/>
          <w:b/>
          <w:bCs/>
          <w:color w:val="00AE9C"/>
          <w:spacing w:val="10"/>
          <w:kern w:val="28"/>
          <w:sz w:val="24"/>
          <w:szCs w:val="24"/>
          <w:lang w:eastAsia="zh-CN"/>
        </w:rPr>
        <w:t>2.</w:t>
      </w:r>
      <w:r>
        <w:rPr>
          <w:rFonts w:ascii="Arial" w:eastAsia="SimSun" w:hAnsi="Arial"/>
          <w:b/>
          <w:bCs/>
          <w:color w:val="00AE9C"/>
          <w:spacing w:val="10"/>
          <w:kern w:val="28"/>
          <w:sz w:val="24"/>
          <w:szCs w:val="24"/>
          <w:lang w:eastAsia="zh-CN"/>
        </w:rPr>
        <w:tab/>
        <w:t>P</w:t>
      </w:r>
      <w:r w:rsidR="00871F3B">
        <w:rPr>
          <w:rFonts w:ascii="Arial" w:eastAsia="SimSun" w:hAnsi="Arial"/>
          <w:b/>
          <w:bCs/>
          <w:color w:val="00AE9C"/>
          <w:spacing w:val="10"/>
          <w:kern w:val="28"/>
          <w:sz w:val="24"/>
          <w:szCs w:val="24"/>
          <w:lang w:eastAsia="zh-CN"/>
        </w:rPr>
        <w:t xml:space="preserve">RICING </w:t>
      </w:r>
      <w:r>
        <w:rPr>
          <w:rFonts w:ascii="Arial" w:eastAsia="SimSun" w:hAnsi="Arial"/>
          <w:b/>
          <w:bCs/>
          <w:color w:val="00AE9C"/>
          <w:spacing w:val="10"/>
          <w:kern w:val="28"/>
          <w:sz w:val="24"/>
          <w:szCs w:val="24"/>
          <w:lang w:eastAsia="zh-CN"/>
        </w:rPr>
        <w:t>S</w:t>
      </w:r>
      <w:r w:rsidR="00871F3B">
        <w:rPr>
          <w:rFonts w:ascii="Arial" w:eastAsia="SimSun" w:hAnsi="Arial"/>
          <w:b/>
          <w:bCs/>
          <w:color w:val="00AE9C"/>
          <w:spacing w:val="10"/>
          <w:kern w:val="28"/>
          <w:sz w:val="24"/>
          <w:szCs w:val="24"/>
          <w:lang w:eastAsia="zh-CN"/>
        </w:rPr>
        <w:t>CHEDULE</w:t>
      </w:r>
    </w:p>
    <w:p w14:paraId="0002B75D" w14:textId="77777777" w:rsidR="00F54C56" w:rsidRDefault="00F54C56" w:rsidP="00F54C56">
      <w:pPr>
        <w:jc w:val="both"/>
        <w:rPr>
          <w:b/>
          <w:szCs w:val="20"/>
        </w:rPr>
      </w:pPr>
    </w:p>
    <w:p w14:paraId="03412B27" w14:textId="77777777" w:rsidR="00871F3B" w:rsidRPr="00EE3718" w:rsidRDefault="00871F3B" w:rsidP="00F54C56">
      <w:pPr>
        <w:jc w:val="both"/>
        <w:rPr>
          <w:rFonts w:ascii="Arial" w:eastAsia="SimSun" w:hAnsi="Arial"/>
          <w:b/>
          <w:bCs/>
          <w:color w:val="00AE9C"/>
          <w:spacing w:val="10"/>
          <w:kern w:val="28"/>
          <w:sz w:val="24"/>
          <w:szCs w:val="24"/>
          <w:lang w:eastAsia="zh-CN"/>
        </w:rPr>
      </w:pPr>
      <w:r w:rsidRPr="00EE3718">
        <w:rPr>
          <w:rFonts w:ascii="Arial" w:eastAsia="SimSun" w:hAnsi="Arial"/>
          <w:b/>
          <w:bCs/>
          <w:color w:val="00AE9C"/>
          <w:spacing w:val="10"/>
          <w:kern w:val="28"/>
          <w:sz w:val="24"/>
          <w:szCs w:val="24"/>
          <w:lang w:eastAsia="zh-CN"/>
        </w:rPr>
        <w:t>ROUTINE (EXPECTED) AVERAGE MONTHLY COSTS</w:t>
      </w:r>
    </w:p>
    <w:p w14:paraId="76212BC4" w14:textId="77777777" w:rsidR="00871F3B" w:rsidRDefault="00871F3B" w:rsidP="00F54C56">
      <w:pPr>
        <w:jc w:val="both"/>
        <w:rPr>
          <w:b/>
          <w:szCs w:val="20"/>
        </w:rPr>
      </w:pPr>
    </w:p>
    <w:p w14:paraId="7198F982" w14:textId="21EE2B8B" w:rsidR="00EE3718" w:rsidRPr="00EE3718" w:rsidRDefault="000936C8" w:rsidP="00F54C56">
      <w:pPr>
        <w:jc w:val="both"/>
        <w:rPr>
          <w:szCs w:val="20"/>
        </w:rPr>
      </w:pPr>
      <w:r>
        <w:rPr>
          <w:szCs w:val="20"/>
        </w:rPr>
        <w:t>Table 1 - Routine</w:t>
      </w:r>
      <w:bookmarkStart w:id="3" w:name="_GoBack"/>
      <w:bookmarkEnd w:id="3"/>
      <w:r w:rsidR="00EE3718" w:rsidRPr="00EE3718">
        <w:rPr>
          <w:szCs w:val="20"/>
        </w:rPr>
        <w:t xml:space="preserve"> (Expected) Average Monthly Costs</w:t>
      </w:r>
    </w:p>
    <w:tbl>
      <w:tblPr>
        <w:tblStyle w:val="TableGrid"/>
        <w:tblW w:w="0" w:type="auto"/>
        <w:tblLook w:val="04A0" w:firstRow="1" w:lastRow="0" w:firstColumn="1" w:lastColumn="0" w:noHBand="0" w:noVBand="1"/>
      </w:tblPr>
      <w:tblGrid>
        <w:gridCol w:w="1242"/>
        <w:gridCol w:w="3380"/>
        <w:gridCol w:w="2311"/>
        <w:gridCol w:w="2312"/>
      </w:tblGrid>
      <w:tr w:rsidR="00871F3B" w14:paraId="7B02AF93" w14:textId="77777777" w:rsidTr="00415EE7">
        <w:tc>
          <w:tcPr>
            <w:tcW w:w="1242" w:type="dxa"/>
          </w:tcPr>
          <w:p w14:paraId="14A8D90E" w14:textId="77777777" w:rsidR="00871F3B" w:rsidRDefault="00871F3B" w:rsidP="00F54C56">
            <w:pPr>
              <w:rPr>
                <w:b/>
                <w:szCs w:val="20"/>
              </w:rPr>
            </w:pPr>
            <w:r>
              <w:rPr>
                <w:b/>
                <w:szCs w:val="20"/>
              </w:rPr>
              <w:t>Invoice Code</w:t>
            </w:r>
          </w:p>
        </w:tc>
        <w:tc>
          <w:tcPr>
            <w:tcW w:w="3380" w:type="dxa"/>
          </w:tcPr>
          <w:p w14:paraId="2C9BA60F" w14:textId="77777777" w:rsidR="00871F3B" w:rsidRDefault="00871F3B" w:rsidP="00F54C56">
            <w:pPr>
              <w:rPr>
                <w:b/>
                <w:szCs w:val="20"/>
              </w:rPr>
            </w:pPr>
            <w:r>
              <w:rPr>
                <w:b/>
                <w:szCs w:val="20"/>
              </w:rPr>
              <w:t>Description of work to be undertaken</w:t>
            </w:r>
          </w:p>
        </w:tc>
        <w:tc>
          <w:tcPr>
            <w:tcW w:w="2311" w:type="dxa"/>
          </w:tcPr>
          <w:p w14:paraId="6A3E5B39" w14:textId="77777777" w:rsidR="00871F3B" w:rsidRDefault="00871F3B" w:rsidP="00F54C56">
            <w:pPr>
              <w:rPr>
                <w:b/>
                <w:szCs w:val="20"/>
              </w:rPr>
            </w:pPr>
            <w:r>
              <w:rPr>
                <w:b/>
                <w:szCs w:val="20"/>
              </w:rPr>
              <w:t>Estimated average number of hours per month</w:t>
            </w:r>
          </w:p>
        </w:tc>
        <w:tc>
          <w:tcPr>
            <w:tcW w:w="2312" w:type="dxa"/>
          </w:tcPr>
          <w:p w14:paraId="753E8860" w14:textId="77777777" w:rsidR="00871F3B" w:rsidRDefault="00871F3B" w:rsidP="00F54C56">
            <w:pPr>
              <w:rPr>
                <w:b/>
                <w:szCs w:val="20"/>
              </w:rPr>
            </w:pPr>
            <w:r>
              <w:rPr>
                <w:b/>
                <w:szCs w:val="20"/>
              </w:rPr>
              <w:t>Forecast cost per month</w:t>
            </w:r>
          </w:p>
        </w:tc>
      </w:tr>
      <w:tr w:rsidR="00871F3B" w14:paraId="205F0C10" w14:textId="77777777" w:rsidTr="00415EE7">
        <w:tc>
          <w:tcPr>
            <w:tcW w:w="1242" w:type="dxa"/>
          </w:tcPr>
          <w:p w14:paraId="31169F67" w14:textId="77777777" w:rsidR="00871F3B" w:rsidRDefault="00871F3B" w:rsidP="00F54C56">
            <w:pPr>
              <w:rPr>
                <w:b/>
                <w:szCs w:val="20"/>
              </w:rPr>
            </w:pPr>
            <w:r>
              <w:rPr>
                <w:b/>
                <w:szCs w:val="20"/>
              </w:rPr>
              <w:t>DOH 1</w:t>
            </w:r>
          </w:p>
        </w:tc>
        <w:tc>
          <w:tcPr>
            <w:tcW w:w="3380" w:type="dxa"/>
          </w:tcPr>
          <w:p w14:paraId="4BEDF5C7" w14:textId="77777777" w:rsidR="00871F3B" w:rsidRDefault="00871F3B" w:rsidP="00F54C56">
            <w:pPr>
              <w:rPr>
                <w:b/>
                <w:szCs w:val="20"/>
              </w:rPr>
            </w:pPr>
            <w:r>
              <w:rPr>
                <w:b/>
                <w:szCs w:val="20"/>
              </w:rPr>
              <w:t>Safety Reviews and Periodic Safety update Report (PSUR)</w:t>
            </w:r>
          </w:p>
        </w:tc>
        <w:tc>
          <w:tcPr>
            <w:tcW w:w="2311" w:type="dxa"/>
          </w:tcPr>
          <w:p w14:paraId="02FAB873" w14:textId="77777777" w:rsidR="00871F3B" w:rsidRDefault="00871F3B" w:rsidP="00F54C56">
            <w:pPr>
              <w:rPr>
                <w:b/>
                <w:szCs w:val="20"/>
              </w:rPr>
            </w:pPr>
          </w:p>
        </w:tc>
        <w:tc>
          <w:tcPr>
            <w:tcW w:w="2312" w:type="dxa"/>
          </w:tcPr>
          <w:p w14:paraId="6782CF7E" w14:textId="77777777" w:rsidR="00871F3B" w:rsidRDefault="00415EE7" w:rsidP="00F54C56">
            <w:pPr>
              <w:rPr>
                <w:b/>
                <w:szCs w:val="20"/>
              </w:rPr>
            </w:pPr>
            <w:r>
              <w:rPr>
                <w:b/>
                <w:szCs w:val="20"/>
              </w:rPr>
              <w:t>£</w:t>
            </w:r>
            <w:r w:rsidR="00EE3718">
              <w:rPr>
                <w:b/>
                <w:szCs w:val="20"/>
              </w:rPr>
              <w:t>*</w:t>
            </w:r>
          </w:p>
        </w:tc>
      </w:tr>
      <w:tr w:rsidR="00871F3B" w14:paraId="1E558EC2" w14:textId="77777777" w:rsidTr="00415EE7">
        <w:tc>
          <w:tcPr>
            <w:tcW w:w="1242" w:type="dxa"/>
          </w:tcPr>
          <w:p w14:paraId="795E92E2" w14:textId="77777777" w:rsidR="00871F3B" w:rsidRDefault="00871F3B" w:rsidP="00F54C56">
            <w:pPr>
              <w:rPr>
                <w:b/>
                <w:szCs w:val="20"/>
              </w:rPr>
            </w:pPr>
            <w:r>
              <w:rPr>
                <w:b/>
                <w:szCs w:val="20"/>
              </w:rPr>
              <w:lastRenderedPageBreak/>
              <w:t>DOH 2</w:t>
            </w:r>
          </w:p>
        </w:tc>
        <w:tc>
          <w:tcPr>
            <w:tcW w:w="3380" w:type="dxa"/>
          </w:tcPr>
          <w:p w14:paraId="3C35D679" w14:textId="77777777" w:rsidR="00871F3B" w:rsidRDefault="00871F3B" w:rsidP="00F54C56">
            <w:pPr>
              <w:rPr>
                <w:b/>
                <w:szCs w:val="20"/>
              </w:rPr>
            </w:pPr>
            <w:r>
              <w:rPr>
                <w:b/>
                <w:szCs w:val="20"/>
              </w:rPr>
              <w:t>Compliance and Inspection related</w:t>
            </w:r>
          </w:p>
        </w:tc>
        <w:tc>
          <w:tcPr>
            <w:tcW w:w="2311" w:type="dxa"/>
          </w:tcPr>
          <w:p w14:paraId="7871A8DC" w14:textId="77777777" w:rsidR="00871F3B" w:rsidRDefault="00871F3B" w:rsidP="00F54C56">
            <w:pPr>
              <w:rPr>
                <w:b/>
                <w:szCs w:val="20"/>
              </w:rPr>
            </w:pPr>
          </w:p>
        </w:tc>
        <w:tc>
          <w:tcPr>
            <w:tcW w:w="2312" w:type="dxa"/>
          </w:tcPr>
          <w:p w14:paraId="3B67F602" w14:textId="77777777" w:rsidR="00871F3B" w:rsidRDefault="00415EE7" w:rsidP="00F54C56">
            <w:pPr>
              <w:rPr>
                <w:b/>
                <w:szCs w:val="20"/>
              </w:rPr>
            </w:pPr>
            <w:r>
              <w:rPr>
                <w:b/>
                <w:szCs w:val="20"/>
              </w:rPr>
              <w:t>£</w:t>
            </w:r>
          </w:p>
        </w:tc>
      </w:tr>
      <w:tr w:rsidR="00871F3B" w14:paraId="6C3DDF69" w14:textId="77777777" w:rsidTr="00415EE7">
        <w:tc>
          <w:tcPr>
            <w:tcW w:w="1242" w:type="dxa"/>
          </w:tcPr>
          <w:p w14:paraId="53526EC2" w14:textId="77777777" w:rsidR="00871F3B" w:rsidRDefault="00871F3B" w:rsidP="00F54C56">
            <w:pPr>
              <w:rPr>
                <w:b/>
                <w:szCs w:val="20"/>
              </w:rPr>
            </w:pPr>
            <w:r>
              <w:rPr>
                <w:b/>
                <w:szCs w:val="20"/>
              </w:rPr>
              <w:t>DOH 3</w:t>
            </w:r>
          </w:p>
        </w:tc>
        <w:tc>
          <w:tcPr>
            <w:tcW w:w="3380" w:type="dxa"/>
          </w:tcPr>
          <w:p w14:paraId="1C6FF0DB" w14:textId="77777777" w:rsidR="00871F3B" w:rsidRDefault="00871F3B" w:rsidP="00F54C56">
            <w:pPr>
              <w:rPr>
                <w:b/>
                <w:szCs w:val="20"/>
              </w:rPr>
            </w:pPr>
            <w:r>
              <w:rPr>
                <w:b/>
                <w:szCs w:val="20"/>
              </w:rPr>
              <w:t>Weekly Literature Searches</w:t>
            </w:r>
          </w:p>
        </w:tc>
        <w:tc>
          <w:tcPr>
            <w:tcW w:w="2311" w:type="dxa"/>
          </w:tcPr>
          <w:p w14:paraId="0D77B603" w14:textId="77777777" w:rsidR="00871F3B" w:rsidRDefault="00871F3B" w:rsidP="00F54C56">
            <w:pPr>
              <w:rPr>
                <w:b/>
                <w:szCs w:val="20"/>
              </w:rPr>
            </w:pPr>
          </w:p>
        </w:tc>
        <w:tc>
          <w:tcPr>
            <w:tcW w:w="2312" w:type="dxa"/>
          </w:tcPr>
          <w:p w14:paraId="448E4A43" w14:textId="77777777" w:rsidR="00871F3B" w:rsidRDefault="00415EE7" w:rsidP="00F54C56">
            <w:pPr>
              <w:rPr>
                <w:b/>
                <w:szCs w:val="20"/>
              </w:rPr>
            </w:pPr>
            <w:r>
              <w:rPr>
                <w:b/>
                <w:szCs w:val="20"/>
              </w:rPr>
              <w:t>£</w:t>
            </w:r>
          </w:p>
          <w:p w14:paraId="21C3B685" w14:textId="77777777" w:rsidR="00415EE7" w:rsidRDefault="00415EE7" w:rsidP="00F54C56">
            <w:pPr>
              <w:rPr>
                <w:b/>
                <w:szCs w:val="20"/>
              </w:rPr>
            </w:pPr>
          </w:p>
        </w:tc>
      </w:tr>
      <w:tr w:rsidR="00871F3B" w14:paraId="2AEBE275" w14:textId="77777777" w:rsidTr="00415EE7">
        <w:tc>
          <w:tcPr>
            <w:tcW w:w="1242" w:type="dxa"/>
          </w:tcPr>
          <w:p w14:paraId="1CB0A9D8" w14:textId="77777777" w:rsidR="00871F3B" w:rsidRDefault="00871F3B" w:rsidP="00F54C56">
            <w:pPr>
              <w:rPr>
                <w:b/>
                <w:szCs w:val="20"/>
              </w:rPr>
            </w:pPr>
            <w:r>
              <w:rPr>
                <w:b/>
                <w:szCs w:val="20"/>
              </w:rPr>
              <w:t>DOH 4</w:t>
            </w:r>
          </w:p>
        </w:tc>
        <w:tc>
          <w:tcPr>
            <w:tcW w:w="3380" w:type="dxa"/>
          </w:tcPr>
          <w:p w14:paraId="4070901F" w14:textId="77777777" w:rsidR="00871F3B" w:rsidRDefault="00871F3B" w:rsidP="00871F3B">
            <w:pPr>
              <w:rPr>
                <w:b/>
                <w:szCs w:val="20"/>
              </w:rPr>
            </w:pPr>
            <w:r>
              <w:rPr>
                <w:b/>
                <w:szCs w:val="20"/>
              </w:rPr>
              <w:t>Case Handling / Safety Database</w:t>
            </w:r>
          </w:p>
        </w:tc>
        <w:tc>
          <w:tcPr>
            <w:tcW w:w="2311" w:type="dxa"/>
          </w:tcPr>
          <w:p w14:paraId="3955C822" w14:textId="77777777" w:rsidR="00871F3B" w:rsidRDefault="00871F3B" w:rsidP="00F54C56">
            <w:pPr>
              <w:rPr>
                <w:b/>
                <w:szCs w:val="20"/>
              </w:rPr>
            </w:pPr>
          </w:p>
        </w:tc>
        <w:tc>
          <w:tcPr>
            <w:tcW w:w="2312" w:type="dxa"/>
          </w:tcPr>
          <w:p w14:paraId="2AEB9625" w14:textId="77777777" w:rsidR="00871F3B" w:rsidRDefault="00415EE7" w:rsidP="00F54C56">
            <w:pPr>
              <w:rPr>
                <w:b/>
                <w:szCs w:val="20"/>
              </w:rPr>
            </w:pPr>
            <w:r>
              <w:rPr>
                <w:b/>
                <w:szCs w:val="20"/>
              </w:rPr>
              <w:t>£</w:t>
            </w:r>
          </w:p>
        </w:tc>
      </w:tr>
      <w:tr w:rsidR="00871F3B" w14:paraId="7B343E8F" w14:textId="77777777" w:rsidTr="00415EE7">
        <w:tc>
          <w:tcPr>
            <w:tcW w:w="1242" w:type="dxa"/>
          </w:tcPr>
          <w:p w14:paraId="365B7440" w14:textId="77777777" w:rsidR="00871F3B" w:rsidRDefault="00871F3B" w:rsidP="00F54C56">
            <w:pPr>
              <w:rPr>
                <w:b/>
                <w:szCs w:val="20"/>
              </w:rPr>
            </w:pPr>
            <w:r>
              <w:rPr>
                <w:b/>
                <w:szCs w:val="20"/>
              </w:rPr>
              <w:t>DOH 5</w:t>
            </w:r>
          </w:p>
        </w:tc>
        <w:tc>
          <w:tcPr>
            <w:tcW w:w="3380" w:type="dxa"/>
          </w:tcPr>
          <w:p w14:paraId="6D879B9B" w14:textId="77777777" w:rsidR="00871F3B" w:rsidRDefault="00871F3B" w:rsidP="00F54C56">
            <w:pPr>
              <w:rPr>
                <w:b/>
                <w:szCs w:val="20"/>
              </w:rPr>
            </w:pPr>
            <w:r>
              <w:rPr>
                <w:b/>
                <w:szCs w:val="20"/>
              </w:rPr>
              <w:t>Enquiry Handling</w:t>
            </w:r>
          </w:p>
        </w:tc>
        <w:tc>
          <w:tcPr>
            <w:tcW w:w="2311" w:type="dxa"/>
          </w:tcPr>
          <w:p w14:paraId="066979C8" w14:textId="77777777" w:rsidR="00871F3B" w:rsidRDefault="00871F3B" w:rsidP="00F54C56">
            <w:pPr>
              <w:rPr>
                <w:b/>
                <w:szCs w:val="20"/>
              </w:rPr>
            </w:pPr>
          </w:p>
        </w:tc>
        <w:tc>
          <w:tcPr>
            <w:tcW w:w="2312" w:type="dxa"/>
          </w:tcPr>
          <w:p w14:paraId="1771937F" w14:textId="77777777" w:rsidR="00871F3B" w:rsidRDefault="00415EE7" w:rsidP="00F54C56">
            <w:pPr>
              <w:rPr>
                <w:b/>
                <w:szCs w:val="20"/>
              </w:rPr>
            </w:pPr>
            <w:r>
              <w:rPr>
                <w:b/>
                <w:szCs w:val="20"/>
              </w:rPr>
              <w:t>£</w:t>
            </w:r>
          </w:p>
        </w:tc>
      </w:tr>
      <w:tr w:rsidR="00871F3B" w14:paraId="1A0D18A9" w14:textId="77777777" w:rsidTr="00415EE7">
        <w:tc>
          <w:tcPr>
            <w:tcW w:w="1242" w:type="dxa"/>
          </w:tcPr>
          <w:p w14:paraId="1E50E279" w14:textId="77777777" w:rsidR="00871F3B" w:rsidRDefault="00871F3B" w:rsidP="00F54C56">
            <w:pPr>
              <w:rPr>
                <w:b/>
                <w:szCs w:val="20"/>
              </w:rPr>
            </w:pPr>
            <w:r>
              <w:rPr>
                <w:b/>
                <w:szCs w:val="20"/>
              </w:rPr>
              <w:t>DOH 6</w:t>
            </w:r>
          </w:p>
        </w:tc>
        <w:tc>
          <w:tcPr>
            <w:tcW w:w="3380" w:type="dxa"/>
          </w:tcPr>
          <w:p w14:paraId="200CEC70" w14:textId="77777777" w:rsidR="00871F3B" w:rsidRDefault="00871F3B" w:rsidP="00F54C56">
            <w:pPr>
              <w:rPr>
                <w:b/>
                <w:szCs w:val="20"/>
              </w:rPr>
            </w:pPr>
            <w:r>
              <w:rPr>
                <w:b/>
                <w:szCs w:val="20"/>
              </w:rPr>
              <w:t>Administration</w:t>
            </w:r>
          </w:p>
        </w:tc>
        <w:tc>
          <w:tcPr>
            <w:tcW w:w="2311" w:type="dxa"/>
          </w:tcPr>
          <w:p w14:paraId="2AD74C2C" w14:textId="77777777" w:rsidR="00871F3B" w:rsidRDefault="00871F3B" w:rsidP="00F54C56">
            <w:pPr>
              <w:rPr>
                <w:b/>
                <w:szCs w:val="20"/>
              </w:rPr>
            </w:pPr>
          </w:p>
        </w:tc>
        <w:tc>
          <w:tcPr>
            <w:tcW w:w="2312" w:type="dxa"/>
          </w:tcPr>
          <w:p w14:paraId="2091F267" w14:textId="77777777" w:rsidR="00871F3B" w:rsidRDefault="00871F3B" w:rsidP="00F54C56">
            <w:pPr>
              <w:rPr>
                <w:b/>
                <w:szCs w:val="20"/>
              </w:rPr>
            </w:pPr>
          </w:p>
        </w:tc>
      </w:tr>
      <w:tr w:rsidR="00871F3B" w14:paraId="60461951" w14:textId="77777777" w:rsidTr="00415EE7">
        <w:tc>
          <w:tcPr>
            <w:tcW w:w="1242" w:type="dxa"/>
          </w:tcPr>
          <w:p w14:paraId="0377CA90" w14:textId="77777777" w:rsidR="00871F3B" w:rsidRDefault="00871F3B" w:rsidP="00F54C56">
            <w:pPr>
              <w:rPr>
                <w:b/>
                <w:szCs w:val="20"/>
              </w:rPr>
            </w:pPr>
            <w:r>
              <w:rPr>
                <w:b/>
                <w:szCs w:val="20"/>
              </w:rPr>
              <w:t>DOH 7</w:t>
            </w:r>
          </w:p>
        </w:tc>
        <w:tc>
          <w:tcPr>
            <w:tcW w:w="3380" w:type="dxa"/>
          </w:tcPr>
          <w:p w14:paraId="25A2AE83" w14:textId="77777777" w:rsidR="00871F3B" w:rsidRDefault="00871F3B" w:rsidP="00F54C56">
            <w:pPr>
              <w:rPr>
                <w:b/>
                <w:szCs w:val="20"/>
              </w:rPr>
            </w:pPr>
            <w:r>
              <w:rPr>
                <w:b/>
                <w:szCs w:val="20"/>
              </w:rPr>
              <w:t>Pharmacovigilance System Master File (PSMF) Production and Maintenance</w:t>
            </w:r>
          </w:p>
        </w:tc>
        <w:tc>
          <w:tcPr>
            <w:tcW w:w="2311" w:type="dxa"/>
          </w:tcPr>
          <w:p w14:paraId="6D0D93E8" w14:textId="77777777" w:rsidR="00871F3B" w:rsidRDefault="00871F3B" w:rsidP="00F54C56">
            <w:pPr>
              <w:rPr>
                <w:b/>
                <w:szCs w:val="20"/>
              </w:rPr>
            </w:pPr>
          </w:p>
        </w:tc>
        <w:tc>
          <w:tcPr>
            <w:tcW w:w="2312" w:type="dxa"/>
          </w:tcPr>
          <w:p w14:paraId="3CF00D96" w14:textId="77777777" w:rsidR="00871F3B" w:rsidRDefault="00415EE7" w:rsidP="00F54C56">
            <w:pPr>
              <w:rPr>
                <w:b/>
                <w:szCs w:val="20"/>
              </w:rPr>
            </w:pPr>
            <w:r>
              <w:rPr>
                <w:b/>
                <w:szCs w:val="20"/>
              </w:rPr>
              <w:t>£</w:t>
            </w:r>
          </w:p>
        </w:tc>
      </w:tr>
      <w:tr w:rsidR="00871F3B" w14:paraId="7AB706C6" w14:textId="77777777" w:rsidTr="005D2117">
        <w:tc>
          <w:tcPr>
            <w:tcW w:w="6933" w:type="dxa"/>
            <w:gridSpan w:val="3"/>
          </w:tcPr>
          <w:p w14:paraId="7C4632DB" w14:textId="77777777" w:rsidR="00871F3B" w:rsidRDefault="00415EE7" w:rsidP="00415EE7">
            <w:pPr>
              <w:jc w:val="right"/>
              <w:rPr>
                <w:b/>
                <w:szCs w:val="20"/>
              </w:rPr>
            </w:pPr>
            <w:r>
              <w:rPr>
                <w:b/>
                <w:szCs w:val="20"/>
              </w:rPr>
              <w:t>Total</w:t>
            </w:r>
          </w:p>
        </w:tc>
        <w:tc>
          <w:tcPr>
            <w:tcW w:w="2312" w:type="dxa"/>
          </w:tcPr>
          <w:p w14:paraId="2C19F41F" w14:textId="77777777" w:rsidR="00871F3B" w:rsidRDefault="00871F3B" w:rsidP="00F54C56">
            <w:pPr>
              <w:rPr>
                <w:b/>
                <w:szCs w:val="20"/>
              </w:rPr>
            </w:pPr>
          </w:p>
        </w:tc>
      </w:tr>
    </w:tbl>
    <w:p w14:paraId="5A8BDF00" w14:textId="77777777" w:rsidR="00871F3B" w:rsidRDefault="00871F3B" w:rsidP="00F54C56">
      <w:pPr>
        <w:jc w:val="both"/>
        <w:rPr>
          <w:b/>
          <w:szCs w:val="20"/>
        </w:rPr>
      </w:pPr>
    </w:p>
    <w:p w14:paraId="42F6F39E" w14:textId="77777777" w:rsidR="00EE3718" w:rsidRPr="003B54C3" w:rsidRDefault="00EE3718" w:rsidP="00F54C56">
      <w:pPr>
        <w:jc w:val="both"/>
        <w:rPr>
          <w:szCs w:val="20"/>
        </w:rPr>
      </w:pPr>
      <w:r w:rsidRPr="003B54C3">
        <w:rPr>
          <w:szCs w:val="20"/>
        </w:rPr>
        <w:t xml:space="preserve">* </w:t>
      </w:r>
      <w:proofErr w:type="gramStart"/>
      <w:r w:rsidRPr="003B54C3">
        <w:rPr>
          <w:szCs w:val="20"/>
        </w:rPr>
        <w:t>we</w:t>
      </w:r>
      <w:proofErr w:type="gramEnd"/>
      <w:r w:rsidRPr="003B54C3">
        <w:rPr>
          <w:szCs w:val="20"/>
        </w:rPr>
        <w:t xml:space="preserve"> assume that no PSUR Submissions shall be required until 2025 according to current advice.</w:t>
      </w:r>
    </w:p>
    <w:p w14:paraId="16ECCE77" w14:textId="77777777" w:rsidR="00EE3718" w:rsidRDefault="00EE3718" w:rsidP="00F54C56">
      <w:pPr>
        <w:jc w:val="both"/>
        <w:rPr>
          <w:b/>
          <w:szCs w:val="20"/>
        </w:rPr>
      </w:pPr>
    </w:p>
    <w:p w14:paraId="15B96B72" w14:textId="77777777" w:rsidR="00EE3718" w:rsidRDefault="00EE3718" w:rsidP="00F54C56">
      <w:pPr>
        <w:jc w:val="both"/>
        <w:rPr>
          <w:rFonts w:ascii="Arial" w:eastAsia="SimSun" w:hAnsi="Arial"/>
          <w:b/>
          <w:bCs/>
          <w:color w:val="00AE9C"/>
          <w:spacing w:val="10"/>
          <w:kern w:val="28"/>
          <w:sz w:val="24"/>
          <w:szCs w:val="24"/>
          <w:lang w:eastAsia="zh-CN"/>
        </w:rPr>
      </w:pPr>
    </w:p>
    <w:p w14:paraId="055BC172" w14:textId="77777777" w:rsidR="00EE3718" w:rsidRPr="00EE3718" w:rsidRDefault="00EE3718" w:rsidP="00F54C56">
      <w:pPr>
        <w:jc w:val="both"/>
        <w:rPr>
          <w:rFonts w:ascii="Arial" w:eastAsia="SimSun" w:hAnsi="Arial"/>
          <w:b/>
          <w:bCs/>
          <w:color w:val="00AE9C"/>
          <w:spacing w:val="10"/>
          <w:kern w:val="28"/>
          <w:sz w:val="24"/>
          <w:szCs w:val="24"/>
          <w:lang w:eastAsia="zh-CN"/>
        </w:rPr>
      </w:pPr>
      <w:r w:rsidRPr="00EE3718">
        <w:rPr>
          <w:rFonts w:ascii="Arial" w:eastAsia="SimSun" w:hAnsi="Arial"/>
          <w:b/>
          <w:bCs/>
          <w:color w:val="00AE9C"/>
          <w:spacing w:val="10"/>
          <w:kern w:val="28"/>
          <w:sz w:val="24"/>
          <w:szCs w:val="24"/>
          <w:lang w:eastAsia="zh-CN"/>
        </w:rPr>
        <w:t>SERVICE DELIVERY COSTS</w:t>
      </w:r>
    </w:p>
    <w:p w14:paraId="2C18DB67" w14:textId="77777777" w:rsidR="00EE3718" w:rsidRDefault="00EE3718" w:rsidP="00F54C56">
      <w:pPr>
        <w:jc w:val="both"/>
        <w:rPr>
          <w:b/>
          <w:szCs w:val="20"/>
        </w:rPr>
      </w:pPr>
    </w:p>
    <w:p w14:paraId="50A5BF9B" w14:textId="77777777" w:rsidR="00EE3718" w:rsidRPr="003B54C3" w:rsidRDefault="00EE3718" w:rsidP="00F54C56">
      <w:pPr>
        <w:jc w:val="both"/>
        <w:rPr>
          <w:sz w:val="22"/>
        </w:rPr>
      </w:pPr>
      <w:r w:rsidRPr="003B54C3">
        <w:rPr>
          <w:sz w:val="22"/>
        </w:rPr>
        <w:t xml:space="preserve">The following hourly rates will apply for the period of contractual period </w:t>
      </w:r>
      <w:r w:rsidRPr="00B06E55">
        <w:rPr>
          <w:sz w:val="22"/>
          <w:highlight w:val="cyan"/>
        </w:rPr>
        <w:t>October 2017 to September 2019 - the remaining 6 month period shall be confirmed in writing prior to the contract variation being issued.</w:t>
      </w:r>
    </w:p>
    <w:p w14:paraId="01B47833" w14:textId="77777777" w:rsidR="00EE3718" w:rsidRPr="003B54C3" w:rsidRDefault="00EE3718" w:rsidP="00F54C56">
      <w:pPr>
        <w:jc w:val="both"/>
        <w:rPr>
          <w:sz w:val="22"/>
        </w:rPr>
      </w:pPr>
    </w:p>
    <w:p w14:paraId="0373FCAC" w14:textId="77777777" w:rsidR="00EE3718" w:rsidRPr="003B54C3" w:rsidRDefault="00EE3718" w:rsidP="00F54C56">
      <w:pPr>
        <w:jc w:val="both"/>
        <w:rPr>
          <w:sz w:val="22"/>
        </w:rPr>
      </w:pPr>
      <w:r w:rsidRPr="003B54C3">
        <w:rPr>
          <w:sz w:val="22"/>
        </w:rPr>
        <w:t>The following rates would apply to any ad hoc or unexpected work required to ensure legal compliance or if instructed by the Department.</w:t>
      </w:r>
    </w:p>
    <w:p w14:paraId="13B0F22F" w14:textId="77777777" w:rsidR="00EE3718" w:rsidRDefault="00EE3718" w:rsidP="00F54C56">
      <w:pPr>
        <w:jc w:val="both"/>
        <w:rPr>
          <w:b/>
          <w:szCs w:val="20"/>
        </w:rPr>
      </w:pPr>
    </w:p>
    <w:p w14:paraId="0647B92E" w14:textId="77777777" w:rsidR="00EE3718" w:rsidRPr="0060528F" w:rsidRDefault="00EE3718" w:rsidP="00F54C56">
      <w:pPr>
        <w:jc w:val="both"/>
        <w:rPr>
          <w:szCs w:val="20"/>
        </w:rPr>
      </w:pPr>
      <w:r w:rsidRPr="0060528F">
        <w:rPr>
          <w:szCs w:val="20"/>
        </w:rPr>
        <w:t>Table 2 - Service Delivery Costs</w:t>
      </w:r>
    </w:p>
    <w:tbl>
      <w:tblPr>
        <w:tblStyle w:val="TableGrid"/>
        <w:tblW w:w="0" w:type="auto"/>
        <w:tblLook w:val="04A0" w:firstRow="1" w:lastRow="0" w:firstColumn="1" w:lastColumn="0" w:noHBand="0" w:noVBand="1"/>
      </w:tblPr>
      <w:tblGrid>
        <w:gridCol w:w="4622"/>
        <w:gridCol w:w="4623"/>
      </w:tblGrid>
      <w:tr w:rsidR="00EE3718" w14:paraId="54D5D7DE" w14:textId="77777777" w:rsidTr="00EE3718">
        <w:tc>
          <w:tcPr>
            <w:tcW w:w="4622" w:type="dxa"/>
          </w:tcPr>
          <w:p w14:paraId="0897C237" w14:textId="77777777" w:rsidR="00EE3718" w:rsidRDefault="00EE3718" w:rsidP="00F54C56">
            <w:pPr>
              <w:rPr>
                <w:b/>
                <w:szCs w:val="20"/>
              </w:rPr>
            </w:pPr>
            <w:r>
              <w:rPr>
                <w:b/>
                <w:szCs w:val="20"/>
              </w:rPr>
              <w:t>Service Delivery Cost</w:t>
            </w:r>
          </w:p>
        </w:tc>
        <w:tc>
          <w:tcPr>
            <w:tcW w:w="4623" w:type="dxa"/>
          </w:tcPr>
          <w:p w14:paraId="41025F0E" w14:textId="77777777" w:rsidR="00EE3718" w:rsidRDefault="00EE3718" w:rsidP="00EE3718">
            <w:pPr>
              <w:rPr>
                <w:b/>
                <w:szCs w:val="20"/>
              </w:rPr>
            </w:pPr>
            <w:r>
              <w:rPr>
                <w:b/>
                <w:szCs w:val="20"/>
              </w:rPr>
              <w:t>Cost per Hour (</w:t>
            </w:r>
            <w:proofErr w:type="spellStart"/>
            <w:r>
              <w:rPr>
                <w:b/>
                <w:szCs w:val="20"/>
              </w:rPr>
              <w:t>ex vat</w:t>
            </w:r>
            <w:proofErr w:type="spellEnd"/>
            <w:r>
              <w:rPr>
                <w:b/>
                <w:szCs w:val="20"/>
              </w:rPr>
              <w:t>)</w:t>
            </w:r>
          </w:p>
          <w:p w14:paraId="13057E95" w14:textId="77777777" w:rsidR="00EE3718" w:rsidRDefault="00EE3718" w:rsidP="00EE3718">
            <w:pPr>
              <w:rPr>
                <w:b/>
                <w:szCs w:val="20"/>
              </w:rPr>
            </w:pPr>
            <w:r w:rsidRPr="00B06E55">
              <w:rPr>
                <w:b/>
                <w:szCs w:val="20"/>
                <w:highlight w:val="cyan"/>
              </w:rPr>
              <w:t>October 2017 - September 2019</w:t>
            </w:r>
          </w:p>
        </w:tc>
      </w:tr>
      <w:tr w:rsidR="00EE3718" w14:paraId="05934369" w14:textId="77777777" w:rsidTr="00EE3718">
        <w:tc>
          <w:tcPr>
            <w:tcW w:w="4622" w:type="dxa"/>
          </w:tcPr>
          <w:p w14:paraId="2AC75344" w14:textId="77777777" w:rsidR="00EE3718" w:rsidRDefault="00EE3718" w:rsidP="00F54C56">
            <w:pPr>
              <w:rPr>
                <w:b/>
                <w:szCs w:val="20"/>
              </w:rPr>
            </w:pPr>
            <w:r>
              <w:rPr>
                <w:b/>
                <w:szCs w:val="20"/>
              </w:rPr>
              <w:t xml:space="preserve">Technical </w:t>
            </w:r>
          </w:p>
        </w:tc>
        <w:tc>
          <w:tcPr>
            <w:tcW w:w="4623" w:type="dxa"/>
          </w:tcPr>
          <w:p w14:paraId="3BD21598" w14:textId="77777777" w:rsidR="00EE3718" w:rsidRDefault="00EE3718" w:rsidP="00F54C56">
            <w:pPr>
              <w:rPr>
                <w:b/>
                <w:szCs w:val="20"/>
              </w:rPr>
            </w:pPr>
            <w:r>
              <w:rPr>
                <w:b/>
                <w:szCs w:val="20"/>
              </w:rPr>
              <w:t>£</w:t>
            </w:r>
          </w:p>
        </w:tc>
      </w:tr>
      <w:tr w:rsidR="00EE3718" w14:paraId="5F63E19E" w14:textId="77777777" w:rsidTr="00EE3718">
        <w:tc>
          <w:tcPr>
            <w:tcW w:w="4622" w:type="dxa"/>
          </w:tcPr>
          <w:p w14:paraId="7D8DC8CA" w14:textId="77777777" w:rsidR="00EE3718" w:rsidRDefault="00EE3718" w:rsidP="00F54C56">
            <w:pPr>
              <w:rPr>
                <w:b/>
                <w:szCs w:val="20"/>
              </w:rPr>
            </w:pPr>
            <w:r>
              <w:rPr>
                <w:b/>
                <w:szCs w:val="20"/>
              </w:rPr>
              <w:t>Advisor</w:t>
            </w:r>
          </w:p>
        </w:tc>
        <w:tc>
          <w:tcPr>
            <w:tcW w:w="4623" w:type="dxa"/>
          </w:tcPr>
          <w:p w14:paraId="435CEFAF" w14:textId="77777777" w:rsidR="00EE3718" w:rsidRDefault="00EE3718" w:rsidP="00F54C56">
            <w:pPr>
              <w:rPr>
                <w:b/>
                <w:szCs w:val="20"/>
              </w:rPr>
            </w:pPr>
            <w:r>
              <w:rPr>
                <w:b/>
                <w:szCs w:val="20"/>
              </w:rPr>
              <w:t>£</w:t>
            </w:r>
          </w:p>
        </w:tc>
      </w:tr>
      <w:tr w:rsidR="00EE3718" w14:paraId="4D6D7EB1" w14:textId="77777777" w:rsidTr="00EE3718">
        <w:tc>
          <w:tcPr>
            <w:tcW w:w="4622" w:type="dxa"/>
          </w:tcPr>
          <w:p w14:paraId="15D34A76" w14:textId="77777777" w:rsidR="00EE3718" w:rsidRDefault="00EE3718" w:rsidP="00F54C56">
            <w:pPr>
              <w:rPr>
                <w:b/>
                <w:szCs w:val="20"/>
              </w:rPr>
            </w:pPr>
            <w:r>
              <w:rPr>
                <w:b/>
                <w:szCs w:val="20"/>
              </w:rPr>
              <w:t>Administrator</w:t>
            </w:r>
          </w:p>
        </w:tc>
        <w:tc>
          <w:tcPr>
            <w:tcW w:w="4623" w:type="dxa"/>
          </w:tcPr>
          <w:p w14:paraId="65DC3F19" w14:textId="77777777" w:rsidR="00EE3718" w:rsidRDefault="00EE3718" w:rsidP="00F54C56">
            <w:pPr>
              <w:rPr>
                <w:b/>
                <w:szCs w:val="20"/>
              </w:rPr>
            </w:pPr>
            <w:r>
              <w:rPr>
                <w:b/>
                <w:szCs w:val="20"/>
              </w:rPr>
              <w:t>£</w:t>
            </w:r>
          </w:p>
        </w:tc>
      </w:tr>
    </w:tbl>
    <w:p w14:paraId="7CA2399E" w14:textId="77777777" w:rsidR="00EE3718" w:rsidRDefault="00EE3718" w:rsidP="00F54C56">
      <w:pPr>
        <w:jc w:val="both"/>
        <w:rPr>
          <w:b/>
          <w:szCs w:val="20"/>
        </w:rPr>
      </w:pPr>
    </w:p>
    <w:p w14:paraId="7689631F" w14:textId="77777777" w:rsidR="00EE3718" w:rsidRDefault="00EE3718" w:rsidP="00F54C56">
      <w:pPr>
        <w:jc w:val="both"/>
        <w:rPr>
          <w:b/>
          <w:szCs w:val="20"/>
        </w:rPr>
      </w:pPr>
    </w:p>
    <w:sectPr w:rsidR="00EE3718" w:rsidSect="00667389">
      <w:headerReference w:type="default" r:id="rId14"/>
      <w:footerReference w:type="default" r:id="rId15"/>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F5203" w14:textId="77777777" w:rsidR="00236DE0" w:rsidRDefault="00236DE0" w:rsidP="00F62CB1"/>
  </w:endnote>
  <w:endnote w:type="continuationSeparator" w:id="0">
    <w:p w14:paraId="2A1656E7" w14:textId="77777777" w:rsidR="00236DE0" w:rsidRDefault="00236DE0" w:rsidP="00F62CB1">
      <w:r>
        <w:t xml:space="preserve"> </w:t>
      </w:r>
    </w:p>
  </w:endnote>
  <w:endnote w:type="continuationNotice" w:id="1">
    <w:p w14:paraId="36177352"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41EAE" w14:textId="77777777" w:rsidR="002A6443" w:rsidRPr="00EE5AE1" w:rsidRDefault="002A6443" w:rsidP="00F62CB1">
    <w:pPr>
      <w:pStyle w:val="Footer"/>
    </w:pPr>
  </w:p>
  <w:p w14:paraId="5499DE37" w14:textId="77777777"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0936C8">
      <w:rPr>
        <w:noProof/>
      </w:rPr>
      <w:t>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0936C8">
      <w:rPr>
        <w:noProof/>
      </w:rPr>
      <w:t>2</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C9EDD" w14:textId="77777777" w:rsidR="00236DE0" w:rsidRDefault="00236DE0" w:rsidP="00F62CB1">
      <w:r>
        <w:separator/>
      </w:r>
    </w:p>
  </w:footnote>
  <w:footnote w:type="continuationSeparator" w:id="0">
    <w:p w14:paraId="6C785DAD" w14:textId="77777777" w:rsidR="00236DE0" w:rsidRDefault="00236DE0" w:rsidP="00F62CB1">
      <w:r>
        <w:continuationSeparator/>
      </w:r>
    </w:p>
  </w:footnote>
  <w:footnote w:type="continuationNotice" w:id="1">
    <w:p w14:paraId="2900E8AE" w14:textId="77777777"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A8000" w14:textId="77777777" w:rsidR="002A6443" w:rsidRPr="007A3343" w:rsidRDefault="002A6443" w:rsidP="00F62CB1">
    <w:pPr>
      <w:pStyle w:val="Header"/>
      <w:jc w:val="center"/>
    </w:pPr>
  </w:p>
  <w:p w14:paraId="080D695A" w14:textId="1164E251" w:rsidR="00EE5AE1" w:rsidRPr="00FB22F1" w:rsidRDefault="00EE5AE1" w:rsidP="00F62CB1">
    <w:pPr>
      <w:pStyle w:val="Header"/>
      <w:jc w:val="center"/>
    </w:pPr>
    <w:r w:rsidRPr="00F06855">
      <w:t xml:space="preserve">ITT </w:t>
    </w:r>
    <w:r w:rsidR="00F06855" w:rsidRPr="00F06855">
      <w:t xml:space="preserve">60433 – </w:t>
    </w:r>
    <w:r w:rsidR="00306205" w:rsidRPr="00F06855">
      <w:t>Healthy Start Vitamins - Qualified Persons for Pharmacovigilance Services</w:t>
    </w:r>
  </w:p>
  <w:p w14:paraId="058F6403" w14:textId="77777777" w:rsidR="00EE5AE1" w:rsidRPr="00FB22F1" w:rsidRDefault="008B5D18" w:rsidP="00F62CB1">
    <w:pPr>
      <w:pStyle w:val="Header"/>
      <w:jc w:val="center"/>
    </w:pPr>
    <w:r>
      <w:t xml:space="preserve">Attachment </w:t>
    </w:r>
    <w:r w:rsidR="00E9276E">
      <w:t>8</w:t>
    </w:r>
    <w:r w:rsidR="006F0298">
      <w:t xml:space="preserve"> – </w:t>
    </w:r>
    <w:r w:rsidR="00E9276E">
      <w:t>Pricing Schedule</w:t>
    </w:r>
    <w:r w:rsidR="0097221B">
      <w:t xml:space="preserve"> </w:t>
    </w:r>
  </w:p>
  <w:p w14:paraId="68FC710C" w14:textId="77777777" w:rsidR="002A6443" w:rsidRDefault="002A6443" w:rsidP="00F62CB1">
    <w:pPr>
      <w:pStyle w:val="Header"/>
    </w:pPr>
    <w:r>
      <w:tab/>
    </w:r>
  </w:p>
  <w:p w14:paraId="3789CEC6"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25323111" wp14:editId="1191314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FAD6D28"/>
    <w:multiLevelType w:val="multilevel"/>
    <w:tmpl w:val="9732C314"/>
    <w:lvl w:ilvl="0">
      <w:start w:val="1"/>
      <w:numFmt w:val="decimal"/>
      <w:lvlText w:val="%1."/>
      <w:lvlJc w:val="left"/>
      <w:pPr>
        <w:ind w:left="360" w:hanging="360"/>
      </w:pPr>
      <w:rPr>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nsid w:val="3E5E63CF"/>
    <w:multiLevelType w:val="hybridMultilevel"/>
    <w:tmpl w:val="1DF21F76"/>
    <w:lvl w:ilvl="0" w:tplc="68923C8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1C030DC"/>
    <w:multiLevelType w:val="hybridMultilevel"/>
    <w:tmpl w:val="FBCA23CA"/>
    <w:lvl w:ilvl="0" w:tplc="BED46250">
      <w:start w:val="1"/>
      <w:numFmt w:val="decimal"/>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2B267E3"/>
    <w:multiLevelType w:val="hybridMultilevel"/>
    <w:tmpl w:val="BE763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3F4CBF"/>
    <w:multiLevelType w:val="hybridMultilevel"/>
    <w:tmpl w:val="2E4C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B6C2C5C"/>
    <w:multiLevelType w:val="multilevel"/>
    <w:tmpl w:val="1332CCD4"/>
    <w:name w:val="Plato Schedule Numbering List"/>
    <w:numStyleLink w:val="111111"/>
  </w:abstractNum>
  <w:abstractNum w:abstractNumId="26">
    <w:nsid w:val="50965CCA"/>
    <w:multiLevelType w:val="multilevel"/>
    <w:tmpl w:val="1332CCD4"/>
    <w:name w:val="Appendicies Heading List"/>
    <w:numStyleLink w:val="111111"/>
  </w:abstractNum>
  <w:abstractNum w:abstractNumId="27">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B9E5BA0"/>
    <w:multiLevelType w:val="hybridMultilevel"/>
    <w:tmpl w:val="AA6E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5"/>
  </w:num>
  <w:num w:numId="3">
    <w:abstractNumId w:val="16"/>
  </w:num>
  <w:num w:numId="4">
    <w:abstractNumId w:val="6"/>
  </w:num>
  <w:num w:numId="5">
    <w:abstractNumId w:val="24"/>
  </w:num>
  <w:num w:numId="6">
    <w:abstractNumId w:val="18"/>
  </w:num>
  <w:num w:numId="7">
    <w:abstractNumId w:val="14"/>
  </w:num>
  <w:num w:numId="8">
    <w:abstractNumId w:val="5"/>
  </w:num>
  <w:num w:numId="9">
    <w:abstractNumId w:val="3"/>
  </w:num>
  <w:num w:numId="10">
    <w:abstractNumId w:val="2"/>
  </w:num>
  <w:num w:numId="11">
    <w:abstractNumId w:val="1"/>
  </w:num>
  <w:num w:numId="12">
    <w:abstractNumId w:val="0"/>
  </w:num>
  <w:num w:numId="13">
    <w:abstractNumId w:val="32"/>
  </w:num>
  <w:num w:numId="14">
    <w:abstractNumId w:val="10"/>
  </w:num>
  <w:num w:numId="15">
    <w:abstractNumId w:val="30"/>
  </w:num>
  <w:num w:numId="16">
    <w:abstractNumId w:val="9"/>
  </w:num>
  <w:num w:numId="17">
    <w:abstractNumId w:val="19"/>
  </w:num>
  <w:num w:numId="18">
    <w:abstractNumId w:val="17"/>
  </w:num>
  <w:num w:numId="19">
    <w:abstractNumId w:val="28"/>
  </w:num>
  <w:num w:numId="20">
    <w:abstractNumId w:val="13"/>
  </w:num>
  <w:num w:numId="21">
    <w:abstractNumId w:val="27"/>
  </w:num>
  <w:num w:numId="22">
    <w:abstractNumId w:val="4"/>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1"/>
  </w:num>
  <w:num w:numId="33">
    <w:abstractNumId w:val="12"/>
  </w:num>
  <w:num w:numId="34">
    <w:abstractNumId w:val="31"/>
  </w:num>
  <w:num w:numId="35">
    <w:abstractNumId w:val="23"/>
  </w:num>
  <w:num w:numId="36">
    <w:abstractNumId w:val="20"/>
  </w:num>
  <w:num w:numId="3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36C8"/>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06205"/>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B54C3"/>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5EE7"/>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251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43B"/>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28F"/>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8B1"/>
    <w:rsid w:val="00845DE9"/>
    <w:rsid w:val="00846256"/>
    <w:rsid w:val="008519A1"/>
    <w:rsid w:val="0085331D"/>
    <w:rsid w:val="00854513"/>
    <w:rsid w:val="008556F2"/>
    <w:rsid w:val="00861D08"/>
    <w:rsid w:val="00862C72"/>
    <w:rsid w:val="00862E1D"/>
    <w:rsid w:val="008633FF"/>
    <w:rsid w:val="008678A1"/>
    <w:rsid w:val="00871F3B"/>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5D18"/>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26D23"/>
    <w:rsid w:val="00932346"/>
    <w:rsid w:val="00932D6C"/>
    <w:rsid w:val="00934359"/>
    <w:rsid w:val="009448C5"/>
    <w:rsid w:val="0094512F"/>
    <w:rsid w:val="00951437"/>
    <w:rsid w:val="00951FEC"/>
    <w:rsid w:val="009572E2"/>
    <w:rsid w:val="00964906"/>
    <w:rsid w:val="00965F55"/>
    <w:rsid w:val="00970943"/>
    <w:rsid w:val="00970C86"/>
    <w:rsid w:val="00971A11"/>
    <w:rsid w:val="0097221B"/>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B2156"/>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5F83"/>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55"/>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0C9B"/>
    <w:rsid w:val="00B92964"/>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6E"/>
    <w:rsid w:val="00E927E9"/>
    <w:rsid w:val="00EA3CBF"/>
    <w:rsid w:val="00EA6A93"/>
    <w:rsid w:val="00EB1275"/>
    <w:rsid w:val="00EB512C"/>
    <w:rsid w:val="00EB53E6"/>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718"/>
    <w:rsid w:val="00EE3CAE"/>
    <w:rsid w:val="00EE5AE1"/>
    <w:rsid w:val="00EE6DC8"/>
    <w:rsid w:val="00EF0368"/>
    <w:rsid w:val="00EF14C7"/>
    <w:rsid w:val="00EF5B11"/>
    <w:rsid w:val="00F000D3"/>
    <w:rsid w:val="00F015C6"/>
    <w:rsid w:val="00F06855"/>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54C56"/>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F28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2020-04-27T14:33:55+00:00</_dlc_ExpireDate>
    <_dlc_DocId xmlns="1eee4ddb-a1f9-40b8-9282-d53ea582adeb">AAFXSQ5MW4ZD-197-561155</_dlc_DocId>
    <_dlc_DocIdUrl xmlns="1eee4ddb-a1f9-40b8-9282-d53ea582adeb">
      <Url>http://iws.ims.gov.uk/sr/gandf/_layouts/DocIdRedir.aspx?ID=AAFXSQ5MW4ZD-197-561155</Url>
      <Description>AAFXSQ5MW4ZD-197-561155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60A7-5966-41FA-AC15-ADB330102C52}">
  <ds:schemaRefs>
    <ds:schemaRef ds:uri="http://schemas.microsoft.com/office/2006/metadata/customXsn"/>
  </ds:schemaRefs>
</ds:datastoreItem>
</file>

<file path=customXml/itemProps2.xml><?xml version="1.0" encoding="utf-8"?>
<ds:datastoreItem xmlns:ds="http://schemas.openxmlformats.org/officeDocument/2006/customXml" ds:itemID="{785E4DE9-5A4D-4A6D-80B5-3DA26946AA27}">
  <ds:schemaRefs>
    <ds:schemaRef ds:uri="http://schemas.microsoft.com/sharepoint/events"/>
  </ds:schemaRefs>
</ds:datastoreItem>
</file>

<file path=customXml/itemProps3.xml><?xml version="1.0" encoding="utf-8"?>
<ds:datastoreItem xmlns:ds="http://schemas.openxmlformats.org/officeDocument/2006/customXml" ds:itemID="{4EECA6FF-898A-42E1-BF58-68A7F9275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6639E-C690-4BFA-995F-B697D5D7CE32}">
  <ds:schemaRefs>
    <ds:schemaRef ds:uri="http://schemas.microsoft.com/office/2006/metadata/properties"/>
    <ds:schemaRef ds:uri="http://schemas.microsoft.com/office/infopath/2007/PartnerControls"/>
    <ds:schemaRef ds:uri="1eee4ddb-a1f9-40b8-9282-d53ea582adeb"/>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F8B1662D-B5F4-4695-8920-41759C56A97C}">
  <ds:schemaRefs>
    <ds:schemaRef ds:uri="http://schemas.microsoft.com/sharepoint/v3/contenttype/forms"/>
  </ds:schemaRefs>
</ds:datastoreItem>
</file>

<file path=customXml/itemProps6.xml><?xml version="1.0" encoding="utf-8"?>
<ds:datastoreItem xmlns:ds="http://schemas.openxmlformats.org/officeDocument/2006/customXml" ds:itemID="{2C956A53-DAF7-4C28-B44F-38A9EB1A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TotalTime>
  <Pages>2</Pages>
  <Words>315</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1976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9</cp:revision>
  <cp:lastPrinted>2017-04-27T14:30:00Z</cp:lastPrinted>
  <dcterms:created xsi:type="dcterms:W3CDTF">2017-04-12T15:19:00Z</dcterms:created>
  <dcterms:modified xsi:type="dcterms:W3CDTF">2017-06-07T10:44:00Z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ef3548a1-cf4f-43ab-a109-d993882b55bc</vt:lpwstr>
  </property>
  <property fmtid="{D5CDD505-2E9C-101B-9397-08002B2CF9AE}" pid="22" name="Document Type">
    <vt:lpwstr/>
  </property>
  <property fmtid="{D5CDD505-2E9C-101B-9397-08002B2CF9AE}" pid="23" name="_cx_SecurityMarkings">
    <vt:lpwstr/>
  </property>
  <property fmtid="{D5CDD505-2E9C-101B-9397-08002B2CF9AE}" pid="24" name="Trigger Date Description">
    <vt:lpwstr/>
  </property>
  <property fmtid="{D5CDD505-2E9C-101B-9397-08002B2CF9AE}" pid="25" name="Document Subject">
    <vt:lpwstr/>
  </property>
</Properties>
</file>