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numPr>
          <w:ilvl w:val="1"/>
          <w:numId w:val="3"/>
        </w:numPr>
        <w:tabs>
          <w:tab w:val="left" w:pos="0"/>
        </w:tabs>
        <w:spacing w:after="80" w:before="0" w:lineRule="auto"/>
        <w:ind w:left="0" w:firstLine="0"/>
        <w:rPr>
          <w:b w:val="1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numPr>
          <w:ilvl w:val="1"/>
          <w:numId w:val="3"/>
        </w:numPr>
        <w:tabs>
          <w:tab w:val="left" w:pos="0"/>
        </w:tabs>
        <w:spacing w:after="80" w:before="0" w:lineRule="auto"/>
        <w:ind w:left="0" w:firstLine="0"/>
        <w:rPr/>
      </w:pPr>
      <w:bookmarkStart w:colFirst="0" w:colLast="0" w:name="_heading=h.30j0zll" w:id="1"/>
      <w:bookmarkEnd w:id="1"/>
      <w:r w:rsidDel="00000000" w:rsidR="00000000" w:rsidRPr="00000000">
        <w:rPr>
          <w:b w:val="1"/>
          <w:sz w:val="36"/>
          <w:szCs w:val="36"/>
          <w:rtl w:val="0"/>
        </w:rPr>
        <w:t xml:space="preserve">RM6187 Framework Schedule 6 (Order Form and Call-Off Schedules)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numPr>
          <w:ilvl w:val="1"/>
          <w:numId w:val="3"/>
        </w:numPr>
        <w:tabs>
          <w:tab w:val="left" w:pos="0"/>
        </w:tabs>
        <w:ind w:left="0" w:firstLine="0"/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Order Form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CALL-OFF REFERENCE:</w:t>
        <w:tab/>
        <w:tab/>
        <w:t xml:space="preserve">CCCC22A11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57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BUYER:</w:t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c0c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57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57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BUYER ADDRESS</w:t>
        <w:tab/>
        <w:t xml:space="preserve">         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c0c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SUPPLIER: </w:t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c0c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SUPPLIER ADDRESS: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c0c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REGISTRATION NUMBER: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c0c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DUNS NUMBER:       </w:t>
        <w:tab/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c0c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SID4GOV ID: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</w:t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tabs>
          <w:tab w:val="left" w:pos="0"/>
        </w:tabs>
        <w:rPr/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  <w:t xml:space="preserve">Applicable framework contract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Order Form is for the provision of the Call-Off Deliverables and dated XX/XX/2022.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It’s issued under the Framework Contract with the reference number RM6187 for the provision of Strategy support.   </w:t>
      </w:r>
    </w:p>
    <w:p w:rsidR="00000000" w:rsidDel="00000000" w:rsidP="00000000" w:rsidRDefault="00000000" w:rsidRPr="00000000" w14:paraId="00000027">
      <w:pPr>
        <w:pStyle w:val="Heading3"/>
        <w:tabs>
          <w:tab w:val="left" w:pos="0"/>
          <w:tab w:val="left" w:pos="2880"/>
          <w:tab w:val="left" w:pos="5137"/>
        </w:tabs>
        <w:spacing w:line="244" w:lineRule="auto"/>
        <w:rPr/>
      </w:pPr>
      <w:bookmarkStart w:colFirst="0" w:colLast="0" w:name="_heading=h.2et92p0" w:id="4"/>
      <w:bookmarkEnd w:id="4"/>
      <w:r w:rsidDel="00000000" w:rsidR="00000000" w:rsidRPr="00000000">
        <w:rPr>
          <w:rtl w:val="0"/>
        </w:rPr>
        <w:t xml:space="preserve">CALL-OFF LOT(S):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137"/>
        </w:tabs>
        <w:spacing w:after="0" w:before="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RM6187, Management Consultancy Framework Three, Lot 4, Finance</w:t>
      </w:r>
    </w:p>
    <w:p w:rsidR="00000000" w:rsidDel="00000000" w:rsidP="00000000" w:rsidRDefault="00000000" w:rsidRPr="00000000" w14:paraId="00000029">
      <w:pPr>
        <w:pStyle w:val="Heading3"/>
        <w:tabs>
          <w:tab w:val="left" w:pos="0"/>
        </w:tabs>
        <w:rPr/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  <w:t xml:space="preserve">Call-off incorporated terms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following documents are incorporated into this Call-Off Contract.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Where schedules are missing, those schedules are not part of the agreement and can not be used. If the documents conflict, the following order of precedence applies: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Order Form includes the Call-Off Special Terms and Call-Off Special Schedules.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Joint Schedule 1(Definitions and Interpretation) RM6187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1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following Schedules in equal order of precedence: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tabs>
          <w:tab w:val="left" w:pos="0"/>
        </w:tabs>
        <w:rPr/>
      </w:pPr>
      <w:bookmarkStart w:colFirst="0" w:colLast="0" w:name="_heading=h.3dy6vkm" w:id="6"/>
      <w:bookmarkEnd w:id="6"/>
      <w:r w:rsidDel="00000000" w:rsidR="00000000" w:rsidRPr="00000000">
        <w:rPr>
          <w:color w:val="000000"/>
          <w:rtl w:val="0"/>
        </w:rPr>
        <w:t xml:space="preserve">Joint Schedules for RM6187 Management Consultancy Framework Three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80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Joint Schedule 1 (Definitions)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80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Joint Schedule 2 (Variation Form)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80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Joint Schedule 3 (Insurance Requirements)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80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Joint Schedule 4 (Commercially Sensitive Information)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80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Joint Schedule 10 (Rectification Plan)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80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Joint Schedule 11 (Processing Data)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tabs>
          <w:tab w:val="left" w:pos="0"/>
        </w:tabs>
        <w:rPr/>
      </w:pPr>
      <w:r w:rsidDel="00000000" w:rsidR="00000000" w:rsidRPr="00000000">
        <w:rPr>
          <w:color w:val="000000"/>
          <w:rtl w:val="0"/>
        </w:rPr>
        <w:t xml:space="preserve">Call-O</w:t>
      </w:r>
      <w:r w:rsidDel="00000000" w:rsidR="00000000" w:rsidRPr="00000000">
        <w:rPr>
          <w:color w:val="000000"/>
          <w:highlight w:val="white"/>
          <w:rtl w:val="0"/>
        </w:rPr>
        <w:t xml:space="preserve">ff Schedules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80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Call-Off Schedule 5 (Pricing Details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80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Call-Off Schedule 20 (Call-Off Specification)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CCS Core Terms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Joint Schedule 5 (Corporate Social Responsibility)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Call-Off Schedule 4 (Call-Off Tender) as long as any parts of the Call-Off Tender that offer a better commercial position for the Buyer (as decided by the Buyer) take precedence over the documents above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57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Supplier terms are not part of the Call-Off Contract. That includes any terms written on the back of, added to this Order Form, or presented at the time of delivery.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tabs>
          <w:tab w:val="left" w:pos="0"/>
          <w:tab w:val="left" w:pos="2257"/>
        </w:tabs>
        <w:rPr/>
      </w:pPr>
      <w:bookmarkStart w:colFirst="0" w:colLast="0" w:name="_heading=h.1t3h5sf" w:id="7"/>
      <w:bookmarkEnd w:id="7"/>
      <w:r w:rsidDel="00000000" w:rsidR="00000000" w:rsidRPr="00000000">
        <w:rPr>
          <w:color w:val="000000"/>
          <w:rtl w:val="0"/>
        </w:rPr>
        <w:t xml:space="preserve">Call-off special terms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57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The following Special Terms are incorporated into this Call-Off Contract: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57"/>
        </w:tabs>
        <w:spacing w:after="0" w:before="24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Special Term 1 - The Buyer is only liable to reimburse the Supplier for any expense or any disbursement which 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57"/>
        </w:tabs>
        <w:spacing w:after="0" w:before="240" w:line="2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                         (i) specified in this Contract 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                         (ii) which the Buyer has Approved prior to the Supplier incurring that         </w:t>
        <w:tab/>
        <w:t xml:space="preserve">expense or that disbursement. The Supplier may not invoice the            </w:t>
        <w:tab/>
        <w:t xml:space="preserve">Buyer for any other expenses or any other disbursements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57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rPr/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Call-off start date:</w:t>
        <w:tab/>
        <w:tab/>
      </w:r>
      <w:r w:rsidDel="00000000" w:rsidR="00000000" w:rsidRPr="00000000">
        <w:rPr>
          <w:sz w:val="24"/>
          <w:szCs w:val="24"/>
          <w:highlight w:val="white"/>
          <w:rtl w:val="0"/>
        </w:rPr>
        <w:tab/>
        <w:t xml:space="preserve">25</w:t>
      </w:r>
      <w:r w:rsidDel="00000000" w:rsidR="00000000" w:rsidRPr="00000000">
        <w:rPr>
          <w:sz w:val="24"/>
          <w:szCs w:val="24"/>
          <w:highlight w:val="white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November 2022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rPr/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Call-off expiry date: </w:t>
        <w:tab/>
      </w:r>
      <w:r w:rsidDel="00000000" w:rsidR="00000000" w:rsidRPr="00000000">
        <w:rPr>
          <w:sz w:val="24"/>
          <w:szCs w:val="24"/>
          <w:highlight w:val="white"/>
          <w:rtl w:val="0"/>
        </w:rPr>
        <w:tab/>
        <w:t xml:space="preserve">24</w:t>
      </w:r>
      <w:r w:rsidDel="00000000" w:rsidR="00000000" w:rsidRPr="00000000">
        <w:rPr>
          <w:sz w:val="24"/>
          <w:szCs w:val="24"/>
          <w:highlight w:val="white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February 2023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Call-off initial period:</w:t>
        <w:tab/>
      </w:r>
      <w:r w:rsidDel="00000000" w:rsidR="00000000" w:rsidRPr="00000000">
        <w:rPr>
          <w:sz w:val="24"/>
          <w:szCs w:val="24"/>
          <w:highlight w:val="white"/>
          <w:rtl w:val="0"/>
        </w:rPr>
        <w:tab/>
        <w:t xml:space="preserve">Three (3) Months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bookmarkStart w:colFirst="0" w:colLast="0" w:name="_heading=h.4d34og8" w:id="8"/>
      <w:bookmarkEnd w:id="8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REDACTED TEXT under FOIA Section 43 Commercial Interests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tabs>
          <w:tab w:val="left" w:pos="0"/>
        </w:tabs>
        <w:rPr/>
      </w:pPr>
      <w:bookmarkStart w:colFirst="0" w:colLast="0" w:name="_heading=h.2s8eyo1" w:id="9"/>
      <w:bookmarkEnd w:id="9"/>
      <w:r w:rsidDel="00000000" w:rsidR="00000000" w:rsidRPr="00000000">
        <w:rPr>
          <w:color w:val="000000"/>
          <w:highlight w:val="white"/>
          <w:rtl w:val="0"/>
        </w:rPr>
        <w:t xml:space="preserve">Call-off deliverables: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57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See details in Call-Off Schedule 20 (Call-Off Specification)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3"/>
        <w:tabs>
          <w:tab w:val="left" w:pos="0"/>
          <w:tab w:val="left" w:pos="2257"/>
        </w:tabs>
        <w:rPr/>
      </w:pPr>
      <w:bookmarkStart w:colFirst="0" w:colLast="0" w:name="_heading=h.17dp8vu" w:id="10"/>
      <w:bookmarkEnd w:id="10"/>
      <w:r w:rsidDel="00000000" w:rsidR="00000000" w:rsidRPr="00000000">
        <w:rPr>
          <w:rtl w:val="0"/>
        </w:rPr>
        <w:t xml:space="preserve">Security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2257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Short form security requirements apply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tabs>
          <w:tab w:val="left" w:pos="0"/>
          <w:tab w:val="left" w:pos="2257"/>
        </w:tabs>
        <w:rPr/>
      </w:pPr>
      <w:bookmarkStart w:colFirst="0" w:colLast="0" w:name="_heading=h.3rdcrjn" w:id="11"/>
      <w:bookmarkEnd w:id="11"/>
      <w:r w:rsidDel="00000000" w:rsidR="00000000" w:rsidRPr="00000000">
        <w:rPr>
          <w:color w:val="000000"/>
          <w:highlight w:val="white"/>
          <w:rtl w:val="0"/>
        </w:rPr>
        <w:t xml:space="preserve">Maximum liability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57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limitation of liability for this Call-Off Contract is stated in Clause 11.2 of the Core Terms.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57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REDACTED TEXT under FOIA Section 43 Commercial Interests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3"/>
        <w:tabs>
          <w:tab w:val="left" w:pos="0"/>
          <w:tab w:val="left" w:pos="2257"/>
        </w:tabs>
        <w:rPr>
          <w:color w:val="000000"/>
        </w:rPr>
      </w:pPr>
      <w:bookmarkStart w:colFirst="0" w:colLast="0" w:name="_heading=h.26in1rg" w:id="12"/>
      <w:bookmarkEnd w:id="12"/>
      <w:r w:rsidDel="00000000" w:rsidR="00000000" w:rsidRPr="00000000">
        <w:rPr>
          <w:color w:val="000000"/>
          <w:rtl w:val="0"/>
        </w:rPr>
        <w:t xml:space="preserve">Call-off charges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REDACTED TEXT under FOIA Section 43 Commercial Interests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3"/>
        <w:tabs>
          <w:tab w:val="left" w:pos="0"/>
          <w:tab w:val="left" w:pos="2257"/>
        </w:tabs>
        <w:rPr/>
      </w:pPr>
      <w:bookmarkStart w:colFirst="0" w:colLast="0" w:name="_heading=h.lnxbz9" w:id="13"/>
      <w:bookmarkEnd w:id="13"/>
      <w:r w:rsidDel="00000000" w:rsidR="00000000" w:rsidRPr="00000000">
        <w:rPr>
          <w:color w:val="000000"/>
          <w:rtl w:val="0"/>
        </w:rPr>
        <w:t xml:space="preserve">Reimbursable expenses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57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Recoverable as stated in Framework Schedule 3 (Framework Prices) paragraph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3"/>
        <w:tabs>
          <w:tab w:val="left" w:pos="0"/>
          <w:tab w:val="left" w:pos="2257"/>
        </w:tabs>
        <w:rPr/>
      </w:pPr>
      <w:bookmarkStart w:colFirst="0" w:colLast="0" w:name="_heading=h.35nkun2" w:id="14"/>
      <w:bookmarkEnd w:id="14"/>
      <w:r w:rsidDel="00000000" w:rsidR="00000000" w:rsidRPr="00000000">
        <w:rPr>
          <w:color w:val="000000"/>
          <w:rtl w:val="0"/>
        </w:rPr>
        <w:t xml:space="preserve">Payment </w:t>
      </w:r>
      <w:r w:rsidDel="00000000" w:rsidR="00000000" w:rsidRPr="00000000">
        <w:rPr>
          <w:rtl w:val="0"/>
        </w:rPr>
        <w:t xml:space="preserve">method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57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Raised PO and supporting Invoice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3"/>
        <w:tabs>
          <w:tab w:val="left" w:pos="0"/>
          <w:tab w:val="left" w:pos="2257"/>
        </w:tabs>
        <w:rPr>
          <w:color w:val="000000"/>
        </w:rPr>
      </w:pPr>
      <w:bookmarkStart w:colFirst="0" w:colLast="0" w:name="_heading=h.1ksv4uv" w:id="15"/>
      <w:bookmarkEnd w:id="15"/>
      <w:r w:rsidDel="00000000" w:rsidR="00000000" w:rsidRPr="00000000">
        <w:rPr>
          <w:color w:val="000000"/>
          <w:rtl w:val="0"/>
        </w:rPr>
        <w:t xml:space="preserve">Buyer’s invoice address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c0c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3"/>
        <w:widowControl w:val="0"/>
        <w:tabs>
          <w:tab w:val="left" w:pos="0"/>
          <w:tab w:val="left" w:pos="2257"/>
        </w:tabs>
        <w:spacing w:line="240" w:lineRule="auto"/>
        <w:rPr/>
      </w:pPr>
      <w:bookmarkStart w:colFirst="0" w:colLast="0" w:name="_heading=h.44sinio" w:id="16"/>
      <w:bookmarkEnd w:id="16"/>
      <w:r w:rsidDel="00000000" w:rsidR="00000000" w:rsidRPr="00000000">
        <w:rPr>
          <w:rtl w:val="0"/>
        </w:rPr>
        <w:t xml:space="preserve">FINANCIAL TRANSPARENCY OBJECTIVES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57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The Financial Transparency Objectives do not apply to this Call-Off Contract.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57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57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Buyer’s authorised representative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57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c0c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3"/>
        <w:tabs>
          <w:tab w:val="left" w:pos="0"/>
          <w:tab w:val="left" w:pos="2257"/>
        </w:tabs>
        <w:rPr>
          <w:color w:val="000000"/>
        </w:rPr>
      </w:pPr>
      <w:bookmarkStart w:colFirst="0" w:colLast="0" w:name="_heading=h.2jxsxqh" w:id="17"/>
      <w:bookmarkEnd w:id="17"/>
      <w:r w:rsidDel="00000000" w:rsidR="00000000" w:rsidRPr="00000000">
        <w:rPr>
          <w:color w:val="000000"/>
          <w:rtl w:val="0"/>
        </w:rPr>
        <w:t xml:space="preserve">Supplier’s authorised representative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c0c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3"/>
        <w:tabs>
          <w:tab w:val="left" w:pos="0"/>
          <w:tab w:val="left" w:pos="2257"/>
        </w:tabs>
        <w:rPr/>
      </w:pPr>
      <w:bookmarkStart w:colFirst="0" w:colLast="0" w:name="_heading=h.z337ya" w:id="18"/>
      <w:bookmarkEnd w:id="18"/>
      <w:r w:rsidDel="00000000" w:rsidR="00000000" w:rsidRPr="00000000">
        <w:rPr>
          <w:rtl w:val="0"/>
        </w:rPr>
        <w:t xml:space="preserve">Supplier’s contract manager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c0c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3"/>
        <w:tabs>
          <w:tab w:val="left" w:pos="0"/>
          <w:tab w:val="left" w:pos="2257"/>
        </w:tabs>
        <w:rPr/>
      </w:pPr>
      <w:bookmarkStart w:colFirst="0" w:colLast="0" w:name="_heading=h.3j2qqm3" w:id="19"/>
      <w:bookmarkEnd w:id="19"/>
      <w:r w:rsidDel="00000000" w:rsidR="00000000" w:rsidRPr="00000000">
        <w:rPr>
          <w:color w:val="000000"/>
          <w:rtl w:val="0"/>
        </w:rPr>
        <w:t xml:space="preserve">Progress report frequency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57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Not applicable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3"/>
        <w:tabs>
          <w:tab w:val="left" w:pos="0"/>
          <w:tab w:val="left" w:pos="2257"/>
        </w:tabs>
        <w:rPr/>
      </w:pPr>
      <w:bookmarkStart w:colFirst="0" w:colLast="0" w:name="_heading=h.1y810tw" w:id="20"/>
      <w:bookmarkEnd w:id="20"/>
      <w:r w:rsidDel="00000000" w:rsidR="00000000" w:rsidRPr="00000000">
        <w:rPr>
          <w:color w:val="000000"/>
          <w:rtl w:val="0"/>
        </w:rPr>
        <w:t xml:space="preserve">Progress meeting frequency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57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Not applicable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57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57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 staff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57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Not applicable </w:t>
      </w:r>
    </w:p>
    <w:p w:rsidR="00000000" w:rsidDel="00000000" w:rsidP="00000000" w:rsidRDefault="00000000" w:rsidRPr="00000000" w14:paraId="0000006C">
      <w:pPr>
        <w:pStyle w:val="Heading3"/>
        <w:tabs>
          <w:tab w:val="left" w:pos="0"/>
          <w:tab w:val="left" w:pos="2257"/>
        </w:tabs>
        <w:rPr/>
      </w:pPr>
      <w:bookmarkStart w:colFirst="0" w:colLast="0" w:name="_heading=h.4i7ojhp" w:id="21"/>
      <w:bookmarkEnd w:id="21"/>
      <w:r w:rsidDel="00000000" w:rsidR="00000000" w:rsidRPr="00000000">
        <w:rPr>
          <w:color w:val="000000"/>
          <w:rtl w:val="0"/>
        </w:rPr>
        <w:t xml:space="preserve">Key subcontractor(s)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57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Not applicable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3"/>
        <w:tabs>
          <w:tab w:val="left" w:pos="0"/>
          <w:tab w:val="left" w:pos="2257"/>
        </w:tabs>
        <w:rPr/>
      </w:pPr>
      <w:bookmarkStart w:colFirst="0" w:colLast="0" w:name="_heading=h.2xcytpi" w:id="22"/>
      <w:bookmarkEnd w:id="22"/>
      <w:r w:rsidDel="00000000" w:rsidR="00000000" w:rsidRPr="00000000">
        <w:rPr>
          <w:color w:val="000000"/>
          <w:rtl w:val="0"/>
        </w:rPr>
        <w:t xml:space="preserve">Commercially sensitive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57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Not applicable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3"/>
        <w:tabs>
          <w:tab w:val="left" w:pos="0"/>
          <w:tab w:val="left" w:pos="2257"/>
        </w:tabs>
        <w:rPr/>
      </w:pPr>
      <w:bookmarkStart w:colFirst="0" w:colLast="0" w:name="_heading=h.1ci93xb" w:id="23"/>
      <w:bookmarkEnd w:id="23"/>
      <w:r w:rsidDel="00000000" w:rsidR="00000000" w:rsidRPr="00000000">
        <w:rPr>
          <w:color w:val="000000"/>
          <w:rtl w:val="0"/>
        </w:rPr>
        <w:t xml:space="preserve">Service credits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whwml4" w:id="24"/>
      <w:bookmarkEnd w:id="24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Not applicable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3"/>
        <w:tabs>
          <w:tab w:val="left" w:pos="0"/>
          <w:tab w:val="left" w:pos="2257"/>
        </w:tabs>
        <w:rPr/>
      </w:pPr>
      <w:r w:rsidDel="00000000" w:rsidR="00000000" w:rsidRPr="00000000">
        <w:rPr>
          <w:color w:val="000000"/>
          <w:rtl w:val="0"/>
        </w:rPr>
        <w:t xml:space="preserve">Additional insurances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2bn6wsx" w:id="25"/>
      <w:bookmarkEnd w:id="25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Not applicable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3"/>
        <w:tabs>
          <w:tab w:val="left" w:pos="0"/>
        </w:tabs>
        <w:jc w:val="both"/>
        <w:rPr/>
      </w:pPr>
      <w:r w:rsidDel="00000000" w:rsidR="00000000" w:rsidRPr="00000000">
        <w:rPr>
          <w:color w:val="000000"/>
          <w:rtl w:val="0"/>
        </w:rPr>
        <w:t xml:space="preserve">Guarantee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Not applicable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3"/>
        <w:tabs>
          <w:tab w:val="left" w:pos="0"/>
        </w:tabs>
        <w:jc w:val="both"/>
        <w:rPr/>
      </w:pPr>
      <w:bookmarkStart w:colFirst="0" w:colLast="0" w:name="_heading=h.qsh70q" w:id="26"/>
      <w:bookmarkEnd w:id="26"/>
      <w:r w:rsidDel="00000000" w:rsidR="00000000" w:rsidRPr="00000000">
        <w:rPr>
          <w:color w:val="000000"/>
          <w:rtl w:val="0"/>
        </w:rPr>
        <w:t xml:space="preserve">Social value commitment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Supplier agrees, in providing the Deliverables and performing its obligations under the Call-Off Contract, that it will comply with the social value commitments in Call-Off Schedule 4 (Call-Off Tender)]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3"/>
        <w:tabs>
          <w:tab w:val="left" w:pos="0"/>
        </w:tabs>
        <w:spacing w:after="240" w:lineRule="auto"/>
        <w:jc w:val="both"/>
        <w:rPr/>
      </w:pPr>
      <w:bookmarkStart w:colFirst="0" w:colLast="0" w:name="_heading=h.3as4poj" w:id="27"/>
      <w:bookmarkEnd w:id="27"/>
      <w:r w:rsidDel="00000000" w:rsidR="00000000" w:rsidRPr="00000000">
        <w:rPr>
          <w:color w:val="000000"/>
          <w:rtl w:val="0"/>
        </w:rPr>
        <w:t xml:space="preserve">Formation of call off contract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 signing and returning this Call-Off Order Form the Supplier agrees to enter a Call-Off Contract with the Buyer to provide the Services in accordance with the Call-Off Order Form and the Call-Off Terms.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Parties hereby acknowledge and agree that they have read the Call-Off Order Form and the Call-Off Terms and by signing below agree to be bound by this Call-Off Contract.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and on behalf of the Supplier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Signature: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c0c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c0c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Role: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c0c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and on behalf of the Buyer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Signature: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REDACTED TEXT under FOIA Section 40, Personal Information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c0c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REDACTED TEXT under FOIA Section 40, Personal Information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c0c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Role: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c0c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Roboto" w:cs="Roboto" w:eastAsia="Roboto" w:hAnsi="Roboto"/>
        <w:b w:val="0"/>
        <w:i w:val="0"/>
        <w:smallCaps w:val="0"/>
        <w:strike w:val="0"/>
        <w:color w:val="202124"/>
        <w:sz w:val="20"/>
        <w:szCs w:val="20"/>
        <w:highlight w:val="white"/>
        <w:u w:val="none"/>
        <w:vertAlign w:val="baseline"/>
        <w:rtl w:val="0"/>
      </w:rPr>
      <w:t xml:space="preserve">Framework: RM6187</w:t>
      <w:tab/>
      <w:t xml:space="preserve">                                           </w:t>
      <w:tab/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Roboto" w:cs="Roboto" w:eastAsia="Roboto" w:hAnsi="Roboto"/>
        <w:b w:val="0"/>
        <w:i w:val="0"/>
        <w:smallCaps w:val="0"/>
        <w:strike w:val="0"/>
        <w:color w:val="202124"/>
        <w:sz w:val="20"/>
        <w:szCs w:val="20"/>
        <w:highlight w:val="white"/>
        <w:u w:val="none"/>
        <w:vertAlign w:val="baseline"/>
        <w:rtl w:val="0"/>
      </w:rPr>
      <w:t xml:space="preserve">Model version: v3.7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Roboto" w:cs="Roboto" w:eastAsia="Roboto" w:hAnsi="Roboto"/>
        <w:b w:val="0"/>
        <w:i w:val="0"/>
        <w:smallCaps w:val="0"/>
        <w:strike w:val="0"/>
        <w:color w:val="202124"/>
        <w:sz w:val="20"/>
        <w:szCs w:val="20"/>
        <w:highlight w:val="white"/>
        <w:u w:val="none"/>
        <w:vertAlign w:val="baseline"/>
        <w:rtl w:val="0"/>
      </w:rPr>
      <w:t xml:space="preserve">Framework Schedule 6 (Order Form Template and Call-Off Schedules)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Roboto" w:cs="Roboto" w:eastAsia="Roboto" w:hAnsi="Roboto"/>
        <w:b w:val="0"/>
        <w:i w:val="0"/>
        <w:smallCaps w:val="0"/>
        <w:strike w:val="0"/>
        <w:color w:val="202124"/>
        <w:sz w:val="20"/>
        <w:szCs w:val="20"/>
        <w:highlight w:val="white"/>
        <w:u w:val="none"/>
        <w:vertAlign w:val="baseline"/>
        <w:rtl w:val="0"/>
      </w:rPr>
      <w:t xml:space="preserve">Crown Copyright 2018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1080" w:hanging="360"/>
      </w:pPr>
      <w:rPr/>
    </w:lvl>
    <w:lvl w:ilvl="1">
      <w:start w:val="0"/>
      <w:numFmt w:val="bullet"/>
      <w:lvlText w:val="●"/>
      <w:lvlJc w:val="left"/>
      <w:pPr>
        <w:ind w:left="1800" w:hanging="360"/>
      </w:pPr>
      <w:rPr>
        <w:b w:val="1"/>
        <w:sz w:val="24"/>
        <w:szCs w:val="24"/>
      </w:rPr>
    </w:lvl>
    <w:lvl w:ilvl="2">
      <w:start w:val="0"/>
      <w:numFmt w:val="bullet"/>
      <w:lvlText w:val="■"/>
      <w:lvlJc w:val="left"/>
      <w:pPr>
        <w:ind w:left="2520" w:hanging="360"/>
      </w:pPr>
      <w:rPr/>
    </w:lvl>
    <w:lvl w:ilvl="3">
      <w:start w:val="0"/>
      <w:numFmt w:val="bullet"/>
      <w:lvlText w:val="●"/>
      <w:lvlJc w:val="left"/>
      <w:pPr>
        <w:ind w:left="3240" w:hanging="360"/>
      </w:pPr>
      <w:rPr/>
    </w:lvl>
    <w:lvl w:ilvl="4">
      <w:start w:val="0"/>
      <w:numFmt w:val="bullet"/>
      <w:lvlText w:val="○"/>
      <w:lvlJc w:val="left"/>
      <w:pPr>
        <w:ind w:left="3960" w:hanging="360"/>
      </w:pPr>
      <w:rPr/>
    </w:lvl>
    <w:lvl w:ilvl="5">
      <w:start w:val="0"/>
      <w:numFmt w:val="bullet"/>
      <w:lvlText w:val="■"/>
      <w:lvlJc w:val="left"/>
      <w:pPr>
        <w:ind w:left="4680" w:hanging="360"/>
      </w:pPr>
      <w:rPr/>
    </w:lvl>
    <w:lvl w:ilvl="6">
      <w:start w:val="0"/>
      <w:numFmt w:val="bullet"/>
      <w:lvlText w:val="●"/>
      <w:lvlJc w:val="left"/>
      <w:pPr>
        <w:ind w:left="5400" w:hanging="360"/>
      </w:pPr>
      <w:rPr/>
    </w:lvl>
    <w:lvl w:ilvl="7">
      <w:start w:val="0"/>
      <w:numFmt w:val="bullet"/>
      <w:lvlText w:val="○"/>
      <w:lvlJc w:val="left"/>
      <w:pPr>
        <w:ind w:left="6120" w:hanging="360"/>
      </w:pPr>
      <w:rPr/>
    </w:lvl>
    <w:lvl w:ilvl="8">
      <w:start w:val="0"/>
      <w:numFmt w:val="bullet"/>
      <w:lvlText w:val="■"/>
      <w:lvlJc w:val="left"/>
      <w:pPr>
        <w:ind w:left="684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​"/>
      <w:lvlJc w:val="left"/>
      <w:pPr>
        <w:ind w:left="0" w:firstLine="0"/>
      </w:pPr>
      <w:rPr/>
    </w:lvl>
    <w:lvl w:ilvl="1">
      <w:start w:val="1"/>
      <w:numFmt w:val="decimal"/>
      <w:lvlText w:val="%2​"/>
      <w:lvlJc w:val="left"/>
      <w:pPr>
        <w:ind w:left="0" w:firstLine="0"/>
      </w:pPr>
      <w:rPr/>
    </w:lvl>
    <w:lvl w:ilvl="2">
      <w:start w:val="1"/>
      <w:numFmt w:val="decimal"/>
      <w:lvlText w:val="%3​"/>
      <w:lvlJc w:val="left"/>
      <w:pPr>
        <w:ind w:left="0" w:firstLine="0"/>
      </w:pPr>
      <w:rPr/>
    </w:lvl>
    <w:lvl w:ilvl="3">
      <w:start w:val="1"/>
      <w:numFmt w:val="decimal"/>
      <w:lvlText w:val="%4​"/>
      <w:lvlJc w:val="left"/>
      <w:pPr>
        <w:ind w:left="0" w:firstLine="0"/>
      </w:pPr>
      <w:rPr/>
    </w:lvl>
    <w:lvl w:ilvl="4">
      <w:start w:val="1"/>
      <w:numFmt w:val="decimal"/>
      <w:lvlText w:val="%5​"/>
      <w:lvlJc w:val="left"/>
      <w:pPr>
        <w:ind w:left="0" w:firstLine="0"/>
      </w:pPr>
      <w:rPr/>
    </w:lvl>
    <w:lvl w:ilvl="5">
      <w:start w:val="1"/>
      <w:numFmt w:val="decimal"/>
      <w:lvlText w:val="%6​"/>
      <w:lvlJc w:val="left"/>
      <w:pPr>
        <w:ind w:left="0" w:firstLine="0"/>
      </w:pPr>
      <w:rPr/>
    </w:lvl>
    <w:lvl w:ilvl="6">
      <w:start w:val="1"/>
      <w:numFmt w:val="decimal"/>
      <w:lvlText w:val="%7​"/>
      <w:lvlJc w:val="left"/>
      <w:pPr>
        <w:ind w:left="0" w:firstLine="0"/>
      </w:pPr>
      <w:rPr/>
    </w:lvl>
    <w:lvl w:ilvl="7">
      <w:start w:val="1"/>
      <w:numFmt w:val="decimal"/>
      <w:lvlText w:val="%8​"/>
      <w:lvlJc w:val="left"/>
      <w:pPr>
        <w:ind w:left="0" w:firstLine="0"/>
      </w:pPr>
      <w:rPr/>
    </w:lvl>
    <w:lvl w:ilvl="8">
      <w:start w:val="1"/>
      <w:numFmt w:val="decimal"/>
      <w:lvlText w:val="%9​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pos="0"/>
      </w:tabs>
      <w:spacing w:after="80" w:lineRule="auto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pos="0"/>
      </w:tabs>
      <w:spacing w:before="280" w:line="276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widowControl w:val="1"/>
      <w:suppressAutoHyphens w:val="1"/>
    </w:pPr>
  </w:style>
  <w:style w:type="paragraph" w:styleId="Heading1">
    <w:name w:val="heading 1"/>
    <w:basedOn w:val="Normal"/>
    <w:next w:val="Standard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Standard"/>
    <w:uiPriority w:val="9"/>
    <w:unhideWhenUsed w:val="1"/>
    <w:qFormat w:val="1"/>
    <w:pPr>
      <w:keepNext w:val="1"/>
      <w:keepLines w:val="1"/>
      <w:tabs>
        <w:tab w:val="left" w:pos="0"/>
      </w:tabs>
      <w:spacing w:after="80"/>
      <w:outlineLvl w:val="1"/>
    </w:pPr>
    <w:rPr>
      <w:b w:val="1"/>
      <w:sz w:val="28"/>
      <w:szCs w:val="28"/>
    </w:rPr>
  </w:style>
  <w:style w:type="paragraph" w:styleId="Heading3">
    <w:name w:val="heading 3"/>
    <w:basedOn w:val="Normal"/>
    <w:next w:val="Standard"/>
    <w:uiPriority w:val="9"/>
    <w:unhideWhenUsed w:val="1"/>
    <w:qFormat w:val="1"/>
    <w:pPr>
      <w:keepNext w:val="1"/>
      <w:keepLines w:val="1"/>
      <w:tabs>
        <w:tab w:val="left" w:pos="0"/>
      </w:tabs>
      <w:spacing w:before="280" w:line="276" w:lineRule="auto"/>
      <w:outlineLvl w:val="2"/>
    </w:pPr>
    <w:rPr>
      <w:b w:val="1"/>
      <w:sz w:val="24"/>
      <w:szCs w:val="24"/>
    </w:rPr>
  </w:style>
  <w:style w:type="paragraph" w:styleId="Heading4">
    <w:name w:val="heading 4"/>
    <w:basedOn w:val="Normal"/>
    <w:next w:val="Standard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Standard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Standard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andard" w:customStyle="1">
    <w:name w:val="Standard"/>
    <w:pPr>
      <w:suppressAutoHyphens w:val="1"/>
      <w:spacing w:line="276" w:lineRule="auto"/>
    </w:p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xtbody" w:customStyle="1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 w:customStyle="1">
    <w:name w:val="Index"/>
    <w:basedOn w:val="Standard"/>
    <w:pPr>
      <w:suppressLineNumbers w:val="1"/>
    </w:pPr>
    <w:rPr>
      <w:sz w:val="24"/>
    </w:rPr>
  </w:style>
  <w:style w:type="paragraph" w:styleId="Title">
    <w:name w:val="Title"/>
    <w:basedOn w:val="Normal"/>
    <w:next w:val="Standard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Standard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Header">
    <w:name w:val="header"/>
    <w:basedOn w:val="Standard"/>
  </w:style>
  <w:style w:type="paragraph" w:styleId="Footer">
    <w:name w:val="footer"/>
    <w:basedOn w:val="Standard"/>
  </w:style>
  <w:style w:type="character" w:styleId="ListLabel1" w:customStyle="1">
    <w:name w:val="ListLabel 1"/>
    <w:rPr>
      <w:sz w:val="24"/>
      <w:szCs w:val="24"/>
    </w:rPr>
  </w:style>
  <w:style w:type="character" w:styleId="ListLabel2" w:customStyle="1">
    <w:name w:val="ListLabel 2"/>
    <w:rPr>
      <w:b w:val="1"/>
      <w:sz w:val="24"/>
      <w:szCs w:val="24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color="auto" w:fill="e1dfdd" w:val="clear"/>
    </w:rPr>
  </w:style>
  <w:style w:type="paragraph" w:styleId="NoSpacing">
    <w:name w:val="No Spacing"/>
    <w:pPr>
      <w:widowControl w:val="1"/>
      <w:suppressAutoHyphens w:val="1"/>
    </w:pPr>
    <w:rPr>
      <w:rFonts w:cs="Mangal"/>
      <w:szCs w:val="20"/>
    </w:rPr>
  </w:style>
  <w:style w:type="numbering" w:styleId="WWNum1" w:customStyle="1">
    <w:name w:val="WWNum1"/>
    <w:basedOn w:val="NoList"/>
    <w:pPr>
      <w:numPr>
        <w:numId w:val="1"/>
      </w:numPr>
    </w:pPr>
  </w:style>
  <w:style w:type="numbering" w:styleId="WWNum2" w:customStyle="1">
    <w:name w:val="WWNum2"/>
    <w:basedOn w:val="NoList"/>
    <w:pPr>
      <w:numPr>
        <w:numId w:val="2"/>
      </w:numPr>
    </w:pPr>
  </w:style>
  <w:style w:type="numbering" w:styleId="WWNum3" w:customStyle="1">
    <w:name w:val="WWNum3"/>
    <w:basedOn w:val="NoList"/>
    <w:pPr>
      <w:numPr>
        <w:numId w:val="3"/>
      </w:numPr>
    </w:pPr>
  </w:style>
  <w:style w:type="numbering" w:styleId="WWNum4" w:customStyle="1">
    <w:name w:val="WWNum4"/>
    <w:basedOn w:val="NoList"/>
    <w:pPr>
      <w:numPr>
        <w:numId w:val="4"/>
      </w:numPr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O2MfNpDnHgrnQ8kbkNJ+ecicCg==">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2022-09-30T09:29:00Z</dcterms:created>
  <dc:creator>George Cooke</dc:creator>
</cp:coreProperties>
</file>