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23" w:rsidRDefault="00E01566" w:rsidP="00053E40">
      <w:pPr>
        <w:autoSpaceDE w:val="0"/>
        <w:autoSpaceDN w:val="0"/>
        <w:adjustRightInd w:val="0"/>
        <w:spacing w:after="0" w:line="240" w:lineRule="auto"/>
        <w:jc w:val="right"/>
        <w:rPr>
          <w:rFonts w:ascii="Arial" w:hAnsi="Arial" w:cs="Arial"/>
          <w:b/>
          <w:color w:val="1F497D" w:themeColor="text2"/>
          <w:sz w:val="52"/>
          <w:szCs w:val="52"/>
        </w:rPr>
      </w:pPr>
      <w:r>
        <w:rPr>
          <w:rFonts w:ascii="Arial" w:hAnsi="Arial" w:cs="Arial"/>
          <w:b/>
          <w:noProof/>
          <w:color w:val="1F497D" w:themeColor="text2"/>
          <w:sz w:val="52"/>
          <w:szCs w:val="52"/>
          <w:lang w:eastAsia="en-GB"/>
        </w:rPr>
        <w:drawing>
          <wp:anchor distT="0" distB="0" distL="114300" distR="114300" simplePos="0" relativeHeight="251658240" behindDoc="0" locked="0" layoutInCell="1" allowOverlap="1" wp14:anchorId="58E57392" wp14:editId="758F8ACB">
            <wp:simplePos x="0" y="0"/>
            <wp:positionH relativeFrom="column">
              <wp:posOffset>-45720</wp:posOffset>
            </wp:positionH>
            <wp:positionV relativeFrom="paragraph">
              <wp:posOffset>-379730</wp:posOffset>
            </wp:positionV>
            <wp:extent cx="2148840" cy="814705"/>
            <wp:effectExtent l="0" t="0" r="3810" b="4445"/>
            <wp:wrapSquare wrapText="bothSides"/>
            <wp:docPr id="7" name="Picture 7" descr="\\server01\shared\7 Functions\4 Conserving and Enhancing\31 External Funding\HLF Landscape Partnership\Our past, our future\Logos\opof-sty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01\shared\7 Functions\4 Conserving and Enhancing\31 External Funding\HLF Landscape Partnership\Our past, our future\Logos\opof-styl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ECC7706" wp14:editId="24FEDC9A">
            <wp:simplePos x="0" y="0"/>
            <wp:positionH relativeFrom="column">
              <wp:posOffset>3977640</wp:posOffset>
            </wp:positionH>
            <wp:positionV relativeFrom="paragraph">
              <wp:posOffset>-381000</wp:posOffset>
            </wp:positionV>
            <wp:extent cx="2258060" cy="409575"/>
            <wp:effectExtent l="0" t="0" r="8890" b="9525"/>
            <wp:wrapSquare wrapText="bothSides"/>
            <wp:docPr id="1" name="Picture 1" descr="\\server01\shared\7 Functions\4 Conserving and Enhancing\31 External Funding\HLF Landscape Partnership\Our past, our future\Logos\H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shared\7 Functions\4 Conserving and Enhancing\31 External Funding\HLF Landscape Partnership\Our past, our future\Logos\HL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806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B44" w:rsidRPr="00BA7B44" w:rsidRDefault="00BA7B44" w:rsidP="00BA7B44">
      <w:pPr>
        <w:autoSpaceDE w:val="0"/>
        <w:autoSpaceDN w:val="0"/>
        <w:adjustRightInd w:val="0"/>
        <w:spacing w:after="0" w:line="240" w:lineRule="auto"/>
        <w:rPr>
          <w:rFonts w:ascii="Arial" w:hAnsi="Arial" w:cs="Arial"/>
          <w:b/>
          <w:color w:val="1F497D" w:themeColor="text2"/>
          <w:sz w:val="52"/>
          <w:szCs w:val="52"/>
        </w:rPr>
      </w:pPr>
    </w:p>
    <w:p w:rsidR="00053E40" w:rsidRDefault="00053E40" w:rsidP="00BA7B44">
      <w:pPr>
        <w:autoSpaceDE w:val="0"/>
        <w:autoSpaceDN w:val="0"/>
        <w:adjustRightInd w:val="0"/>
        <w:spacing w:after="0" w:line="240" w:lineRule="auto"/>
        <w:rPr>
          <w:rFonts w:ascii="Arial" w:hAnsi="Arial" w:cs="Arial"/>
          <w:b/>
          <w:color w:val="1F497D" w:themeColor="text2"/>
          <w:sz w:val="48"/>
          <w:szCs w:val="48"/>
        </w:rPr>
      </w:pPr>
    </w:p>
    <w:p w:rsidR="00293C26" w:rsidRPr="00293C26" w:rsidRDefault="00362208" w:rsidP="00293C26">
      <w:pPr>
        <w:jc w:val="center"/>
        <w:rPr>
          <w:rFonts w:ascii="Arial" w:hAnsi="Arial" w:cs="Arial"/>
          <w:b/>
          <w:color w:val="1F497D" w:themeColor="text2"/>
          <w:sz w:val="32"/>
          <w:szCs w:val="24"/>
        </w:rPr>
      </w:pPr>
      <w:r w:rsidRPr="00293C26">
        <w:rPr>
          <w:rFonts w:ascii="Arial" w:hAnsi="Arial" w:cs="Arial"/>
          <w:b/>
          <w:color w:val="1F497D" w:themeColor="text2"/>
          <w:sz w:val="32"/>
          <w:szCs w:val="24"/>
        </w:rPr>
        <w:t>Invitation to Tender</w:t>
      </w:r>
      <w:r w:rsidR="00342F7D" w:rsidRPr="00293C26">
        <w:rPr>
          <w:rFonts w:ascii="Arial" w:hAnsi="Arial" w:cs="Arial"/>
          <w:b/>
          <w:color w:val="1F497D" w:themeColor="text2"/>
          <w:sz w:val="32"/>
          <w:szCs w:val="24"/>
        </w:rPr>
        <w:t xml:space="preserve"> </w:t>
      </w:r>
      <w:r w:rsidR="00293C26" w:rsidRPr="00293C26">
        <w:rPr>
          <w:rFonts w:ascii="Arial" w:hAnsi="Arial" w:cs="Arial"/>
          <w:b/>
          <w:color w:val="1F497D" w:themeColor="text2"/>
          <w:sz w:val="32"/>
          <w:szCs w:val="24"/>
        </w:rPr>
        <w:t>for Framework Agreement</w:t>
      </w:r>
    </w:p>
    <w:p w:rsidR="00223478" w:rsidRDefault="00C0433F" w:rsidP="00293C26">
      <w:pPr>
        <w:jc w:val="center"/>
        <w:rPr>
          <w:rFonts w:ascii="Arial" w:hAnsi="Arial" w:cs="Arial"/>
          <w:b/>
          <w:color w:val="1F497D" w:themeColor="text2"/>
          <w:sz w:val="32"/>
          <w:szCs w:val="24"/>
        </w:rPr>
      </w:pPr>
      <w:r>
        <w:rPr>
          <w:rFonts w:ascii="Arial" w:hAnsi="Arial" w:cs="Arial"/>
          <w:b/>
          <w:color w:val="1F497D" w:themeColor="text2"/>
          <w:sz w:val="32"/>
          <w:szCs w:val="24"/>
        </w:rPr>
        <w:t>Hedges and Fencing</w:t>
      </w:r>
    </w:p>
    <w:p w:rsidR="00BA7B44" w:rsidRPr="00AA2C2D" w:rsidRDefault="009916CE" w:rsidP="00293C26">
      <w:pPr>
        <w:jc w:val="center"/>
        <w:rPr>
          <w:rFonts w:ascii="Arial" w:hAnsi="Arial" w:cs="Arial"/>
          <w:b/>
          <w:color w:val="FF0000"/>
          <w:szCs w:val="24"/>
        </w:rPr>
      </w:pPr>
      <w:r>
        <w:rPr>
          <w:rFonts w:ascii="Arial" w:hAnsi="Arial" w:cs="Arial"/>
          <w:b/>
          <w:color w:val="1F497D" w:themeColor="text2"/>
          <w:sz w:val="32"/>
          <w:szCs w:val="24"/>
        </w:rPr>
        <w:t>(NFNPA – 0030</w:t>
      </w:r>
      <w:r w:rsidR="00342F7D" w:rsidRPr="00293C26">
        <w:rPr>
          <w:rFonts w:ascii="Arial" w:hAnsi="Arial" w:cs="Arial"/>
          <w:b/>
          <w:color w:val="1F497D" w:themeColor="text2"/>
          <w:sz w:val="32"/>
          <w:szCs w:val="24"/>
        </w:rPr>
        <w:t>)</w:t>
      </w:r>
      <w:r w:rsidR="002754E4">
        <w:rPr>
          <w:rFonts w:ascii="Arial" w:hAnsi="Arial" w:cs="Arial"/>
          <w:b/>
          <w:color w:val="1F497D" w:themeColor="text2"/>
          <w:sz w:val="32"/>
          <w:szCs w:val="24"/>
        </w:rPr>
        <w:t xml:space="preserve"> </w:t>
      </w:r>
    </w:p>
    <w:p w:rsidR="00BA7B44" w:rsidRPr="00C54BFB" w:rsidRDefault="00E01566" w:rsidP="00362208">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t>Summary</w:t>
      </w:r>
    </w:p>
    <w:p w:rsidR="00015B3B" w:rsidRDefault="00015B3B" w:rsidP="00015B3B">
      <w:pPr>
        <w:autoSpaceDE w:val="0"/>
        <w:autoSpaceDN w:val="0"/>
        <w:adjustRightInd w:val="0"/>
        <w:spacing w:after="0" w:line="240" w:lineRule="auto"/>
        <w:jc w:val="both"/>
        <w:rPr>
          <w:rFonts w:cstheme="minorHAnsi"/>
          <w:color w:val="000000"/>
          <w:szCs w:val="24"/>
        </w:rPr>
      </w:pPr>
    </w:p>
    <w:p w:rsidR="00E01566" w:rsidRDefault="00E01566" w:rsidP="00386032">
      <w:pPr>
        <w:autoSpaceDE w:val="0"/>
        <w:autoSpaceDN w:val="0"/>
        <w:adjustRightInd w:val="0"/>
        <w:spacing w:after="0" w:line="240" w:lineRule="auto"/>
        <w:jc w:val="both"/>
        <w:rPr>
          <w:rFonts w:cstheme="minorHAnsi"/>
          <w:color w:val="000000"/>
          <w:szCs w:val="24"/>
        </w:rPr>
      </w:pPr>
      <w:r>
        <w:rPr>
          <w:rFonts w:cstheme="minorHAnsi"/>
          <w:color w:val="000000"/>
          <w:szCs w:val="24"/>
        </w:rPr>
        <w:t>T</w:t>
      </w:r>
      <w:r w:rsidR="00BA7B44" w:rsidRPr="00015B3B">
        <w:rPr>
          <w:rFonts w:cstheme="minorHAnsi"/>
          <w:color w:val="000000"/>
          <w:szCs w:val="24"/>
        </w:rPr>
        <w:t>he New Forest National Park Authority</w:t>
      </w:r>
      <w:r w:rsidR="00D633E0">
        <w:rPr>
          <w:rFonts w:cstheme="minorHAnsi"/>
          <w:color w:val="000000"/>
          <w:szCs w:val="24"/>
        </w:rPr>
        <w:t xml:space="preserve"> (NFNPA)</w:t>
      </w:r>
      <w:r w:rsidR="00BA7B44" w:rsidRPr="00015B3B">
        <w:rPr>
          <w:rFonts w:cstheme="minorHAnsi"/>
          <w:color w:val="000000"/>
          <w:szCs w:val="24"/>
        </w:rPr>
        <w:t xml:space="preserve"> and partners </w:t>
      </w:r>
      <w:r w:rsidR="00C365B8">
        <w:rPr>
          <w:rFonts w:cstheme="minorHAnsi"/>
          <w:color w:val="000000"/>
          <w:szCs w:val="24"/>
        </w:rPr>
        <w:t xml:space="preserve">are leading </w:t>
      </w:r>
      <w:r>
        <w:rPr>
          <w:rFonts w:cstheme="minorHAnsi"/>
          <w:color w:val="000000"/>
          <w:szCs w:val="24"/>
        </w:rPr>
        <w:t xml:space="preserve">a Landscape Partnership Scheme funded by the Heritage Lottery Fund: </w:t>
      </w:r>
      <w:r w:rsidRPr="00CC0847">
        <w:rPr>
          <w:rFonts w:cstheme="minorHAnsi"/>
          <w:b/>
          <w:color w:val="000000"/>
          <w:szCs w:val="24"/>
        </w:rPr>
        <w:t xml:space="preserve">Our Past, </w:t>
      </w:r>
      <w:r w:rsidR="00FA5EA3">
        <w:rPr>
          <w:rFonts w:cstheme="minorHAnsi"/>
          <w:b/>
          <w:color w:val="000000"/>
          <w:szCs w:val="24"/>
        </w:rPr>
        <w:t>O</w:t>
      </w:r>
      <w:r w:rsidRPr="00CC0847">
        <w:rPr>
          <w:rFonts w:cstheme="minorHAnsi"/>
          <w:b/>
          <w:color w:val="000000"/>
          <w:szCs w:val="24"/>
        </w:rPr>
        <w:t>ur Future</w:t>
      </w:r>
      <w:r>
        <w:rPr>
          <w:rFonts w:cstheme="minorHAnsi"/>
          <w:color w:val="000000"/>
          <w:szCs w:val="24"/>
        </w:rPr>
        <w:t xml:space="preserve"> (OPOF). This 5 year p</w:t>
      </w:r>
      <w:r w:rsidR="00362208">
        <w:rPr>
          <w:rFonts w:cstheme="minorHAnsi"/>
          <w:color w:val="000000"/>
          <w:szCs w:val="24"/>
        </w:rPr>
        <w:t>artnership project will deliver</w:t>
      </w:r>
      <w:r>
        <w:rPr>
          <w:rFonts w:cstheme="minorHAnsi"/>
          <w:color w:val="000000"/>
          <w:szCs w:val="24"/>
        </w:rPr>
        <w:t xml:space="preserve"> some 2</w:t>
      </w:r>
      <w:r w:rsidR="0093423B">
        <w:rPr>
          <w:rFonts w:cstheme="minorHAnsi"/>
          <w:color w:val="000000"/>
          <w:szCs w:val="24"/>
        </w:rPr>
        <w:t>1</w:t>
      </w:r>
      <w:r>
        <w:rPr>
          <w:rFonts w:cstheme="minorHAnsi"/>
          <w:color w:val="000000"/>
          <w:szCs w:val="24"/>
        </w:rPr>
        <w:t xml:space="preserve"> projects </w:t>
      </w:r>
      <w:proofErr w:type="gramStart"/>
      <w:r>
        <w:rPr>
          <w:rFonts w:cstheme="minorHAnsi"/>
          <w:color w:val="000000"/>
          <w:szCs w:val="24"/>
        </w:rPr>
        <w:t>under</w:t>
      </w:r>
      <w:proofErr w:type="gramEnd"/>
      <w:r>
        <w:rPr>
          <w:rFonts w:cstheme="minorHAnsi"/>
          <w:color w:val="000000"/>
          <w:szCs w:val="24"/>
        </w:rPr>
        <w:t xml:space="preserve"> three main themes (see </w:t>
      </w:r>
      <w:r w:rsidR="00C365B8">
        <w:rPr>
          <w:rFonts w:cstheme="minorHAnsi"/>
          <w:color w:val="000000"/>
          <w:szCs w:val="24"/>
        </w:rPr>
        <w:t xml:space="preserve">Section 2 </w:t>
      </w:r>
      <w:r>
        <w:rPr>
          <w:rFonts w:cstheme="minorHAnsi"/>
          <w:color w:val="000000"/>
          <w:szCs w:val="24"/>
        </w:rPr>
        <w:t xml:space="preserve">below). </w:t>
      </w:r>
    </w:p>
    <w:p w:rsidR="006C7F49" w:rsidRDefault="006C7F49" w:rsidP="00386032">
      <w:pPr>
        <w:autoSpaceDE w:val="0"/>
        <w:autoSpaceDN w:val="0"/>
        <w:adjustRightInd w:val="0"/>
        <w:spacing w:after="0" w:line="240" w:lineRule="auto"/>
        <w:jc w:val="both"/>
        <w:rPr>
          <w:rFonts w:cstheme="minorHAnsi"/>
          <w:color w:val="000000"/>
          <w:szCs w:val="24"/>
        </w:rPr>
      </w:pPr>
    </w:p>
    <w:p w:rsidR="00CB300A" w:rsidRDefault="007204CF" w:rsidP="00D633E0">
      <w:pPr>
        <w:autoSpaceDE w:val="0"/>
        <w:autoSpaceDN w:val="0"/>
        <w:adjustRightInd w:val="0"/>
        <w:spacing w:after="0" w:line="240" w:lineRule="auto"/>
        <w:rPr>
          <w:rFonts w:ascii="Helvetica" w:hAnsi="Helvetica" w:cs="Helvetica"/>
          <w:szCs w:val="24"/>
        </w:rPr>
      </w:pPr>
      <w:r w:rsidRPr="00A34062">
        <w:rPr>
          <w:rFonts w:ascii="Helvetica" w:hAnsi="Helvetica" w:cs="Helvetica"/>
          <w:szCs w:val="24"/>
        </w:rPr>
        <w:t xml:space="preserve">The NFNPA intends to let a new </w:t>
      </w:r>
      <w:r w:rsidR="00D633E0" w:rsidRPr="00A34062">
        <w:rPr>
          <w:rFonts w:ascii="Helvetica" w:hAnsi="Helvetica" w:cs="Helvetica"/>
          <w:szCs w:val="24"/>
        </w:rPr>
        <w:t xml:space="preserve">Framework Agreement </w:t>
      </w:r>
      <w:r w:rsidR="004D0A8A" w:rsidRPr="00A34062">
        <w:rPr>
          <w:rFonts w:ascii="Helvetica" w:hAnsi="Helvetica" w:cs="Helvetica"/>
          <w:szCs w:val="24"/>
        </w:rPr>
        <w:t>totalling circa £</w:t>
      </w:r>
      <w:r w:rsidR="000A518B">
        <w:rPr>
          <w:rFonts w:ascii="Helvetica" w:hAnsi="Helvetica" w:cs="Helvetica"/>
          <w:szCs w:val="24"/>
        </w:rPr>
        <w:t>83,000</w:t>
      </w:r>
      <w:r w:rsidR="004D0A8A" w:rsidRPr="00A34062">
        <w:rPr>
          <w:rFonts w:ascii="Helvetica" w:hAnsi="Helvetica" w:cs="Helvetica"/>
          <w:szCs w:val="24"/>
        </w:rPr>
        <w:t xml:space="preserve"> </w:t>
      </w:r>
      <w:r w:rsidR="00D633E0" w:rsidRPr="00A34062">
        <w:rPr>
          <w:rFonts w:ascii="Helvetica" w:hAnsi="Helvetica" w:cs="Helvetica"/>
          <w:szCs w:val="24"/>
        </w:rPr>
        <w:t xml:space="preserve">for the </w:t>
      </w:r>
      <w:r w:rsidRPr="00A34062">
        <w:rPr>
          <w:rFonts w:ascii="Helvetica" w:hAnsi="Helvetica" w:cs="Helvetica"/>
          <w:szCs w:val="24"/>
        </w:rPr>
        <w:t xml:space="preserve">provision of a </w:t>
      </w:r>
      <w:r w:rsidR="008D7A40" w:rsidRPr="00A34062">
        <w:rPr>
          <w:rFonts w:ascii="Helvetica" w:hAnsi="Helvetica" w:cs="Helvetica"/>
          <w:szCs w:val="24"/>
        </w:rPr>
        <w:t xml:space="preserve">variety of practical </w:t>
      </w:r>
      <w:r w:rsidR="00690672" w:rsidRPr="00A34062">
        <w:rPr>
          <w:rFonts w:ascii="Helvetica" w:hAnsi="Helvetica" w:cs="Helvetica"/>
          <w:szCs w:val="24"/>
        </w:rPr>
        <w:t>tasks</w:t>
      </w:r>
      <w:r w:rsidR="00425594" w:rsidRPr="00A34062">
        <w:rPr>
          <w:rFonts w:ascii="Helvetica" w:hAnsi="Helvetica" w:cs="Helvetica"/>
          <w:szCs w:val="24"/>
        </w:rPr>
        <w:t xml:space="preserve"> </w:t>
      </w:r>
      <w:r w:rsidR="007527CA" w:rsidRPr="00A34062">
        <w:rPr>
          <w:rFonts w:ascii="Helvetica" w:hAnsi="Helvetica" w:cs="Helvetica"/>
          <w:szCs w:val="24"/>
        </w:rPr>
        <w:t xml:space="preserve">spread across </w:t>
      </w:r>
      <w:r w:rsidR="00EA74CD">
        <w:rPr>
          <w:rFonts w:ascii="Helvetica" w:hAnsi="Helvetica" w:cs="Helvetica"/>
          <w:szCs w:val="24"/>
        </w:rPr>
        <w:t>2</w:t>
      </w:r>
      <w:r w:rsidR="007527CA" w:rsidRPr="00A34062">
        <w:rPr>
          <w:rFonts w:ascii="Helvetica" w:hAnsi="Helvetica" w:cs="Helvetica"/>
          <w:szCs w:val="24"/>
        </w:rPr>
        <w:t xml:space="preserve"> Lots</w:t>
      </w:r>
      <w:r w:rsidR="00CB300A">
        <w:rPr>
          <w:rFonts w:ascii="Helvetica" w:hAnsi="Helvetica" w:cs="Helvetica"/>
          <w:szCs w:val="24"/>
        </w:rPr>
        <w:t>:</w:t>
      </w:r>
    </w:p>
    <w:p w:rsidR="00CB300A" w:rsidRDefault="00CB300A" w:rsidP="00D633E0">
      <w:pPr>
        <w:autoSpaceDE w:val="0"/>
        <w:autoSpaceDN w:val="0"/>
        <w:adjustRightInd w:val="0"/>
        <w:spacing w:after="0" w:line="240" w:lineRule="auto"/>
        <w:rPr>
          <w:rFonts w:ascii="Helvetica" w:hAnsi="Helvetica" w:cs="Helvetica"/>
          <w:szCs w:val="24"/>
        </w:rPr>
      </w:pPr>
    </w:p>
    <w:p w:rsidR="00CB300A" w:rsidRDefault="00CB300A" w:rsidP="00CB300A">
      <w:pPr>
        <w:pStyle w:val="ListParagraph"/>
        <w:numPr>
          <w:ilvl w:val="0"/>
          <w:numId w:val="31"/>
        </w:num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Lot 1 – </w:t>
      </w:r>
      <w:r w:rsidR="00082AF2">
        <w:rPr>
          <w:rFonts w:ascii="Helvetica" w:hAnsi="Helvetica" w:cs="Helvetica"/>
          <w:szCs w:val="24"/>
        </w:rPr>
        <w:t>Hedges</w:t>
      </w:r>
    </w:p>
    <w:p w:rsidR="00CB300A" w:rsidRDefault="00EA74CD" w:rsidP="00CB300A">
      <w:pPr>
        <w:pStyle w:val="ListParagraph"/>
        <w:numPr>
          <w:ilvl w:val="0"/>
          <w:numId w:val="31"/>
        </w:num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Lot 2 – </w:t>
      </w:r>
      <w:r w:rsidR="00082AF2">
        <w:rPr>
          <w:rFonts w:ascii="Helvetica" w:hAnsi="Helvetica" w:cs="Helvetica"/>
          <w:szCs w:val="24"/>
        </w:rPr>
        <w:t>Fencing</w:t>
      </w:r>
    </w:p>
    <w:p w:rsidR="00CB300A" w:rsidRDefault="00CB300A" w:rsidP="00D633E0">
      <w:pPr>
        <w:autoSpaceDE w:val="0"/>
        <w:autoSpaceDN w:val="0"/>
        <w:adjustRightInd w:val="0"/>
        <w:spacing w:after="0" w:line="240" w:lineRule="auto"/>
        <w:rPr>
          <w:rFonts w:ascii="Helvetica" w:hAnsi="Helvetica" w:cs="Helvetica"/>
          <w:szCs w:val="24"/>
        </w:rPr>
      </w:pPr>
    </w:p>
    <w:p w:rsidR="007204CF" w:rsidRPr="00A34062" w:rsidRDefault="00CB300A" w:rsidP="00D633E0">
      <w:p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The tasks covered within these Lots are described in more detail in Section 3 of this document. </w:t>
      </w:r>
      <w:r w:rsidR="00BC3007" w:rsidRPr="00A34062">
        <w:rPr>
          <w:rFonts w:ascii="Helvetica" w:hAnsi="Helvetica" w:cs="Helvetica"/>
          <w:szCs w:val="24"/>
        </w:rPr>
        <w:t xml:space="preserve">The geographical coverage where successful contractors will have to serve </w:t>
      </w:r>
      <w:r w:rsidR="00FC047A" w:rsidRPr="00A34062">
        <w:rPr>
          <w:rFonts w:ascii="Helvetica" w:hAnsi="Helvetica" w:cs="Helvetica"/>
          <w:szCs w:val="24"/>
        </w:rPr>
        <w:t>is</w:t>
      </w:r>
      <w:r w:rsidR="00BC3007" w:rsidRPr="00A34062">
        <w:rPr>
          <w:rFonts w:ascii="Helvetica" w:hAnsi="Helvetica" w:cs="Helvetica"/>
          <w:szCs w:val="24"/>
        </w:rPr>
        <w:t xml:space="preserve"> strictly within the </w:t>
      </w:r>
      <w:hyperlink r:id="rId11" w:history="1">
        <w:r w:rsidR="00BC3007" w:rsidRPr="00A34062">
          <w:rPr>
            <w:rStyle w:val="Hyperlink"/>
            <w:rFonts w:ascii="Helvetica" w:hAnsi="Helvetica" w:cs="Helvetica"/>
            <w:szCs w:val="24"/>
          </w:rPr>
          <w:t>boundaries of the New Forest National Park</w:t>
        </w:r>
      </w:hyperlink>
      <w:r w:rsidR="00BC3007" w:rsidRPr="00A34062">
        <w:rPr>
          <w:rFonts w:ascii="Helvetica" w:hAnsi="Helvetica" w:cs="Helvetica"/>
          <w:szCs w:val="24"/>
        </w:rPr>
        <w:t xml:space="preserve">. </w:t>
      </w:r>
    </w:p>
    <w:p w:rsidR="006C7F49" w:rsidRPr="00A34062" w:rsidRDefault="006C7F49" w:rsidP="00D633E0">
      <w:pPr>
        <w:autoSpaceDE w:val="0"/>
        <w:autoSpaceDN w:val="0"/>
        <w:adjustRightInd w:val="0"/>
        <w:spacing w:after="0" w:line="240" w:lineRule="auto"/>
        <w:rPr>
          <w:rFonts w:ascii="Helvetica" w:hAnsi="Helvetica" w:cs="Helvetica"/>
          <w:szCs w:val="24"/>
        </w:rPr>
      </w:pPr>
    </w:p>
    <w:p w:rsidR="00D633E0" w:rsidRPr="00A34062" w:rsidRDefault="007204CF" w:rsidP="00D633E0">
      <w:pPr>
        <w:autoSpaceDE w:val="0"/>
        <w:autoSpaceDN w:val="0"/>
        <w:adjustRightInd w:val="0"/>
        <w:spacing w:after="0" w:line="240" w:lineRule="auto"/>
        <w:rPr>
          <w:rFonts w:ascii="Helvetica" w:hAnsi="Helvetica" w:cs="Helvetica"/>
          <w:szCs w:val="24"/>
        </w:rPr>
      </w:pPr>
      <w:r w:rsidRPr="00A34062">
        <w:rPr>
          <w:rFonts w:ascii="Helvetica" w:hAnsi="Helvetica" w:cs="Helvetica"/>
          <w:szCs w:val="24"/>
        </w:rPr>
        <w:t xml:space="preserve">Tenders are being invited </w:t>
      </w:r>
      <w:r w:rsidR="004F3335" w:rsidRPr="00A34062">
        <w:rPr>
          <w:rFonts w:ascii="Helvetica" w:hAnsi="Helvetica" w:cs="Helvetica"/>
          <w:szCs w:val="24"/>
        </w:rPr>
        <w:t xml:space="preserve">from </w:t>
      </w:r>
      <w:r w:rsidR="00D633E0" w:rsidRPr="00A34062">
        <w:rPr>
          <w:rFonts w:ascii="Helvetica" w:hAnsi="Helvetica" w:cs="Helvetica"/>
          <w:szCs w:val="24"/>
        </w:rPr>
        <w:t xml:space="preserve">potential suppliers </w:t>
      </w:r>
      <w:r w:rsidR="00017CC6" w:rsidRPr="00A34062">
        <w:rPr>
          <w:rFonts w:ascii="Helvetica" w:hAnsi="Helvetica" w:cs="Helvetica"/>
          <w:szCs w:val="24"/>
        </w:rPr>
        <w:t xml:space="preserve">of all sizes </w:t>
      </w:r>
      <w:r w:rsidR="00D633E0" w:rsidRPr="00A34062">
        <w:rPr>
          <w:rFonts w:ascii="Helvetica" w:hAnsi="Helvetica" w:cs="Helvetica"/>
          <w:szCs w:val="24"/>
        </w:rPr>
        <w:t>and places on the Framework</w:t>
      </w:r>
      <w:r w:rsidRPr="00A34062">
        <w:rPr>
          <w:rFonts w:ascii="Helvetica" w:hAnsi="Helvetica" w:cs="Helvetica"/>
          <w:szCs w:val="24"/>
        </w:rPr>
        <w:t xml:space="preserve"> will be awarded to an approved </w:t>
      </w:r>
      <w:r w:rsidR="00D633E0" w:rsidRPr="00A34062">
        <w:rPr>
          <w:rFonts w:ascii="Helvetica" w:hAnsi="Helvetica" w:cs="Helvetica"/>
          <w:szCs w:val="24"/>
        </w:rPr>
        <w:t>list</w:t>
      </w:r>
      <w:r w:rsidR="004F3335" w:rsidRPr="00A34062">
        <w:rPr>
          <w:rFonts w:ascii="Helvetica" w:hAnsi="Helvetica" w:cs="Helvetica"/>
          <w:szCs w:val="24"/>
        </w:rPr>
        <w:t xml:space="preserve"> of suppliers from whom these</w:t>
      </w:r>
      <w:r w:rsidR="00D633E0" w:rsidRPr="00A34062">
        <w:rPr>
          <w:rFonts w:ascii="Helvetica" w:hAnsi="Helvetica" w:cs="Helvetica"/>
          <w:szCs w:val="24"/>
        </w:rPr>
        <w:t xml:space="preserve"> services will be sou</w:t>
      </w:r>
      <w:r w:rsidRPr="00A34062">
        <w:rPr>
          <w:rFonts w:ascii="Helvetica" w:hAnsi="Helvetica" w:cs="Helvetica"/>
          <w:szCs w:val="24"/>
        </w:rPr>
        <w:t xml:space="preserve">rced during the contract period of three years, with the possible extension of a further </w:t>
      </w:r>
      <w:r w:rsidR="00F2185C">
        <w:rPr>
          <w:rFonts w:ascii="Helvetica" w:hAnsi="Helvetica" w:cs="Helvetica"/>
          <w:szCs w:val="24"/>
        </w:rPr>
        <w:t>one</w:t>
      </w:r>
      <w:r w:rsidRPr="00A34062">
        <w:rPr>
          <w:rFonts w:ascii="Helvetica" w:hAnsi="Helvetica" w:cs="Helvetica"/>
          <w:szCs w:val="24"/>
        </w:rPr>
        <w:t xml:space="preserve"> year. </w:t>
      </w:r>
    </w:p>
    <w:p w:rsidR="004F3335" w:rsidRPr="00A34062" w:rsidRDefault="004F3335" w:rsidP="00D633E0">
      <w:pPr>
        <w:autoSpaceDE w:val="0"/>
        <w:autoSpaceDN w:val="0"/>
        <w:adjustRightInd w:val="0"/>
        <w:spacing w:after="0" w:line="240" w:lineRule="auto"/>
        <w:rPr>
          <w:rFonts w:ascii="Helvetica" w:hAnsi="Helvetica" w:cs="Helvetica"/>
          <w:szCs w:val="24"/>
        </w:rPr>
      </w:pPr>
    </w:p>
    <w:p w:rsidR="00D633E0" w:rsidRPr="00A34062" w:rsidRDefault="004F3335" w:rsidP="004F3335">
      <w:pPr>
        <w:autoSpaceDE w:val="0"/>
        <w:autoSpaceDN w:val="0"/>
        <w:adjustRightInd w:val="0"/>
        <w:spacing w:after="0" w:line="240" w:lineRule="auto"/>
        <w:rPr>
          <w:rFonts w:ascii="Helvetica" w:hAnsi="Helvetica" w:cs="Helvetica"/>
          <w:szCs w:val="24"/>
        </w:rPr>
      </w:pPr>
      <w:r w:rsidRPr="00A34062">
        <w:rPr>
          <w:rFonts w:ascii="Helvetica" w:hAnsi="Helvetica" w:cs="Helvetica"/>
          <w:szCs w:val="24"/>
        </w:rPr>
        <w:t xml:space="preserve">The selection process for the </w:t>
      </w:r>
      <w:r w:rsidR="00D633E0" w:rsidRPr="00A34062">
        <w:rPr>
          <w:rFonts w:ascii="Helvetica" w:hAnsi="Helvetica" w:cs="Helvetica"/>
          <w:szCs w:val="24"/>
        </w:rPr>
        <w:t xml:space="preserve">Framework </w:t>
      </w:r>
      <w:r w:rsidR="00B23A5C" w:rsidRPr="00A34062">
        <w:rPr>
          <w:rFonts w:ascii="Helvetica" w:hAnsi="Helvetica" w:cs="Helvetica"/>
          <w:szCs w:val="24"/>
        </w:rPr>
        <w:t>is intended to produce a range of</w:t>
      </w:r>
      <w:r w:rsidR="00D633E0" w:rsidRPr="00A34062">
        <w:rPr>
          <w:rFonts w:ascii="Helvetica" w:hAnsi="Helvetica" w:cs="Helvetica"/>
          <w:szCs w:val="24"/>
        </w:rPr>
        <w:t xml:space="preserve"> suppliers</w:t>
      </w:r>
      <w:r w:rsidRPr="00A34062">
        <w:rPr>
          <w:rFonts w:ascii="Helvetica" w:hAnsi="Helvetica" w:cs="Helvetica"/>
          <w:szCs w:val="24"/>
        </w:rPr>
        <w:t xml:space="preserve"> with the collective ability to </w:t>
      </w:r>
      <w:r w:rsidR="00D633E0" w:rsidRPr="00A34062">
        <w:rPr>
          <w:rFonts w:ascii="Helvetica" w:hAnsi="Helvetica" w:cs="Helvetica"/>
          <w:szCs w:val="24"/>
        </w:rPr>
        <w:t>provide competitive costs for individual jobs ranging f</w:t>
      </w:r>
      <w:r w:rsidR="0056590F" w:rsidRPr="00A34062">
        <w:rPr>
          <w:rFonts w:ascii="Helvetica" w:hAnsi="Helvetica" w:cs="Helvetica"/>
          <w:szCs w:val="24"/>
        </w:rPr>
        <w:t>rom under £100 to over £1</w:t>
      </w:r>
      <w:r w:rsidRPr="00A34062">
        <w:rPr>
          <w:rFonts w:ascii="Helvetica" w:hAnsi="Helvetica" w:cs="Helvetica"/>
          <w:szCs w:val="24"/>
        </w:rPr>
        <w:t xml:space="preserve">0,000. </w:t>
      </w:r>
      <w:r w:rsidR="0056590F" w:rsidRPr="00A34062">
        <w:rPr>
          <w:rFonts w:ascii="Helvetica" w:hAnsi="Helvetica" w:cs="Helvetica"/>
          <w:szCs w:val="24"/>
        </w:rPr>
        <w:t xml:space="preserve">In this light, the NFNPA will </w:t>
      </w:r>
      <w:r w:rsidR="00D633E0" w:rsidRPr="00A34062">
        <w:rPr>
          <w:rFonts w:ascii="Helvetica" w:hAnsi="Helvetica" w:cs="Helvetica"/>
          <w:szCs w:val="24"/>
        </w:rPr>
        <w:t>not expect every member of the Fr</w:t>
      </w:r>
      <w:r w:rsidR="0056590F" w:rsidRPr="00A34062">
        <w:rPr>
          <w:rFonts w:ascii="Helvetica" w:hAnsi="Helvetica" w:cs="Helvetica"/>
          <w:szCs w:val="24"/>
        </w:rPr>
        <w:t>amework to respond to every R</w:t>
      </w:r>
      <w:r w:rsidR="003C4803">
        <w:rPr>
          <w:rFonts w:ascii="Helvetica" w:hAnsi="Helvetica" w:cs="Helvetica"/>
          <w:szCs w:val="24"/>
        </w:rPr>
        <w:t xml:space="preserve">equest </w:t>
      </w:r>
      <w:proofErr w:type="gramStart"/>
      <w:r w:rsidR="0056590F" w:rsidRPr="00A34062">
        <w:rPr>
          <w:rFonts w:ascii="Helvetica" w:hAnsi="Helvetica" w:cs="Helvetica"/>
          <w:szCs w:val="24"/>
        </w:rPr>
        <w:t>F</w:t>
      </w:r>
      <w:r w:rsidR="003C4803">
        <w:rPr>
          <w:rFonts w:ascii="Helvetica" w:hAnsi="Helvetica" w:cs="Helvetica"/>
          <w:szCs w:val="24"/>
        </w:rPr>
        <w:t>or</w:t>
      </w:r>
      <w:proofErr w:type="gramEnd"/>
      <w:r w:rsidR="003C4803">
        <w:rPr>
          <w:rFonts w:ascii="Helvetica" w:hAnsi="Helvetica" w:cs="Helvetica"/>
          <w:szCs w:val="24"/>
        </w:rPr>
        <w:t xml:space="preserve"> </w:t>
      </w:r>
      <w:r w:rsidR="0056590F" w:rsidRPr="00A34062">
        <w:rPr>
          <w:rFonts w:ascii="Helvetica" w:hAnsi="Helvetica" w:cs="Helvetica"/>
          <w:szCs w:val="24"/>
        </w:rPr>
        <w:t>Q</w:t>
      </w:r>
      <w:r w:rsidR="003C4803">
        <w:rPr>
          <w:rFonts w:ascii="Helvetica" w:hAnsi="Helvetica" w:cs="Helvetica"/>
          <w:szCs w:val="24"/>
        </w:rPr>
        <w:t>uote</w:t>
      </w:r>
      <w:r w:rsidR="00017CC6" w:rsidRPr="00A34062">
        <w:rPr>
          <w:rFonts w:ascii="Helvetica" w:hAnsi="Helvetica" w:cs="Helvetica"/>
          <w:szCs w:val="24"/>
        </w:rPr>
        <w:t>.</w:t>
      </w:r>
    </w:p>
    <w:p w:rsidR="00362208" w:rsidRDefault="00362208" w:rsidP="00386032">
      <w:pPr>
        <w:autoSpaceDE w:val="0"/>
        <w:autoSpaceDN w:val="0"/>
        <w:adjustRightInd w:val="0"/>
        <w:spacing w:after="0" w:line="240" w:lineRule="auto"/>
        <w:jc w:val="both"/>
        <w:rPr>
          <w:rFonts w:cstheme="minorHAnsi"/>
          <w:color w:val="000000"/>
          <w:szCs w:val="24"/>
        </w:rPr>
      </w:pPr>
    </w:p>
    <w:p w:rsidR="00BA7B44" w:rsidRPr="00C54BFB" w:rsidRDefault="00E01566" w:rsidP="00362208">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t>O</w:t>
      </w:r>
      <w:r w:rsidR="00CC0847" w:rsidRPr="00C54BFB">
        <w:rPr>
          <w:rFonts w:asciiTheme="minorHAnsi" w:hAnsiTheme="minorHAnsi" w:cstheme="minorHAnsi"/>
          <w:color w:val="000000" w:themeColor="text1"/>
          <w:sz w:val="28"/>
          <w:szCs w:val="28"/>
        </w:rPr>
        <w:t xml:space="preserve">ur </w:t>
      </w:r>
      <w:r w:rsidRPr="00C54BFB">
        <w:rPr>
          <w:rFonts w:asciiTheme="minorHAnsi" w:hAnsiTheme="minorHAnsi" w:cstheme="minorHAnsi"/>
          <w:color w:val="000000" w:themeColor="text1"/>
          <w:sz w:val="28"/>
          <w:szCs w:val="28"/>
        </w:rPr>
        <w:t>P</w:t>
      </w:r>
      <w:r w:rsidR="00C23F2F" w:rsidRPr="00C54BFB">
        <w:rPr>
          <w:rFonts w:asciiTheme="minorHAnsi" w:hAnsiTheme="minorHAnsi" w:cstheme="minorHAnsi"/>
          <w:color w:val="000000" w:themeColor="text1"/>
          <w:sz w:val="28"/>
          <w:szCs w:val="28"/>
        </w:rPr>
        <w:t>ast, O</w:t>
      </w:r>
      <w:r w:rsidR="00CC0847" w:rsidRPr="00C54BFB">
        <w:rPr>
          <w:rFonts w:asciiTheme="minorHAnsi" w:hAnsiTheme="minorHAnsi" w:cstheme="minorHAnsi"/>
          <w:color w:val="000000" w:themeColor="text1"/>
          <w:sz w:val="28"/>
          <w:szCs w:val="28"/>
        </w:rPr>
        <w:t xml:space="preserve">ur </w:t>
      </w:r>
      <w:r w:rsidRPr="00C54BFB">
        <w:rPr>
          <w:rFonts w:asciiTheme="minorHAnsi" w:hAnsiTheme="minorHAnsi" w:cstheme="minorHAnsi"/>
          <w:color w:val="000000" w:themeColor="text1"/>
          <w:sz w:val="28"/>
          <w:szCs w:val="28"/>
        </w:rPr>
        <w:t>F</w:t>
      </w:r>
      <w:r w:rsidR="00CC0847" w:rsidRPr="00C54BFB">
        <w:rPr>
          <w:rFonts w:asciiTheme="minorHAnsi" w:hAnsiTheme="minorHAnsi" w:cstheme="minorHAnsi"/>
          <w:color w:val="000000" w:themeColor="text1"/>
          <w:sz w:val="28"/>
          <w:szCs w:val="28"/>
        </w:rPr>
        <w:t>uture</w:t>
      </w:r>
      <w:r w:rsidRPr="00C54BFB">
        <w:rPr>
          <w:rFonts w:asciiTheme="minorHAnsi" w:hAnsiTheme="minorHAnsi" w:cstheme="minorHAnsi"/>
          <w:color w:val="000000" w:themeColor="text1"/>
          <w:sz w:val="28"/>
          <w:szCs w:val="28"/>
        </w:rPr>
        <w:t xml:space="preserve"> overview</w:t>
      </w:r>
    </w:p>
    <w:p w:rsidR="00015B3B" w:rsidRDefault="00015B3B" w:rsidP="00015B3B">
      <w:pPr>
        <w:autoSpaceDE w:val="0"/>
        <w:autoSpaceDN w:val="0"/>
        <w:adjustRightInd w:val="0"/>
        <w:spacing w:after="0" w:line="240" w:lineRule="auto"/>
        <w:jc w:val="both"/>
        <w:rPr>
          <w:rFonts w:cstheme="minorHAnsi"/>
          <w:color w:val="000000"/>
          <w:szCs w:val="24"/>
        </w:rPr>
      </w:pPr>
    </w:p>
    <w:p w:rsidR="00BA7B44" w:rsidRPr="00015B3B" w:rsidRDefault="00BA7B44" w:rsidP="00015B3B">
      <w:pPr>
        <w:autoSpaceDE w:val="0"/>
        <w:autoSpaceDN w:val="0"/>
        <w:adjustRightInd w:val="0"/>
        <w:spacing w:after="0" w:line="240" w:lineRule="auto"/>
        <w:jc w:val="both"/>
        <w:rPr>
          <w:rFonts w:cstheme="minorHAnsi"/>
          <w:color w:val="000000"/>
          <w:szCs w:val="24"/>
        </w:rPr>
      </w:pPr>
      <w:r w:rsidRPr="00015B3B">
        <w:rPr>
          <w:rFonts w:cstheme="minorHAnsi"/>
          <w:color w:val="000000"/>
          <w:szCs w:val="24"/>
        </w:rPr>
        <w:t xml:space="preserve">The </w:t>
      </w:r>
      <w:r w:rsidR="004B4078">
        <w:rPr>
          <w:rFonts w:cstheme="minorHAnsi"/>
          <w:color w:val="000000"/>
          <w:szCs w:val="24"/>
        </w:rPr>
        <w:t>OPOF’s</w:t>
      </w:r>
      <w:r w:rsidRPr="00015B3B">
        <w:rPr>
          <w:rFonts w:cstheme="minorHAnsi"/>
          <w:color w:val="000000"/>
          <w:szCs w:val="24"/>
        </w:rPr>
        <w:t xml:space="preserve"> vision is </w:t>
      </w:r>
      <w:r w:rsidR="005A5F23" w:rsidRPr="00015B3B">
        <w:rPr>
          <w:rFonts w:cstheme="minorHAnsi"/>
          <w:color w:val="000000"/>
          <w:szCs w:val="24"/>
        </w:rPr>
        <w:t xml:space="preserve">to ensure the New Forest’s distinctive landscape survives through future change and modern-day pressures. A range of projects to </w:t>
      </w:r>
      <w:r w:rsidR="005A5F23" w:rsidRPr="00015B3B">
        <w:rPr>
          <w:rStyle w:val="Strong"/>
          <w:rFonts w:cstheme="minorHAnsi"/>
          <w:b w:val="0"/>
          <w:szCs w:val="24"/>
          <w:lang w:val="en"/>
        </w:rPr>
        <w:t xml:space="preserve">restore habitats, discover forest heritage and develop forest skills </w:t>
      </w:r>
      <w:r w:rsidR="005A5F23" w:rsidRPr="00015B3B">
        <w:rPr>
          <w:rFonts w:cstheme="minorHAnsi"/>
          <w:szCs w:val="24"/>
          <w:lang w:val="en"/>
        </w:rPr>
        <w:t>alongside volunteering and measures to connect people to the landscape, will aim to provide a step-change towards this goal</w:t>
      </w:r>
      <w:r w:rsidRPr="00015B3B">
        <w:rPr>
          <w:rFonts w:cstheme="minorHAnsi"/>
          <w:color w:val="000000"/>
          <w:szCs w:val="24"/>
        </w:rPr>
        <w:t>.</w:t>
      </w:r>
    </w:p>
    <w:p w:rsidR="00BA7B44" w:rsidRPr="00015B3B" w:rsidRDefault="00BA7B44" w:rsidP="00015B3B">
      <w:pPr>
        <w:autoSpaceDE w:val="0"/>
        <w:autoSpaceDN w:val="0"/>
        <w:adjustRightInd w:val="0"/>
        <w:spacing w:after="0" w:line="240" w:lineRule="auto"/>
        <w:rPr>
          <w:rFonts w:cstheme="minorHAnsi"/>
          <w:color w:val="000000"/>
          <w:szCs w:val="24"/>
        </w:rPr>
      </w:pPr>
    </w:p>
    <w:p w:rsidR="00BA7B44" w:rsidRPr="00015B3B" w:rsidRDefault="00BA7B44" w:rsidP="00015B3B">
      <w:pPr>
        <w:autoSpaceDE w:val="0"/>
        <w:autoSpaceDN w:val="0"/>
        <w:adjustRightInd w:val="0"/>
        <w:spacing w:after="0" w:line="240" w:lineRule="auto"/>
        <w:rPr>
          <w:rFonts w:cstheme="minorHAnsi"/>
          <w:szCs w:val="24"/>
          <w:lang w:val="en"/>
        </w:rPr>
      </w:pPr>
      <w:r w:rsidRPr="00015B3B">
        <w:rPr>
          <w:rFonts w:cstheme="minorHAnsi"/>
          <w:szCs w:val="24"/>
          <w:lang w:val="en"/>
        </w:rPr>
        <w:t xml:space="preserve">This will be achieved through the delivery </w:t>
      </w:r>
      <w:r w:rsidR="00093B76" w:rsidRPr="00015B3B">
        <w:rPr>
          <w:rFonts w:cstheme="minorHAnsi"/>
          <w:szCs w:val="24"/>
          <w:lang w:val="en"/>
        </w:rPr>
        <w:t xml:space="preserve">of </w:t>
      </w:r>
      <w:r w:rsidR="00F716E0">
        <w:rPr>
          <w:rFonts w:cstheme="minorHAnsi"/>
          <w:szCs w:val="24"/>
          <w:lang w:val="en"/>
        </w:rPr>
        <w:t>2</w:t>
      </w:r>
      <w:r w:rsidR="00F2185C">
        <w:rPr>
          <w:rFonts w:cstheme="minorHAnsi"/>
          <w:szCs w:val="24"/>
          <w:lang w:val="en"/>
        </w:rPr>
        <w:t>1</w:t>
      </w:r>
      <w:r w:rsidR="00F716E0">
        <w:rPr>
          <w:rFonts w:cstheme="minorHAnsi"/>
          <w:szCs w:val="24"/>
          <w:lang w:val="en"/>
        </w:rPr>
        <w:t xml:space="preserve"> </w:t>
      </w:r>
      <w:r w:rsidR="00093B76" w:rsidRPr="00015B3B">
        <w:rPr>
          <w:rFonts w:cstheme="minorHAnsi"/>
          <w:szCs w:val="24"/>
          <w:lang w:val="en"/>
        </w:rPr>
        <w:t>projects</w:t>
      </w:r>
      <w:r w:rsidR="00512C22" w:rsidRPr="00015B3B">
        <w:rPr>
          <w:rFonts w:cstheme="minorHAnsi"/>
          <w:szCs w:val="24"/>
          <w:lang w:val="en"/>
        </w:rPr>
        <w:t xml:space="preserve"> under </w:t>
      </w:r>
      <w:r w:rsidR="00015B3B">
        <w:rPr>
          <w:rFonts w:cstheme="minorHAnsi"/>
          <w:szCs w:val="24"/>
          <w:lang w:val="en"/>
        </w:rPr>
        <w:t xml:space="preserve">the </w:t>
      </w:r>
      <w:r w:rsidR="00A6629F">
        <w:rPr>
          <w:rFonts w:cstheme="minorHAnsi"/>
          <w:szCs w:val="24"/>
          <w:lang w:val="en"/>
        </w:rPr>
        <w:t xml:space="preserve">following </w:t>
      </w:r>
      <w:r w:rsidR="00A6629F" w:rsidRPr="00015B3B">
        <w:rPr>
          <w:rFonts w:cstheme="minorHAnsi"/>
          <w:szCs w:val="24"/>
          <w:lang w:val="en"/>
        </w:rPr>
        <w:t>themes</w:t>
      </w:r>
      <w:r w:rsidR="00512C22" w:rsidRPr="00015B3B">
        <w:rPr>
          <w:rFonts w:cstheme="minorHAnsi"/>
          <w:szCs w:val="24"/>
          <w:lang w:val="en"/>
        </w:rPr>
        <w:t>.</w:t>
      </w:r>
      <w:r w:rsidRPr="00015B3B">
        <w:rPr>
          <w:rFonts w:cstheme="minorHAnsi"/>
          <w:szCs w:val="24"/>
          <w:lang w:val="en"/>
        </w:rPr>
        <w:t xml:space="preserve"> </w:t>
      </w:r>
    </w:p>
    <w:p w:rsidR="00BA7B44" w:rsidRDefault="00BA7B44" w:rsidP="00015B3B">
      <w:pPr>
        <w:autoSpaceDE w:val="0"/>
        <w:autoSpaceDN w:val="0"/>
        <w:adjustRightInd w:val="0"/>
        <w:spacing w:after="0" w:line="240" w:lineRule="auto"/>
        <w:rPr>
          <w:rFonts w:cstheme="minorHAnsi"/>
          <w:color w:val="000000"/>
          <w:szCs w:val="24"/>
        </w:rPr>
      </w:pPr>
    </w:p>
    <w:p w:rsidR="00223478" w:rsidRDefault="00223478" w:rsidP="00015B3B">
      <w:pPr>
        <w:widowControl w:val="0"/>
        <w:spacing w:after="0" w:line="240" w:lineRule="auto"/>
        <w:rPr>
          <w:rFonts w:cstheme="minorHAnsi"/>
          <w:color w:val="000000"/>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lastRenderedPageBreak/>
        <w:t>Restoring Lost Landscapes</w:t>
      </w:r>
    </w:p>
    <w:p w:rsidR="00512C22" w:rsidRDefault="00512C22" w:rsidP="00015B3B">
      <w:pPr>
        <w:autoSpaceDE w:val="0"/>
        <w:autoSpaceDN w:val="0"/>
        <w:adjustRightInd w:val="0"/>
        <w:spacing w:after="0" w:line="240" w:lineRule="auto"/>
        <w:rPr>
          <w:rFonts w:cstheme="minorHAnsi"/>
          <w:color w:val="000000" w:themeColor="text1"/>
          <w:kern w:val="24"/>
          <w:szCs w:val="24"/>
        </w:rPr>
      </w:pPr>
      <w:r w:rsidRPr="00015B3B">
        <w:rPr>
          <w:rFonts w:cstheme="minorHAnsi"/>
          <w:color w:val="000000" w:themeColor="text1"/>
          <w:kern w:val="24"/>
          <w:szCs w:val="24"/>
        </w:rPr>
        <w:t xml:space="preserve">This theme focuses on practical work and management of the lands surrounding the Open Forest in order to </w:t>
      </w:r>
      <w:r w:rsidRPr="00015B3B">
        <w:rPr>
          <w:rFonts w:cstheme="minorHAnsi"/>
          <w:color w:val="000000" w:themeColor="text1"/>
          <w:szCs w:val="24"/>
        </w:rPr>
        <w:t xml:space="preserve">improve and protect the natural environment. </w:t>
      </w:r>
      <w:r w:rsidRPr="00015B3B">
        <w:rPr>
          <w:rFonts w:cstheme="minorHAnsi"/>
          <w:color w:val="000000" w:themeColor="text1"/>
          <w:kern w:val="24"/>
          <w:szCs w:val="24"/>
        </w:rPr>
        <w:t xml:space="preserve"> The projects are aimed at restoring habitats and decreasing fragmentation, increasing responsible access, sustaining historic land management practices and discovering and restoring archaeology and built heritage. </w:t>
      </w:r>
    </w:p>
    <w:p w:rsidR="00512C22" w:rsidRPr="00015B3B" w:rsidRDefault="00512C22" w:rsidP="00015B3B">
      <w:pPr>
        <w:autoSpaceDE w:val="0"/>
        <w:autoSpaceDN w:val="0"/>
        <w:adjustRightInd w:val="0"/>
        <w:spacing w:after="0" w:line="240" w:lineRule="auto"/>
        <w:rPr>
          <w:rFonts w:cstheme="minorHAnsi"/>
          <w:color w:val="000000" w:themeColor="text1"/>
          <w:kern w:val="24"/>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t>Developing Forest Skills</w:t>
      </w:r>
    </w:p>
    <w:p w:rsidR="00512C22" w:rsidRPr="00015B3B" w:rsidRDefault="00512C22" w:rsidP="00015B3B">
      <w:pPr>
        <w:widowControl w:val="0"/>
        <w:spacing w:after="0" w:line="240" w:lineRule="auto"/>
        <w:jc w:val="both"/>
        <w:rPr>
          <w:rFonts w:cstheme="minorHAnsi"/>
          <w:color w:val="000000" w:themeColor="text1"/>
          <w:kern w:val="24"/>
          <w:szCs w:val="24"/>
        </w:rPr>
      </w:pPr>
      <w:r w:rsidRPr="00015B3B">
        <w:rPr>
          <w:rFonts w:cstheme="minorHAnsi"/>
          <w:color w:val="000000" w:themeColor="text1"/>
          <w:kern w:val="24"/>
          <w:szCs w:val="24"/>
        </w:rPr>
        <w:t xml:space="preserve">This theme focuses on the people and communities living and working in the New Forest. The projects will aim to retain, develop and </w:t>
      </w:r>
      <w:r w:rsidR="00093B76" w:rsidRPr="00015B3B">
        <w:rPr>
          <w:rFonts w:cstheme="minorHAnsi"/>
          <w:color w:val="000000" w:themeColor="text1"/>
          <w:kern w:val="24"/>
          <w:szCs w:val="24"/>
        </w:rPr>
        <w:t>share knowledge</w:t>
      </w:r>
      <w:r w:rsidRPr="00015B3B">
        <w:rPr>
          <w:rFonts w:cstheme="minorHAnsi"/>
          <w:color w:val="000000" w:themeColor="text1"/>
          <w:kern w:val="24"/>
          <w:szCs w:val="24"/>
        </w:rPr>
        <w:t xml:space="preserve"> and skills required for sustainable management of the New </w:t>
      </w:r>
      <w:r w:rsidR="00A6629F" w:rsidRPr="00015B3B">
        <w:rPr>
          <w:rFonts w:cstheme="minorHAnsi"/>
          <w:color w:val="000000" w:themeColor="text1"/>
          <w:kern w:val="24"/>
          <w:szCs w:val="24"/>
        </w:rPr>
        <w:t>Forest habitats</w:t>
      </w:r>
      <w:r w:rsidRPr="00015B3B">
        <w:rPr>
          <w:rFonts w:cstheme="minorHAnsi"/>
          <w:color w:val="000000" w:themeColor="text1"/>
          <w:kern w:val="24"/>
          <w:szCs w:val="24"/>
        </w:rPr>
        <w:t xml:space="preserve"> and built heritage.</w:t>
      </w:r>
    </w:p>
    <w:p w:rsidR="006C7F49" w:rsidRDefault="006C7F49" w:rsidP="00015B3B">
      <w:pPr>
        <w:widowControl w:val="0"/>
        <w:spacing w:after="0" w:line="240" w:lineRule="auto"/>
        <w:jc w:val="both"/>
        <w:rPr>
          <w:rFonts w:cstheme="minorHAnsi"/>
          <w:color w:val="000000" w:themeColor="text1"/>
          <w:kern w:val="24"/>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t>Discovering Forest Heritage &amp; Inspiring a New Generation</w:t>
      </w:r>
    </w:p>
    <w:p w:rsidR="00512C22" w:rsidRPr="00015B3B" w:rsidRDefault="00512C22" w:rsidP="00015B3B">
      <w:pPr>
        <w:autoSpaceDE w:val="0"/>
        <w:autoSpaceDN w:val="0"/>
        <w:adjustRightInd w:val="0"/>
        <w:spacing w:after="0" w:line="240" w:lineRule="auto"/>
        <w:rPr>
          <w:rFonts w:cstheme="minorHAnsi"/>
          <w:color w:val="000000" w:themeColor="text1"/>
          <w:kern w:val="24"/>
          <w:szCs w:val="24"/>
        </w:rPr>
      </w:pPr>
      <w:r w:rsidRPr="00015B3B">
        <w:rPr>
          <w:rFonts w:cstheme="minorHAnsi"/>
          <w:color w:val="000000" w:themeColor="text1"/>
          <w:kern w:val="24"/>
          <w:szCs w:val="24"/>
        </w:rPr>
        <w:t xml:space="preserve">This theme focuses </w:t>
      </w:r>
      <w:r w:rsidR="00093B76" w:rsidRPr="00015B3B">
        <w:rPr>
          <w:rFonts w:cstheme="minorHAnsi"/>
          <w:color w:val="000000" w:themeColor="text1"/>
          <w:kern w:val="24"/>
          <w:szCs w:val="24"/>
        </w:rPr>
        <w:t>on encouraging</w:t>
      </w:r>
      <w:r w:rsidRPr="00015B3B">
        <w:rPr>
          <w:rFonts w:cstheme="minorHAnsi"/>
          <w:color w:val="000000" w:themeColor="text1"/>
          <w:szCs w:val="24"/>
        </w:rPr>
        <w:t xml:space="preserve">, enthusing and inspiring a new generation of people to be more involved in learning about, championing and caring for the New Forest.  The projects </w:t>
      </w:r>
      <w:r w:rsidRPr="00015B3B">
        <w:rPr>
          <w:rFonts w:cstheme="minorHAnsi"/>
          <w:color w:val="000000" w:themeColor="text1"/>
          <w:kern w:val="24"/>
          <w:szCs w:val="24"/>
        </w:rPr>
        <w:t>will promote an understanding of the New Forest’s unique heritage and its common story amongst residents, communities and visitors through a range of interpretation projects, educational campaigns, and engagement of volunteers</w:t>
      </w:r>
      <w:r w:rsidR="00D625D7">
        <w:rPr>
          <w:rFonts w:cstheme="minorHAnsi"/>
          <w:color w:val="000000" w:themeColor="text1"/>
          <w:kern w:val="24"/>
          <w:szCs w:val="24"/>
        </w:rPr>
        <w:t>.</w:t>
      </w:r>
      <w:r w:rsidRPr="00015B3B">
        <w:rPr>
          <w:rFonts w:cstheme="minorHAnsi"/>
          <w:color w:val="000000" w:themeColor="text1"/>
          <w:kern w:val="24"/>
          <w:szCs w:val="24"/>
        </w:rPr>
        <w:t xml:space="preserve"> </w:t>
      </w:r>
    </w:p>
    <w:p w:rsidR="00512C22" w:rsidRDefault="00512C22" w:rsidP="00015B3B">
      <w:pPr>
        <w:widowControl w:val="0"/>
        <w:spacing w:after="0" w:line="240" w:lineRule="auto"/>
        <w:jc w:val="both"/>
        <w:rPr>
          <w:rFonts w:cstheme="minorHAnsi"/>
          <w:color w:val="000000" w:themeColor="text1"/>
          <w:kern w:val="24"/>
          <w:szCs w:val="24"/>
        </w:rPr>
      </w:pPr>
    </w:p>
    <w:p w:rsidR="006F7432" w:rsidRDefault="006F7432" w:rsidP="00BA5211">
      <w:pPr>
        <w:widowControl w:val="0"/>
        <w:spacing w:after="0" w:line="240" w:lineRule="auto"/>
        <w:jc w:val="both"/>
        <w:rPr>
          <w:rFonts w:cstheme="minorHAnsi"/>
          <w:color w:val="000000" w:themeColor="text1"/>
          <w:kern w:val="24"/>
          <w:szCs w:val="24"/>
        </w:rPr>
      </w:pPr>
      <w:r>
        <w:rPr>
          <w:rFonts w:cstheme="minorHAnsi"/>
          <w:color w:val="000000" w:themeColor="text1"/>
          <w:kern w:val="24"/>
          <w:szCs w:val="24"/>
        </w:rPr>
        <w:t xml:space="preserve">A full list of the </w:t>
      </w:r>
      <w:r w:rsidR="00E16B03">
        <w:rPr>
          <w:rFonts w:cstheme="minorHAnsi"/>
          <w:color w:val="000000" w:themeColor="text1"/>
          <w:kern w:val="24"/>
          <w:szCs w:val="24"/>
        </w:rPr>
        <w:t xml:space="preserve">individual OPOF projects and </w:t>
      </w:r>
      <w:r>
        <w:rPr>
          <w:rFonts w:cstheme="minorHAnsi"/>
          <w:color w:val="000000" w:themeColor="text1"/>
          <w:kern w:val="24"/>
          <w:szCs w:val="24"/>
        </w:rPr>
        <w:t xml:space="preserve">details of the initial bid to the Heritage Lottery Fund can all be found via the following link: </w:t>
      </w:r>
    </w:p>
    <w:p w:rsidR="006F7432" w:rsidRDefault="00B431F4" w:rsidP="00BA5211">
      <w:pPr>
        <w:widowControl w:val="0"/>
        <w:spacing w:after="0" w:line="240" w:lineRule="auto"/>
        <w:jc w:val="both"/>
        <w:rPr>
          <w:rFonts w:cstheme="minorHAnsi"/>
          <w:color w:val="000000" w:themeColor="text1"/>
          <w:kern w:val="24"/>
          <w:szCs w:val="24"/>
        </w:rPr>
      </w:pPr>
      <w:hyperlink r:id="rId12" w:history="1">
        <w:r w:rsidR="006F7432" w:rsidRPr="00156438">
          <w:rPr>
            <w:rStyle w:val="Hyperlink"/>
            <w:rFonts w:cstheme="minorHAnsi"/>
            <w:kern w:val="24"/>
            <w:szCs w:val="24"/>
          </w:rPr>
          <w:t>http://www.newforestnpa.gov.uk/downloads/download/208/our_past_our_future</w:t>
        </w:r>
      </w:hyperlink>
      <w:r w:rsidR="006F7432">
        <w:rPr>
          <w:rFonts w:cstheme="minorHAnsi"/>
          <w:color w:val="000000" w:themeColor="text1"/>
          <w:kern w:val="24"/>
          <w:szCs w:val="24"/>
        </w:rPr>
        <w:t xml:space="preserve"> </w:t>
      </w:r>
    </w:p>
    <w:p w:rsidR="006F7432" w:rsidRDefault="006F7432" w:rsidP="00BA5211">
      <w:pPr>
        <w:widowControl w:val="0"/>
        <w:spacing w:after="0" w:line="240" w:lineRule="auto"/>
        <w:jc w:val="both"/>
        <w:rPr>
          <w:rFonts w:cstheme="minorHAnsi"/>
          <w:color w:val="000000" w:themeColor="text1"/>
          <w:kern w:val="24"/>
          <w:szCs w:val="24"/>
        </w:rPr>
      </w:pPr>
    </w:p>
    <w:p w:rsidR="004351CD" w:rsidRPr="00C54BFB" w:rsidRDefault="004351CD" w:rsidP="004351CD">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t>Framework and Lot details</w:t>
      </w:r>
    </w:p>
    <w:p w:rsidR="004351CD" w:rsidRDefault="004351CD" w:rsidP="00BA5211">
      <w:pPr>
        <w:widowControl w:val="0"/>
        <w:spacing w:after="0" w:line="240" w:lineRule="auto"/>
        <w:jc w:val="both"/>
        <w:rPr>
          <w:rFonts w:cstheme="minorHAnsi"/>
          <w:color w:val="000000" w:themeColor="text1"/>
          <w:kern w:val="24"/>
          <w:szCs w:val="24"/>
        </w:rPr>
      </w:pPr>
    </w:p>
    <w:p w:rsidR="0047059B" w:rsidRPr="0047059B" w:rsidRDefault="0047059B" w:rsidP="0047059B">
      <w:pPr>
        <w:rPr>
          <w:rFonts w:cstheme="minorHAnsi"/>
          <w:i/>
          <w:szCs w:val="24"/>
        </w:rPr>
      </w:pPr>
      <w:r w:rsidRPr="006731EA">
        <w:rPr>
          <w:rFonts w:cstheme="minorHAnsi"/>
          <w:i/>
          <w:szCs w:val="24"/>
        </w:rPr>
        <w:t xml:space="preserve">A Framework Agreement is an agreement between one or more contracting authorities and one or more economic operators which establishes the terms (price and where appropriate, quantity) under which the economic operator will enter into one or more contracts with a contracting authority in the period during which the Framework Agreement applies. </w:t>
      </w:r>
    </w:p>
    <w:p w:rsidR="00C22276" w:rsidRDefault="00C22276" w:rsidP="00832F75">
      <w:pPr>
        <w:rPr>
          <w:rFonts w:cstheme="minorHAnsi"/>
          <w:szCs w:val="24"/>
        </w:rPr>
      </w:pPr>
      <w:r>
        <w:rPr>
          <w:rFonts w:cstheme="minorHAnsi"/>
          <w:szCs w:val="24"/>
        </w:rPr>
        <w:t xml:space="preserve">The following named </w:t>
      </w:r>
      <w:r w:rsidR="00B662D8">
        <w:rPr>
          <w:rFonts w:cstheme="minorHAnsi"/>
          <w:szCs w:val="24"/>
        </w:rPr>
        <w:t>part</w:t>
      </w:r>
      <w:r w:rsidR="006A78D4">
        <w:rPr>
          <w:rFonts w:cstheme="minorHAnsi"/>
          <w:szCs w:val="24"/>
        </w:rPr>
        <w:t>ners will all have access to this</w:t>
      </w:r>
      <w:r w:rsidR="00B662D8">
        <w:rPr>
          <w:rFonts w:cstheme="minorHAnsi"/>
          <w:szCs w:val="24"/>
        </w:rPr>
        <w:t xml:space="preserve"> Framework Agreement and be able to call off services provided by it: the New Forest National Park Authority, </w:t>
      </w:r>
      <w:r w:rsidR="008D514E">
        <w:rPr>
          <w:rFonts w:cstheme="minorHAnsi"/>
          <w:szCs w:val="24"/>
        </w:rPr>
        <w:t xml:space="preserve">Forestry Commission, Freshwater Habitats Trust, Hampshire and Isle of Wight Wildlife Trust, National Trust and the New Forest Land Advice Service. </w:t>
      </w:r>
    </w:p>
    <w:p w:rsidR="002373CB" w:rsidRDefault="002373CB" w:rsidP="00832F75">
      <w:pPr>
        <w:rPr>
          <w:rFonts w:cstheme="minorHAnsi"/>
          <w:szCs w:val="24"/>
        </w:rPr>
      </w:pPr>
      <w:r w:rsidRPr="004351CD">
        <w:rPr>
          <w:rFonts w:cstheme="minorHAnsi"/>
          <w:szCs w:val="24"/>
        </w:rPr>
        <w:t>Th</w:t>
      </w:r>
      <w:r>
        <w:rPr>
          <w:rFonts w:cstheme="minorHAnsi"/>
          <w:szCs w:val="24"/>
        </w:rPr>
        <w:t xml:space="preserve">e Authority wishes to appoint multiple suppliers, likely to be a minimum of five and a maximum of seven (strictly subject to change, depending on the bids received) under each Lot. </w:t>
      </w:r>
    </w:p>
    <w:p w:rsidR="00D74535" w:rsidRDefault="00D74535" w:rsidP="00832F75">
      <w:pPr>
        <w:rPr>
          <w:rFonts w:cstheme="minorHAnsi"/>
          <w:szCs w:val="24"/>
        </w:rPr>
      </w:pPr>
      <w:r>
        <w:rPr>
          <w:rFonts w:cstheme="minorHAnsi"/>
          <w:szCs w:val="24"/>
        </w:rPr>
        <w:t xml:space="preserve">It is anticipated that the Authority will choose a range of suppliers in each particular Lot, in the hope that jobs of all sizes and values </w:t>
      </w:r>
      <w:r w:rsidR="00920DAC">
        <w:rPr>
          <w:rFonts w:cstheme="minorHAnsi"/>
          <w:szCs w:val="24"/>
        </w:rPr>
        <w:t>will be of interest to different suppliers. The Framework Agreement will cover the following services:</w:t>
      </w:r>
    </w:p>
    <w:p w:rsidR="00920DAC" w:rsidRDefault="00920DAC" w:rsidP="00832F75">
      <w:pPr>
        <w:rPr>
          <w:rFonts w:cstheme="minorHAnsi"/>
          <w:szCs w:val="24"/>
        </w:rPr>
      </w:pPr>
    </w:p>
    <w:p w:rsidR="00920DAC" w:rsidRDefault="00920DAC" w:rsidP="00832F75">
      <w:pPr>
        <w:rPr>
          <w:rFonts w:cstheme="minorHAnsi"/>
          <w:szCs w:val="24"/>
        </w:rPr>
      </w:pPr>
    </w:p>
    <w:p w:rsidR="00223478" w:rsidRDefault="00223478" w:rsidP="00832F75">
      <w:pPr>
        <w:rPr>
          <w:rFonts w:cstheme="minorHAnsi"/>
          <w:szCs w:val="24"/>
        </w:rPr>
      </w:pPr>
    </w:p>
    <w:p w:rsidR="000A518B" w:rsidRDefault="000A518B" w:rsidP="00832F75">
      <w:pPr>
        <w:rPr>
          <w:rFonts w:cstheme="minorHAnsi"/>
          <w:b/>
          <w:color w:val="365F91" w:themeColor="accent1" w:themeShade="BF"/>
          <w:szCs w:val="24"/>
          <w:u w:val="single"/>
        </w:rPr>
      </w:pPr>
      <w:r w:rsidRPr="000A518B">
        <w:rPr>
          <w:rFonts w:cstheme="minorHAnsi"/>
          <w:b/>
          <w:color w:val="365F91" w:themeColor="accent1" w:themeShade="BF"/>
          <w:szCs w:val="24"/>
          <w:u w:val="single"/>
        </w:rPr>
        <w:lastRenderedPageBreak/>
        <w:t>Lot 1 – Hedges (estimated value of £43,000 over the initial 3 years)</w:t>
      </w:r>
    </w:p>
    <w:p w:rsidR="000A518B" w:rsidRDefault="000A518B" w:rsidP="00832F75">
      <w:pPr>
        <w:rPr>
          <w:rFonts w:cstheme="minorHAnsi"/>
          <w:color w:val="365F91" w:themeColor="accent1" w:themeShade="BF"/>
          <w:szCs w:val="24"/>
        </w:rPr>
      </w:pPr>
      <w:r>
        <w:rPr>
          <w:rFonts w:cstheme="minorHAnsi"/>
          <w:color w:val="365F91" w:themeColor="accent1" w:themeShade="BF"/>
          <w:szCs w:val="24"/>
        </w:rPr>
        <w:t xml:space="preserve">Hedge laying and planting – supply of materials, guards, stakes </w:t>
      </w:r>
    </w:p>
    <w:p w:rsidR="000A518B" w:rsidRPr="000A518B" w:rsidRDefault="000A518B" w:rsidP="00832F75">
      <w:pPr>
        <w:rPr>
          <w:rFonts w:cstheme="minorHAnsi"/>
          <w:color w:val="365F91" w:themeColor="accent1" w:themeShade="BF"/>
          <w:szCs w:val="24"/>
        </w:rPr>
      </w:pPr>
      <w:r>
        <w:rPr>
          <w:rFonts w:cstheme="minorHAnsi"/>
          <w:color w:val="365F91" w:themeColor="accent1" w:themeShade="BF"/>
          <w:szCs w:val="24"/>
        </w:rPr>
        <w:t>Hedge coppicing</w:t>
      </w:r>
    </w:p>
    <w:p w:rsidR="000A518B" w:rsidRPr="000A518B" w:rsidRDefault="000A518B" w:rsidP="00832F75">
      <w:pPr>
        <w:rPr>
          <w:rFonts w:cstheme="minorHAnsi"/>
          <w:b/>
          <w:color w:val="365F91" w:themeColor="accent1" w:themeShade="BF"/>
          <w:szCs w:val="24"/>
          <w:u w:val="single"/>
        </w:rPr>
      </w:pPr>
      <w:r w:rsidRPr="000A518B">
        <w:rPr>
          <w:rFonts w:cstheme="minorHAnsi"/>
          <w:b/>
          <w:color w:val="365F91" w:themeColor="accent1" w:themeShade="BF"/>
          <w:szCs w:val="24"/>
          <w:u w:val="single"/>
        </w:rPr>
        <w:t xml:space="preserve">Lot 2 – Fencing (estimated value of £40,000 over the initial 3 years) </w:t>
      </w:r>
    </w:p>
    <w:p w:rsidR="00C54BFB" w:rsidRPr="00425594" w:rsidRDefault="00E81E67" w:rsidP="004351CD">
      <w:pPr>
        <w:rPr>
          <w:color w:val="365F91" w:themeColor="accent1" w:themeShade="BF"/>
        </w:rPr>
      </w:pPr>
      <w:r>
        <w:rPr>
          <w:color w:val="365F91" w:themeColor="accent1" w:themeShade="BF"/>
        </w:rPr>
        <w:t>Post and wire (3 strand) f</w:t>
      </w:r>
      <w:r w:rsidR="00344C24">
        <w:rPr>
          <w:color w:val="365F91" w:themeColor="accent1" w:themeShade="BF"/>
        </w:rPr>
        <w:t xml:space="preserve">encing and gates – removal of old fences, vegetation preparation, supply of materials, livestock/agricultural fencing and gates  </w:t>
      </w:r>
    </w:p>
    <w:p w:rsidR="006731EA" w:rsidRDefault="004351CD" w:rsidP="006731EA">
      <w:pPr>
        <w:rPr>
          <w:rFonts w:cstheme="minorHAnsi"/>
          <w:szCs w:val="24"/>
        </w:rPr>
      </w:pPr>
      <w:r>
        <w:rPr>
          <w:rFonts w:cstheme="minorHAnsi"/>
          <w:szCs w:val="24"/>
        </w:rPr>
        <w:t>Please note that this list is indicative and not exhaustive, thus there may be</w:t>
      </w:r>
      <w:r w:rsidR="002A4627">
        <w:rPr>
          <w:rFonts w:cstheme="minorHAnsi"/>
          <w:szCs w:val="24"/>
        </w:rPr>
        <w:t xml:space="preserve"> tasks of a similar nature required by the NFNPA and its partners</w:t>
      </w:r>
      <w:r>
        <w:rPr>
          <w:rFonts w:cstheme="minorHAnsi"/>
          <w:szCs w:val="24"/>
        </w:rPr>
        <w:t xml:space="preserve">. </w:t>
      </w:r>
    </w:p>
    <w:p w:rsidR="007A2D93" w:rsidRPr="00415F45" w:rsidRDefault="007A2D93" w:rsidP="007A2D93">
      <w:pPr>
        <w:rPr>
          <w:rFonts w:cstheme="minorHAnsi"/>
          <w:b/>
          <w:szCs w:val="24"/>
        </w:rPr>
      </w:pPr>
      <w:r w:rsidRPr="00415F45">
        <w:rPr>
          <w:rFonts w:cstheme="minorHAnsi"/>
          <w:b/>
          <w:szCs w:val="24"/>
        </w:rPr>
        <w:t xml:space="preserve">Contractors are able to bid for </w:t>
      </w:r>
      <w:r w:rsidR="004B39DE">
        <w:rPr>
          <w:rFonts w:cstheme="minorHAnsi"/>
          <w:b/>
          <w:szCs w:val="24"/>
        </w:rPr>
        <w:t>a single Lot or both Lots should they wish</w:t>
      </w:r>
      <w:r>
        <w:rPr>
          <w:rFonts w:cstheme="minorHAnsi"/>
          <w:b/>
          <w:szCs w:val="24"/>
        </w:rPr>
        <w:t>. Please note that</w:t>
      </w:r>
      <w:r w:rsidR="0072059D">
        <w:rPr>
          <w:rFonts w:cstheme="minorHAnsi"/>
          <w:b/>
          <w:szCs w:val="24"/>
        </w:rPr>
        <w:t xml:space="preserve"> when determining each Lot,</w:t>
      </w:r>
      <w:r>
        <w:rPr>
          <w:rFonts w:cstheme="minorHAnsi"/>
          <w:b/>
          <w:szCs w:val="24"/>
        </w:rPr>
        <w:t xml:space="preserve"> no preference whatsoever shall be given to suppliers that bid for multiple Lots.   </w:t>
      </w:r>
    </w:p>
    <w:p w:rsidR="00C417B6" w:rsidRDefault="00AE0546" w:rsidP="00832F75">
      <w:pPr>
        <w:rPr>
          <w:rFonts w:cstheme="minorHAnsi"/>
          <w:szCs w:val="24"/>
        </w:rPr>
      </w:pPr>
      <w:r>
        <w:rPr>
          <w:rFonts w:cstheme="minorHAnsi"/>
          <w:szCs w:val="24"/>
        </w:rPr>
        <w:t>The nature of the New Forest is such that each of</w:t>
      </w:r>
      <w:r w:rsidR="00AC6F5C">
        <w:rPr>
          <w:rFonts w:cstheme="minorHAnsi"/>
          <w:szCs w:val="24"/>
        </w:rPr>
        <w:t xml:space="preserve"> the tasks above will often</w:t>
      </w:r>
      <w:r>
        <w:rPr>
          <w:rFonts w:cstheme="minorHAnsi"/>
          <w:szCs w:val="24"/>
        </w:rPr>
        <w:t xml:space="preserve"> require sensitivity during access to and from the associated sites, due to the wildlife conservation aspect of the work. </w:t>
      </w:r>
      <w:r w:rsidR="00122437">
        <w:rPr>
          <w:rFonts w:cstheme="minorHAnsi"/>
          <w:szCs w:val="24"/>
        </w:rPr>
        <w:t xml:space="preserve">Suppliers should also note that many of the activities listed above may involve volunteers and landowner participation.  </w:t>
      </w:r>
    </w:p>
    <w:p w:rsidR="00521F29" w:rsidRDefault="006731EA" w:rsidP="00832F75">
      <w:pPr>
        <w:rPr>
          <w:rFonts w:cstheme="minorHAnsi"/>
          <w:szCs w:val="24"/>
        </w:rPr>
      </w:pPr>
      <w:r w:rsidRPr="006731EA">
        <w:rPr>
          <w:rFonts w:cstheme="minorHAnsi"/>
          <w:szCs w:val="24"/>
        </w:rPr>
        <w:t>This Framework Ag</w:t>
      </w:r>
      <w:r w:rsidR="006C7F49">
        <w:rPr>
          <w:rFonts w:cstheme="minorHAnsi"/>
          <w:szCs w:val="24"/>
        </w:rPr>
        <w:t>reement will initially cover three</w:t>
      </w:r>
      <w:r w:rsidRPr="006731EA">
        <w:rPr>
          <w:rFonts w:cstheme="minorHAnsi"/>
          <w:szCs w:val="24"/>
        </w:rPr>
        <w:t xml:space="preserve"> year</w:t>
      </w:r>
      <w:r w:rsidR="006C7F49">
        <w:rPr>
          <w:rFonts w:cstheme="minorHAnsi"/>
          <w:szCs w:val="24"/>
        </w:rPr>
        <w:t>s</w:t>
      </w:r>
      <w:r w:rsidRPr="006731EA">
        <w:rPr>
          <w:rFonts w:cstheme="minorHAnsi"/>
          <w:szCs w:val="24"/>
        </w:rPr>
        <w:t xml:space="preserve">, with the option for the Authority (in agreement with the </w:t>
      </w:r>
      <w:r w:rsidR="006C7F49">
        <w:rPr>
          <w:rFonts w:cstheme="minorHAnsi"/>
          <w:szCs w:val="24"/>
        </w:rPr>
        <w:t>successful suppliers) to extend for a further</w:t>
      </w:r>
      <w:r w:rsidR="00F2185C">
        <w:rPr>
          <w:rFonts w:cstheme="minorHAnsi"/>
          <w:szCs w:val="24"/>
        </w:rPr>
        <w:t xml:space="preserve"> one</w:t>
      </w:r>
      <w:r w:rsidR="00451105">
        <w:rPr>
          <w:rFonts w:cstheme="minorHAnsi"/>
          <w:szCs w:val="24"/>
        </w:rPr>
        <w:t xml:space="preserve"> year</w:t>
      </w:r>
      <w:r w:rsidR="00785284">
        <w:rPr>
          <w:rFonts w:cstheme="minorHAnsi"/>
          <w:szCs w:val="24"/>
        </w:rPr>
        <w:t>. There will be formal reviews with each supplier on an annual basis to assess the performance aspects of the contract. Those suppliers who have not reached the desired level of service may be removed from the Framework Agreement at the discretion of the NPNPA or its partners.</w:t>
      </w:r>
    </w:p>
    <w:p w:rsidR="00DF100C" w:rsidRDefault="00AA43CC" w:rsidP="00832F75">
      <w:pPr>
        <w:rPr>
          <w:rFonts w:cstheme="minorHAnsi"/>
          <w:szCs w:val="24"/>
        </w:rPr>
      </w:pPr>
      <w:r>
        <w:rPr>
          <w:rFonts w:cstheme="minorHAnsi"/>
          <w:szCs w:val="24"/>
        </w:rPr>
        <w:t>The maximum contract value over the life of t</w:t>
      </w:r>
      <w:r w:rsidR="00BA5DFF">
        <w:rPr>
          <w:rFonts w:cstheme="minorHAnsi"/>
          <w:szCs w:val="24"/>
        </w:rPr>
        <w:t>he contract will be circa £</w:t>
      </w:r>
      <w:r w:rsidR="000A518B">
        <w:rPr>
          <w:rFonts w:cstheme="minorHAnsi"/>
          <w:szCs w:val="24"/>
        </w:rPr>
        <w:t>83</w:t>
      </w:r>
      <w:r w:rsidR="005A583E">
        <w:rPr>
          <w:rFonts w:cstheme="minorHAnsi"/>
          <w:szCs w:val="24"/>
        </w:rPr>
        <w:t>,000</w:t>
      </w:r>
      <w:r w:rsidR="00DF100C">
        <w:rPr>
          <w:rFonts w:cstheme="minorHAnsi"/>
          <w:szCs w:val="24"/>
        </w:rPr>
        <w:t xml:space="preserve"> and an indication of the value of each L</w:t>
      </w:r>
      <w:r w:rsidR="00DA7301">
        <w:rPr>
          <w:rFonts w:cstheme="minorHAnsi"/>
          <w:szCs w:val="24"/>
        </w:rPr>
        <w:t xml:space="preserve">ot is provided in the document </w:t>
      </w:r>
      <w:r w:rsidR="00DF100C">
        <w:rPr>
          <w:rFonts w:cstheme="minorHAnsi"/>
          <w:szCs w:val="24"/>
        </w:rPr>
        <w:t>below,</w:t>
      </w:r>
      <w:r>
        <w:rPr>
          <w:rFonts w:cstheme="minorHAnsi"/>
          <w:szCs w:val="24"/>
        </w:rPr>
        <w:t xml:space="preserve"> though successful contractors </w:t>
      </w:r>
      <w:r w:rsidR="00DF100C">
        <w:rPr>
          <w:rFonts w:cstheme="minorHAnsi"/>
          <w:szCs w:val="24"/>
        </w:rPr>
        <w:t xml:space="preserve">should note that they </w:t>
      </w:r>
      <w:r>
        <w:rPr>
          <w:rFonts w:cstheme="minorHAnsi"/>
          <w:szCs w:val="24"/>
        </w:rPr>
        <w:t xml:space="preserve">are </w:t>
      </w:r>
      <w:r w:rsidRPr="00AA43CC">
        <w:rPr>
          <w:rFonts w:cstheme="minorHAnsi"/>
          <w:b/>
          <w:szCs w:val="24"/>
        </w:rPr>
        <w:t>not</w:t>
      </w:r>
      <w:r>
        <w:rPr>
          <w:rFonts w:cstheme="minorHAnsi"/>
          <w:szCs w:val="24"/>
        </w:rPr>
        <w:t xml:space="preserve"> guaranteed </w:t>
      </w:r>
      <w:r w:rsidR="00B756AA">
        <w:rPr>
          <w:rFonts w:cstheme="minorHAnsi"/>
          <w:szCs w:val="24"/>
        </w:rPr>
        <w:t xml:space="preserve">a share of </w:t>
      </w:r>
      <w:r>
        <w:rPr>
          <w:rFonts w:cstheme="minorHAnsi"/>
          <w:szCs w:val="24"/>
        </w:rPr>
        <w:t xml:space="preserve">this or any </w:t>
      </w:r>
      <w:r w:rsidR="007A1EF9">
        <w:rPr>
          <w:rFonts w:cstheme="minorHAnsi"/>
          <w:szCs w:val="24"/>
        </w:rPr>
        <w:t xml:space="preserve">other figure. </w:t>
      </w:r>
    </w:p>
    <w:bookmarkStart w:id="0" w:name="_MON_1516433920"/>
    <w:bookmarkEnd w:id="0"/>
    <w:p w:rsidR="00DF100C" w:rsidRDefault="00896968" w:rsidP="00832F75">
      <w:pPr>
        <w:rPr>
          <w:rFonts w:cstheme="minorHAnsi"/>
          <w:szCs w:val="24"/>
        </w:rPr>
      </w:pPr>
      <w:r>
        <w:rPr>
          <w:rFonts w:cstheme="minorHAnsi"/>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3" o:title=""/>
          </v:shape>
          <o:OLEObject Type="Embed" ProgID="Excel.Sheet.12" ShapeID="_x0000_i1025" DrawAspect="Icon" ObjectID="_1519799406" r:id="rId14"/>
        </w:object>
      </w:r>
    </w:p>
    <w:p w:rsidR="001F7102" w:rsidRPr="006731EA" w:rsidRDefault="001F7102" w:rsidP="00832F75">
      <w:pPr>
        <w:rPr>
          <w:rFonts w:cstheme="minorHAnsi"/>
          <w:szCs w:val="24"/>
        </w:rPr>
      </w:pPr>
      <w:r w:rsidRPr="003F0F8D">
        <w:rPr>
          <w:rFonts w:cstheme="minorHAnsi"/>
          <w:szCs w:val="24"/>
        </w:rPr>
        <w:t xml:space="preserve">Given the nature of these requirements over the life of the Project, it should also be noted that this Framework Agreement will </w:t>
      </w:r>
      <w:r w:rsidRPr="003F0F8D">
        <w:rPr>
          <w:rFonts w:cstheme="minorHAnsi"/>
          <w:b/>
          <w:szCs w:val="24"/>
        </w:rPr>
        <w:t>not</w:t>
      </w:r>
      <w:r w:rsidRPr="003F0F8D">
        <w:rPr>
          <w:rFonts w:cstheme="minorHAnsi"/>
          <w:szCs w:val="24"/>
        </w:rPr>
        <w:t xml:space="preserve"> preclude the NFNPA or </w:t>
      </w:r>
      <w:r w:rsidR="00A10662" w:rsidRPr="003F0F8D">
        <w:rPr>
          <w:rFonts w:cstheme="minorHAnsi"/>
          <w:szCs w:val="24"/>
        </w:rPr>
        <w:t>its</w:t>
      </w:r>
      <w:r w:rsidRPr="003F0F8D">
        <w:rPr>
          <w:rFonts w:cstheme="minorHAnsi"/>
          <w:szCs w:val="24"/>
        </w:rPr>
        <w:t xml:space="preserve"> partners from using other suppliers for services</w:t>
      </w:r>
      <w:r w:rsidR="0072059D">
        <w:rPr>
          <w:rFonts w:cstheme="minorHAnsi"/>
          <w:szCs w:val="24"/>
        </w:rPr>
        <w:t xml:space="preserve"> (either directly or via other quotes/tenders)</w:t>
      </w:r>
      <w:r w:rsidRPr="003F0F8D">
        <w:rPr>
          <w:rFonts w:cstheme="minorHAnsi"/>
          <w:szCs w:val="24"/>
        </w:rPr>
        <w:t xml:space="preserve"> included within this scope.</w:t>
      </w:r>
      <w:r>
        <w:rPr>
          <w:rFonts w:cstheme="minorHAnsi"/>
          <w:szCs w:val="24"/>
        </w:rPr>
        <w:t xml:space="preserve"> </w:t>
      </w:r>
    </w:p>
    <w:p w:rsidR="007A1EF9" w:rsidRPr="0047059B" w:rsidRDefault="005C6EAD" w:rsidP="00832F75">
      <w:pPr>
        <w:rPr>
          <w:rFonts w:cstheme="minorHAnsi"/>
          <w:color w:val="FF0000"/>
          <w:szCs w:val="24"/>
        </w:rPr>
      </w:pPr>
      <w:r>
        <w:rPr>
          <w:rFonts w:cstheme="minorHAnsi"/>
          <w:szCs w:val="24"/>
        </w:rPr>
        <w:t>The OPOF</w:t>
      </w:r>
      <w:r w:rsidR="006731EA" w:rsidRPr="006731EA">
        <w:rPr>
          <w:rFonts w:cstheme="minorHAnsi"/>
          <w:szCs w:val="24"/>
        </w:rPr>
        <w:t xml:space="preserve"> programme is such that the successful contractor will be expected to respond to our requirements at short notice, with the </w:t>
      </w:r>
      <w:r w:rsidR="00692965">
        <w:rPr>
          <w:rFonts w:cstheme="minorHAnsi"/>
          <w:szCs w:val="24"/>
        </w:rPr>
        <w:t>autumn/winter</w:t>
      </w:r>
      <w:r w:rsidR="006731EA" w:rsidRPr="006731EA">
        <w:rPr>
          <w:rFonts w:cstheme="minorHAnsi"/>
          <w:szCs w:val="24"/>
        </w:rPr>
        <w:t xml:space="preserve"> period being particularly work-intensive. </w:t>
      </w:r>
    </w:p>
    <w:p w:rsidR="006731EA" w:rsidRPr="006731EA" w:rsidRDefault="007C5B14" w:rsidP="00832F75">
      <w:pPr>
        <w:rPr>
          <w:rFonts w:cstheme="minorHAnsi"/>
          <w:szCs w:val="24"/>
        </w:rPr>
      </w:pPr>
      <w:r>
        <w:rPr>
          <w:rFonts w:cstheme="minorHAnsi"/>
          <w:szCs w:val="24"/>
        </w:rPr>
        <w:t>The Terms and Conditions of C</w:t>
      </w:r>
      <w:r w:rsidR="006731EA" w:rsidRPr="006731EA">
        <w:rPr>
          <w:rFonts w:cstheme="minorHAnsi"/>
          <w:szCs w:val="24"/>
        </w:rPr>
        <w:t xml:space="preserve">ontract will be based on the Authority’s </w:t>
      </w:r>
      <w:r w:rsidR="00A8387D" w:rsidRPr="00A8387D">
        <w:rPr>
          <w:rFonts w:cstheme="minorHAnsi"/>
          <w:szCs w:val="24"/>
        </w:rPr>
        <w:t>General St</w:t>
      </w:r>
      <w:r w:rsidR="00A8387D">
        <w:rPr>
          <w:rFonts w:cstheme="minorHAnsi"/>
          <w:szCs w:val="24"/>
        </w:rPr>
        <w:t>an</w:t>
      </w:r>
      <w:r w:rsidR="00AC48A8">
        <w:rPr>
          <w:rFonts w:cstheme="minorHAnsi"/>
          <w:szCs w:val="24"/>
        </w:rPr>
        <w:t>dard Conditions of Contract</w:t>
      </w:r>
      <w:r w:rsidR="006731EA" w:rsidRPr="006731EA">
        <w:rPr>
          <w:rFonts w:cstheme="minorHAnsi"/>
          <w:szCs w:val="24"/>
        </w:rPr>
        <w:t>, a copy of which can be found below:</w:t>
      </w:r>
    </w:p>
    <w:bookmarkStart w:id="1" w:name="_MON_1514267188"/>
    <w:bookmarkEnd w:id="1"/>
    <w:p w:rsidR="006731EA" w:rsidRPr="006731EA" w:rsidRDefault="00AC48A8" w:rsidP="00A8387D">
      <w:pPr>
        <w:rPr>
          <w:rFonts w:cstheme="minorHAnsi"/>
          <w:szCs w:val="24"/>
        </w:rPr>
      </w:pPr>
      <w:r>
        <w:rPr>
          <w:rFonts w:cstheme="minorHAnsi"/>
          <w:szCs w:val="24"/>
        </w:rPr>
        <w:object w:dxaOrig="1551" w:dyaOrig="991">
          <v:shape id="_x0000_i1026" type="#_x0000_t75" style="width:77.45pt;height:49.6pt" o:ole="">
            <v:imagedata r:id="rId15" o:title=""/>
          </v:shape>
          <o:OLEObject Type="Embed" ProgID="Word.Document.8" ShapeID="_x0000_i1026" DrawAspect="Icon" ObjectID="_1519799407" r:id="rId16">
            <o:FieldCodes>\s</o:FieldCodes>
          </o:OLEObject>
        </w:object>
      </w:r>
      <w:r w:rsidR="006731EA" w:rsidRPr="006731EA">
        <w:rPr>
          <w:rFonts w:cstheme="minorHAnsi"/>
          <w:szCs w:val="24"/>
        </w:rPr>
        <w:tab/>
      </w:r>
    </w:p>
    <w:p w:rsidR="006731EA" w:rsidRDefault="006731EA" w:rsidP="00832F75">
      <w:pPr>
        <w:rPr>
          <w:rFonts w:cstheme="minorHAnsi"/>
          <w:szCs w:val="24"/>
        </w:rPr>
      </w:pPr>
      <w:r w:rsidRPr="006731EA">
        <w:rPr>
          <w:rFonts w:cstheme="minorHAnsi"/>
          <w:szCs w:val="24"/>
        </w:rPr>
        <w:t>The Authority reserves the right to withdraw this contract opportunity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rsidR="00C85114" w:rsidRDefault="00C85114" w:rsidP="00C85114">
      <w:pPr>
        <w:pStyle w:val="Heading2"/>
        <w:spacing w:line="240" w:lineRule="auto"/>
        <w:rPr>
          <w:rFonts w:asciiTheme="minorHAnsi" w:eastAsiaTheme="minorHAnsi" w:hAnsiTheme="minorHAnsi" w:cstheme="minorHAnsi"/>
          <w:b w:val="0"/>
          <w:bCs w:val="0"/>
          <w:color w:val="000000" w:themeColor="text1"/>
          <w:sz w:val="24"/>
          <w:szCs w:val="24"/>
        </w:rPr>
      </w:pPr>
    </w:p>
    <w:p w:rsidR="00C85114" w:rsidRPr="00C54BFB" w:rsidRDefault="00C85114" w:rsidP="00C85114">
      <w:pPr>
        <w:pStyle w:val="Heading2"/>
        <w:numPr>
          <w:ilvl w:val="0"/>
          <w:numId w:val="12"/>
        </w:numPr>
        <w:spacing w:line="240" w:lineRule="auto"/>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Call-off arrangements</w:t>
      </w:r>
    </w:p>
    <w:p w:rsidR="00C85114" w:rsidRDefault="00C85114" w:rsidP="00832F75">
      <w:pPr>
        <w:rPr>
          <w:rFonts w:cstheme="minorHAnsi"/>
          <w:color w:val="000000" w:themeColor="text1"/>
          <w:szCs w:val="24"/>
        </w:rPr>
      </w:pPr>
    </w:p>
    <w:p w:rsidR="00BE55BA" w:rsidRDefault="00C85114" w:rsidP="00832F75">
      <w:pPr>
        <w:rPr>
          <w:rFonts w:cstheme="minorHAnsi"/>
          <w:color w:val="000000" w:themeColor="text1"/>
          <w:szCs w:val="24"/>
        </w:rPr>
      </w:pPr>
      <w:r>
        <w:rPr>
          <w:rFonts w:cstheme="minorHAnsi"/>
          <w:color w:val="000000" w:themeColor="text1"/>
          <w:szCs w:val="24"/>
        </w:rPr>
        <w:t>The call-off arrangements for this Framework Agreement</w:t>
      </w:r>
      <w:r w:rsidR="00BE55BA">
        <w:rPr>
          <w:rFonts w:cstheme="minorHAnsi"/>
          <w:color w:val="000000" w:themeColor="text1"/>
          <w:szCs w:val="24"/>
        </w:rPr>
        <w:t xml:space="preserve"> will, in the first instance, take the form of a mini-competition.  </w:t>
      </w:r>
    </w:p>
    <w:p w:rsidR="0014395A" w:rsidRDefault="006255B7" w:rsidP="00832F75">
      <w:pPr>
        <w:rPr>
          <w:rFonts w:cstheme="minorHAnsi"/>
          <w:color w:val="000000" w:themeColor="text1"/>
          <w:szCs w:val="24"/>
        </w:rPr>
      </w:pPr>
      <w:r>
        <w:rPr>
          <w:rFonts w:cstheme="minorHAnsi"/>
          <w:color w:val="000000" w:themeColor="text1"/>
          <w:szCs w:val="24"/>
        </w:rPr>
        <w:t>E</w:t>
      </w:r>
      <w:r w:rsidR="006567A4">
        <w:rPr>
          <w:rFonts w:cstheme="minorHAnsi"/>
          <w:color w:val="000000" w:themeColor="text1"/>
          <w:szCs w:val="24"/>
        </w:rPr>
        <w:t xml:space="preserve">ach </w:t>
      </w:r>
      <w:r w:rsidR="000E31ED">
        <w:rPr>
          <w:rFonts w:cstheme="minorHAnsi"/>
          <w:color w:val="000000" w:themeColor="text1"/>
          <w:szCs w:val="24"/>
        </w:rPr>
        <w:t>supplier</w:t>
      </w:r>
      <w:r w:rsidR="006567A4">
        <w:rPr>
          <w:rFonts w:cstheme="minorHAnsi"/>
          <w:color w:val="000000" w:themeColor="text1"/>
          <w:szCs w:val="24"/>
        </w:rPr>
        <w:t xml:space="preserve"> that is party to that relevant Lot of the Framework will be sent a Request For Quote (RFQ). This RFQ will, in most instances, be sent </w:t>
      </w:r>
      <w:r>
        <w:rPr>
          <w:rFonts w:cstheme="minorHAnsi"/>
          <w:color w:val="000000" w:themeColor="text1"/>
          <w:szCs w:val="24"/>
        </w:rPr>
        <w:t>via electronic means</w:t>
      </w:r>
      <w:r w:rsidR="006567A4">
        <w:rPr>
          <w:rFonts w:cstheme="minorHAnsi"/>
          <w:color w:val="000000" w:themeColor="text1"/>
          <w:szCs w:val="24"/>
        </w:rPr>
        <w:t xml:space="preserve"> to all Framework members at the same time. </w:t>
      </w:r>
    </w:p>
    <w:p w:rsidR="006567A4" w:rsidRDefault="006255B7" w:rsidP="00832F75">
      <w:pPr>
        <w:rPr>
          <w:rFonts w:cstheme="minorHAnsi"/>
          <w:color w:val="000000" w:themeColor="text1"/>
          <w:szCs w:val="24"/>
        </w:rPr>
      </w:pPr>
      <w:r>
        <w:rPr>
          <w:rFonts w:cstheme="minorHAnsi"/>
          <w:color w:val="000000" w:themeColor="text1"/>
          <w:szCs w:val="24"/>
        </w:rPr>
        <w:t>The RFQ will include a full</w:t>
      </w:r>
      <w:r w:rsidR="006567A4">
        <w:rPr>
          <w:rFonts w:cstheme="minorHAnsi"/>
          <w:color w:val="000000" w:themeColor="text1"/>
          <w:szCs w:val="24"/>
        </w:rPr>
        <w:t xml:space="preserve"> description of the </w:t>
      </w:r>
      <w:r>
        <w:rPr>
          <w:rFonts w:cstheme="minorHAnsi"/>
          <w:color w:val="000000" w:themeColor="text1"/>
          <w:szCs w:val="24"/>
        </w:rPr>
        <w:t>work</w:t>
      </w:r>
      <w:r w:rsidR="006567A4">
        <w:rPr>
          <w:rFonts w:cstheme="minorHAnsi"/>
          <w:color w:val="000000" w:themeColor="text1"/>
          <w:szCs w:val="24"/>
        </w:rPr>
        <w:t xml:space="preserve"> r</w:t>
      </w:r>
      <w:r>
        <w:rPr>
          <w:rFonts w:cstheme="minorHAnsi"/>
          <w:color w:val="000000" w:themeColor="text1"/>
          <w:szCs w:val="24"/>
        </w:rPr>
        <w:t xml:space="preserve">equired, the timescale it </w:t>
      </w:r>
      <w:r w:rsidR="006567A4">
        <w:rPr>
          <w:rFonts w:cstheme="minorHAnsi"/>
          <w:color w:val="000000" w:themeColor="text1"/>
          <w:szCs w:val="24"/>
        </w:rPr>
        <w:t xml:space="preserve">needs to be completed in and the deadline for responses. </w:t>
      </w:r>
      <w:r w:rsidR="000E31ED">
        <w:rPr>
          <w:rFonts w:cstheme="minorHAnsi"/>
          <w:color w:val="000000" w:themeColor="text1"/>
          <w:szCs w:val="24"/>
        </w:rPr>
        <w:t xml:space="preserve">Please note that in certain circumstances the services will be required expediently and thus the response deadline may be short. </w:t>
      </w:r>
    </w:p>
    <w:p w:rsidR="006567A4" w:rsidRDefault="006567A4" w:rsidP="00832F75">
      <w:pPr>
        <w:rPr>
          <w:rFonts w:cstheme="minorHAnsi"/>
          <w:color w:val="000000" w:themeColor="text1"/>
          <w:szCs w:val="24"/>
        </w:rPr>
      </w:pPr>
      <w:r>
        <w:rPr>
          <w:rFonts w:cstheme="minorHAnsi"/>
          <w:color w:val="000000" w:themeColor="text1"/>
          <w:szCs w:val="24"/>
        </w:rPr>
        <w:t xml:space="preserve">The work will then be allocated on the basis of overall cost of the job, the ability of the contractor to complete the tasks within the timescale set and the contractor possessing the requisite skills and resources for the work. Should the most economically advantageous contractor be unable to complete the work within the prescribed terms above, then the work will be allocated to the next most competitive contractor in that particular Lot. </w:t>
      </w:r>
    </w:p>
    <w:p w:rsidR="006731EA" w:rsidRDefault="006567A4" w:rsidP="006731EA">
      <w:pPr>
        <w:rPr>
          <w:rFonts w:cstheme="minorHAnsi"/>
          <w:color w:val="000000" w:themeColor="text1"/>
          <w:szCs w:val="24"/>
        </w:rPr>
      </w:pPr>
      <w:r>
        <w:rPr>
          <w:rFonts w:cstheme="minorHAnsi"/>
          <w:color w:val="000000" w:themeColor="text1"/>
          <w:szCs w:val="24"/>
        </w:rPr>
        <w:t xml:space="preserve">The NFNPA and its partners reserve the right to contract suppliers not listed under any particular Lot </w:t>
      </w:r>
      <w:r w:rsidR="000E31ED">
        <w:rPr>
          <w:rFonts w:cstheme="minorHAnsi"/>
          <w:color w:val="000000" w:themeColor="text1"/>
          <w:szCs w:val="24"/>
        </w:rPr>
        <w:t xml:space="preserve">should there be no suitable </w:t>
      </w:r>
      <w:r w:rsidR="00C250E9">
        <w:rPr>
          <w:rFonts w:cstheme="minorHAnsi"/>
          <w:color w:val="000000" w:themeColor="text1"/>
          <w:szCs w:val="24"/>
        </w:rPr>
        <w:t xml:space="preserve">framework </w:t>
      </w:r>
      <w:r w:rsidR="000E31ED">
        <w:rPr>
          <w:rFonts w:cstheme="minorHAnsi"/>
          <w:color w:val="000000" w:themeColor="text1"/>
          <w:szCs w:val="24"/>
        </w:rPr>
        <w:t>sup</w:t>
      </w:r>
      <w:r w:rsidR="00C250E9">
        <w:rPr>
          <w:rFonts w:cstheme="minorHAnsi"/>
          <w:color w:val="000000" w:themeColor="text1"/>
          <w:szCs w:val="24"/>
        </w:rPr>
        <w:t>plier available to undertake the</w:t>
      </w:r>
      <w:r w:rsidR="00432E1A">
        <w:rPr>
          <w:rFonts w:cstheme="minorHAnsi"/>
          <w:color w:val="000000" w:themeColor="text1"/>
          <w:szCs w:val="24"/>
        </w:rPr>
        <w:t xml:space="preserve"> </w:t>
      </w:r>
      <w:r w:rsidR="000E31ED">
        <w:rPr>
          <w:rFonts w:cstheme="minorHAnsi"/>
          <w:color w:val="000000" w:themeColor="text1"/>
          <w:szCs w:val="24"/>
        </w:rPr>
        <w:t xml:space="preserve">services required. </w:t>
      </w:r>
    </w:p>
    <w:p w:rsidR="00B11378" w:rsidRPr="00C54BFB" w:rsidRDefault="00B11378" w:rsidP="006731EA">
      <w:pPr>
        <w:rPr>
          <w:rFonts w:cstheme="minorHAnsi"/>
          <w:color w:val="000000" w:themeColor="text1"/>
          <w:szCs w:val="24"/>
        </w:rPr>
      </w:pPr>
    </w:p>
    <w:p w:rsidR="0014395A" w:rsidRPr="00C54BFB" w:rsidRDefault="0014395A" w:rsidP="00C85114">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t xml:space="preserve">Evaluation of </w:t>
      </w:r>
      <w:r w:rsidR="0072059D">
        <w:rPr>
          <w:rFonts w:asciiTheme="minorHAnsi" w:hAnsiTheme="minorHAnsi" w:cstheme="minorHAnsi"/>
          <w:color w:val="000000" w:themeColor="text1"/>
          <w:sz w:val="28"/>
          <w:szCs w:val="28"/>
        </w:rPr>
        <w:t xml:space="preserve">Lot </w:t>
      </w:r>
      <w:r w:rsidRPr="00C54BFB">
        <w:rPr>
          <w:rFonts w:asciiTheme="minorHAnsi" w:hAnsiTheme="minorHAnsi" w:cstheme="minorHAnsi"/>
          <w:color w:val="000000" w:themeColor="text1"/>
          <w:sz w:val="28"/>
          <w:szCs w:val="28"/>
        </w:rPr>
        <w:t>Tenders</w:t>
      </w:r>
    </w:p>
    <w:p w:rsidR="006731EA" w:rsidRPr="006731EA" w:rsidRDefault="006731EA" w:rsidP="006731EA">
      <w:pPr>
        <w:rPr>
          <w:rFonts w:cstheme="minorHAnsi"/>
          <w:szCs w:val="24"/>
        </w:rPr>
      </w:pPr>
    </w:p>
    <w:p w:rsidR="005B2221" w:rsidRDefault="006731EA" w:rsidP="00832F75">
      <w:pPr>
        <w:rPr>
          <w:rFonts w:cstheme="minorHAnsi"/>
          <w:szCs w:val="24"/>
        </w:rPr>
      </w:pPr>
      <w:r w:rsidRPr="006731EA">
        <w:rPr>
          <w:rFonts w:cstheme="minorHAnsi"/>
          <w:szCs w:val="24"/>
        </w:rPr>
        <w:t xml:space="preserve">Suppliers must complete, in full, the Assessment Document which is attached below. </w:t>
      </w:r>
      <w:r w:rsidR="008F0203">
        <w:rPr>
          <w:rFonts w:cstheme="minorHAnsi"/>
          <w:szCs w:val="24"/>
        </w:rPr>
        <w:t xml:space="preserve"> Please state in part 2.14</w:t>
      </w:r>
      <w:r w:rsidR="005B2221">
        <w:rPr>
          <w:rFonts w:cstheme="minorHAnsi"/>
          <w:szCs w:val="24"/>
        </w:rPr>
        <w:t xml:space="preserve"> which Lot(s) </w:t>
      </w:r>
      <w:r w:rsidR="00BB556F">
        <w:rPr>
          <w:rFonts w:cstheme="minorHAnsi"/>
          <w:szCs w:val="24"/>
        </w:rPr>
        <w:t xml:space="preserve">you wish to be considered for. </w:t>
      </w:r>
      <w:r w:rsidR="005B2221">
        <w:rPr>
          <w:rFonts w:cstheme="minorHAnsi"/>
          <w:szCs w:val="24"/>
        </w:rPr>
        <w:t xml:space="preserve">If applying for multiple </w:t>
      </w:r>
      <w:r w:rsidR="00887294">
        <w:rPr>
          <w:rFonts w:cstheme="minorHAnsi"/>
          <w:szCs w:val="24"/>
        </w:rPr>
        <w:t>Lots,</w:t>
      </w:r>
      <w:r w:rsidR="005B2221">
        <w:rPr>
          <w:rFonts w:cstheme="minorHAnsi"/>
          <w:szCs w:val="24"/>
        </w:rPr>
        <w:t xml:space="preserve"> please just complete the form once but ensure you give enough information throughout about your costs and experience in each individual area to allow appropriate evaluation of that </w:t>
      </w:r>
      <w:r w:rsidR="009314F8">
        <w:rPr>
          <w:rFonts w:cstheme="minorHAnsi"/>
          <w:szCs w:val="24"/>
        </w:rPr>
        <w:t>Lot</w:t>
      </w:r>
      <w:r w:rsidR="005B2221">
        <w:rPr>
          <w:rFonts w:cstheme="minorHAnsi"/>
          <w:szCs w:val="24"/>
        </w:rPr>
        <w:t xml:space="preserve"> exclusively.  </w:t>
      </w:r>
    </w:p>
    <w:p w:rsidR="006731EA" w:rsidRPr="006731EA" w:rsidRDefault="006731EA" w:rsidP="00832F75">
      <w:pPr>
        <w:rPr>
          <w:rFonts w:cstheme="minorHAnsi"/>
          <w:szCs w:val="24"/>
        </w:rPr>
      </w:pPr>
      <w:r w:rsidRPr="006731EA">
        <w:rPr>
          <w:rFonts w:cstheme="minorHAnsi"/>
          <w:szCs w:val="24"/>
        </w:rPr>
        <w:lastRenderedPageBreak/>
        <w:t>This will be scored by an evaluation team consisting of at least three Authority staff. It is envisaged that this scoring and evaluation exe</w:t>
      </w:r>
      <w:r w:rsidR="00B431F4">
        <w:rPr>
          <w:rFonts w:cstheme="minorHAnsi"/>
          <w:szCs w:val="24"/>
        </w:rPr>
        <w:t>rcise will take no longer than 5</w:t>
      </w:r>
      <w:r w:rsidR="005065E5">
        <w:rPr>
          <w:rFonts w:cstheme="minorHAnsi"/>
          <w:szCs w:val="24"/>
        </w:rPr>
        <w:t xml:space="preserve"> working days after the Invitation to Tender (ITT)</w:t>
      </w:r>
      <w:r w:rsidR="00B431F4">
        <w:rPr>
          <w:rFonts w:cstheme="minorHAnsi"/>
          <w:szCs w:val="24"/>
        </w:rPr>
        <w:t xml:space="preserve"> stage deadline, which is noon 22 April 2016. </w:t>
      </w:r>
    </w:p>
    <w:p w:rsidR="006731EA" w:rsidRPr="006731EA" w:rsidRDefault="006731EA" w:rsidP="00832F75">
      <w:pPr>
        <w:jc w:val="both"/>
        <w:rPr>
          <w:rFonts w:cstheme="minorHAnsi"/>
          <w:szCs w:val="24"/>
        </w:rPr>
      </w:pPr>
      <w:r w:rsidRPr="006731EA">
        <w:rPr>
          <w:rFonts w:cstheme="minorHAnsi"/>
          <w:szCs w:val="24"/>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rsidR="006731EA" w:rsidRPr="006731EA" w:rsidRDefault="006731EA" w:rsidP="00EC467C">
      <w:pPr>
        <w:jc w:val="both"/>
        <w:rPr>
          <w:rFonts w:cstheme="minorHAnsi"/>
          <w:szCs w:val="24"/>
        </w:rPr>
      </w:pPr>
      <w:r w:rsidRPr="006731EA">
        <w:rPr>
          <w:rFonts w:cstheme="minorHAnsi"/>
          <w:szCs w:val="24"/>
        </w:rPr>
        <w:t xml:space="preserve">Please answer all questions as accurately and concisely as possible in the same order as the questions are presented. Where a question is not relevant to your organisation, this should be indicated, with an explanation.  </w:t>
      </w:r>
    </w:p>
    <w:p w:rsidR="006731EA" w:rsidRPr="006731EA" w:rsidRDefault="006731EA" w:rsidP="00832F75">
      <w:pPr>
        <w:jc w:val="both"/>
        <w:rPr>
          <w:rFonts w:cstheme="minorHAnsi"/>
          <w:b/>
          <w:szCs w:val="24"/>
        </w:rPr>
      </w:pPr>
      <w:r w:rsidRPr="006731EA">
        <w:rPr>
          <w:rFonts w:cstheme="minorHAnsi"/>
          <w:b/>
          <w:i/>
          <w:szCs w:val="24"/>
        </w:rPr>
        <w:t>Completeness and further information</w:t>
      </w:r>
    </w:p>
    <w:p w:rsidR="006731EA" w:rsidRPr="006731EA" w:rsidRDefault="006731EA" w:rsidP="00832F75">
      <w:pPr>
        <w:jc w:val="both"/>
        <w:rPr>
          <w:rFonts w:cstheme="minorHAnsi"/>
          <w:szCs w:val="24"/>
        </w:rPr>
      </w:pPr>
      <w:r w:rsidRPr="006731EA">
        <w:rPr>
          <w:rFonts w:cstheme="minorHAnsi"/>
          <w:szCs w:val="24"/>
        </w:rPr>
        <w:t xml:space="preserve">The information supplied will be checked for completeness and compliance with the instructions before responses are evaluated. </w:t>
      </w:r>
    </w:p>
    <w:p w:rsidR="006731EA" w:rsidRPr="006731EA" w:rsidRDefault="006731EA" w:rsidP="00832F75">
      <w:pPr>
        <w:jc w:val="both"/>
        <w:rPr>
          <w:rFonts w:cstheme="minorHAnsi"/>
          <w:szCs w:val="24"/>
        </w:rPr>
      </w:pPr>
      <w:r w:rsidRPr="006731EA">
        <w:rPr>
          <w:rFonts w:cstheme="minorHAnsi"/>
          <w:szCs w:val="24"/>
        </w:rPr>
        <w:t>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the Authority reserves the right to terminate the procurement and where appropriate re-advertise the procurement.</w:t>
      </w:r>
    </w:p>
    <w:p w:rsidR="006731EA" w:rsidRDefault="006731EA" w:rsidP="00832F75">
      <w:pPr>
        <w:jc w:val="both"/>
        <w:rPr>
          <w:rFonts w:cstheme="minorHAnsi"/>
          <w:szCs w:val="24"/>
        </w:rPr>
      </w:pPr>
      <w:r w:rsidRPr="006731EA">
        <w:rPr>
          <w:rFonts w:cstheme="minorHAnsi"/>
          <w:szCs w:val="24"/>
        </w:rPr>
        <w:t>You should be explicit and comprehensive in your responses to this ITT as this will be the single source of information on which respon</w:t>
      </w:r>
      <w:r w:rsidR="0026165B">
        <w:rPr>
          <w:rFonts w:cstheme="minorHAnsi"/>
          <w:szCs w:val="24"/>
        </w:rPr>
        <w:t xml:space="preserve">ses will be scored and ranked. </w:t>
      </w:r>
      <w:r w:rsidRPr="006731EA">
        <w:rPr>
          <w:rFonts w:cstheme="minorHAnsi"/>
          <w:szCs w:val="24"/>
        </w:rPr>
        <w:t xml:space="preserve">You are advised neither to make any assumptions about any past or current supplier relationships with the Authority nor to assume that such prior business relationships will be taken into account in the evaluation procedure. </w:t>
      </w:r>
    </w:p>
    <w:p w:rsidR="00FC3326" w:rsidRPr="00FC3326" w:rsidRDefault="00FC3326" w:rsidP="00FC3326">
      <w:pPr>
        <w:rPr>
          <w:rFonts w:cstheme="minorHAnsi"/>
          <w:szCs w:val="24"/>
        </w:rPr>
      </w:pPr>
      <w:r w:rsidRPr="00FC3326">
        <w:rPr>
          <w:rFonts w:cstheme="minorHAnsi"/>
          <w:szCs w:val="24"/>
        </w:rPr>
        <w:t xml:space="preserve">It should be noted that whilst some sections of the Assessment Document are not directly scored (e.g. </w:t>
      </w:r>
      <w:r>
        <w:rPr>
          <w:rFonts w:cstheme="minorHAnsi"/>
          <w:szCs w:val="24"/>
        </w:rPr>
        <w:t>Health and Safety</w:t>
      </w:r>
      <w:r w:rsidRPr="00FC3326">
        <w:rPr>
          <w:rFonts w:cstheme="minorHAnsi"/>
          <w:szCs w:val="24"/>
        </w:rPr>
        <w:t xml:space="preserve">), the Authority reserves the right to take into account supplier responses to these elements when evaluating and awarding the contract. </w:t>
      </w:r>
    </w:p>
    <w:p w:rsidR="006731EA" w:rsidRPr="006731EA" w:rsidRDefault="004C506D" w:rsidP="00832F75">
      <w:pPr>
        <w:jc w:val="both"/>
        <w:rPr>
          <w:rFonts w:cstheme="minorHAnsi"/>
          <w:szCs w:val="24"/>
        </w:rPr>
      </w:pPr>
      <w:r>
        <w:rPr>
          <w:rFonts w:asciiTheme="majorHAnsi" w:hAnsiTheme="majorHAnsi" w:cstheme="majorHAnsi"/>
          <w:szCs w:val="24"/>
        </w:rPr>
        <w:t>The ITT</w:t>
      </w:r>
      <w:r w:rsidRPr="002721D9">
        <w:rPr>
          <w:rFonts w:asciiTheme="majorHAnsi" w:hAnsiTheme="majorHAnsi" w:cstheme="majorHAnsi"/>
          <w:szCs w:val="24"/>
        </w:rPr>
        <w:t xml:space="preserve"> is provided on the same basis to all tenderers. Please note that to ensure fair and open competition, the responses to any questions raised by interested </w:t>
      </w:r>
      <w:r>
        <w:rPr>
          <w:rFonts w:asciiTheme="majorHAnsi" w:hAnsiTheme="majorHAnsi" w:cstheme="majorHAnsi"/>
          <w:szCs w:val="24"/>
        </w:rPr>
        <w:t>suppliers</w:t>
      </w:r>
      <w:r w:rsidRPr="002721D9">
        <w:rPr>
          <w:rFonts w:asciiTheme="majorHAnsi" w:hAnsiTheme="majorHAnsi" w:cstheme="majorHAnsi"/>
          <w:szCs w:val="24"/>
        </w:rPr>
        <w:t xml:space="preserve"> will be made available to all other </w:t>
      </w:r>
      <w:r>
        <w:rPr>
          <w:rFonts w:asciiTheme="majorHAnsi" w:hAnsiTheme="majorHAnsi" w:cstheme="majorHAnsi"/>
          <w:szCs w:val="24"/>
        </w:rPr>
        <w:t>suppliers</w:t>
      </w:r>
      <w:r w:rsidRPr="002721D9">
        <w:rPr>
          <w:rFonts w:asciiTheme="majorHAnsi" w:hAnsiTheme="majorHAnsi" w:cstheme="majorHAnsi"/>
          <w:szCs w:val="24"/>
        </w:rPr>
        <w:t xml:space="preserve"> </w:t>
      </w:r>
      <w:r>
        <w:rPr>
          <w:rFonts w:asciiTheme="majorHAnsi" w:hAnsiTheme="majorHAnsi" w:cstheme="majorHAnsi"/>
          <w:szCs w:val="24"/>
        </w:rPr>
        <w:t xml:space="preserve">where appropriate. Any such clarifications will be posted on our In-tend portal and you will receive email notification to make you aware of this. If you wish to be updated with any tender clarifications but do not wish to register on our In-tend portal, then you must formally request to receive such clarifications via email, </w:t>
      </w:r>
      <w:hyperlink r:id="rId17" w:history="1">
        <w:r w:rsidRPr="000335C1">
          <w:rPr>
            <w:rStyle w:val="Hyperlink"/>
            <w:rFonts w:asciiTheme="majorHAnsi" w:hAnsiTheme="majorHAnsi" w:cstheme="majorHAnsi"/>
            <w:szCs w:val="24"/>
          </w:rPr>
          <w:t>chris.pathmadeva@newforestnpa.gov.uk</w:t>
        </w:r>
      </w:hyperlink>
      <w:r>
        <w:rPr>
          <w:rFonts w:asciiTheme="majorHAnsi" w:hAnsiTheme="majorHAnsi" w:cstheme="majorHAnsi"/>
          <w:szCs w:val="24"/>
        </w:rPr>
        <w:t xml:space="preserve">. </w:t>
      </w:r>
      <w:r w:rsidR="006731EA" w:rsidRPr="006731EA">
        <w:rPr>
          <w:rFonts w:cstheme="minorHAnsi"/>
          <w:szCs w:val="24"/>
        </w:rPr>
        <w:t xml:space="preserve">The deadline for receipt of clarifications relating to the specification or any other part of this ITT is </w:t>
      </w:r>
      <w:r w:rsidR="00B431F4">
        <w:rPr>
          <w:rFonts w:cstheme="minorHAnsi"/>
          <w:szCs w:val="24"/>
        </w:rPr>
        <w:t>noon 15 April 2016.</w:t>
      </w:r>
      <w:r w:rsidR="006731EA" w:rsidRPr="006731EA">
        <w:rPr>
          <w:rFonts w:cstheme="minorHAnsi"/>
          <w:szCs w:val="24"/>
        </w:rPr>
        <w:t xml:space="preserve"> </w:t>
      </w:r>
      <w:bookmarkStart w:id="2" w:name="_GoBack"/>
      <w:bookmarkEnd w:id="2"/>
    </w:p>
    <w:p w:rsidR="006731EA" w:rsidRPr="006731EA" w:rsidRDefault="006731EA" w:rsidP="00832F75">
      <w:pPr>
        <w:jc w:val="both"/>
        <w:rPr>
          <w:rFonts w:cstheme="minorHAnsi"/>
          <w:szCs w:val="24"/>
        </w:rPr>
      </w:pPr>
      <w:r w:rsidRPr="006731EA">
        <w:rPr>
          <w:rFonts w:cstheme="minorHAnsi"/>
          <w:szCs w:val="24"/>
        </w:rPr>
        <w:lastRenderedPageBreak/>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rsidR="006731EA" w:rsidRPr="006731EA" w:rsidRDefault="006731EA" w:rsidP="00832F75">
      <w:pPr>
        <w:jc w:val="both"/>
        <w:rPr>
          <w:rFonts w:cstheme="minorHAnsi"/>
          <w:szCs w:val="24"/>
        </w:rPr>
      </w:pPr>
      <w:r w:rsidRPr="006731EA">
        <w:rPr>
          <w:rFonts w:cstheme="minorHAnsi"/>
          <w:szCs w:val="24"/>
        </w:rPr>
        <w:t>Supplier responses in the Assessment Document shall form part of the contract, where appropriate, thus the supplier will be legally obliged to comply with the responses provided therein. Should yo</w:t>
      </w:r>
      <w:r w:rsidR="00801748">
        <w:rPr>
          <w:rFonts w:cstheme="minorHAnsi"/>
          <w:szCs w:val="24"/>
        </w:rPr>
        <w:t xml:space="preserve">ur company be successful and </w:t>
      </w:r>
      <w:r w:rsidRPr="006731EA">
        <w:rPr>
          <w:rFonts w:cstheme="minorHAnsi"/>
          <w:szCs w:val="24"/>
        </w:rPr>
        <w:t>awarded</w:t>
      </w:r>
      <w:r w:rsidR="00801748">
        <w:rPr>
          <w:rFonts w:cstheme="minorHAnsi"/>
          <w:szCs w:val="24"/>
        </w:rPr>
        <w:t xml:space="preserve"> a place on</w:t>
      </w:r>
      <w:r w:rsidRPr="006731EA">
        <w:rPr>
          <w:rFonts w:cstheme="minorHAnsi"/>
          <w:szCs w:val="24"/>
        </w:rPr>
        <w:t xml:space="preserve"> the Framework Agreement, any variations to the proposals in the Assessment Document must receive prior approval from the Authority. </w:t>
      </w:r>
    </w:p>
    <w:p w:rsidR="006731EA" w:rsidRPr="006731EA" w:rsidRDefault="006731EA" w:rsidP="00832F75">
      <w:pPr>
        <w:jc w:val="both"/>
        <w:rPr>
          <w:rFonts w:cstheme="minorHAnsi"/>
          <w:szCs w:val="24"/>
        </w:rPr>
      </w:pPr>
      <w:r w:rsidRPr="006731EA">
        <w:rPr>
          <w:rFonts w:cstheme="minorHAnsi"/>
          <w:szCs w:val="24"/>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rsidR="006731EA" w:rsidRPr="006731EA" w:rsidRDefault="006731EA" w:rsidP="00832F75">
      <w:pPr>
        <w:keepNext/>
        <w:rPr>
          <w:rFonts w:cstheme="minorHAnsi"/>
          <w:b/>
          <w:i/>
          <w:szCs w:val="24"/>
        </w:rPr>
      </w:pPr>
      <w:r w:rsidRPr="006731EA">
        <w:rPr>
          <w:rFonts w:cstheme="minorHAnsi"/>
          <w:b/>
          <w:i/>
          <w:szCs w:val="24"/>
        </w:rPr>
        <w:t>Disqualification and selection</w:t>
      </w:r>
    </w:p>
    <w:p w:rsidR="006731EA" w:rsidRPr="006731EA" w:rsidRDefault="006731EA" w:rsidP="006731EA">
      <w:pPr>
        <w:rPr>
          <w:rFonts w:cstheme="minorHAnsi"/>
          <w:szCs w:val="24"/>
        </w:rPr>
      </w:pPr>
      <w:r w:rsidRPr="006731EA">
        <w:rPr>
          <w:rFonts w:cstheme="minorHAnsi"/>
          <w:szCs w:val="24"/>
        </w:rPr>
        <w:t>The Authority may disqualify you if you fail to:</w:t>
      </w:r>
    </w:p>
    <w:p w:rsidR="006731EA" w:rsidRPr="006731EA" w:rsidRDefault="006731EA" w:rsidP="006731EA">
      <w:pPr>
        <w:widowControl w:val="0"/>
        <w:numPr>
          <w:ilvl w:val="0"/>
          <w:numId w:val="18"/>
        </w:numPr>
        <w:spacing w:after="0" w:line="240" w:lineRule="auto"/>
        <w:rPr>
          <w:rFonts w:cstheme="minorHAnsi"/>
          <w:szCs w:val="24"/>
        </w:rPr>
      </w:pPr>
      <w:r w:rsidRPr="006731EA">
        <w:rPr>
          <w:rFonts w:cstheme="minorHAnsi"/>
          <w:szCs w:val="24"/>
        </w:rPr>
        <w:t xml:space="preserve">Provide a satisfactory response to any questions in the ITT or inadequately or incorrectly complete any question or have not provided the required information; </w:t>
      </w:r>
    </w:p>
    <w:p w:rsidR="006731EA" w:rsidRPr="006731EA" w:rsidRDefault="006731EA" w:rsidP="006731EA">
      <w:pPr>
        <w:widowControl w:val="0"/>
        <w:numPr>
          <w:ilvl w:val="0"/>
          <w:numId w:val="18"/>
        </w:numPr>
        <w:spacing w:after="0" w:line="240" w:lineRule="auto"/>
        <w:rPr>
          <w:rFonts w:cstheme="minorHAnsi"/>
          <w:szCs w:val="24"/>
        </w:rPr>
      </w:pPr>
      <w:r w:rsidRPr="006731EA">
        <w:rPr>
          <w:rFonts w:cstheme="minorHAnsi"/>
          <w:szCs w:val="24"/>
        </w:rPr>
        <w:t>Submit the completed ITT before the stated deadline</w:t>
      </w:r>
    </w:p>
    <w:p w:rsidR="006731EA" w:rsidRPr="006731EA" w:rsidRDefault="006731EA" w:rsidP="006731EA">
      <w:pPr>
        <w:rPr>
          <w:rFonts w:cstheme="minorHAnsi"/>
          <w:szCs w:val="24"/>
        </w:rPr>
      </w:pPr>
    </w:p>
    <w:p w:rsidR="00D01C05" w:rsidRDefault="00234ECC" w:rsidP="00234ECC">
      <w:pPr>
        <w:rPr>
          <w:rFonts w:asciiTheme="majorHAnsi" w:hAnsiTheme="majorHAnsi" w:cstheme="majorHAnsi"/>
        </w:rPr>
      </w:pPr>
      <w:r>
        <w:rPr>
          <w:rFonts w:asciiTheme="majorHAnsi" w:hAnsiTheme="majorHAnsi" w:cstheme="majorHAnsi"/>
        </w:rPr>
        <w:t xml:space="preserve">The NFNPA’s tender process is designed in such a way as to encourage participation from all sizes of business, be it single contractors or larger organisations. It is hoped that this will reduce the administrative burden on potential suppliers, whilst fulfilling the Authority’s requirement to appoint contractors that have the necessary skills, qualifications and most importantly expertise in carrying out the variety of work required. </w:t>
      </w:r>
    </w:p>
    <w:p w:rsidR="00D01C05" w:rsidRPr="00234ECC" w:rsidRDefault="00D01C05" w:rsidP="00234ECC">
      <w:pPr>
        <w:rPr>
          <w:rFonts w:asciiTheme="majorHAnsi" w:hAnsiTheme="majorHAnsi" w:cstheme="majorHAnsi"/>
        </w:rPr>
      </w:pPr>
      <w:r>
        <w:rPr>
          <w:rFonts w:asciiTheme="majorHAnsi" w:hAnsiTheme="majorHAnsi" w:cstheme="majorHAnsi"/>
        </w:rPr>
        <w:t>It is noted that the insurance levels and health and safety requirements required for each individual task will be different and thus suppliers are required to complete sections 2.10 and 2.11 of the Assessment Document in the knowledge that their responses should be commensurate with the complexity of the service they propose to offer.</w:t>
      </w:r>
    </w:p>
    <w:p w:rsidR="006731EA" w:rsidRPr="00223478" w:rsidRDefault="006731EA" w:rsidP="00223478">
      <w:pPr>
        <w:jc w:val="both"/>
        <w:rPr>
          <w:rFonts w:cstheme="minorHAnsi"/>
          <w:b/>
          <w:color w:val="FF0000"/>
          <w:szCs w:val="24"/>
        </w:rPr>
      </w:pPr>
      <w:r w:rsidRPr="006731EA">
        <w:rPr>
          <w:rFonts w:cstheme="minorHAnsi"/>
          <w:b/>
          <w:color w:val="FF0000"/>
          <w:szCs w:val="24"/>
        </w:rPr>
        <w:t>The assessment document is attached here:</w:t>
      </w:r>
    </w:p>
    <w:bookmarkStart w:id="3" w:name="_MON_1485084457"/>
    <w:bookmarkEnd w:id="3"/>
    <w:p w:rsidR="006731EA" w:rsidRPr="006731EA" w:rsidRDefault="006E3162" w:rsidP="006731EA">
      <w:pPr>
        <w:ind w:firstLine="360"/>
        <w:jc w:val="both"/>
        <w:rPr>
          <w:rFonts w:cstheme="minorHAnsi"/>
          <w:szCs w:val="24"/>
        </w:rPr>
      </w:pPr>
      <w:r w:rsidRPr="006731EA">
        <w:rPr>
          <w:rFonts w:cstheme="minorHAnsi"/>
          <w:szCs w:val="24"/>
        </w:rPr>
        <w:object w:dxaOrig="1551" w:dyaOrig="991">
          <v:shape id="_x0000_i1027" type="#_x0000_t75" style="width:77.45pt;height:49.6pt" o:ole="">
            <v:imagedata r:id="rId18" o:title=""/>
          </v:shape>
          <o:OLEObject Type="Embed" ProgID="Word.Document.12" ShapeID="_x0000_i1027" DrawAspect="Icon" ObjectID="_1519799408" r:id="rId19">
            <o:FieldCodes>\s</o:FieldCodes>
          </o:OLEObject>
        </w:object>
      </w:r>
      <w:r w:rsidR="006731EA" w:rsidRPr="006731EA">
        <w:rPr>
          <w:rFonts w:cstheme="minorHAnsi"/>
          <w:szCs w:val="24"/>
        </w:rPr>
        <w:t xml:space="preserve">   </w:t>
      </w:r>
    </w:p>
    <w:p w:rsidR="006731EA" w:rsidRPr="006731EA" w:rsidRDefault="006731EA" w:rsidP="00ED1807">
      <w:pPr>
        <w:rPr>
          <w:rFonts w:cstheme="minorHAnsi"/>
          <w:szCs w:val="24"/>
        </w:rPr>
      </w:pPr>
      <w:r w:rsidRPr="006731EA">
        <w:rPr>
          <w:rFonts w:cstheme="minorHAnsi"/>
          <w:szCs w:val="24"/>
        </w:rPr>
        <w:t>The Contract will be awarded on the basis of the most economically advantageous tender to the Authority, based</w:t>
      </w:r>
      <w:r w:rsidR="00113A2A">
        <w:rPr>
          <w:rFonts w:cstheme="minorHAnsi"/>
          <w:szCs w:val="24"/>
        </w:rPr>
        <w:t xml:space="preserve"> on the evaluation criteria of 3</w:t>
      </w:r>
      <w:r w:rsidRPr="006731EA">
        <w:rPr>
          <w:rFonts w:cstheme="minorHAnsi"/>
          <w:szCs w:val="24"/>
        </w:rPr>
        <w:t xml:space="preserve">0% price and 70% quality. </w:t>
      </w:r>
      <w:r w:rsidR="00113A2A">
        <w:rPr>
          <w:rFonts w:cstheme="minorHAnsi"/>
          <w:szCs w:val="24"/>
        </w:rPr>
        <w:t>This is in acknowledgement of the fact that eval</w:t>
      </w:r>
      <w:r w:rsidR="00607648">
        <w:rPr>
          <w:rFonts w:cstheme="minorHAnsi"/>
          <w:szCs w:val="24"/>
        </w:rPr>
        <w:t>uating price based on hourly/</w:t>
      </w:r>
      <w:r w:rsidR="00113A2A">
        <w:rPr>
          <w:rFonts w:cstheme="minorHAnsi"/>
          <w:szCs w:val="24"/>
        </w:rPr>
        <w:t>daily rates</w:t>
      </w:r>
      <w:r w:rsidR="00607648">
        <w:rPr>
          <w:rFonts w:cstheme="minorHAnsi"/>
          <w:szCs w:val="24"/>
        </w:rPr>
        <w:t xml:space="preserve"> or fencing per </w:t>
      </w:r>
      <w:r w:rsidR="00607648">
        <w:rPr>
          <w:rFonts w:cstheme="minorHAnsi"/>
          <w:szCs w:val="24"/>
        </w:rPr>
        <w:lastRenderedPageBreak/>
        <w:t>meterage</w:t>
      </w:r>
      <w:r w:rsidR="00113A2A">
        <w:rPr>
          <w:rFonts w:cstheme="minorHAnsi"/>
          <w:szCs w:val="24"/>
        </w:rPr>
        <w:t xml:space="preserve"> may prove difficult. </w:t>
      </w:r>
      <w:r w:rsidRPr="006731EA">
        <w:rPr>
          <w:rFonts w:cstheme="minorHAnsi"/>
          <w:szCs w:val="24"/>
        </w:rPr>
        <w:t xml:space="preserve">Tenders will be evaluated and assessed using the scoring matrix below, by at least three Authority staff. </w:t>
      </w:r>
    </w:p>
    <w:tbl>
      <w:tblPr>
        <w:tblStyle w:val="TableGrid"/>
        <w:tblW w:w="0" w:type="auto"/>
        <w:tblInd w:w="360" w:type="dxa"/>
        <w:tblLook w:val="04A0" w:firstRow="1" w:lastRow="0" w:firstColumn="1" w:lastColumn="0" w:noHBand="0" w:noVBand="1"/>
      </w:tblPr>
      <w:tblGrid>
        <w:gridCol w:w="4621"/>
        <w:gridCol w:w="4621"/>
      </w:tblGrid>
      <w:tr w:rsidR="006731EA" w:rsidRPr="006731EA" w:rsidTr="00A913D8">
        <w:tc>
          <w:tcPr>
            <w:tcW w:w="4621" w:type="dxa"/>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Criteria</w:t>
            </w:r>
          </w:p>
        </w:tc>
        <w:tc>
          <w:tcPr>
            <w:tcW w:w="4621" w:type="dxa"/>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Weighting</w:t>
            </w:r>
          </w:p>
        </w:tc>
      </w:tr>
      <w:tr w:rsidR="006731EA" w:rsidRPr="006731EA" w:rsidTr="00A913D8">
        <w:tc>
          <w:tcPr>
            <w:tcW w:w="4621" w:type="dxa"/>
          </w:tcPr>
          <w:p w:rsidR="006731EA" w:rsidRPr="006731EA" w:rsidRDefault="006731EA" w:rsidP="00A913D8">
            <w:pPr>
              <w:jc w:val="center"/>
              <w:rPr>
                <w:rFonts w:cstheme="minorHAnsi"/>
                <w:szCs w:val="24"/>
              </w:rPr>
            </w:pPr>
            <w:r w:rsidRPr="006731EA">
              <w:rPr>
                <w:rFonts w:cstheme="minorHAnsi"/>
                <w:szCs w:val="24"/>
              </w:rPr>
              <w:t>Price</w:t>
            </w:r>
          </w:p>
        </w:tc>
        <w:tc>
          <w:tcPr>
            <w:tcW w:w="4621" w:type="dxa"/>
          </w:tcPr>
          <w:p w:rsidR="006731EA" w:rsidRPr="006731EA" w:rsidRDefault="00113A2A" w:rsidP="00A913D8">
            <w:pPr>
              <w:jc w:val="center"/>
              <w:rPr>
                <w:rFonts w:cstheme="minorHAnsi"/>
                <w:szCs w:val="24"/>
              </w:rPr>
            </w:pPr>
            <w:r>
              <w:rPr>
                <w:rFonts w:cstheme="minorHAnsi"/>
                <w:szCs w:val="24"/>
              </w:rPr>
              <w:t>3</w:t>
            </w:r>
            <w:r w:rsidR="006731EA" w:rsidRPr="006731EA">
              <w:rPr>
                <w:rFonts w:cstheme="minorHAnsi"/>
                <w:szCs w:val="24"/>
              </w:rPr>
              <w:t>0%</w:t>
            </w:r>
          </w:p>
        </w:tc>
      </w:tr>
      <w:tr w:rsidR="006731EA" w:rsidRPr="006731EA" w:rsidTr="00A913D8">
        <w:tc>
          <w:tcPr>
            <w:tcW w:w="4621" w:type="dxa"/>
          </w:tcPr>
          <w:p w:rsidR="006731EA" w:rsidRPr="006731EA" w:rsidRDefault="006731EA" w:rsidP="00A913D8">
            <w:pPr>
              <w:jc w:val="center"/>
              <w:rPr>
                <w:rFonts w:cstheme="minorHAnsi"/>
                <w:szCs w:val="24"/>
              </w:rPr>
            </w:pPr>
            <w:r w:rsidRPr="006731EA">
              <w:rPr>
                <w:rFonts w:cstheme="minorHAnsi"/>
                <w:szCs w:val="24"/>
              </w:rPr>
              <w:t>Quality</w:t>
            </w:r>
          </w:p>
        </w:tc>
        <w:tc>
          <w:tcPr>
            <w:tcW w:w="4621" w:type="dxa"/>
          </w:tcPr>
          <w:p w:rsidR="006731EA" w:rsidRPr="006731EA" w:rsidRDefault="00113A2A" w:rsidP="00A913D8">
            <w:pPr>
              <w:jc w:val="center"/>
              <w:rPr>
                <w:rFonts w:cstheme="minorHAnsi"/>
                <w:szCs w:val="24"/>
              </w:rPr>
            </w:pPr>
            <w:r>
              <w:rPr>
                <w:rFonts w:cstheme="minorHAnsi"/>
                <w:szCs w:val="24"/>
              </w:rPr>
              <w:t>7</w:t>
            </w:r>
            <w:r w:rsidR="006731EA" w:rsidRPr="006731EA">
              <w:rPr>
                <w:rFonts w:cstheme="minorHAnsi"/>
                <w:szCs w:val="24"/>
              </w:rPr>
              <w:t>0%</w:t>
            </w:r>
          </w:p>
        </w:tc>
      </w:tr>
    </w:tbl>
    <w:p w:rsidR="00113A2A" w:rsidRDefault="00113A2A" w:rsidP="00832F75">
      <w:pPr>
        <w:rPr>
          <w:rFonts w:cstheme="minorHAnsi"/>
          <w:szCs w:val="24"/>
        </w:rPr>
      </w:pPr>
    </w:p>
    <w:p w:rsidR="006731EA" w:rsidRPr="006731EA" w:rsidRDefault="006731EA" w:rsidP="00832F75">
      <w:pPr>
        <w:rPr>
          <w:rFonts w:cstheme="minorHAnsi"/>
          <w:szCs w:val="24"/>
        </w:rPr>
      </w:pPr>
      <w:r w:rsidRPr="006731EA">
        <w:rPr>
          <w:rFonts w:cstheme="minorHAnsi"/>
          <w:szCs w:val="24"/>
        </w:rPr>
        <w:t>Sub-weightings for the Quality Criteria are provided below:</w:t>
      </w:r>
    </w:p>
    <w:tbl>
      <w:tblPr>
        <w:tblStyle w:val="TableGrid"/>
        <w:tblW w:w="0" w:type="auto"/>
        <w:tblInd w:w="360" w:type="dxa"/>
        <w:tblLook w:val="04A0" w:firstRow="1" w:lastRow="0" w:firstColumn="1" w:lastColumn="0" w:noHBand="0" w:noVBand="1"/>
      </w:tblPr>
      <w:tblGrid>
        <w:gridCol w:w="2937"/>
        <w:gridCol w:w="3190"/>
        <w:gridCol w:w="2755"/>
      </w:tblGrid>
      <w:tr w:rsidR="006731EA" w:rsidRPr="006731EA" w:rsidTr="00A913D8">
        <w:tc>
          <w:tcPr>
            <w:tcW w:w="2937" w:type="dxa"/>
            <w:tcBorders>
              <w:bottom w:val="single" w:sz="4" w:space="0" w:color="auto"/>
            </w:tcBorders>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Section</w:t>
            </w:r>
          </w:p>
        </w:tc>
        <w:tc>
          <w:tcPr>
            <w:tcW w:w="3190" w:type="dxa"/>
            <w:tcBorders>
              <w:bottom w:val="single" w:sz="4" w:space="0" w:color="auto"/>
            </w:tcBorders>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Quality Heading</w:t>
            </w:r>
          </w:p>
        </w:tc>
        <w:tc>
          <w:tcPr>
            <w:tcW w:w="2755" w:type="dxa"/>
            <w:tcBorders>
              <w:bottom w:val="single" w:sz="4" w:space="0" w:color="auto"/>
            </w:tcBorders>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Sub-Weighting</w:t>
            </w:r>
          </w:p>
        </w:tc>
      </w:tr>
      <w:tr w:rsidR="006731EA" w:rsidRPr="006731EA" w:rsidTr="00A913D8">
        <w:tc>
          <w:tcPr>
            <w:tcW w:w="2937" w:type="dxa"/>
            <w:shd w:val="clear" w:color="auto" w:fill="auto"/>
          </w:tcPr>
          <w:p w:rsidR="006731EA" w:rsidRPr="006731EA" w:rsidRDefault="006731EA" w:rsidP="00A913D8">
            <w:pPr>
              <w:jc w:val="center"/>
              <w:rPr>
                <w:rFonts w:cstheme="minorHAnsi"/>
                <w:szCs w:val="24"/>
              </w:rPr>
            </w:pPr>
            <w:r w:rsidRPr="006731EA">
              <w:rPr>
                <w:rFonts w:cstheme="minorHAnsi"/>
                <w:szCs w:val="24"/>
              </w:rPr>
              <w:t>A</w:t>
            </w:r>
          </w:p>
        </w:tc>
        <w:tc>
          <w:tcPr>
            <w:tcW w:w="3190" w:type="dxa"/>
            <w:shd w:val="clear" w:color="auto" w:fill="auto"/>
          </w:tcPr>
          <w:p w:rsidR="006731EA" w:rsidRPr="006731EA" w:rsidRDefault="006731EA" w:rsidP="00A913D8">
            <w:pPr>
              <w:jc w:val="center"/>
              <w:rPr>
                <w:rFonts w:cstheme="minorHAnsi"/>
                <w:szCs w:val="24"/>
              </w:rPr>
            </w:pPr>
            <w:r w:rsidRPr="006731EA">
              <w:rPr>
                <w:rFonts w:cstheme="minorHAnsi"/>
                <w:szCs w:val="24"/>
              </w:rPr>
              <w:t>Company Information</w:t>
            </w:r>
          </w:p>
        </w:tc>
        <w:tc>
          <w:tcPr>
            <w:tcW w:w="2755" w:type="dxa"/>
            <w:shd w:val="clear" w:color="auto" w:fill="auto"/>
          </w:tcPr>
          <w:p w:rsidR="006731EA" w:rsidRPr="006731EA" w:rsidRDefault="006731EA" w:rsidP="00A913D8">
            <w:pPr>
              <w:jc w:val="center"/>
              <w:rPr>
                <w:rFonts w:cstheme="minorHAnsi"/>
                <w:szCs w:val="24"/>
              </w:rPr>
            </w:pPr>
            <w:r w:rsidRPr="006731EA">
              <w:rPr>
                <w:rFonts w:cstheme="minorHAnsi"/>
                <w:szCs w:val="24"/>
              </w:rPr>
              <w:t>-</w:t>
            </w:r>
          </w:p>
        </w:tc>
      </w:tr>
      <w:tr w:rsidR="006731EA" w:rsidRPr="006731EA" w:rsidTr="00A913D8">
        <w:tc>
          <w:tcPr>
            <w:tcW w:w="2937" w:type="dxa"/>
          </w:tcPr>
          <w:p w:rsidR="006731EA" w:rsidRPr="006731EA" w:rsidRDefault="006731EA" w:rsidP="00A913D8">
            <w:pPr>
              <w:jc w:val="center"/>
              <w:rPr>
                <w:rFonts w:cstheme="minorHAnsi"/>
                <w:szCs w:val="24"/>
              </w:rPr>
            </w:pPr>
            <w:r w:rsidRPr="006731EA">
              <w:rPr>
                <w:rFonts w:cstheme="minorHAnsi"/>
                <w:szCs w:val="24"/>
              </w:rPr>
              <w:t>B</w:t>
            </w:r>
          </w:p>
        </w:tc>
        <w:tc>
          <w:tcPr>
            <w:tcW w:w="3190" w:type="dxa"/>
          </w:tcPr>
          <w:p w:rsidR="006731EA" w:rsidRPr="006731EA" w:rsidRDefault="006731EA" w:rsidP="00A913D8">
            <w:pPr>
              <w:jc w:val="center"/>
              <w:rPr>
                <w:rFonts w:cstheme="minorHAnsi"/>
                <w:szCs w:val="24"/>
              </w:rPr>
            </w:pPr>
            <w:r w:rsidRPr="006731EA">
              <w:rPr>
                <w:rFonts w:cstheme="minorHAnsi"/>
                <w:szCs w:val="24"/>
              </w:rPr>
              <w:t>Your approach</w:t>
            </w:r>
          </w:p>
        </w:tc>
        <w:tc>
          <w:tcPr>
            <w:tcW w:w="2755" w:type="dxa"/>
          </w:tcPr>
          <w:p w:rsidR="006731EA" w:rsidRPr="006731EA" w:rsidRDefault="00D07D82" w:rsidP="00A913D8">
            <w:pPr>
              <w:jc w:val="center"/>
              <w:rPr>
                <w:rFonts w:cstheme="minorHAnsi"/>
                <w:szCs w:val="24"/>
              </w:rPr>
            </w:pPr>
            <w:r>
              <w:rPr>
                <w:rFonts w:cstheme="minorHAnsi"/>
                <w:szCs w:val="24"/>
              </w:rPr>
              <w:t>4</w:t>
            </w:r>
            <w:r w:rsidR="006731EA" w:rsidRPr="006731EA">
              <w:rPr>
                <w:rFonts w:cstheme="minorHAnsi"/>
                <w:szCs w:val="24"/>
              </w:rPr>
              <w:t>0%</w:t>
            </w:r>
          </w:p>
        </w:tc>
      </w:tr>
      <w:tr w:rsidR="006731EA" w:rsidRPr="006731EA" w:rsidTr="00A913D8">
        <w:tc>
          <w:tcPr>
            <w:tcW w:w="2937" w:type="dxa"/>
          </w:tcPr>
          <w:p w:rsidR="006731EA" w:rsidRPr="006731EA" w:rsidRDefault="006731EA" w:rsidP="00A913D8">
            <w:pPr>
              <w:jc w:val="center"/>
              <w:rPr>
                <w:rFonts w:cstheme="minorHAnsi"/>
                <w:szCs w:val="24"/>
              </w:rPr>
            </w:pPr>
            <w:r w:rsidRPr="006731EA">
              <w:rPr>
                <w:rFonts w:cstheme="minorHAnsi"/>
                <w:szCs w:val="24"/>
              </w:rPr>
              <w:t>C</w:t>
            </w:r>
          </w:p>
        </w:tc>
        <w:tc>
          <w:tcPr>
            <w:tcW w:w="3190" w:type="dxa"/>
          </w:tcPr>
          <w:p w:rsidR="006731EA" w:rsidRPr="006731EA" w:rsidRDefault="00A27FD3" w:rsidP="00A913D8">
            <w:pPr>
              <w:jc w:val="center"/>
              <w:rPr>
                <w:rFonts w:cstheme="minorHAnsi"/>
                <w:szCs w:val="24"/>
              </w:rPr>
            </w:pPr>
            <w:r>
              <w:rPr>
                <w:rFonts w:cstheme="minorHAnsi"/>
                <w:szCs w:val="24"/>
              </w:rPr>
              <w:t>Scope of Services</w:t>
            </w:r>
          </w:p>
        </w:tc>
        <w:tc>
          <w:tcPr>
            <w:tcW w:w="2755" w:type="dxa"/>
          </w:tcPr>
          <w:p w:rsidR="006731EA" w:rsidRPr="006731EA" w:rsidRDefault="00D07D82" w:rsidP="00A913D8">
            <w:pPr>
              <w:jc w:val="center"/>
              <w:rPr>
                <w:rFonts w:cstheme="minorHAnsi"/>
                <w:szCs w:val="24"/>
              </w:rPr>
            </w:pPr>
            <w:r>
              <w:rPr>
                <w:rFonts w:cstheme="minorHAnsi"/>
                <w:szCs w:val="24"/>
              </w:rPr>
              <w:t>3</w:t>
            </w:r>
            <w:r w:rsidR="006731EA" w:rsidRPr="006731EA">
              <w:rPr>
                <w:rFonts w:cstheme="minorHAnsi"/>
                <w:szCs w:val="24"/>
              </w:rPr>
              <w:t>0%</w:t>
            </w:r>
          </w:p>
        </w:tc>
      </w:tr>
      <w:tr w:rsidR="006731EA" w:rsidRPr="006731EA" w:rsidTr="00A913D8">
        <w:tc>
          <w:tcPr>
            <w:tcW w:w="2937" w:type="dxa"/>
          </w:tcPr>
          <w:p w:rsidR="006731EA" w:rsidRPr="006731EA" w:rsidRDefault="006731EA" w:rsidP="00A913D8">
            <w:pPr>
              <w:jc w:val="center"/>
              <w:rPr>
                <w:rFonts w:cstheme="minorHAnsi"/>
                <w:szCs w:val="24"/>
              </w:rPr>
            </w:pPr>
            <w:r w:rsidRPr="006731EA">
              <w:rPr>
                <w:rFonts w:cstheme="minorHAnsi"/>
                <w:szCs w:val="24"/>
              </w:rPr>
              <w:t>D</w:t>
            </w:r>
          </w:p>
        </w:tc>
        <w:tc>
          <w:tcPr>
            <w:tcW w:w="3190" w:type="dxa"/>
          </w:tcPr>
          <w:p w:rsidR="006731EA" w:rsidRPr="006731EA" w:rsidRDefault="00A27FD3" w:rsidP="00A913D8">
            <w:pPr>
              <w:jc w:val="center"/>
              <w:rPr>
                <w:rFonts w:cstheme="minorHAnsi"/>
                <w:szCs w:val="24"/>
              </w:rPr>
            </w:pPr>
            <w:r w:rsidRPr="006731EA">
              <w:rPr>
                <w:rFonts w:cstheme="minorHAnsi"/>
                <w:szCs w:val="24"/>
              </w:rPr>
              <w:t>Your experience/references</w:t>
            </w:r>
          </w:p>
        </w:tc>
        <w:tc>
          <w:tcPr>
            <w:tcW w:w="2755" w:type="dxa"/>
          </w:tcPr>
          <w:p w:rsidR="006731EA" w:rsidRPr="006731EA" w:rsidRDefault="00D07D82" w:rsidP="00A913D8">
            <w:pPr>
              <w:jc w:val="center"/>
              <w:rPr>
                <w:rFonts w:cstheme="minorHAnsi"/>
                <w:szCs w:val="24"/>
              </w:rPr>
            </w:pPr>
            <w:r>
              <w:rPr>
                <w:rFonts w:cstheme="minorHAnsi"/>
                <w:szCs w:val="24"/>
              </w:rPr>
              <w:t>3</w:t>
            </w:r>
            <w:r w:rsidR="006731EA" w:rsidRPr="006731EA">
              <w:rPr>
                <w:rFonts w:cstheme="minorHAnsi"/>
                <w:szCs w:val="24"/>
              </w:rPr>
              <w:t>0%</w:t>
            </w:r>
          </w:p>
        </w:tc>
      </w:tr>
    </w:tbl>
    <w:p w:rsidR="00113A2A" w:rsidRDefault="00113A2A" w:rsidP="00EC467C">
      <w:pPr>
        <w:rPr>
          <w:rFonts w:cstheme="minorHAnsi"/>
          <w:szCs w:val="24"/>
        </w:rPr>
      </w:pPr>
    </w:p>
    <w:p w:rsidR="00AA43CC" w:rsidRPr="006731EA" w:rsidRDefault="006731EA" w:rsidP="00EC467C">
      <w:pPr>
        <w:rPr>
          <w:rFonts w:cstheme="minorHAnsi"/>
          <w:szCs w:val="24"/>
        </w:rPr>
      </w:pPr>
      <w:r w:rsidRPr="006731EA">
        <w:rPr>
          <w:rFonts w:cstheme="minorHAnsi"/>
          <w:szCs w:val="24"/>
        </w:rPr>
        <w:t>The following scoring mechanism will be used to allocate points available.</w:t>
      </w:r>
    </w:p>
    <w:tbl>
      <w:tblPr>
        <w:tblStyle w:val="TableGrid"/>
        <w:tblW w:w="0" w:type="auto"/>
        <w:tblInd w:w="360" w:type="dxa"/>
        <w:tblLook w:val="04A0" w:firstRow="1" w:lastRow="0" w:firstColumn="1" w:lastColumn="0" w:noHBand="0" w:noVBand="1"/>
      </w:tblPr>
      <w:tblGrid>
        <w:gridCol w:w="4455"/>
        <w:gridCol w:w="4427"/>
      </w:tblGrid>
      <w:tr w:rsidR="006731EA" w:rsidRPr="006731EA" w:rsidTr="00A913D8">
        <w:tc>
          <w:tcPr>
            <w:tcW w:w="4455" w:type="dxa"/>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Scoring</w:t>
            </w:r>
          </w:p>
        </w:tc>
        <w:tc>
          <w:tcPr>
            <w:tcW w:w="4427" w:type="dxa"/>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Points</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Response meets the required standard in all material respects and adds value in some or all of the major requirements</w:t>
            </w:r>
          </w:p>
        </w:tc>
        <w:tc>
          <w:tcPr>
            <w:tcW w:w="4427" w:type="dxa"/>
            <w:vAlign w:val="center"/>
          </w:tcPr>
          <w:p w:rsidR="006731EA" w:rsidRPr="006731EA" w:rsidRDefault="00C85114" w:rsidP="00C85114">
            <w:pPr>
              <w:jc w:val="center"/>
              <w:rPr>
                <w:rFonts w:cstheme="minorHAnsi"/>
                <w:szCs w:val="24"/>
              </w:rPr>
            </w:pPr>
            <w:r>
              <w:rPr>
                <w:rFonts w:cstheme="minorHAnsi"/>
                <w:szCs w:val="24"/>
              </w:rPr>
              <w:t>9 - 10</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Response meets the required standard in all material respects</w:t>
            </w:r>
          </w:p>
        </w:tc>
        <w:tc>
          <w:tcPr>
            <w:tcW w:w="4427" w:type="dxa"/>
            <w:vAlign w:val="center"/>
          </w:tcPr>
          <w:p w:rsidR="006731EA" w:rsidRPr="006731EA" w:rsidRDefault="00C85114" w:rsidP="00C85114">
            <w:pPr>
              <w:jc w:val="center"/>
              <w:rPr>
                <w:rFonts w:cstheme="minorHAnsi"/>
                <w:szCs w:val="24"/>
              </w:rPr>
            </w:pPr>
            <w:r>
              <w:rPr>
                <w:rFonts w:cstheme="minorHAnsi"/>
                <w:szCs w:val="24"/>
              </w:rPr>
              <w:t>7 – 8</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Response meets the required standard in most material respects, but is lacking or inconsistent in others</w:t>
            </w:r>
          </w:p>
        </w:tc>
        <w:tc>
          <w:tcPr>
            <w:tcW w:w="4427" w:type="dxa"/>
            <w:vAlign w:val="center"/>
          </w:tcPr>
          <w:p w:rsidR="006731EA" w:rsidRPr="006731EA" w:rsidRDefault="00C85114" w:rsidP="00C85114">
            <w:pPr>
              <w:jc w:val="center"/>
              <w:rPr>
                <w:rFonts w:cstheme="minorHAnsi"/>
                <w:szCs w:val="24"/>
              </w:rPr>
            </w:pPr>
            <w:r>
              <w:rPr>
                <w:rFonts w:cstheme="minorHAnsi"/>
                <w:szCs w:val="24"/>
              </w:rPr>
              <w:t>5 – 6</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 xml:space="preserve">Proposal falls short of achieving expected standard in a number of identifiable respects </w:t>
            </w:r>
          </w:p>
        </w:tc>
        <w:tc>
          <w:tcPr>
            <w:tcW w:w="4427" w:type="dxa"/>
            <w:vAlign w:val="center"/>
          </w:tcPr>
          <w:p w:rsidR="006731EA" w:rsidRPr="006731EA" w:rsidRDefault="00C85114" w:rsidP="00C85114">
            <w:pPr>
              <w:jc w:val="center"/>
              <w:rPr>
                <w:rFonts w:cstheme="minorHAnsi"/>
                <w:szCs w:val="24"/>
              </w:rPr>
            </w:pPr>
            <w:r>
              <w:rPr>
                <w:rFonts w:cstheme="minorHAnsi"/>
                <w:szCs w:val="24"/>
              </w:rPr>
              <w:t>3 – 4</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Response significantly fails to meet the required standard, contains significant shortcomings or is inconsistent with other responses</w:t>
            </w:r>
          </w:p>
        </w:tc>
        <w:tc>
          <w:tcPr>
            <w:tcW w:w="4427" w:type="dxa"/>
            <w:vAlign w:val="center"/>
          </w:tcPr>
          <w:p w:rsidR="006731EA" w:rsidRPr="00C85114" w:rsidRDefault="00C85114" w:rsidP="00C85114">
            <w:pPr>
              <w:jc w:val="center"/>
              <w:rPr>
                <w:rFonts w:cstheme="minorHAnsi"/>
                <w:szCs w:val="24"/>
              </w:rPr>
            </w:pPr>
            <w:r>
              <w:rPr>
                <w:rFonts w:cstheme="minorHAnsi"/>
                <w:szCs w:val="24"/>
              </w:rPr>
              <w:t>1 - 2</w:t>
            </w:r>
          </w:p>
        </w:tc>
      </w:tr>
      <w:tr w:rsidR="006731EA" w:rsidRPr="006731EA" w:rsidTr="00C85114">
        <w:tc>
          <w:tcPr>
            <w:tcW w:w="4455" w:type="dxa"/>
          </w:tcPr>
          <w:p w:rsidR="006731EA" w:rsidRPr="006731EA" w:rsidRDefault="006731EA" w:rsidP="00A913D8">
            <w:pPr>
              <w:jc w:val="center"/>
              <w:rPr>
                <w:rFonts w:cstheme="minorHAnsi"/>
                <w:szCs w:val="24"/>
              </w:rPr>
            </w:pPr>
            <w:r w:rsidRPr="006731EA">
              <w:rPr>
                <w:rFonts w:cstheme="minorHAnsi"/>
                <w:szCs w:val="24"/>
              </w:rPr>
              <w:t>Completely fails to meet required standard or does not provide a response</w:t>
            </w:r>
          </w:p>
        </w:tc>
        <w:tc>
          <w:tcPr>
            <w:tcW w:w="4427" w:type="dxa"/>
            <w:vAlign w:val="center"/>
          </w:tcPr>
          <w:p w:rsidR="006731EA" w:rsidRPr="006731EA" w:rsidRDefault="00C85114" w:rsidP="00C85114">
            <w:pPr>
              <w:jc w:val="center"/>
              <w:rPr>
                <w:rFonts w:cstheme="minorHAnsi"/>
                <w:szCs w:val="24"/>
              </w:rPr>
            </w:pPr>
            <w:r>
              <w:rPr>
                <w:rFonts w:cstheme="minorHAnsi"/>
                <w:szCs w:val="24"/>
              </w:rPr>
              <w:t>0</w:t>
            </w:r>
          </w:p>
        </w:tc>
      </w:tr>
    </w:tbl>
    <w:p w:rsidR="00223478" w:rsidRDefault="00223478" w:rsidP="00832F75">
      <w:pPr>
        <w:rPr>
          <w:rFonts w:cstheme="minorHAnsi"/>
          <w:b/>
          <w:szCs w:val="24"/>
        </w:rPr>
      </w:pPr>
    </w:p>
    <w:p w:rsidR="006731EA" w:rsidRPr="006731EA" w:rsidRDefault="006731EA" w:rsidP="00832F75">
      <w:pPr>
        <w:rPr>
          <w:rFonts w:cstheme="minorHAnsi"/>
          <w:szCs w:val="24"/>
        </w:rPr>
      </w:pPr>
      <w:r w:rsidRPr="006731EA">
        <w:rPr>
          <w:rFonts w:cstheme="minorHAnsi"/>
          <w:b/>
          <w:szCs w:val="24"/>
        </w:rPr>
        <w:t xml:space="preserve">Price </w:t>
      </w:r>
      <w:r w:rsidRPr="006731EA">
        <w:rPr>
          <w:rFonts w:cstheme="minorHAnsi"/>
          <w:szCs w:val="24"/>
        </w:rPr>
        <w:t>–</w:t>
      </w:r>
      <w:r w:rsidRPr="006731EA">
        <w:rPr>
          <w:rFonts w:cstheme="minorHAnsi"/>
          <w:b/>
          <w:szCs w:val="24"/>
        </w:rPr>
        <w:t xml:space="preserve"> </w:t>
      </w:r>
      <w:r w:rsidRPr="006731EA">
        <w:rPr>
          <w:rFonts w:cstheme="minorHAnsi"/>
          <w:szCs w:val="24"/>
        </w:rPr>
        <w:t xml:space="preserve">with regards to the price evaluation, the lowest </w:t>
      </w:r>
      <w:r w:rsidR="0079790D">
        <w:rPr>
          <w:rFonts w:cstheme="minorHAnsi"/>
          <w:szCs w:val="24"/>
        </w:rPr>
        <w:t>rates</w:t>
      </w:r>
      <w:r w:rsidRPr="006731EA">
        <w:rPr>
          <w:rFonts w:cstheme="minorHAnsi"/>
          <w:szCs w:val="24"/>
        </w:rPr>
        <w:t xml:space="preserve"> will be awarded the maximum price score of </w:t>
      </w:r>
      <w:r w:rsidR="003A029B">
        <w:rPr>
          <w:rFonts w:cstheme="minorHAnsi"/>
          <w:b/>
          <w:szCs w:val="24"/>
        </w:rPr>
        <w:t>30</w:t>
      </w:r>
      <w:r w:rsidRPr="006731EA">
        <w:rPr>
          <w:rFonts w:cstheme="minorHAnsi"/>
          <w:b/>
          <w:szCs w:val="24"/>
        </w:rPr>
        <w:t>%</w:t>
      </w:r>
      <w:r w:rsidRPr="006731EA">
        <w:rPr>
          <w:rFonts w:cstheme="minorHAnsi"/>
          <w:szCs w:val="24"/>
        </w:rPr>
        <w:t xml:space="preserve">. Thereafter, each tender will be ranked and scored in accordance with how much more </w:t>
      </w:r>
      <w:r w:rsidR="0079790D">
        <w:rPr>
          <w:rFonts w:cstheme="minorHAnsi"/>
          <w:szCs w:val="24"/>
        </w:rPr>
        <w:t>expensive their respective rates are</w:t>
      </w:r>
      <w:r w:rsidRPr="006731EA">
        <w:rPr>
          <w:rFonts w:cstheme="minorHAnsi"/>
          <w:szCs w:val="24"/>
        </w:rPr>
        <w:t xml:space="preserve"> co</w:t>
      </w:r>
      <w:r w:rsidR="0079790D">
        <w:rPr>
          <w:rFonts w:cstheme="minorHAnsi"/>
          <w:szCs w:val="24"/>
        </w:rPr>
        <w:t>mpared to the lowest total rates</w:t>
      </w:r>
      <w:r w:rsidRPr="006731EA">
        <w:rPr>
          <w:rFonts w:cstheme="minorHAnsi"/>
          <w:szCs w:val="24"/>
        </w:rPr>
        <w:t xml:space="preserve"> (e.g. – if it is 50% more</w:t>
      </w:r>
      <w:r w:rsidR="0079790D">
        <w:rPr>
          <w:rFonts w:cstheme="minorHAnsi"/>
          <w:szCs w:val="24"/>
        </w:rPr>
        <w:t xml:space="preserve"> expensive than the lowest rates</w:t>
      </w:r>
      <w:r w:rsidRPr="006731EA">
        <w:rPr>
          <w:rFonts w:cstheme="minorHAnsi"/>
          <w:szCs w:val="24"/>
        </w:rPr>
        <w:t xml:space="preserve">, it will be awarded 50% less price points </w:t>
      </w:r>
      <w:r w:rsidR="0079790D">
        <w:rPr>
          <w:rFonts w:cstheme="minorHAnsi"/>
          <w:szCs w:val="24"/>
        </w:rPr>
        <w:t>in comparison to the tender with the lowest rates</w:t>
      </w:r>
      <w:r w:rsidRPr="006731EA">
        <w:rPr>
          <w:rFonts w:cstheme="minorHAnsi"/>
          <w:szCs w:val="24"/>
        </w:rPr>
        <w:t xml:space="preserve">). </w:t>
      </w:r>
    </w:p>
    <w:p w:rsidR="00223478" w:rsidRPr="00C85114" w:rsidRDefault="006731EA" w:rsidP="006731EA">
      <w:pPr>
        <w:rPr>
          <w:rFonts w:cstheme="minorHAnsi"/>
          <w:szCs w:val="24"/>
        </w:rPr>
      </w:pPr>
      <w:r w:rsidRPr="006731EA">
        <w:rPr>
          <w:rFonts w:cstheme="minorHAnsi"/>
          <w:b/>
          <w:szCs w:val="24"/>
        </w:rPr>
        <w:t>Quality</w:t>
      </w:r>
      <w:r w:rsidRPr="006731EA">
        <w:rPr>
          <w:rFonts w:cstheme="minorHAnsi"/>
          <w:szCs w:val="24"/>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3A029B">
        <w:rPr>
          <w:rFonts w:cstheme="minorHAnsi"/>
          <w:b/>
          <w:szCs w:val="24"/>
        </w:rPr>
        <w:t>70</w:t>
      </w:r>
      <w:r w:rsidRPr="006731EA">
        <w:rPr>
          <w:rFonts w:cstheme="minorHAnsi"/>
          <w:b/>
          <w:szCs w:val="24"/>
        </w:rPr>
        <w:t>%</w:t>
      </w:r>
      <w:r w:rsidRPr="006731EA">
        <w:rPr>
          <w:rFonts w:cstheme="minorHAnsi"/>
          <w:szCs w:val="24"/>
        </w:rPr>
        <w:t>.</w:t>
      </w:r>
    </w:p>
    <w:p w:rsidR="009F7458" w:rsidRPr="00C54BFB" w:rsidRDefault="009F7458" w:rsidP="00C85114">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lastRenderedPageBreak/>
        <w:t>Instructions to Tenderers</w:t>
      </w:r>
    </w:p>
    <w:p w:rsidR="009F7458" w:rsidRPr="006731EA" w:rsidRDefault="009F7458" w:rsidP="006731EA">
      <w:pPr>
        <w:rPr>
          <w:rFonts w:cstheme="minorHAnsi"/>
          <w:b/>
          <w:szCs w:val="24"/>
        </w:rPr>
      </w:pPr>
    </w:p>
    <w:p w:rsidR="006731EA" w:rsidRPr="006731EA" w:rsidRDefault="006731EA" w:rsidP="00C70C27">
      <w:pPr>
        <w:rPr>
          <w:rFonts w:cstheme="minorHAnsi"/>
          <w:szCs w:val="24"/>
        </w:rPr>
      </w:pPr>
      <w:r w:rsidRPr="006731EA">
        <w:rPr>
          <w:rFonts w:cstheme="minorHAnsi"/>
          <w:szCs w:val="24"/>
        </w:rPr>
        <w:t>The proposed Tender timescales are as follows, however these are subject to change. In such an event, all Tenderers will be informed immediately:</w:t>
      </w:r>
    </w:p>
    <w:tbl>
      <w:tblPr>
        <w:tblStyle w:val="TableGrid"/>
        <w:tblW w:w="0" w:type="auto"/>
        <w:tblInd w:w="534" w:type="dxa"/>
        <w:tblLook w:val="04A0" w:firstRow="1" w:lastRow="0" w:firstColumn="1" w:lastColumn="0" w:noHBand="0" w:noVBand="1"/>
      </w:tblPr>
      <w:tblGrid>
        <w:gridCol w:w="4087"/>
        <w:gridCol w:w="4621"/>
      </w:tblGrid>
      <w:tr w:rsidR="006731EA" w:rsidRPr="006731EA" w:rsidTr="00A913D8">
        <w:tc>
          <w:tcPr>
            <w:tcW w:w="4087" w:type="dxa"/>
            <w:tcBorders>
              <w:bottom w:val="single" w:sz="4" w:space="0" w:color="auto"/>
            </w:tcBorders>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 xml:space="preserve">Tender Process </w:t>
            </w:r>
          </w:p>
        </w:tc>
        <w:tc>
          <w:tcPr>
            <w:tcW w:w="4621" w:type="dxa"/>
            <w:tcBorders>
              <w:bottom w:val="single" w:sz="4" w:space="0" w:color="auto"/>
            </w:tcBorders>
            <w:shd w:val="clear" w:color="auto" w:fill="A6A6A6" w:themeFill="background1" w:themeFillShade="A6"/>
          </w:tcPr>
          <w:p w:rsidR="006731EA" w:rsidRPr="006731EA" w:rsidRDefault="006731EA" w:rsidP="00A913D8">
            <w:pPr>
              <w:jc w:val="center"/>
              <w:rPr>
                <w:rFonts w:cstheme="minorHAnsi"/>
                <w:b/>
                <w:szCs w:val="24"/>
              </w:rPr>
            </w:pPr>
            <w:r w:rsidRPr="006731EA">
              <w:rPr>
                <w:rFonts w:cstheme="minorHAnsi"/>
                <w:b/>
                <w:szCs w:val="24"/>
              </w:rPr>
              <w:t>Deadline</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Invitations to Tender (ITT) sent out</w:t>
            </w:r>
          </w:p>
        </w:tc>
        <w:tc>
          <w:tcPr>
            <w:tcW w:w="4621" w:type="dxa"/>
          </w:tcPr>
          <w:p w:rsidR="006731EA" w:rsidRPr="006731EA" w:rsidRDefault="00B431F4" w:rsidP="00A913D8">
            <w:pPr>
              <w:jc w:val="center"/>
              <w:rPr>
                <w:rFonts w:cstheme="minorHAnsi"/>
                <w:szCs w:val="24"/>
              </w:rPr>
            </w:pPr>
            <w:r>
              <w:rPr>
                <w:rFonts w:cstheme="minorHAnsi"/>
                <w:szCs w:val="24"/>
              </w:rPr>
              <w:t>23 April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Deadline for ITT clarifications / questions</w:t>
            </w:r>
          </w:p>
        </w:tc>
        <w:tc>
          <w:tcPr>
            <w:tcW w:w="4621" w:type="dxa"/>
          </w:tcPr>
          <w:p w:rsidR="006731EA" w:rsidRPr="006731EA" w:rsidRDefault="00B431F4" w:rsidP="00CD4A5F">
            <w:pPr>
              <w:jc w:val="center"/>
              <w:rPr>
                <w:rFonts w:cstheme="minorHAnsi"/>
                <w:szCs w:val="24"/>
              </w:rPr>
            </w:pPr>
            <w:r>
              <w:rPr>
                <w:rFonts w:cstheme="minorHAnsi"/>
                <w:szCs w:val="24"/>
              </w:rPr>
              <w:t>Noon 15 April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ITT response deadline</w:t>
            </w:r>
          </w:p>
        </w:tc>
        <w:tc>
          <w:tcPr>
            <w:tcW w:w="4621" w:type="dxa"/>
          </w:tcPr>
          <w:p w:rsidR="006731EA" w:rsidRPr="006731EA" w:rsidRDefault="00B431F4" w:rsidP="00C4730E">
            <w:pPr>
              <w:jc w:val="center"/>
              <w:rPr>
                <w:rFonts w:cstheme="minorHAnsi"/>
                <w:szCs w:val="24"/>
              </w:rPr>
            </w:pPr>
            <w:r>
              <w:rPr>
                <w:rFonts w:cstheme="minorHAnsi"/>
                <w:szCs w:val="24"/>
              </w:rPr>
              <w:t>Noon 22 April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Authority evaluation of ITT submissions</w:t>
            </w:r>
          </w:p>
        </w:tc>
        <w:tc>
          <w:tcPr>
            <w:tcW w:w="4621" w:type="dxa"/>
          </w:tcPr>
          <w:p w:rsidR="006731EA" w:rsidRPr="006731EA" w:rsidRDefault="00B431F4" w:rsidP="00A913D8">
            <w:pPr>
              <w:jc w:val="center"/>
              <w:rPr>
                <w:rFonts w:cstheme="minorHAnsi"/>
                <w:szCs w:val="24"/>
              </w:rPr>
            </w:pPr>
            <w:r>
              <w:rPr>
                <w:rFonts w:cstheme="minorHAnsi"/>
                <w:szCs w:val="24"/>
              </w:rPr>
              <w:t>25 – 29 April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Contract Award</w:t>
            </w:r>
          </w:p>
        </w:tc>
        <w:tc>
          <w:tcPr>
            <w:tcW w:w="4621" w:type="dxa"/>
            <w:vAlign w:val="center"/>
          </w:tcPr>
          <w:p w:rsidR="006731EA" w:rsidRPr="006731EA" w:rsidRDefault="00B431F4" w:rsidP="00CD4A5F">
            <w:pPr>
              <w:jc w:val="center"/>
              <w:rPr>
                <w:rFonts w:cstheme="minorHAnsi"/>
                <w:szCs w:val="24"/>
              </w:rPr>
            </w:pPr>
            <w:r>
              <w:rPr>
                <w:rFonts w:cstheme="minorHAnsi"/>
                <w:szCs w:val="24"/>
              </w:rPr>
              <w:t>29 April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Standstill period</w:t>
            </w:r>
          </w:p>
        </w:tc>
        <w:tc>
          <w:tcPr>
            <w:tcW w:w="4621" w:type="dxa"/>
            <w:vAlign w:val="center"/>
          </w:tcPr>
          <w:p w:rsidR="006731EA" w:rsidRPr="006731EA" w:rsidRDefault="00B431F4" w:rsidP="00A913D8">
            <w:pPr>
              <w:jc w:val="center"/>
              <w:rPr>
                <w:rFonts w:cstheme="minorHAnsi"/>
                <w:szCs w:val="24"/>
              </w:rPr>
            </w:pPr>
            <w:r>
              <w:rPr>
                <w:rFonts w:cstheme="minorHAnsi"/>
                <w:szCs w:val="24"/>
              </w:rPr>
              <w:t>30 April – 9 May 2016</w:t>
            </w:r>
          </w:p>
        </w:tc>
      </w:tr>
      <w:tr w:rsidR="006731EA" w:rsidRPr="006731EA" w:rsidTr="00A913D8">
        <w:tc>
          <w:tcPr>
            <w:tcW w:w="4087" w:type="dxa"/>
          </w:tcPr>
          <w:p w:rsidR="006731EA" w:rsidRPr="006731EA" w:rsidRDefault="006731EA" w:rsidP="00A913D8">
            <w:pPr>
              <w:jc w:val="center"/>
              <w:rPr>
                <w:rFonts w:cstheme="minorHAnsi"/>
                <w:szCs w:val="24"/>
              </w:rPr>
            </w:pPr>
            <w:r w:rsidRPr="006731EA">
              <w:rPr>
                <w:rFonts w:cstheme="minorHAnsi"/>
                <w:szCs w:val="24"/>
              </w:rPr>
              <w:t>Framework Agreement Commencement date</w:t>
            </w:r>
          </w:p>
        </w:tc>
        <w:tc>
          <w:tcPr>
            <w:tcW w:w="4621" w:type="dxa"/>
            <w:vAlign w:val="center"/>
          </w:tcPr>
          <w:p w:rsidR="006731EA" w:rsidRPr="006731EA" w:rsidRDefault="00B431F4" w:rsidP="00A913D8">
            <w:pPr>
              <w:jc w:val="center"/>
              <w:rPr>
                <w:rFonts w:cstheme="minorHAnsi"/>
                <w:szCs w:val="24"/>
              </w:rPr>
            </w:pPr>
            <w:r>
              <w:rPr>
                <w:rFonts w:cstheme="minorHAnsi"/>
                <w:szCs w:val="24"/>
              </w:rPr>
              <w:t>10 May 2016</w:t>
            </w:r>
          </w:p>
        </w:tc>
      </w:tr>
    </w:tbl>
    <w:p w:rsidR="006731EA" w:rsidRPr="006731EA" w:rsidRDefault="006731EA" w:rsidP="006731EA">
      <w:pPr>
        <w:rPr>
          <w:rFonts w:cstheme="minorHAnsi"/>
          <w:szCs w:val="24"/>
        </w:rPr>
      </w:pPr>
    </w:p>
    <w:p w:rsidR="006A2313" w:rsidRDefault="006A2313" w:rsidP="006A2313">
      <w:pPr>
        <w:rPr>
          <w:rFonts w:asciiTheme="majorHAnsi" w:hAnsiTheme="majorHAnsi" w:cstheme="majorHAnsi"/>
        </w:rPr>
      </w:pPr>
      <w:r w:rsidRPr="002721D9">
        <w:rPr>
          <w:rFonts w:asciiTheme="majorHAnsi" w:hAnsiTheme="majorHAnsi" w:cstheme="majorHAnsi"/>
        </w:rPr>
        <w:t>Tenders submitted after the stipulated time and date advised will be rejected, unless</w:t>
      </w:r>
      <w:r>
        <w:rPr>
          <w:rFonts w:asciiTheme="majorHAnsi" w:hAnsiTheme="majorHAnsi" w:cstheme="majorHAnsi"/>
        </w:rPr>
        <w:t xml:space="preserve"> exceptional circumstances are proven, such as clear evidence of postal guarantee</w:t>
      </w:r>
      <w:r w:rsidRPr="002721D9">
        <w:rPr>
          <w:rFonts w:asciiTheme="majorHAnsi" w:hAnsiTheme="majorHAnsi" w:cstheme="majorHAnsi"/>
        </w:rPr>
        <w:t xml:space="preserve"> </w:t>
      </w:r>
      <w:r>
        <w:rPr>
          <w:rFonts w:asciiTheme="majorHAnsi" w:hAnsiTheme="majorHAnsi" w:cstheme="majorHAnsi"/>
        </w:rPr>
        <w:t>or record of successful submission through In-tend.</w:t>
      </w:r>
    </w:p>
    <w:p w:rsidR="009F7458" w:rsidRDefault="009F7458" w:rsidP="006731EA">
      <w:pPr>
        <w:rPr>
          <w:rFonts w:cstheme="minorHAnsi"/>
          <w:szCs w:val="24"/>
        </w:rPr>
      </w:pPr>
    </w:p>
    <w:p w:rsidR="00832F75" w:rsidRPr="00C54BFB" w:rsidRDefault="009F7458" w:rsidP="00C85114">
      <w:pPr>
        <w:pStyle w:val="Heading2"/>
        <w:numPr>
          <w:ilvl w:val="0"/>
          <w:numId w:val="12"/>
        </w:numPr>
        <w:spacing w:line="240" w:lineRule="auto"/>
        <w:rPr>
          <w:rFonts w:asciiTheme="minorHAnsi" w:hAnsiTheme="minorHAnsi" w:cstheme="minorHAnsi"/>
          <w:color w:val="000000" w:themeColor="text1"/>
          <w:sz w:val="28"/>
          <w:szCs w:val="28"/>
        </w:rPr>
      </w:pPr>
      <w:r w:rsidRPr="00C54BFB">
        <w:rPr>
          <w:rFonts w:asciiTheme="minorHAnsi" w:hAnsiTheme="minorHAnsi" w:cstheme="minorHAnsi"/>
          <w:color w:val="000000" w:themeColor="text1"/>
          <w:sz w:val="28"/>
          <w:szCs w:val="28"/>
        </w:rPr>
        <w:t>Conditions of Tender</w:t>
      </w:r>
      <w:bookmarkStart w:id="4" w:name="_Toc277921552"/>
      <w:bookmarkStart w:id="5" w:name="_Toc298253320"/>
    </w:p>
    <w:p w:rsidR="009F7458" w:rsidRPr="009F7458" w:rsidRDefault="009F7458" w:rsidP="009F7458"/>
    <w:p w:rsidR="006731EA" w:rsidRPr="006731EA" w:rsidRDefault="006731EA" w:rsidP="00832F75">
      <w:pPr>
        <w:pStyle w:val="Heading3"/>
        <w:jc w:val="both"/>
        <w:rPr>
          <w:rFonts w:asciiTheme="minorHAnsi" w:hAnsiTheme="minorHAnsi" w:cstheme="minorHAnsi"/>
          <w:color w:val="0D0D0D" w:themeColor="text1" w:themeTint="F2"/>
          <w:szCs w:val="24"/>
        </w:rPr>
      </w:pPr>
      <w:r w:rsidRPr="006731EA">
        <w:rPr>
          <w:rFonts w:asciiTheme="minorHAnsi" w:hAnsiTheme="minorHAnsi" w:cstheme="minorHAnsi"/>
          <w:color w:val="0D0D0D" w:themeColor="text1" w:themeTint="F2"/>
          <w:szCs w:val="24"/>
        </w:rPr>
        <w:t>Representations</w:t>
      </w:r>
      <w:bookmarkEnd w:id="4"/>
      <w:bookmarkEnd w:id="5"/>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A supplier may contact the Authority to obtain any further information about the requirements of the contract or the tendering procedures if these are not evident or clear from the documents supplied to suppliers.</w:t>
      </w:r>
    </w:p>
    <w:p w:rsidR="006731EA" w:rsidRPr="006731EA" w:rsidRDefault="006731EA" w:rsidP="00832F75">
      <w:pPr>
        <w:rPr>
          <w:rFonts w:cstheme="minorHAnsi"/>
          <w:szCs w:val="24"/>
        </w:rPr>
      </w:pPr>
      <w:r w:rsidRPr="006731EA">
        <w:rPr>
          <w:rFonts w:cstheme="minorHAnsi"/>
          <w:szCs w:val="24"/>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rsidR="006731EA" w:rsidRPr="006731EA" w:rsidRDefault="006731EA" w:rsidP="00832F75">
      <w:pPr>
        <w:pStyle w:val="Heading3"/>
        <w:jc w:val="both"/>
        <w:rPr>
          <w:rFonts w:asciiTheme="minorHAnsi" w:hAnsiTheme="minorHAnsi" w:cstheme="minorHAnsi"/>
          <w:color w:val="0D0D0D" w:themeColor="text1" w:themeTint="F2"/>
          <w:szCs w:val="24"/>
        </w:rPr>
      </w:pPr>
      <w:bookmarkStart w:id="6" w:name="_Toc277921553"/>
      <w:bookmarkStart w:id="7" w:name="_Toc298253321"/>
      <w:r w:rsidRPr="006731EA">
        <w:rPr>
          <w:rFonts w:asciiTheme="minorHAnsi" w:hAnsiTheme="minorHAnsi" w:cstheme="minorHAnsi"/>
          <w:color w:val="0D0D0D" w:themeColor="text1" w:themeTint="F2"/>
          <w:szCs w:val="24"/>
        </w:rPr>
        <w:t>Specification</w:t>
      </w:r>
      <w:bookmarkEnd w:id="6"/>
      <w:bookmarkEnd w:id="7"/>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For the avoidance of doubt, the contract specification shall include all requirements explicit or implied within the invitation to tender.</w:t>
      </w:r>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It must be recognised that the Authority reserves the right to withdraw this tender document and all funding contained within it without notice.</w:t>
      </w:r>
    </w:p>
    <w:p w:rsidR="006731EA" w:rsidRPr="006731EA" w:rsidRDefault="006731EA" w:rsidP="00832F75">
      <w:pPr>
        <w:pStyle w:val="Heading3"/>
        <w:jc w:val="both"/>
        <w:rPr>
          <w:rFonts w:asciiTheme="minorHAnsi" w:hAnsiTheme="minorHAnsi" w:cstheme="minorHAnsi"/>
          <w:color w:val="0D0D0D" w:themeColor="text1" w:themeTint="F2"/>
          <w:szCs w:val="24"/>
        </w:rPr>
      </w:pPr>
      <w:bookmarkStart w:id="8" w:name="_Toc277921554"/>
      <w:bookmarkStart w:id="9" w:name="_Toc298253322"/>
      <w:r w:rsidRPr="006731EA">
        <w:rPr>
          <w:rFonts w:asciiTheme="minorHAnsi" w:hAnsiTheme="minorHAnsi" w:cstheme="minorHAnsi"/>
          <w:color w:val="0D0D0D" w:themeColor="text1" w:themeTint="F2"/>
          <w:szCs w:val="24"/>
        </w:rPr>
        <w:t>Tenders Excluded</w:t>
      </w:r>
      <w:bookmarkEnd w:id="8"/>
      <w:bookmarkEnd w:id="9"/>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 xml:space="preserve">No tender will be considered for acceptance if the supplier has indulged or attempted to indulge in any corrupt practice or canvassed the tender with an employee of the Authority.  If a supplier has indulged or attempted to indulge in such practices and the tender is </w:t>
      </w:r>
      <w:r w:rsidRPr="006731EA">
        <w:rPr>
          <w:rFonts w:cstheme="minorHAnsi"/>
          <w:color w:val="0D0D0D" w:themeColor="text1" w:themeTint="F2"/>
          <w:szCs w:val="24"/>
        </w:rPr>
        <w:lastRenderedPageBreak/>
        <w:t>accepted, then grounds shall exist for the termination of the contract and the claiming of damages from the successful suppliers.</w:t>
      </w:r>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rsidR="006731EA" w:rsidRPr="006731EA" w:rsidRDefault="006731EA" w:rsidP="00832F75">
      <w:pPr>
        <w:pStyle w:val="Heading3"/>
        <w:jc w:val="both"/>
        <w:rPr>
          <w:rFonts w:asciiTheme="minorHAnsi" w:hAnsiTheme="minorHAnsi" w:cstheme="minorHAnsi"/>
          <w:color w:val="0D0D0D" w:themeColor="text1" w:themeTint="F2"/>
          <w:szCs w:val="24"/>
        </w:rPr>
      </w:pPr>
      <w:bookmarkStart w:id="10" w:name="_Toc277921555"/>
      <w:bookmarkStart w:id="11" w:name="_Toc298253323"/>
      <w:r w:rsidRPr="006731EA">
        <w:rPr>
          <w:rFonts w:asciiTheme="minorHAnsi" w:hAnsiTheme="minorHAnsi" w:cstheme="minorHAnsi"/>
          <w:color w:val="0D0D0D" w:themeColor="text1" w:themeTint="F2"/>
          <w:szCs w:val="24"/>
        </w:rPr>
        <w:t>Collusive Tendering</w:t>
      </w:r>
      <w:bookmarkEnd w:id="10"/>
      <w:bookmarkEnd w:id="11"/>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 xml:space="preserve">In submitting a tender against this contract, the supplier confirms that they have not fixed or adjusted the amount of the tender by or under or in accordance with any agreement or arrangement with any other person. </w:t>
      </w:r>
    </w:p>
    <w:p w:rsidR="006731EA" w:rsidRPr="006731EA" w:rsidRDefault="006731EA" w:rsidP="006731EA">
      <w:pPr>
        <w:rPr>
          <w:rFonts w:cstheme="minorHAnsi"/>
          <w:color w:val="0D0D0D" w:themeColor="text1" w:themeTint="F2"/>
          <w:szCs w:val="24"/>
        </w:rPr>
      </w:pPr>
      <w:r w:rsidRPr="006731EA">
        <w:rPr>
          <w:rFonts w:cstheme="minorHAnsi"/>
          <w:color w:val="0D0D0D" w:themeColor="text1" w:themeTint="F2"/>
          <w:szCs w:val="24"/>
        </w:rPr>
        <w:t xml:space="preserve">The supplier also certifies that at no time, before or following the submission of the tender, has the Supplier carried out any of the following acts: </w:t>
      </w:r>
    </w:p>
    <w:p w:rsidR="006731EA" w:rsidRPr="006731EA" w:rsidRDefault="006731EA" w:rsidP="006731EA">
      <w:pPr>
        <w:ind w:left="360"/>
        <w:rPr>
          <w:rFonts w:cstheme="minorHAnsi"/>
          <w:color w:val="0D0D0D" w:themeColor="text1" w:themeTint="F2"/>
          <w:szCs w:val="24"/>
        </w:rPr>
      </w:pPr>
      <w:proofErr w:type="spellStart"/>
      <w:r w:rsidRPr="006731EA">
        <w:rPr>
          <w:rFonts w:cstheme="minorHAnsi"/>
          <w:color w:val="0D0D0D" w:themeColor="text1" w:themeTint="F2"/>
          <w:szCs w:val="24"/>
        </w:rPr>
        <w:t>i</w:t>
      </w:r>
      <w:proofErr w:type="spellEnd"/>
      <w:r w:rsidRPr="006731EA">
        <w:rPr>
          <w:rFonts w:cstheme="minorHAnsi"/>
          <w:color w:val="0D0D0D" w:themeColor="text1" w:themeTint="F2"/>
          <w:szCs w:val="24"/>
        </w:rPr>
        <w:t xml:space="preserve">) </w:t>
      </w:r>
      <w:proofErr w:type="gramStart"/>
      <w:r w:rsidRPr="006731EA">
        <w:rPr>
          <w:rFonts w:cstheme="minorHAnsi"/>
          <w:color w:val="0D0D0D" w:themeColor="text1" w:themeTint="F2"/>
          <w:szCs w:val="24"/>
        </w:rPr>
        <w:t>communicating</w:t>
      </w:r>
      <w:proofErr w:type="gramEnd"/>
      <w:r w:rsidRPr="006731EA">
        <w:rPr>
          <w:rFonts w:cstheme="minorHAnsi"/>
          <w:color w:val="0D0D0D" w:themeColor="text1" w:themeTint="F2"/>
          <w:szCs w:val="24"/>
        </w:rPr>
        <w:t xml:space="preserve"> to a person other than the person calling for the tenders the amount or approximate amount of the proposed tender, except where such disclosure is required for the purpose of obtaining insurance</w:t>
      </w:r>
    </w:p>
    <w:p w:rsidR="006731EA" w:rsidRPr="006731EA" w:rsidRDefault="006731EA" w:rsidP="00832F75">
      <w:pPr>
        <w:ind w:left="360"/>
        <w:rPr>
          <w:rFonts w:cstheme="minorHAnsi"/>
          <w:color w:val="0D0D0D" w:themeColor="text1" w:themeTint="F2"/>
          <w:szCs w:val="24"/>
        </w:rPr>
      </w:pPr>
      <w:r w:rsidRPr="006731EA">
        <w:rPr>
          <w:rFonts w:cstheme="minorHAnsi"/>
          <w:color w:val="0D0D0D" w:themeColor="text1" w:themeTint="F2"/>
          <w:szCs w:val="24"/>
        </w:rPr>
        <w:t xml:space="preserve">ii) </w:t>
      </w:r>
      <w:proofErr w:type="gramStart"/>
      <w:r w:rsidRPr="006731EA">
        <w:rPr>
          <w:rFonts w:cstheme="minorHAnsi"/>
          <w:color w:val="0D0D0D" w:themeColor="text1" w:themeTint="F2"/>
          <w:szCs w:val="24"/>
        </w:rPr>
        <w:t>entering</w:t>
      </w:r>
      <w:proofErr w:type="gramEnd"/>
      <w:r w:rsidRPr="006731EA">
        <w:rPr>
          <w:rFonts w:cstheme="minorHAnsi"/>
          <w:color w:val="0D0D0D" w:themeColor="text1" w:themeTint="F2"/>
          <w:szCs w:val="24"/>
        </w:rPr>
        <w:t xml:space="preserve"> into any agreement or arrangement with any person that he shall refrain from tendering or as to the amount of any tender to be submitted</w:t>
      </w:r>
    </w:p>
    <w:p w:rsidR="00223478" w:rsidRPr="006731EA" w:rsidRDefault="006731EA" w:rsidP="00D01C05">
      <w:pPr>
        <w:ind w:left="360"/>
        <w:rPr>
          <w:rFonts w:cstheme="minorHAnsi"/>
          <w:color w:val="0D0D0D" w:themeColor="text1" w:themeTint="F2"/>
          <w:szCs w:val="24"/>
        </w:rPr>
      </w:pPr>
      <w:r w:rsidRPr="006731EA">
        <w:rPr>
          <w:rFonts w:cstheme="minorHAnsi"/>
          <w:color w:val="0D0D0D" w:themeColor="text1" w:themeTint="F2"/>
          <w:szCs w:val="24"/>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006731EA">
        <w:rPr>
          <w:rFonts w:cstheme="minorHAnsi"/>
          <w:color w:val="0D0D0D" w:themeColor="text1" w:themeTint="F2"/>
          <w:szCs w:val="24"/>
        </w:rPr>
        <w:t>any body</w:t>
      </w:r>
      <w:proofErr w:type="spellEnd"/>
      <w:r w:rsidRPr="006731EA">
        <w:rPr>
          <w:rFonts w:cstheme="minorHAnsi"/>
          <w:color w:val="0D0D0D" w:themeColor="text1" w:themeTint="F2"/>
          <w:szCs w:val="24"/>
        </w:rPr>
        <w:t xml:space="preserve"> or association, corporate or unincorporated; and ‘any agreement or arrangement’ includes any such transaction, formal or informal, and whether legally binding or not.</w:t>
      </w:r>
    </w:p>
    <w:p w:rsidR="006731EA" w:rsidRPr="006731EA" w:rsidRDefault="006731EA" w:rsidP="00832F75">
      <w:pPr>
        <w:pStyle w:val="Heading3"/>
        <w:jc w:val="both"/>
        <w:rPr>
          <w:rFonts w:asciiTheme="minorHAnsi" w:hAnsiTheme="minorHAnsi" w:cstheme="minorHAnsi"/>
          <w:color w:val="0D0D0D" w:themeColor="text1" w:themeTint="F2"/>
          <w:szCs w:val="24"/>
        </w:rPr>
      </w:pPr>
      <w:bookmarkStart w:id="12" w:name="_Toc277921556"/>
      <w:bookmarkStart w:id="13" w:name="_Toc298253324"/>
      <w:r w:rsidRPr="006731EA">
        <w:rPr>
          <w:rFonts w:asciiTheme="minorHAnsi" w:hAnsiTheme="minorHAnsi" w:cstheme="minorHAnsi"/>
          <w:color w:val="0D0D0D" w:themeColor="text1" w:themeTint="F2"/>
          <w:szCs w:val="24"/>
        </w:rPr>
        <w:t>Freedom of Information</w:t>
      </w:r>
      <w:bookmarkEnd w:id="12"/>
      <w:bookmarkEnd w:id="13"/>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Information in relation to this tender may be made available on demand in accordance with the requirements of the Freedom of Information Act 2000.</w:t>
      </w:r>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Suppliers should state if any of the information supplied by them is confidential or commercially sensitive or should not be disclosed in response to a request for information under the Act.  Suppliers should state why they consider the information to be confidential or commercially sensitive.  This will not guarantee that the information will not be disclosed but will be examined in the light of the exemptions provided in the Act.</w:t>
      </w:r>
    </w:p>
    <w:p w:rsidR="006731EA" w:rsidRDefault="006731EA" w:rsidP="00832F75">
      <w:pPr>
        <w:rPr>
          <w:rFonts w:cstheme="minorHAnsi"/>
          <w:color w:val="0D0D0D" w:themeColor="text1" w:themeTint="F2"/>
          <w:szCs w:val="24"/>
        </w:rPr>
      </w:pPr>
      <w:r w:rsidRPr="006731EA">
        <w:rPr>
          <w:rFonts w:cstheme="minorHAnsi"/>
          <w:color w:val="0D0D0D" w:themeColor="text1" w:themeTint="F2"/>
          <w:szCs w:val="24"/>
        </w:rPr>
        <w:t>It is important to note that information may be commercially sensitive for a time (e.g. during a tender process) but afterwards it may not be.  The timing of any request for information may be extremely important in determining whether or not information is exempt.  However Suppliers should note that no information is likely to be regarded as exempt forever.</w:t>
      </w:r>
    </w:p>
    <w:p w:rsidR="00D01C05" w:rsidRPr="006731EA" w:rsidRDefault="00D01C05" w:rsidP="00832F75">
      <w:pPr>
        <w:rPr>
          <w:rFonts w:cstheme="minorHAnsi"/>
          <w:color w:val="0D0D0D" w:themeColor="text1" w:themeTint="F2"/>
          <w:szCs w:val="24"/>
        </w:rPr>
      </w:pPr>
    </w:p>
    <w:p w:rsidR="006731EA" w:rsidRPr="00190566" w:rsidRDefault="006731EA" w:rsidP="00190566">
      <w:pPr>
        <w:pStyle w:val="Heading3"/>
        <w:rPr>
          <w:color w:val="000000" w:themeColor="text1"/>
        </w:rPr>
      </w:pPr>
      <w:r w:rsidRPr="00190566">
        <w:rPr>
          <w:color w:val="000000" w:themeColor="text1"/>
        </w:rPr>
        <w:lastRenderedPageBreak/>
        <w:t>Confidentiality</w:t>
      </w:r>
    </w:p>
    <w:p w:rsidR="006731EA" w:rsidRPr="006731EA" w:rsidRDefault="006731EA" w:rsidP="00832F75">
      <w:pPr>
        <w:rPr>
          <w:rFonts w:cstheme="minorHAnsi"/>
          <w:color w:val="0D0D0D" w:themeColor="text1" w:themeTint="F2"/>
          <w:szCs w:val="24"/>
        </w:rPr>
      </w:pPr>
      <w:r w:rsidRPr="006731EA">
        <w:rPr>
          <w:rFonts w:cstheme="minorHAnsi"/>
          <w:color w:val="0D0D0D" w:themeColor="text1" w:themeTint="F2"/>
          <w:szCs w:val="24"/>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rsidR="006731EA" w:rsidRPr="00190566" w:rsidRDefault="006731EA" w:rsidP="00190566">
      <w:pPr>
        <w:pStyle w:val="Heading3"/>
        <w:rPr>
          <w:color w:val="000000" w:themeColor="text1"/>
        </w:rPr>
      </w:pPr>
      <w:r w:rsidRPr="00190566">
        <w:rPr>
          <w:color w:val="000000" w:themeColor="text1"/>
        </w:rPr>
        <w:t>Acknowledgement</w:t>
      </w:r>
    </w:p>
    <w:p w:rsidR="006731EA" w:rsidRDefault="006731EA" w:rsidP="00832F75">
      <w:pPr>
        <w:rPr>
          <w:rFonts w:cstheme="minorHAnsi"/>
          <w:szCs w:val="24"/>
        </w:rPr>
      </w:pPr>
      <w:r w:rsidRPr="006731EA">
        <w:rPr>
          <w:rFonts w:cstheme="minorHAnsi"/>
          <w:szCs w:val="24"/>
        </w:rPr>
        <w:t xml:space="preserve">Please acknowledge by e-mail to </w:t>
      </w:r>
      <w:hyperlink r:id="rId20" w:history="1">
        <w:r w:rsidRPr="006731EA">
          <w:rPr>
            <w:rStyle w:val="Hyperlink"/>
            <w:rFonts w:cstheme="minorHAnsi"/>
            <w:szCs w:val="24"/>
          </w:rPr>
          <w:t>chris.pathmadeva@newforestnpa.gov.uk</w:t>
        </w:r>
      </w:hyperlink>
      <w:r w:rsidRPr="006731EA">
        <w:rPr>
          <w:rFonts w:cstheme="minorHAnsi"/>
          <w:szCs w:val="24"/>
        </w:rPr>
        <w:t xml:space="preserve"> your receipt of this Invitation to Tender and all enclosures, confirming that you intend to submit a tender by the required date.</w:t>
      </w:r>
    </w:p>
    <w:p w:rsidR="000D030F" w:rsidRPr="00015B3B" w:rsidRDefault="000D030F" w:rsidP="00400F8F">
      <w:pPr>
        <w:spacing w:after="0" w:line="240" w:lineRule="auto"/>
        <w:rPr>
          <w:rFonts w:cstheme="minorHAnsi"/>
          <w:szCs w:val="24"/>
        </w:rPr>
      </w:pPr>
    </w:p>
    <w:sectPr w:rsidR="000D030F" w:rsidRPr="00015B3B" w:rsidSect="00912DBF">
      <w:headerReference w:type="default" r:id="rId21"/>
      <w:footerReference w:type="default" r:id="rId22"/>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86" w:rsidRDefault="00A32186" w:rsidP="00053E40">
      <w:pPr>
        <w:spacing w:after="0" w:line="240" w:lineRule="auto"/>
      </w:pPr>
      <w:r>
        <w:separator/>
      </w:r>
    </w:p>
  </w:endnote>
  <w:endnote w:type="continuationSeparator" w:id="0">
    <w:p w:rsidR="00A32186" w:rsidRDefault="00A32186" w:rsidP="000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B431F4">
          <w:rPr>
            <w:noProof/>
            <w:sz w:val="16"/>
            <w:szCs w:val="16"/>
          </w:rPr>
          <w:t>1</w:t>
        </w:r>
        <w:r w:rsidRPr="005B7A63">
          <w:rPr>
            <w:noProof/>
            <w:sz w:val="16"/>
            <w:szCs w:val="16"/>
          </w:rPr>
          <w:fldChar w:fldCharType="end"/>
        </w:r>
      </w:sdtContent>
    </w:sdt>
  </w:p>
  <w:p w:rsidR="00B53926" w:rsidRDefault="00B53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86" w:rsidRDefault="00A32186" w:rsidP="00053E40">
      <w:pPr>
        <w:spacing w:after="0" w:line="240" w:lineRule="auto"/>
      </w:pPr>
      <w:r>
        <w:separator/>
      </w:r>
    </w:p>
  </w:footnote>
  <w:footnote w:type="continuationSeparator" w:id="0">
    <w:p w:rsidR="00A32186" w:rsidRDefault="00A32186" w:rsidP="000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26" w:rsidRDefault="00B53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31B"/>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E23C0"/>
    <w:multiLevelType w:val="hybridMultilevel"/>
    <w:tmpl w:val="6AC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538FB"/>
    <w:multiLevelType w:val="hybridMultilevel"/>
    <w:tmpl w:val="4DB6CE28"/>
    <w:lvl w:ilvl="0" w:tplc="3ABA573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534A6"/>
    <w:multiLevelType w:val="hybridMultilevel"/>
    <w:tmpl w:val="1E6A3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5039D5"/>
    <w:multiLevelType w:val="hybridMultilevel"/>
    <w:tmpl w:val="9D80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02F76"/>
    <w:multiLevelType w:val="hybridMultilevel"/>
    <w:tmpl w:val="E54E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884F99"/>
    <w:multiLevelType w:val="hybridMultilevel"/>
    <w:tmpl w:val="8DBCC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7291E"/>
    <w:multiLevelType w:val="hybridMultilevel"/>
    <w:tmpl w:val="60D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14405"/>
    <w:multiLevelType w:val="hybridMultilevel"/>
    <w:tmpl w:val="93DA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D21A56"/>
    <w:multiLevelType w:val="hybridMultilevel"/>
    <w:tmpl w:val="3CA4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241E47"/>
    <w:multiLevelType w:val="hybridMultilevel"/>
    <w:tmpl w:val="136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E690847"/>
    <w:multiLevelType w:val="hybridMultilevel"/>
    <w:tmpl w:val="747AC7D8"/>
    <w:lvl w:ilvl="0" w:tplc="FDA2C330">
      <w:start w:val="1"/>
      <w:numFmt w:val="bullet"/>
      <w:lvlText w:val="-"/>
      <w:lvlJc w:val="left"/>
      <w:pPr>
        <w:ind w:left="717" w:hanging="360"/>
      </w:pPr>
      <w:rPr>
        <w:rFonts w:ascii="Arial" w:hAnsi="Arial" w:hint="default"/>
      </w:rPr>
    </w:lvl>
    <w:lvl w:ilvl="1" w:tplc="FDA2C330">
      <w:start w:val="1"/>
      <w:numFmt w:val="bullet"/>
      <w:lvlText w:val="-"/>
      <w:lvlJc w:val="left"/>
      <w:pPr>
        <w:ind w:left="1437" w:hanging="360"/>
      </w:pPr>
      <w:rPr>
        <w:rFonts w:ascii="Arial" w:hAnsi="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nsid w:val="40025CFD"/>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E75920"/>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3C53E7"/>
    <w:multiLevelType w:val="hybridMultilevel"/>
    <w:tmpl w:val="0E18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906223C"/>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CA5A1D"/>
    <w:multiLevelType w:val="hybridMultilevel"/>
    <w:tmpl w:val="AFD62C14"/>
    <w:lvl w:ilvl="0" w:tplc="697404F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FAA7BE6"/>
    <w:multiLevelType w:val="hybridMultilevel"/>
    <w:tmpl w:val="83329DD2"/>
    <w:lvl w:ilvl="0" w:tplc="9514A7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B355CE"/>
    <w:multiLevelType w:val="hybridMultilevel"/>
    <w:tmpl w:val="540CD5DC"/>
    <w:lvl w:ilvl="0" w:tplc="08090001">
      <w:start w:val="1"/>
      <w:numFmt w:val="bullet"/>
      <w:lvlText w:val=""/>
      <w:lvlJc w:val="left"/>
      <w:pPr>
        <w:ind w:left="-184" w:hanging="360"/>
      </w:pPr>
      <w:rPr>
        <w:rFonts w:ascii="Symbol" w:hAnsi="Symbol" w:hint="default"/>
      </w:rPr>
    </w:lvl>
    <w:lvl w:ilvl="1" w:tplc="08090001">
      <w:start w:val="1"/>
      <w:numFmt w:val="bullet"/>
      <w:lvlText w:val=""/>
      <w:lvlJc w:val="left"/>
      <w:pPr>
        <w:ind w:left="536" w:hanging="360"/>
      </w:pPr>
      <w:rPr>
        <w:rFonts w:ascii="Symbol" w:hAnsi="Symbol" w:hint="default"/>
      </w:rPr>
    </w:lvl>
    <w:lvl w:ilvl="2" w:tplc="0809001B" w:tentative="1">
      <w:start w:val="1"/>
      <w:numFmt w:val="lowerRoman"/>
      <w:lvlText w:val="%3."/>
      <w:lvlJc w:val="right"/>
      <w:pPr>
        <w:ind w:left="1256" w:hanging="180"/>
      </w:pPr>
    </w:lvl>
    <w:lvl w:ilvl="3" w:tplc="0809000F" w:tentative="1">
      <w:start w:val="1"/>
      <w:numFmt w:val="decimal"/>
      <w:lvlText w:val="%4."/>
      <w:lvlJc w:val="left"/>
      <w:pPr>
        <w:ind w:left="1976" w:hanging="360"/>
      </w:pPr>
    </w:lvl>
    <w:lvl w:ilvl="4" w:tplc="08090019" w:tentative="1">
      <w:start w:val="1"/>
      <w:numFmt w:val="lowerLetter"/>
      <w:lvlText w:val="%5."/>
      <w:lvlJc w:val="left"/>
      <w:pPr>
        <w:ind w:left="2696" w:hanging="360"/>
      </w:pPr>
    </w:lvl>
    <w:lvl w:ilvl="5" w:tplc="0809001B" w:tentative="1">
      <w:start w:val="1"/>
      <w:numFmt w:val="lowerRoman"/>
      <w:lvlText w:val="%6."/>
      <w:lvlJc w:val="right"/>
      <w:pPr>
        <w:ind w:left="3416" w:hanging="180"/>
      </w:pPr>
    </w:lvl>
    <w:lvl w:ilvl="6" w:tplc="0809000F" w:tentative="1">
      <w:start w:val="1"/>
      <w:numFmt w:val="decimal"/>
      <w:lvlText w:val="%7."/>
      <w:lvlJc w:val="left"/>
      <w:pPr>
        <w:ind w:left="4136" w:hanging="360"/>
      </w:pPr>
    </w:lvl>
    <w:lvl w:ilvl="7" w:tplc="08090019" w:tentative="1">
      <w:start w:val="1"/>
      <w:numFmt w:val="lowerLetter"/>
      <w:lvlText w:val="%8."/>
      <w:lvlJc w:val="left"/>
      <w:pPr>
        <w:ind w:left="4856" w:hanging="360"/>
      </w:pPr>
    </w:lvl>
    <w:lvl w:ilvl="8" w:tplc="0809001B" w:tentative="1">
      <w:start w:val="1"/>
      <w:numFmt w:val="lowerRoman"/>
      <w:lvlText w:val="%9."/>
      <w:lvlJc w:val="right"/>
      <w:pPr>
        <w:ind w:left="5576" w:hanging="180"/>
      </w:pPr>
    </w:lvl>
  </w:abstractNum>
  <w:abstractNum w:abstractNumId="20">
    <w:nsid w:val="52F2657F"/>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B62596"/>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0446E3"/>
    <w:multiLevelType w:val="singleLevel"/>
    <w:tmpl w:val="4606BB6E"/>
    <w:lvl w:ilvl="0">
      <w:start w:val="1"/>
      <w:numFmt w:val="lowerLetter"/>
      <w:lvlText w:val="%1)"/>
      <w:lvlJc w:val="left"/>
      <w:pPr>
        <w:tabs>
          <w:tab w:val="num" w:pos="720"/>
        </w:tabs>
        <w:ind w:left="720" w:hanging="720"/>
      </w:pPr>
      <w:rPr>
        <w:rFonts w:hint="default"/>
      </w:rPr>
    </w:lvl>
  </w:abstractNum>
  <w:abstractNum w:abstractNumId="23">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F13598"/>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1C4AE0"/>
    <w:multiLevelType w:val="hybridMultilevel"/>
    <w:tmpl w:val="83F03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545E91"/>
    <w:multiLevelType w:val="hybridMultilevel"/>
    <w:tmpl w:val="04882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B95067F"/>
    <w:multiLevelType w:val="hybridMultilevel"/>
    <w:tmpl w:val="BE4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AF7B3A"/>
    <w:multiLevelType w:val="multilevel"/>
    <w:tmpl w:val="8C7C14A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43371E"/>
    <w:multiLevelType w:val="hybridMultilevel"/>
    <w:tmpl w:val="5BCAC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D784D"/>
    <w:multiLevelType w:val="multilevel"/>
    <w:tmpl w:val="F536A05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6"/>
  </w:num>
  <w:num w:numId="3">
    <w:abstractNumId w:val="15"/>
  </w:num>
  <w:num w:numId="4">
    <w:abstractNumId w:val="30"/>
  </w:num>
  <w:num w:numId="5">
    <w:abstractNumId w:val="19"/>
  </w:num>
  <w:num w:numId="6">
    <w:abstractNumId w:val="29"/>
  </w:num>
  <w:num w:numId="7">
    <w:abstractNumId w:val="12"/>
  </w:num>
  <w:num w:numId="8">
    <w:abstractNumId w:val="28"/>
  </w:num>
  <w:num w:numId="9">
    <w:abstractNumId w:val="7"/>
  </w:num>
  <w:num w:numId="10">
    <w:abstractNumId w:val="17"/>
  </w:num>
  <w:num w:numId="11">
    <w:abstractNumId w:val="1"/>
  </w:num>
  <w:num w:numId="12">
    <w:abstractNumId w:val="14"/>
  </w:num>
  <w:num w:numId="13">
    <w:abstractNumId w:val="10"/>
  </w:num>
  <w:num w:numId="14">
    <w:abstractNumId w:val="22"/>
  </w:num>
  <w:num w:numId="15">
    <w:abstractNumId w:val="5"/>
  </w:num>
  <w:num w:numId="16">
    <w:abstractNumId w:val="25"/>
  </w:num>
  <w:num w:numId="17">
    <w:abstractNumId w:val="9"/>
  </w:num>
  <w:num w:numId="18">
    <w:abstractNumId w:val="11"/>
  </w:num>
  <w:num w:numId="19">
    <w:abstractNumId w:val="8"/>
  </w:num>
  <w:num w:numId="20">
    <w:abstractNumId w:val="2"/>
  </w:num>
  <w:num w:numId="21">
    <w:abstractNumId w:val="4"/>
  </w:num>
  <w:num w:numId="22">
    <w:abstractNumId w:val="23"/>
  </w:num>
  <w:num w:numId="23">
    <w:abstractNumId w:val="6"/>
  </w:num>
  <w:num w:numId="24">
    <w:abstractNumId w:val="16"/>
  </w:num>
  <w:num w:numId="25">
    <w:abstractNumId w:val="13"/>
  </w:num>
  <w:num w:numId="26">
    <w:abstractNumId w:val="21"/>
  </w:num>
  <w:num w:numId="27">
    <w:abstractNumId w:val="24"/>
  </w:num>
  <w:num w:numId="28">
    <w:abstractNumId w:val="0"/>
  </w:num>
  <w:num w:numId="29">
    <w:abstractNumId w:val="20"/>
  </w:num>
  <w:num w:numId="30">
    <w:abstractNumId w:val="18"/>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44"/>
    <w:rsid w:val="0000413D"/>
    <w:rsid w:val="00007214"/>
    <w:rsid w:val="00013A6B"/>
    <w:rsid w:val="00015B3B"/>
    <w:rsid w:val="00017CC6"/>
    <w:rsid w:val="00027EFD"/>
    <w:rsid w:val="00036B7C"/>
    <w:rsid w:val="0004257E"/>
    <w:rsid w:val="00051DB4"/>
    <w:rsid w:val="00053E40"/>
    <w:rsid w:val="00082AF2"/>
    <w:rsid w:val="000835F5"/>
    <w:rsid w:val="00086D22"/>
    <w:rsid w:val="000914B6"/>
    <w:rsid w:val="00092A6B"/>
    <w:rsid w:val="00093B76"/>
    <w:rsid w:val="00096FF0"/>
    <w:rsid w:val="00097EB8"/>
    <w:rsid w:val="000A3B0C"/>
    <w:rsid w:val="000A518B"/>
    <w:rsid w:val="000B5DF3"/>
    <w:rsid w:val="000B70DA"/>
    <w:rsid w:val="000B7D26"/>
    <w:rsid w:val="000C1FC8"/>
    <w:rsid w:val="000C2D31"/>
    <w:rsid w:val="000C3B39"/>
    <w:rsid w:val="000C51EE"/>
    <w:rsid w:val="000C5AA9"/>
    <w:rsid w:val="000C68BB"/>
    <w:rsid w:val="000C6DFE"/>
    <w:rsid w:val="000D030F"/>
    <w:rsid w:val="000E31ED"/>
    <w:rsid w:val="000E7E9E"/>
    <w:rsid w:val="000F2771"/>
    <w:rsid w:val="00101D79"/>
    <w:rsid w:val="00113A2A"/>
    <w:rsid w:val="001164CD"/>
    <w:rsid w:val="00122437"/>
    <w:rsid w:val="00123637"/>
    <w:rsid w:val="001253D1"/>
    <w:rsid w:val="00130B63"/>
    <w:rsid w:val="00135F4E"/>
    <w:rsid w:val="00140721"/>
    <w:rsid w:val="0014395A"/>
    <w:rsid w:val="00143FF0"/>
    <w:rsid w:val="0015341F"/>
    <w:rsid w:val="00154B27"/>
    <w:rsid w:val="00164D43"/>
    <w:rsid w:val="00183C6A"/>
    <w:rsid w:val="00185390"/>
    <w:rsid w:val="00190566"/>
    <w:rsid w:val="00191843"/>
    <w:rsid w:val="00196683"/>
    <w:rsid w:val="001A0D48"/>
    <w:rsid w:val="001B355F"/>
    <w:rsid w:val="001C0A09"/>
    <w:rsid w:val="001C452C"/>
    <w:rsid w:val="001D62B4"/>
    <w:rsid w:val="001D66A0"/>
    <w:rsid w:val="001E2A32"/>
    <w:rsid w:val="001F053B"/>
    <w:rsid w:val="001F1D66"/>
    <w:rsid w:val="001F7102"/>
    <w:rsid w:val="00202443"/>
    <w:rsid w:val="00207E60"/>
    <w:rsid w:val="0021384F"/>
    <w:rsid w:val="00213F32"/>
    <w:rsid w:val="0021690A"/>
    <w:rsid w:val="00223478"/>
    <w:rsid w:val="00234ECC"/>
    <w:rsid w:val="00236565"/>
    <w:rsid w:val="00236A91"/>
    <w:rsid w:val="002373CB"/>
    <w:rsid w:val="002375B6"/>
    <w:rsid w:val="00247C3E"/>
    <w:rsid w:val="00256816"/>
    <w:rsid w:val="0026165B"/>
    <w:rsid w:val="00270F28"/>
    <w:rsid w:val="002754E4"/>
    <w:rsid w:val="00293C26"/>
    <w:rsid w:val="00293D3C"/>
    <w:rsid w:val="00297BBD"/>
    <w:rsid w:val="00297BE6"/>
    <w:rsid w:val="002A4627"/>
    <w:rsid w:val="002B1078"/>
    <w:rsid w:val="002B28D8"/>
    <w:rsid w:val="002B4D0F"/>
    <w:rsid w:val="002B4D47"/>
    <w:rsid w:val="002B5231"/>
    <w:rsid w:val="002C3C06"/>
    <w:rsid w:val="002C4EAD"/>
    <w:rsid w:val="002C58D2"/>
    <w:rsid w:val="002D20DF"/>
    <w:rsid w:val="002D550A"/>
    <w:rsid w:val="002F172C"/>
    <w:rsid w:val="002F3727"/>
    <w:rsid w:val="00301EBC"/>
    <w:rsid w:val="00315DAB"/>
    <w:rsid w:val="003163EE"/>
    <w:rsid w:val="00331054"/>
    <w:rsid w:val="003329C6"/>
    <w:rsid w:val="00342F7D"/>
    <w:rsid w:val="00344084"/>
    <w:rsid w:val="00344C24"/>
    <w:rsid w:val="003478CA"/>
    <w:rsid w:val="00351681"/>
    <w:rsid w:val="00360237"/>
    <w:rsid w:val="00361D1F"/>
    <w:rsid w:val="00362208"/>
    <w:rsid w:val="0036538F"/>
    <w:rsid w:val="00366111"/>
    <w:rsid w:val="00366866"/>
    <w:rsid w:val="00371C59"/>
    <w:rsid w:val="00374BC5"/>
    <w:rsid w:val="00384A45"/>
    <w:rsid w:val="00386032"/>
    <w:rsid w:val="00394D78"/>
    <w:rsid w:val="00396EF7"/>
    <w:rsid w:val="003A029B"/>
    <w:rsid w:val="003A1ED6"/>
    <w:rsid w:val="003A2731"/>
    <w:rsid w:val="003A4542"/>
    <w:rsid w:val="003A6E54"/>
    <w:rsid w:val="003B003F"/>
    <w:rsid w:val="003B1C7D"/>
    <w:rsid w:val="003B574B"/>
    <w:rsid w:val="003C4803"/>
    <w:rsid w:val="003D57EB"/>
    <w:rsid w:val="003F0F8D"/>
    <w:rsid w:val="003F4F5F"/>
    <w:rsid w:val="00400F8F"/>
    <w:rsid w:val="004055CE"/>
    <w:rsid w:val="004059E4"/>
    <w:rsid w:val="00407461"/>
    <w:rsid w:val="00415F45"/>
    <w:rsid w:val="00425594"/>
    <w:rsid w:val="00426738"/>
    <w:rsid w:val="00432E1A"/>
    <w:rsid w:val="004351CD"/>
    <w:rsid w:val="004432C6"/>
    <w:rsid w:val="004436FF"/>
    <w:rsid w:val="00450A82"/>
    <w:rsid w:val="00451105"/>
    <w:rsid w:val="0045185F"/>
    <w:rsid w:val="004605A1"/>
    <w:rsid w:val="004639F3"/>
    <w:rsid w:val="0047059B"/>
    <w:rsid w:val="004730A0"/>
    <w:rsid w:val="0047412B"/>
    <w:rsid w:val="00483E88"/>
    <w:rsid w:val="004A3C49"/>
    <w:rsid w:val="004B18BD"/>
    <w:rsid w:val="004B39DE"/>
    <w:rsid w:val="004B4078"/>
    <w:rsid w:val="004B4615"/>
    <w:rsid w:val="004B78A9"/>
    <w:rsid w:val="004C1971"/>
    <w:rsid w:val="004C506D"/>
    <w:rsid w:val="004D0A8A"/>
    <w:rsid w:val="004D27DA"/>
    <w:rsid w:val="004D3E22"/>
    <w:rsid w:val="004E337C"/>
    <w:rsid w:val="004E4E81"/>
    <w:rsid w:val="004E51B9"/>
    <w:rsid w:val="004E7EA7"/>
    <w:rsid w:val="004E7EE7"/>
    <w:rsid w:val="004F13C4"/>
    <w:rsid w:val="004F3335"/>
    <w:rsid w:val="00505818"/>
    <w:rsid w:val="005065E5"/>
    <w:rsid w:val="00511501"/>
    <w:rsid w:val="00512C22"/>
    <w:rsid w:val="00513384"/>
    <w:rsid w:val="00514DFF"/>
    <w:rsid w:val="00515BCE"/>
    <w:rsid w:val="005164FB"/>
    <w:rsid w:val="00517BDD"/>
    <w:rsid w:val="005219C8"/>
    <w:rsid w:val="00521F29"/>
    <w:rsid w:val="00525800"/>
    <w:rsid w:val="005261B1"/>
    <w:rsid w:val="00526F72"/>
    <w:rsid w:val="00545518"/>
    <w:rsid w:val="00551458"/>
    <w:rsid w:val="00553CD3"/>
    <w:rsid w:val="005621FE"/>
    <w:rsid w:val="00562268"/>
    <w:rsid w:val="00562B58"/>
    <w:rsid w:val="0056590F"/>
    <w:rsid w:val="0056699C"/>
    <w:rsid w:val="00566C61"/>
    <w:rsid w:val="005702B7"/>
    <w:rsid w:val="00576356"/>
    <w:rsid w:val="00576864"/>
    <w:rsid w:val="00580844"/>
    <w:rsid w:val="005975B8"/>
    <w:rsid w:val="00597B98"/>
    <w:rsid w:val="005A09D8"/>
    <w:rsid w:val="005A583E"/>
    <w:rsid w:val="005A5F23"/>
    <w:rsid w:val="005A660A"/>
    <w:rsid w:val="005A6932"/>
    <w:rsid w:val="005B2221"/>
    <w:rsid w:val="005B3187"/>
    <w:rsid w:val="005B7A63"/>
    <w:rsid w:val="005C0B6A"/>
    <w:rsid w:val="005C6EAD"/>
    <w:rsid w:val="005D7040"/>
    <w:rsid w:val="005E3120"/>
    <w:rsid w:val="005F718A"/>
    <w:rsid w:val="00602F91"/>
    <w:rsid w:val="00606585"/>
    <w:rsid w:val="00607648"/>
    <w:rsid w:val="00616E90"/>
    <w:rsid w:val="006255B7"/>
    <w:rsid w:val="00630628"/>
    <w:rsid w:val="0063330E"/>
    <w:rsid w:val="00634C17"/>
    <w:rsid w:val="00637587"/>
    <w:rsid w:val="0065110D"/>
    <w:rsid w:val="006558BC"/>
    <w:rsid w:val="00655AD1"/>
    <w:rsid w:val="006567A4"/>
    <w:rsid w:val="006579FD"/>
    <w:rsid w:val="006731EA"/>
    <w:rsid w:val="00675862"/>
    <w:rsid w:val="00681EEF"/>
    <w:rsid w:val="00690672"/>
    <w:rsid w:val="00691B86"/>
    <w:rsid w:val="00692965"/>
    <w:rsid w:val="0069681B"/>
    <w:rsid w:val="006A2313"/>
    <w:rsid w:val="006A3CCF"/>
    <w:rsid w:val="006A78D4"/>
    <w:rsid w:val="006B15C1"/>
    <w:rsid w:val="006C7F49"/>
    <w:rsid w:val="006E0C4E"/>
    <w:rsid w:val="006E3162"/>
    <w:rsid w:val="006F0481"/>
    <w:rsid w:val="006F7432"/>
    <w:rsid w:val="00700AF1"/>
    <w:rsid w:val="00700BB2"/>
    <w:rsid w:val="00707ABD"/>
    <w:rsid w:val="00707F28"/>
    <w:rsid w:val="00712C94"/>
    <w:rsid w:val="00712CA1"/>
    <w:rsid w:val="007204CF"/>
    <w:rsid w:val="0072059D"/>
    <w:rsid w:val="007329FF"/>
    <w:rsid w:val="007348C2"/>
    <w:rsid w:val="00735956"/>
    <w:rsid w:val="00744C0D"/>
    <w:rsid w:val="00744CAC"/>
    <w:rsid w:val="0074665B"/>
    <w:rsid w:val="00747323"/>
    <w:rsid w:val="00747B44"/>
    <w:rsid w:val="00750CC7"/>
    <w:rsid w:val="00750D34"/>
    <w:rsid w:val="00751160"/>
    <w:rsid w:val="007527CA"/>
    <w:rsid w:val="00761098"/>
    <w:rsid w:val="00766976"/>
    <w:rsid w:val="007703ED"/>
    <w:rsid w:val="007729C6"/>
    <w:rsid w:val="00773FFD"/>
    <w:rsid w:val="0077737D"/>
    <w:rsid w:val="00784250"/>
    <w:rsid w:val="00785284"/>
    <w:rsid w:val="00787DE8"/>
    <w:rsid w:val="0079790D"/>
    <w:rsid w:val="007A1EF9"/>
    <w:rsid w:val="007A2D93"/>
    <w:rsid w:val="007A45A6"/>
    <w:rsid w:val="007B3662"/>
    <w:rsid w:val="007B425A"/>
    <w:rsid w:val="007B4266"/>
    <w:rsid w:val="007B460D"/>
    <w:rsid w:val="007C1572"/>
    <w:rsid w:val="007C5B14"/>
    <w:rsid w:val="007C6BCA"/>
    <w:rsid w:val="007D2A06"/>
    <w:rsid w:val="007E1434"/>
    <w:rsid w:val="007E1D7B"/>
    <w:rsid w:val="007E4CE6"/>
    <w:rsid w:val="007E7C69"/>
    <w:rsid w:val="007F4CDD"/>
    <w:rsid w:val="0080051F"/>
    <w:rsid w:val="0080080B"/>
    <w:rsid w:val="00801748"/>
    <w:rsid w:val="00803E15"/>
    <w:rsid w:val="00804C71"/>
    <w:rsid w:val="008078B5"/>
    <w:rsid w:val="00816D5E"/>
    <w:rsid w:val="00826603"/>
    <w:rsid w:val="0082753C"/>
    <w:rsid w:val="00832F75"/>
    <w:rsid w:val="00834D17"/>
    <w:rsid w:val="0083752E"/>
    <w:rsid w:val="00837D04"/>
    <w:rsid w:val="00850755"/>
    <w:rsid w:val="0085314B"/>
    <w:rsid w:val="008546D0"/>
    <w:rsid w:val="00856514"/>
    <w:rsid w:val="00864107"/>
    <w:rsid w:val="00880655"/>
    <w:rsid w:val="00887294"/>
    <w:rsid w:val="00896968"/>
    <w:rsid w:val="00897947"/>
    <w:rsid w:val="008A5021"/>
    <w:rsid w:val="008C44E5"/>
    <w:rsid w:val="008D1841"/>
    <w:rsid w:val="008D44FE"/>
    <w:rsid w:val="008D514E"/>
    <w:rsid w:val="008D5B83"/>
    <w:rsid w:val="008D7A40"/>
    <w:rsid w:val="008D7ED3"/>
    <w:rsid w:val="008E3536"/>
    <w:rsid w:val="008E76CB"/>
    <w:rsid w:val="008F0203"/>
    <w:rsid w:val="008F0DC4"/>
    <w:rsid w:val="008F5FA5"/>
    <w:rsid w:val="008F6B30"/>
    <w:rsid w:val="008F731E"/>
    <w:rsid w:val="00900F90"/>
    <w:rsid w:val="00904936"/>
    <w:rsid w:val="00907A75"/>
    <w:rsid w:val="00911111"/>
    <w:rsid w:val="00912DBF"/>
    <w:rsid w:val="00920DAC"/>
    <w:rsid w:val="00921DFE"/>
    <w:rsid w:val="009268DF"/>
    <w:rsid w:val="009314F8"/>
    <w:rsid w:val="0093213D"/>
    <w:rsid w:val="0093423B"/>
    <w:rsid w:val="00940591"/>
    <w:rsid w:val="0094270F"/>
    <w:rsid w:val="009436B7"/>
    <w:rsid w:val="00966EA0"/>
    <w:rsid w:val="00971687"/>
    <w:rsid w:val="00973A53"/>
    <w:rsid w:val="009916CE"/>
    <w:rsid w:val="00992C5B"/>
    <w:rsid w:val="009A1CEA"/>
    <w:rsid w:val="009A6939"/>
    <w:rsid w:val="009B07E3"/>
    <w:rsid w:val="009B1ED7"/>
    <w:rsid w:val="009B3FB5"/>
    <w:rsid w:val="009B5912"/>
    <w:rsid w:val="009B6DA7"/>
    <w:rsid w:val="009B79D4"/>
    <w:rsid w:val="009D74BB"/>
    <w:rsid w:val="009E64C4"/>
    <w:rsid w:val="009F002F"/>
    <w:rsid w:val="009F05A9"/>
    <w:rsid w:val="009F7458"/>
    <w:rsid w:val="00A00E2C"/>
    <w:rsid w:val="00A07AF9"/>
    <w:rsid w:val="00A10662"/>
    <w:rsid w:val="00A27FD3"/>
    <w:rsid w:val="00A32186"/>
    <w:rsid w:val="00A34062"/>
    <w:rsid w:val="00A4403F"/>
    <w:rsid w:val="00A457D4"/>
    <w:rsid w:val="00A46750"/>
    <w:rsid w:val="00A547B6"/>
    <w:rsid w:val="00A55CFD"/>
    <w:rsid w:val="00A622F4"/>
    <w:rsid w:val="00A633E4"/>
    <w:rsid w:val="00A66128"/>
    <w:rsid w:val="00A6629F"/>
    <w:rsid w:val="00A71D74"/>
    <w:rsid w:val="00A8387D"/>
    <w:rsid w:val="00A85EDF"/>
    <w:rsid w:val="00A860CC"/>
    <w:rsid w:val="00A87A9C"/>
    <w:rsid w:val="00A96156"/>
    <w:rsid w:val="00AA2B33"/>
    <w:rsid w:val="00AA2C2D"/>
    <w:rsid w:val="00AA43CC"/>
    <w:rsid w:val="00AC19D5"/>
    <w:rsid w:val="00AC3A6D"/>
    <w:rsid w:val="00AC48A8"/>
    <w:rsid w:val="00AC6F5C"/>
    <w:rsid w:val="00AD2894"/>
    <w:rsid w:val="00AD4281"/>
    <w:rsid w:val="00AE0546"/>
    <w:rsid w:val="00AE1F77"/>
    <w:rsid w:val="00AE2D10"/>
    <w:rsid w:val="00AE4FF1"/>
    <w:rsid w:val="00AE7ADE"/>
    <w:rsid w:val="00AE7F11"/>
    <w:rsid w:val="00AF0DE0"/>
    <w:rsid w:val="00AF2B9B"/>
    <w:rsid w:val="00AF7ADD"/>
    <w:rsid w:val="00B04CAC"/>
    <w:rsid w:val="00B06F06"/>
    <w:rsid w:val="00B11378"/>
    <w:rsid w:val="00B1188C"/>
    <w:rsid w:val="00B149EA"/>
    <w:rsid w:val="00B204C0"/>
    <w:rsid w:val="00B23656"/>
    <w:rsid w:val="00B23A5C"/>
    <w:rsid w:val="00B26070"/>
    <w:rsid w:val="00B3151C"/>
    <w:rsid w:val="00B31D5B"/>
    <w:rsid w:val="00B36A7A"/>
    <w:rsid w:val="00B3760E"/>
    <w:rsid w:val="00B431F4"/>
    <w:rsid w:val="00B44BC2"/>
    <w:rsid w:val="00B4523A"/>
    <w:rsid w:val="00B45708"/>
    <w:rsid w:val="00B510BF"/>
    <w:rsid w:val="00B536C2"/>
    <w:rsid w:val="00B53926"/>
    <w:rsid w:val="00B54846"/>
    <w:rsid w:val="00B60A73"/>
    <w:rsid w:val="00B64B01"/>
    <w:rsid w:val="00B64F69"/>
    <w:rsid w:val="00B662D8"/>
    <w:rsid w:val="00B756AA"/>
    <w:rsid w:val="00B769AD"/>
    <w:rsid w:val="00B921EE"/>
    <w:rsid w:val="00B94B05"/>
    <w:rsid w:val="00B95E04"/>
    <w:rsid w:val="00BA32E5"/>
    <w:rsid w:val="00BA4279"/>
    <w:rsid w:val="00BA5211"/>
    <w:rsid w:val="00BA5DFF"/>
    <w:rsid w:val="00BA7B44"/>
    <w:rsid w:val="00BB45B6"/>
    <w:rsid w:val="00BB556F"/>
    <w:rsid w:val="00BB5A5C"/>
    <w:rsid w:val="00BC28A6"/>
    <w:rsid w:val="00BC3007"/>
    <w:rsid w:val="00BC31C2"/>
    <w:rsid w:val="00BC329A"/>
    <w:rsid w:val="00BC5203"/>
    <w:rsid w:val="00BD2A52"/>
    <w:rsid w:val="00BD7E8E"/>
    <w:rsid w:val="00BE0CE2"/>
    <w:rsid w:val="00BE0ECD"/>
    <w:rsid w:val="00BE55BA"/>
    <w:rsid w:val="00BE65C5"/>
    <w:rsid w:val="00BF4DC3"/>
    <w:rsid w:val="00BF6009"/>
    <w:rsid w:val="00C0433F"/>
    <w:rsid w:val="00C04B2E"/>
    <w:rsid w:val="00C06DEB"/>
    <w:rsid w:val="00C14DB1"/>
    <w:rsid w:val="00C22276"/>
    <w:rsid w:val="00C23F2F"/>
    <w:rsid w:val="00C250E9"/>
    <w:rsid w:val="00C31512"/>
    <w:rsid w:val="00C3583C"/>
    <w:rsid w:val="00C365B8"/>
    <w:rsid w:val="00C417B6"/>
    <w:rsid w:val="00C4730E"/>
    <w:rsid w:val="00C5199D"/>
    <w:rsid w:val="00C5382A"/>
    <w:rsid w:val="00C54BFB"/>
    <w:rsid w:val="00C56F66"/>
    <w:rsid w:val="00C615FF"/>
    <w:rsid w:val="00C629B8"/>
    <w:rsid w:val="00C64441"/>
    <w:rsid w:val="00C67E65"/>
    <w:rsid w:val="00C70C27"/>
    <w:rsid w:val="00C7532A"/>
    <w:rsid w:val="00C771C7"/>
    <w:rsid w:val="00C81057"/>
    <w:rsid w:val="00C8398A"/>
    <w:rsid w:val="00C85114"/>
    <w:rsid w:val="00C86A7B"/>
    <w:rsid w:val="00C86D74"/>
    <w:rsid w:val="00C94522"/>
    <w:rsid w:val="00CA29A6"/>
    <w:rsid w:val="00CB300A"/>
    <w:rsid w:val="00CC0847"/>
    <w:rsid w:val="00CC3C4B"/>
    <w:rsid w:val="00CC64C7"/>
    <w:rsid w:val="00CD4195"/>
    <w:rsid w:val="00CD4A5F"/>
    <w:rsid w:val="00CD7FE8"/>
    <w:rsid w:val="00CE29D6"/>
    <w:rsid w:val="00CE7F70"/>
    <w:rsid w:val="00D01C05"/>
    <w:rsid w:val="00D05FA0"/>
    <w:rsid w:val="00D06459"/>
    <w:rsid w:val="00D07D82"/>
    <w:rsid w:val="00D21F8E"/>
    <w:rsid w:val="00D26194"/>
    <w:rsid w:val="00D34980"/>
    <w:rsid w:val="00D625D7"/>
    <w:rsid w:val="00D633E0"/>
    <w:rsid w:val="00D66CC6"/>
    <w:rsid w:val="00D729C6"/>
    <w:rsid w:val="00D74535"/>
    <w:rsid w:val="00D8497E"/>
    <w:rsid w:val="00D87D73"/>
    <w:rsid w:val="00D97D5D"/>
    <w:rsid w:val="00DA02B3"/>
    <w:rsid w:val="00DA1BED"/>
    <w:rsid w:val="00DA5360"/>
    <w:rsid w:val="00DA6F9B"/>
    <w:rsid w:val="00DA7301"/>
    <w:rsid w:val="00DA7A9F"/>
    <w:rsid w:val="00DD05C8"/>
    <w:rsid w:val="00DD6E57"/>
    <w:rsid w:val="00DD7045"/>
    <w:rsid w:val="00DE0CE1"/>
    <w:rsid w:val="00DE3E0A"/>
    <w:rsid w:val="00DE7DB7"/>
    <w:rsid w:val="00DF100C"/>
    <w:rsid w:val="00DF2287"/>
    <w:rsid w:val="00DF41A6"/>
    <w:rsid w:val="00E01566"/>
    <w:rsid w:val="00E02335"/>
    <w:rsid w:val="00E04D10"/>
    <w:rsid w:val="00E06567"/>
    <w:rsid w:val="00E10DB1"/>
    <w:rsid w:val="00E16B03"/>
    <w:rsid w:val="00E223BB"/>
    <w:rsid w:val="00E33016"/>
    <w:rsid w:val="00E33726"/>
    <w:rsid w:val="00E34E62"/>
    <w:rsid w:val="00E43E84"/>
    <w:rsid w:val="00E5584B"/>
    <w:rsid w:val="00E569CC"/>
    <w:rsid w:val="00E63BBD"/>
    <w:rsid w:val="00E729B0"/>
    <w:rsid w:val="00E81E67"/>
    <w:rsid w:val="00E82E61"/>
    <w:rsid w:val="00E85E45"/>
    <w:rsid w:val="00EA54BE"/>
    <w:rsid w:val="00EA646A"/>
    <w:rsid w:val="00EA74CD"/>
    <w:rsid w:val="00EB2AAB"/>
    <w:rsid w:val="00EB69B9"/>
    <w:rsid w:val="00EB7CF5"/>
    <w:rsid w:val="00EB7F06"/>
    <w:rsid w:val="00EC09BA"/>
    <w:rsid w:val="00EC0EF5"/>
    <w:rsid w:val="00EC467C"/>
    <w:rsid w:val="00ED1807"/>
    <w:rsid w:val="00ED7981"/>
    <w:rsid w:val="00EF2E13"/>
    <w:rsid w:val="00F01F73"/>
    <w:rsid w:val="00F07668"/>
    <w:rsid w:val="00F14ACF"/>
    <w:rsid w:val="00F2185C"/>
    <w:rsid w:val="00F25853"/>
    <w:rsid w:val="00F33508"/>
    <w:rsid w:val="00F41128"/>
    <w:rsid w:val="00F4510F"/>
    <w:rsid w:val="00F52899"/>
    <w:rsid w:val="00F5376C"/>
    <w:rsid w:val="00F56F22"/>
    <w:rsid w:val="00F572CF"/>
    <w:rsid w:val="00F60754"/>
    <w:rsid w:val="00F6127B"/>
    <w:rsid w:val="00F648AB"/>
    <w:rsid w:val="00F716E0"/>
    <w:rsid w:val="00F7682B"/>
    <w:rsid w:val="00F82337"/>
    <w:rsid w:val="00F829EE"/>
    <w:rsid w:val="00F829F8"/>
    <w:rsid w:val="00F82B29"/>
    <w:rsid w:val="00F870F7"/>
    <w:rsid w:val="00FA335C"/>
    <w:rsid w:val="00FA5EA3"/>
    <w:rsid w:val="00FC047A"/>
    <w:rsid w:val="00FC094C"/>
    <w:rsid w:val="00FC3326"/>
    <w:rsid w:val="00FC3DA4"/>
    <w:rsid w:val="00FC4677"/>
    <w:rsid w:val="00FC73D7"/>
    <w:rsid w:val="00FD4D47"/>
    <w:rsid w:val="00FF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semiHidden/>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semiHidden/>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semiHidden/>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semiHidden/>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980839331">
          <w:marLeft w:val="27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69563978">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ewforestnpa.gov.uk/downloads/download/208/our_past_our_future" TargetMode="External"/><Relationship Id="rId17" Type="http://schemas.openxmlformats.org/officeDocument/2006/relationships/hyperlink" Target="mailto:chris.pathmadeva@newforestnpa.gov.uk" TargetMode="Externa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hyperlink" Target="mailto:chris.pathmadeva@newforestnpa.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forestnpa.gov.uk/downloads/file/144/boundary_ma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3DE8-F292-4C0F-AF6A-3A342B74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Gallagher</dc:creator>
  <cp:lastModifiedBy>Chris Pathmadeva</cp:lastModifiedBy>
  <cp:revision>113</cp:revision>
  <cp:lastPrinted>2016-01-12T14:48:00Z</cp:lastPrinted>
  <dcterms:created xsi:type="dcterms:W3CDTF">2016-01-21T10:30:00Z</dcterms:created>
  <dcterms:modified xsi:type="dcterms:W3CDTF">2016-03-18T09:44:00Z</dcterms:modified>
</cp:coreProperties>
</file>