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17BA" w14:textId="77777777" w:rsidR="00827727" w:rsidRDefault="00827727">
      <w:pPr>
        <w:rPr>
          <w:rFonts w:ascii="Verdana" w:hAnsi="Verdana"/>
        </w:rPr>
      </w:pPr>
    </w:p>
    <w:p w14:paraId="52259AD0" w14:textId="77777777" w:rsidR="00827727" w:rsidRDefault="00827727">
      <w:pPr>
        <w:rPr>
          <w:rFonts w:ascii="Verdana" w:hAnsi="Verdana"/>
        </w:rPr>
      </w:pPr>
    </w:p>
    <w:p w14:paraId="2B4C5960" w14:textId="77777777" w:rsidR="00827727" w:rsidRDefault="00827727">
      <w:pPr>
        <w:rPr>
          <w:rFonts w:ascii="Verdana" w:hAnsi="Verdana"/>
        </w:rPr>
      </w:pPr>
    </w:p>
    <w:p w14:paraId="41121CDF" w14:textId="77777777" w:rsidR="00827727" w:rsidRDefault="00827727">
      <w:pPr>
        <w:rPr>
          <w:rFonts w:ascii="Verdana" w:hAnsi="Verdana"/>
        </w:rPr>
      </w:pPr>
    </w:p>
    <w:p w14:paraId="31462066" w14:textId="77777777" w:rsidR="00827727" w:rsidRPr="003746CB" w:rsidRDefault="00827727">
      <w:pPr>
        <w:rPr>
          <w:rFonts w:ascii="Poppins" w:hAnsi="Poppins" w:cs="Poppins"/>
          <w:color w:val="141A1B" w:themeColor="background1" w:themeShade="1A"/>
        </w:rPr>
      </w:pPr>
    </w:p>
    <w:p w14:paraId="7299511C" w14:textId="77777777" w:rsidR="00827727" w:rsidRPr="003746CB" w:rsidRDefault="00827727">
      <w:pPr>
        <w:rPr>
          <w:rFonts w:ascii="Poppins" w:hAnsi="Poppins" w:cs="Poppins"/>
          <w:color w:val="141A1B" w:themeColor="background1" w:themeShade="1A"/>
        </w:rPr>
      </w:pPr>
    </w:p>
    <w:p w14:paraId="146D603C" w14:textId="77777777" w:rsidR="00827727" w:rsidRPr="003746CB" w:rsidRDefault="00827727">
      <w:pPr>
        <w:rPr>
          <w:rFonts w:ascii="Poppins" w:hAnsi="Poppins" w:cs="Poppins"/>
          <w:color w:val="141A1B" w:themeColor="background1" w:themeShade="1A"/>
        </w:rPr>
      </w:pPr>
    </w:p>
    <w:p w14:paraId="2E1E0ADD" w14:textId="0ED72B78" w:rsidR="00B45D4B" w:rsidRPr="00054D9E" w:rsidRDefault="00B45D4B" w:rsidP="00B45D4B">
      <w:pPr>
        <w:jc w:val="center"/>
        <w:rPr>
          <w:rFonts w:ascii="Poppins" w:hAnsi="Poppins" w:cs="Poppins"/>
          <w:b/>
          <w:bCs/>
          <w:color w:val="141A1B" w:themeColor="background1" w:themeShade="1A"/>
          <w:sz w:val="48"/>
          <w:szCs w:val="48"/>
        </w:rPr>
      </w:pPr>
      <w:bookmarkStart w:id="0" w:name="_Hlk106713961"/>
      <w:r w:rsidRPr="00054D9E">
        <w:rPr>
          <w:rFonts w:ascii="Poppins" w:hAnsi="Poppins" w:cs="Poppins"/>
          <w:b/>
          <w:bCs/>
          <w:color w:val="141A1B" w:themeColor="background1" w:themeShade="1A"/>
          <w:sz w:val="48"/>
          <w:szCs w:val="48"/>
        </w:rPr>
        <w:t>MUSCULOSKELETAL (MSK) SERVICE</w:t>
      </w:r>
    </w:p>
    <w:p w14:paraId="3AE9C97D" w14:textId="15502655" w:rsidR="00827727" w:rsidRDefault="00B45D4B" w:rsidP="00B45D4B">
      <w:pPr>
        <w:spacing w:after="240" w:line="276" w:lineRule="auto"/>
        <w:jc w:val="center"/>
        <w:rPr>
          <w:rFonts w:ascii="Poppins" w:hAnsi="Poppins" w:cs="Poppins"/>
          <w:b/>
          <w:bCs/>
          <w:color w:val="141A1B" w:themeColor="background1" w:themeShade="1A"/>
          <w:sz w:val="48"/>
          <w:szCs w:val="48"/>
        </w:rPr>
      </w:pPr>
      <w:r w:rsidRPr="00054D9E">
        <w:rPr>
          <w:rFonts w:ascii="Poppins" w:hAnsi="Poppins" w:cs="Poppins"/>
          <w:b/>
          <w:bCs/>
          <w:color w:val="141A1B" w:themeColor="background1" w:themeShade="1A"/>
          <w:sz w:val="48"/>
          <w:szCs w:val="48"/>
        </w:rPr>
        <w:t>NHS NORTH WEST LONDON INTEGRATED CARE SYSTEM (NWL ICS</w:t>
      </w:r>
      <w:bookmarkEnd w:id="0"/>
      <w:r w:rsidRPr="00054D9E">
        <w:rPr>
          <w:rFonts w:ascii="Poppins" w:hAnsi="Poppins" w:cs="Poppins"/>
          <w:b/>
          <w:bCs/>
          <w:color w:val="141A1B" w:themeColor="background1" w:themeShade="1A"/>
          <w:sz w:val="48"/>
          <w:szCs w:val="48"/>
        </w:rPr>
        <w:t>)</w:t>
      </w:r>
    </w:p>
    <w:p w14:paraId="71BA3DB1" w14:textId="77777777" w:rsidR="00054D9E" w:rsidRDefault="00054D9E" w:rsidP="00B45D4B">
      <w:pPr>
        <w:spacing w:after="240" w:line="276" w:lineRule="auto"/>
        <w:jc w:val="center"/>
        <w:rPr>
          <w:rFonts w:ascii="Poppins" w:hAnsi="Poppins" w:cs="Poppins"/>
          <w:b/>
          <w:bCs/>
          <w:color w:val="141A1B" w:themeColor="background1" w:themeShade="1A"/>
          <w:sz w:val="48"/>
          <w:szCs w:val="48"/>
        </w:rPr>
      </w:pPr>
    </w:p>
    <w:p w14:paraId="23637C75" w14:textId="0CD56ECE" w:rsidR="00054D9E" w:rsidRDefault="00054D9E" w:rsidP="00B45D4B">
      <w:pPr>
        <w:spacing w:after="240" w:line="276" w:lineRule="auto"/>
        <w:jc w:val="center"/>
        <w:rPr>
          <w:rFonts w:ascii="Poppins" w:hAnsi="Poppins" w:cs="Poppins"/>
          <w:b/>
          <w:bCs/>
          <w:color w:val="141A1B" w:themeColor="background1" w:themeShade="1A"/>
          <w:sz w:val="48"/>
          <w:szCs w:val="48"/>
        </w:rPr>
      </w:pPr>
      <w:r>
        <w:rPr>
          <w:rFonts w:ascii="Poppins" w:hAnsi="Poppins" w:cs="Poppins"/>
          <w:b/>
          <w:bCs/>
          <w:color w:val="141A1B" w:themeColor="background1" w:themeShade="1A"/>
          <w:sz w:val="48"/>
          <w:szCs w:val="48"/>
        </w:rPr>
        <w:t>Service Specification</w:t>
      </w:r>
    </w:p>
    <w:p w14:paraId="1AB232C4" w14:textId="6DCB91C0" w:rsidR="00827727" w:rsidRDefault="00937A4C" w:rsidP="00054D9E">
      <w:pPr>
        <w:spacing w:after="240" w:line="276" w:lineRule="auto"/>
        <w:jc w:val="center"/>
        <w:rPr>
          <w:rFonts w:ascii="Poppins" w:hAnsi="Poppins" w:cs="Poppins"/>
          <w:b/>
          <w:bCs/>
          <w:color w:val="141A1B" w:themeColor="background1" w:themeShade="1A"/>
          <w:sz w:val="48"/>
          <w:szCs w:val="48"/>
        </w:rPr>
      </w:pPr>
      <w:r>
        <w:rPr>
          <w:rFonts w:ascii="Poppins" w:hAnsi="Poppins" w:cs="Poppins"/>
          <w:b/>
          <w:bCs/>
          <w:color w:val="141A1B" w:themeColor="background1" w:themeShade="1A"/>
          <w:sz w:val="48"/>
          <w:szCs w:val="48"/>
        </w:rPr>
        <w:t>V11</w:t>
      </w:r>
      <w:r w:rsidR="00214CF4">
        <w:rPr>
          <w:rFonts w:ascii="Poppins" w:hAnsi="Poppins" w:cs="Poppins"/>
          <w:b/>
          <w:bCs/>
          <w:color w:val="141A1B" w:themeColor="background1" w:themeShade="1A"/>
          <w:sz w:val="48"/>
          <w:szCs w:val="48"/>
        </w:rPr>
        <w:t>.2</w:t>
      </w:r>
      <w:r w:rsidR="00054D9E">
        <w:rPr>
          <w:rFonts w:ascii="Poppins" w:hAnsi="Poppins" w:cs="Poppins"/>
          <w:b/>
          <w:bCs/>
          <w:color w:val="141A1B" w:themeColor="background1" w:themeShade="1A"/>
          <w:sz w:val="48"/>
          <w:szCs w:val="48"/>
        </w:rPr>
        <w:t xml:space="preserve"> (DRAFT)</w:t>
      </w:r>
    </w:p>
    <w:p w14:paraId="49D020B8" w14:textId="77777777" w:rsidR="00054D9E" w:rsidRDefault="00054D9E" w:rsidP="00054D9E">
      <w:pPr>
        <w:spacing w:after="240" w:line="276" w:lineRule="auto"/>
        <w:jc w:val="center"/>
        <w:rPr>
          <w:rFonts w:ascii="Verdana" w:hAnsi="Verdana"/>
        </w:rPr>
      </w:pPr>
    </w:p>
    <w:p w14:paraId="0E4D0A17" w14:textId="77777777" w:rsidR="00827727" w:rsidRDefault="00827727">
      <w:pPr>
        <w:rPr>
          <w:rFonts w:ascii="Verdana" w:hAnsi="Verdana"/>
        </w:rPr>
      </w:pPr>
    </w:p>
    <w:p w14:paraId="650857D4" w14:textId="77777777" w:rsidR="00827727" w:rsidRDefault="00827727">
      <w:pPr>
        <w:rPr>
          <w:rFonts w:ascii="Verdana" w:hAnsi="Verdana"/>
        </w:rPr>
      </w:pPr>
    </w:p>
    <w:p w14:paraId="7F285205" w14:textId="77777777" w:rsidR="00827727" w:rsidRDefault="00827727">
      <w:pPr>
        <w:rPr>
          <w:rFonts w:ascii="Verdana" w:hAnsi="Verdana"/>
        </w:rPr>
      </w:pPr>
    </w:p>
    <w:p w14:paraId="41C77EAF" w14:textId="77777777" w:rsidR="00827727" w:rsidRDefault="00827727">
      <w:pPr>
        <w:rPr>
          <w:rFonts w:ascii="Verdana" w:hAnsi="Verdana"/>
        </w:rPr>
      </w:pPr>
    </w:p>
    <w:p w14:paraId="37214E27" w14:textId="77777777" w:rsidR="00827727" w:rsidRDefault="00827727">
      <w:pPr>
        <w:rPr>
          <w:rFonts w:ascii="Verdana" w:hAnsi="Verdana"/>
        </w:rPr>
      </w:pPr>
    </w:p>
    <w:p w14:paraId="4656C50C" w14:textId="77777777" w:rsidR="00827727" w:rsidRDefault="00827727">
      <w:pPr>
        <w:rPr>
          <w:rFonts w:ascii="Verdana" w:hAnsi="Verdana"/>
        </w:rPr>
      </w:pPr>
    </w:p>
    <w:p w14:paraId="632EB395" w14:textId="77777777" w:rsidR="00827727" w:rsidRDefault="00827727">
      <w:pPr>
        <w:rPr>
          <w:rFonts w:ascii="Verdana" w:hAnsi="Verdana"/>
        </w:rPr>
      </w:pPr>
    </w:p>
    <w:p w14:paraId="18B4E608" w14:textId="77777777" w:rsidR="00827727" w:rsidRDefault="00827727">
      <w:pPr>
        <w:rPr>
          <w:rFonts w:ascii="Verdana" w:hAnsi="Verdana"/>
        </w:rPr>
      </w:pPr>
    </w:p>
    <w:p w14:paraId="10A65CCC" w14:textId="05A4B925" w:rsidR="00827727" w:rsidRDefault="00827727">
      <w:pPr>
        <w:rPr>
          <w:rFonts w:ascii="Verdana" w:hAnsi="Verdana"/>
        </w:rPr>
      </w:pPr>
    </w:p>
    <w:p w14:paraId="1B5F72B9" w14:textId="37C0D21D" w:rsidR="00DB434C" w:rsidRDefault="00DB434C">
      <w:pPr>
        <w:rPr>
          <w:rFonts w:ascii="Verdana" w:hAnsi="Verdana"/>
        </w:rPr>
      </w:pPr>
    </w:p>
    <w:p w14:paraId="7B497122" w14:textId="4B8613F2" w:rsidR="00DB434C" w:rsidRDefault="00DB434C">
      <w:pPr>
        <w:rPr>
          <w:rFonts w:ascii="Verdana" w:hAnsi="Verdana"/>
        </w:rPr>
      </w:pPr>
    </w:p>
    <w:p w14:paraId="71B808A6" w14:textId="3C30AB10" w:rsidR="00DB434C" w:rsidRDefault="00DB434C">
      <w:pPr>
        <w:rPr>
          <w:rFonts w:ascii="Verdana" w:hAnsi="Verdana"/>
        </w:rPr>
      </w:pPr>
    </w:p>
    <w:p w14:paraId="321F47E0" w14:textId="751525A7" w:rsidR="00DB434C" w:rsidRDefault="00DB434C">
      <w:pPr>
        <w:rPr>
          <w:rFonts w:ascii="Verdana" w:hAnsi="Verdana"/>
        </w:rPr>
      </w:pPr>
    </w:p>
    <w:p w14:paraId="47526A3C" w14:textId="3FC24F4C" w:rsidR="00DB434C" w:rsidRDefault="00DB434C">
      <w:pPr>
        <w:rPr>
          <w:rFonts w:ascii="Verdana" w:hAnsi="Verdana"/>
        </w:rPr>
      </w:pPr>
    </w:p>
    <w:p w14:paraId="1C68E5BC" w14:textId="7F422FF0" w:rsidR="00DB434C" w:rsidRDefault="00DB434C">
      <w:pPr>
        <w:rPr>
          <w:rFonts w:ascii="Verdana" w:hAnsi="Verdana"/>
        </w:rPr>
      </w:pPr>
    </w:p>
    <w:p w14:paraId="293617CE" w14:textId="1B3BF901" w:rsidR="00DB434C" w:rsidRDefault="00DB434C">
      <w:pPr>
        <w:rPr>
          <w:rFonts w:ascii="Verdana" w:hAnsi="Verdana"/>
        </w:rPr>
      </w:pPr>
    </w:p>
    <w:p w14:paraId="66CC538F" w14:textId="47AE77A1" w:rsidR="00DB434C" w:rsidRDefault="00DB434C">
      <w:pPr>
        <w:rPr>
          <w:rFonts w:ascii="Verdana" w:hAnsi="Verdana"/>
        </w:rPr>
      </w:pPr>
    </w:p>
    <w:p w14:paraId="0B303DCC" w14:textId="54BF7A93" w:rsidR="00DB434C" w:rsidRDefault="00DB434C">
      <w:pPr>
        <w:rPr>
          <w:rFonts w:ascii="Verdana" w:hAnsi="Verdana"/>
        </w:rPr>
      </w:pPr>
    </w:p>
    <w:p w14:paraId="50CE2D79" w14:textId="77777777" w:rsidR="00DB434C" w:rsidRDefault="00DB434C">
      <w:pPr>
        <w:rPr>
          <w:rFonts w:ascii="Verdana" w:hAnsi="Verdana"/>
        </w:rPr>
      </w:pPr>
    </w:p>
    <w:p w14:paraId="70C000D9" w14:textId="77777777" w:rsidR="00827727" w:rsidRDefault="00827727">
      <w:pPr>
        <w:rPr>
          <w:rFonts w:ascii="Verdana" w:hAnsi="Verdana"/>
        </w:rPr>
      </w:pPr>
    </w:p>
    <w:p w14:paraId="01E4C9BB" w14:textId="77777777" w:rsidR="00827727" w:rsidRDefault="00827727">
      <w:pPr>
        <w:rPr>
          <w:rFonts w:ascii="Verdana" w:hAnsi="Verdana"/>
        </w:rPr>
      </w:pPr>
    </w:p>
    <w:p w14:paraId="1D0C5B9E" w14:textId="6837CB66" w:rsidR="000B762F" w:rsidRDefault="00937A4C">
      <w:pPr>
        <w:rPr>
          <w:rFonts w:ascii="Arial" w:hAnsi="Arial" w:cs="Arial"/>
          <w:b/>
          <w:sz w:val="20"/>
          <w:szCs w:val="20"/>
        </w:rPr>
      </w:pPr>
      <w:r>
        <w:rPr>
          <w:rFonts w:ascii="Arial" w:hAnsi="Arial" w:cs="Arial"/>
          <w:b/>
          <w:sz w:val="20"/>
          <w:szCs w:val="20"/>
        </w:rPr>
        <w:t>NWL Draft Specification v11</w:t>
      </w:r>
      <w:r w:rsidR="00405D03" w:rsidRPr="0094361F">
        <w:rPr>
          <w:rFonts w:ascii="Arial" w:hAnsi="Arial" w:cs="Arial"/>
          <w:b/>
          <w:sz w:val="20"/>
          <w:szCs w:val="20"/>
        </w:rPr>
        <w:t>.</w:t>
      </w:r>
      <w:r w:rsidR="004F288A">
        <w:rPr>
          <w:rFonts w:ascii="Arial" w:hAnsi="Arial" w:cs="Arial"/>
          <w:b/>
          <w:sz w:val="20"/>
          <w:szCs w:val="20"/>
        </w:rPr>
        <w:t>2</w:t>
      </w:r>
    </w:p>
    <w:p w14:paraId="3F830928" w14:textId="5CBC93D2" w:rsidR="00CA7C3F" w:rsidRDefault="00CA7C3F">
      <w:pPr>
        <w:rPr>
          <w:rFonts w:ascii="Arial" w:hAnsi="Arial" w:cs="Arial"/>
          <w:b/>
          <w:sz w:val="20"/>
          <w:szCs w:val="20"/>
        </w:rPr>
      </w:pPr>
    </w:p>
    <w:sdt>
      <w:sdtPr>
        <w:rPr>
          <w:rFonts w:ascii="Arial" w:hAnsi="Arial" w:cs="Arial"/>
          <w:sz w:val="20"/>
          <w:szCs w:val="20"/>
        </w:rPr>
        <w:id w:val="319772123"/>
        <w:docPartObj>
          <w:docPartGallery w:val="Table of Contents"/>
          <w:docPartUnique/>
        </w:docPartObj>
      </w:sdtPr>
      <w:sdtEndPr>
        <w:rPr>
          <w:sz w:val="18"/>
          <w:szCs w:val="18"/>
        </w:rPr>
      </w:sdtEndPr>
      <w:sdtContent>
        <w:sdt>
          <w:sdtPr>
            <w:rPr>
              <w:rFonts w:ascii="Arial" w:hAnsi="Arial" w:cs="Arial"/>
              <w:sz w:val="20"/>
              <w:szCs w:val="20"/>
            </w:rPr>
            <w:id w:val="-2142331698"/>
            <w:docPartObj>
              <w:docPartGallery w:val="Table of Contents"/>
              <w:docPartUnique/>
            </w:docPartObj>
          </w:sdtPr>
          <w:sdtEndPr>
            <w:rPr>
              <w:sz w:val="18"/>
              <w:szCs w:val="18"/>
            </w:rPr>
          </w:sdtEndPr>
          <w:sdtContent>
            <w:p w14:paraId="060DA1C9" w14:textId="77777777" w:rsidR="00A053D7" w:rsidRPr="002D2D78" w:rsidRDefault="00A053D7" w:rsidP="00A053D7">
              <w:pPr>
                <w:pStyle w:val="TOC2"/>
                <w:tabs>
                  <w:tab w:val="right" w:leader="dot" w:pos="9015"/>
                </w:tabs>
                <w:rPr>
                  <w:rFonts w:ascii="Arial" w:hAnsi="Arial" w:cs="Arial"/>
                  <w:sz w:val="18"/>
                  <w:szCs w:val="18"/>
                </w:rPr>
              </w:pPr>
              <w:r w:rsidRPr="005F5056">
                <w:rPr>
                  <w:rFonts w:ascii="Arial" w:hAnsi="Arial" w:cs="Arial"/>
                  <w:sz w:val="18"/>
                  <w:szCs w:val="18"/>
                </w:rPr>
                <w:fldChar w:fldCharType="begin"/>
              </w:r>
              <w:r w:rsidRPr="005F5056">
                <w:rPr>
                  <w:rFonts w:ascii="Arial" w:hAnsi="Arial" w:cs="Arial"/>
                  <w:sz w:val="18"/>
                  <w:szCs w:val="18"/>
                </w:rPr>
                <w:instrText>TOC \o \z \u \h</w:instrText>
              </w:r>
              <w:r w:rsidRPr="005F5056">
                <w:rPr>
                  <w:rFonts w:ascii="Arial" w:hAnsi="Arial" w:cs="Arial"/>
                  <w:sz w:val="18"/>
                  <w:szCs w:val="18"/>
                </w:rPr>
                <w:fldChar w:fldCharType="separate"/>
              </w:r>
              <w:hyperlink w:anchor="_Toc1273494488">
                <w:r w:rsidRPr="002D2D78">
                  <w:rPr>
                    <w:rStyle w:val="Hyperlink"/>
                    <w:rFonts w:ascii="Arial" w:hAnsi="Arial" w:cs="Arial"/>
                    <w:sz w:val="18"/>
                    <w:szCs w:val="18"/>
                  </w:rPr>
                  <w:t>3.1 Aims and objectives of service</w:t>
                </w:r>
                <w:r w:rsidRPr="002D2D78">
                  <w:rPr>
                    <w:rFonts w:ascii="Arial" w:hAnsi="Arial" w:cs="Arial"/>
                    <w:sz w:val="18"/>
                    <w:szCs w:val="18"/>
                  </w:rPr>
                  <w:tab/>
                </w:r>
              </w:hyperlink>
            </w:p>
            <w:p w14:paraId="54044142" w14:textId="77777777" w:rsidR="00A053D7" w:rsidRPr="002D2D78" w:rsidRDefault="00C07F8A" w:rsidP="00A053D7">
              <w:pPr>
                <w:pStyle w:val="TOC2"/>
                <w:tabs>
                  <w:tab w:val="right" w:leader="dot" w:pos="9015"/>
                </w:tabs>
                <w:rPr>
                  <w:rFonts w:ascii="Arial" w:hAnsi="Arial" w:cs="Arial"/>
                  <w:sz w:val="18"/>
                  <w:szCs w:val="18"/>
                </w:rPr>
              </w:pPr>
              <w:hyperlink w:anchor="_Toc726400275">
                <w:r w:rsidR="00A053D7" w:rsidRPr="002D2D78">
                  <w:rPr>
                    <w:rStyle w:val="Hyperlink"/>
                    <w:rFonts w:ascii="Arial" w:hAnsi="Arial" w:cs="Arial"/>
                    <w:sz w:val="18"/>
                    <w:szCs w:val="18"/>
                  </w:rPr>
                  <w:t>3.1.1 Aims and objectives</w:t>
                </w:r>
                <w:r w:rsidR="00A053D7" w:rsidRPr="002D2D78">
                  <w:rPr>
                    <w:rFonts w:ascii="Arial" w:hAnsi="Arial" w:cs="Arial"/>
                    <w:sz w:val="18"/>
                    <w:szCs w:val="18"/>
                  </w:rPr>
                  <w:tab/>
                </w:r>
              </w:hyperlink>
            </w:p>
            <w:p w14:paraId="42486561" w14:textId="77777777" w:rsidR="00A053D7" w:rsidRPr="002D2D78" w:rsidRDefault="00C07F8A" w:rsidP="00A053D7">
              <w:pPr>
                <w:pStyle w:val="TOC2"/>
                <w:tabs>
                  <w:tab w:val="right" w:leader="dot" w:pos="9015"/>
                </w:tabs>
                <w:rPr>
                  <w:rFonts w:ascii="Arial" w:hAnsi="Arial" w:cs="Arial"/>
                  <w:sz w:val="18"/>
                  <w:szCs w:val="18"/>
                </w:rPr>
              </w:pPr>
              <w:hyperlink w:anchor="_Toc2100646534">
                <w:r w:rsidR="00A053D7" w:rsidRPr="002D2D78">
                  <w:rPr>
                    <w:rStyle w:val="Hyperlink"/>
                    <w:rFonts w:ascii="Arial" w:hAnsi="Arial" w:cs="Arial"/>
                    <w:sz w:val="18"/>
                    <w:szCs w:val="18"/>
                  </w:rPr>
                  <w:t>3.2 Service description/care pathway</w:t>
                </w:r>
                <w:r w:rsidR="00A053D7" w:rsidRPr="002D2D78">
                  <w:rPr>
                    <w:rFonts w:ascii="Arial" w:hAnsi="Arial" w:cs="Arial"/>
                    <w:sz w:val="18"/>
                    <w:szCs w:val="18"/>
                  </w:rPr>
                  <w:tab/>
                </w:r>
              </w:hyperlink>
            </w:p>
            <w:p w14:paraId="6E66235C" w14:textId="77777777" w:rsidR="00A053D7" w:rsidRPr="002D2D78" w:rsidRDefault="00C07F8A" w:rsidP="00A053D7">
              <w:pPr>
                <w:pStyle w:val="TOC2"/>
                <w:tabs>
                  <w:tab w:val="right" w:leader="dot" w:pos="9015"/>
                </w:tabs>
                <w:rPr>
                  <w:rFonts w:ascii="Arial" w:hAnsi="Arial" w:cs="Arial"/>
                  <w:sz w:val="18"/>
                  <w:szCs w:val="18"/>
                </w:rPr>
              </w:pPr>
              <w:hyperlink w:anchor="_Toc1119749438">
                <w:r w:rsidR="00A053D7" w:rsidRPr="002D2D78">
                  <w:rPr>
                    <w:rStyle w:val="Hyperlink"/>
                    <w:rFonts w:ascii="Arial" w:hAnsi="Arial" w:cs="Arial"/>
                    <w:sz w:val="18"/>
                    <w:szCs w:val="18"/>
                  </w:rPr>
                  <w:t>3.2.1 Included pathways and conditions</w:t>
                </w:r>
                <w:r w:rsidR="00A053D7" w:rsidRPr="002D2D78">
                  <w:rPr>
                    <w:rFonts w:ascii="Arial" w:hAnsi="Arial" w:cs="Arial"/>
                    <w:sz w:val="18"/>
                    <w:szCs w:val="18"/>
                  </w:rPr>
                  <w:tab/>
                </w:r>
              </w:hyperlink>
            </w:p>
            <w:p w14:paraId="5F677A8E" w14:textId="77777777" w:rsidR="00A053D7" w:rsidRPr="002D2D78" w:rsidRDefault="00C07F8A" w:rsidP="00A053D7">
              <w:pPr>
                <w:pStyle w:val="TOC2"/>
                <w:tabs>
                  <w:tab w:val="right" w:leader="dot" w:pos="9015"/>
                </w:tabs>
                <w:rPr>
                  <w:rFonts w:ascii="Arial" w:hAnsi="Arial" w:cs="Arial"/>
                  <w:sz w:val="18"/>
                  <w:szCs w:val="18"/>
                </w:rPr>
              </w:pPr>
              <w:hyperlink w:anchor="_Toc1656212454">
                <w:r w:rsidR="00A053D7" w:rsidRPr="002D2D78">
                  <w:rPr>
                    <w:rStyle w:val="Hyperlink"/>
                    <w:rFonts w:ascii="Arial" w:hAnsi="Arial" w:cs="Arial"/>
                    <w:sz w:val="18"/>
                    <w:szCs w:val="18"/>
                  </w:rPr>
                  <w:t>3.3 Care pathway</w:t>
                </w:r>
                <w:r w:rsidR="00A053D7" w:rsidRPr="002D2D78">
                  <w:rPr>
                    <w:rFonts w:ascii="Arial" w:hAnsi="Arial" w:cs="Arial"/>
                    <w:sz w:val="18"/>
                    <w:szCs w:val="18"/>
                  </w:rPr>
                  <w:tab/>
                </w:r>
              </w:hyperlink>
            </w:p>
            <w:p w14:paraId="1FD5766D"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3.3.1 </w:t>
              </w:r>
              <w:hyperlink w:anchor="_Toc1549818236">
                <w:r w:rsidRPr="002D2D78">
                  <w:rPr>
                    <w:rStyle w:val="Hyperlink"/>
                    <w:rFonts w:ascii="Arial" w:hAnsi="Arial" w:cs="Arial"/>
                    <w:sz w:val="18"/>
                    <w:szCs w:val="18"/>
                  </w:rPr>
                  <w:t>DIAGRAM</w:t>
                </w:r>
                <w:r w:rsidRPr="002D2D78">
                  <w:rPr>
                    <w:rFonts w:ascii="Arial" w:hAnsi="Arial" w:cs="Arial"/>
                    <w:sz w:val="18"/>
                    <w:szCs w:val="18"/>
                  </w:rPr>
                  <w:tab/>
                </w:r>
              </w:hyperlink>
            </w:p>
            <w:p w14:paraId="5B2CE918" w14:textId="77777777" w:rsidR="00A053D7" w:rsidRPr="002D2D78" w:rsidRDefault="00C07F8A" w:rsidP="00A053D7">
              <w:pPr>
                <w:pStyle w:val="TOC2"/>
                <w:tabs>
                  <w:tab w:val="right" w:leader="dot" w:pos="9015"/>
                </w:tabs>
                <w:rPr>
                  <w:rFonts w:ascii="Arial" w:hAnsi="Arial" w:cs="Arial"/>
                  <w:sz w:val="18"/>
                  <w:szCs w:val="18"/>
                </w:rPr>
              </w:pPr>
              <w:hyperlink w:anchor="_Toc254926181">
                <w:r w:rsidR="00A053D7">
                  <w:rPr>
                    <w:rStyle w:val="Hyperlink"/>
                    <w:rFonts w:ascii="Arial" w:hAnsi="Arial" w:cs="Arial"/>
                    <w:sz w:val="18"/>
                    <w:szCs w:val="18"/>
                  </w:rPr>
                  <w:t>3.3.2</w:t>
                </w:r>
                <w:r w:rsidR="00A053D7" w:rsidRPr="002D2D78">
                  <w:rPr>
                    <w:rStyle w:val="Hyperlink"/>
                    <w:rFonts w:ascii="Arial" w:hAnsi="Arial" w:cs="Arial"/>
                    <w:sz w:val="18"/>
                    <w:szCs w:val="18"/>
                  </w:rPr>
                  <w:t xml:space="preserve"> Partnership Working</w:t>
                </w:r>
                <w:r w:rsidR="00A053D7" w:rsidRPr="002D2D78">
                  <w:rPr>
                    <w:rFonts w:ascii="Arial" w:hAnsi="Arial" w:cs="Arial"/>
                    <w:sz w:val="18"/>
                    <w:szCs w:val="18"/>
                  </w:rPr>
                  <w:tab/>
                </w:r>
              </w:hyperlink>
            </w:p>
            <w:p w14:paraId="64F73215" w14:textId="77777777" w:rsidR="00A053D7" w:rsidRPr="002D2D78" w:rsidRDefault="00C07F8A" w:rsidP="00A053D7">
              <w:pPr>
                <w:pStyle w:val="TOC2"/>
                <w:tabs>
                  <w:tab w:val="right" w:leader="dot" w:pos="9015"/>
                </w:tabs>
                <w:rPr>
                  <w:rFonts w:ascii="Arial" w:hAnsi="Arial" w:cs="Arial"/>
                  <w:sz w:val="18"/>
                  <w:szCs w:val="18"/>
                </w:rPr>
              </w:pPr>
              <w:hyperlink w:anchor="_Toc925137629">
                <w:r w:rsidR="00A053D7">
                  <w:rPr>
                    <w:rStyle w:val="Hyperlink"/>
                    <w:rFonts w:ascii="Arial" w:hAnsi="Arial" w:cs="Arial"/>
                    <w:sz w:val="18"/>
                    <w:szCs w:val="18"/>
                  </w:rPr>
                  <w:t>3.3.3</w:t>
                </w:r>
                <w:r w:rsidR="00A053D7" w:rsidRPr="002D2D78">
                  <w:rPr>
                    <w:rStyle w:val="Hyperlink"/>
                    <w:rFonts w:ascii="Arial" w:hAnsi="Arial" w:cs="Arial"/>
                    <w:sz w:val="18"/>
                    <w:szCs w:val="18"/>
                  </w:rPr>
                  <w:t xml:space="preserve"> Workforce</w:t>
                </w:r>
                <w:r w:rsidR="00A053D7" w:rsidRPr="002D2D78">
                  <w:rPr>
                    <w:rFonts w:ascii="Arial" w:hAnsi="Arial" w:cs="Arial"/>
                    <w:sz w:val="18"/>
                    <w:szCs w:val="18"/>
                  </w:rPr>
                  <w:tab/>
                </w:r>
              </w:hyperlink>
            </w:p>
            <w:p w14:paraId="7A492CD6" w14:textId="77777777" w:rsidR="00A053D7" w:rsidRPr="002D2D78" w:rsidRDefault="00C07F8A" w:rsidP="00A053D7">
              <w:pPr>
                <w:pStyle w:val="TOC2"/>
                <w:tabs>
                  <w:tab w:val="right" w:leader="dot" w:pos="9015"/>
                </w:tabs>
                <w:rPr>
                  <w:rFonts w:ascii="Arial" w:hAnsi="Arial" w:cs="Arial"/>
                  <w:sz w:val="18"/>
                  <w:szCs w:val="18"/>
                </w:rPr>
              </w:pPr>
              <w:hyperlink w:anchor="_Toc488520319">
                <w:r w:rsidR="00A053D7">
                  <w:rPr>
                    <w:rStyle w:val="Hyperlink"/>
                    <w:rFonts w:ascii="Arial" w:hAnsi="Arial" w:cs="Arial"/>
                    <w:sz w:val="18"/>
                    <w:szCs w:val="18"/>
                  </w:rPr>
                  <w:t>3.3.4</w:t>
                </w:r>
                <w:r w:rsidR="00A053D7" w:rsidRPr="002D2D78">
                  <w:rPr>
                    <w:rStyle w:val="Hyperlink"/>
                    <w:rFonts w:ascii="Arial" w:hAnsi="Arial" w:cs="Arial"/>
                    <w:sz w:val="18"/>
                    <w:szCs w:val="18"/>
                  </w:rPr>
                  <w:t xml:space="preserve"> Triage and Referral Times</w:t>
                </w:r>
                <w:r w:rsidR="00A053D7" w:rsidRPr="002D2D78">
                  <w:rPr>
                    <w:rFonts w:ascii="Arial" w:hAnsi="Arial" w:cs="Arial"/>
                    <w:sz w:val="18"/>
                    <w:szCs w:val="18"/>
                  </w:rPr>
                  <w:tab/>
                </w:r>
              </w:hyperlink>
            </w:p>
            <w:p w14:paraId="644A0C72" w14:textId="77777777" w:rsidR="00A053D7" w:rsidRPr="002D2D78" w:rsidRDefault="00C07F8A" w:rsidP="00A053D7">
              <w:pPr>
                <w:pStyle w:val="TOC2"/>
                <w:tabs>
                  <w:tab w:val="right" w:leader="dot" w:pos="9015"/>
                </w:tabs>
                <w:rPr>
                  <w:rFonts w:ascii="Arial" w:hAnsi="Arial" w:cs="Arial"/>
                  <w:sz w:val="18"/>
                  <w:szCs w:val="18"/>
                </w:rPr>
              </w:pPr>
              <w:hyperlink w:anchor="_Toc114297426">
                <w:r w:rsidR="00A053D7">
                  <w:rPr>
                    <w:rStyle w:val="Hyperlink"/>
                    <w:rFonts w:ascii="Arial" w:hAnsi="Arial" w:cs="Arial"/>
                    <w:sz w:val="18"/>
                    <w:szCs w:val="18"/>
                  </w:rPr>
                  <w:t>3.3.5</w:t>
                </w:r>
                <w:r w:rsidR="00A053D7" w:rsidRPr="002D2D78">
                  <w:rPr>
                    <w:rStyle w:val="Hyperlink"/>
                    <w:rFonts w:ascii="Arial" w:hAnsi="Arial" w:cs="Arial"/>
                    <w:sz w:val="18"/>
                    <w:szCs w:val="18"/>
                  </w:rPr>
                  <w:t xml:space="preserve"> Self Referral:</w:t>
                </w:r>
                <w:r w:rsidR="00A053D7" w:rsidRPr="002D2D78">
                  <w:rPr>
                    <w:rFonts w:ascii="Arial" w:hAnsi="Arial" w:cs="Arial"/>
                    <w:sz w:val="18"/>
                    <w:szCs w:val="18"/>
                  </w:rPr>
                  <w:tab/>
                </w:r>
              </w:hyperlink>
            </w:p>
            <w:p w14:paraId="07CC5140"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3.3.6</w:t>
              </w:r>
              <w:r w:rsidRPr="002D2D78">
                <w:rPr>
                  <w:rFonts w:ascii="Arial" w:hAnsi="Arial" w:cs="Arial"/>
                  <w:sz w:val="18"/>
                  <w:szCs w:val="18"/>
                </w:rPr>
                <w:t xml:space="preserve"> </w:t>
              </w:r>
              <w:hyperlink w:anchor="_Toc1699789863">
                <w:r w:rsidRPr="002D2D78">
                  <w:rPr>
                    <w:rStyle w:val="Hyperlink"/>
                    <w:rFonts w:ascii="Arial" w:hAnsi="Arial" w:cs="Arial"/>
                    <w:sz w:val="18"/>
                    <w:szCs w:val="18"/>
                  </w:rPr>
                  <w:t>Digital</w:t>
                </w:r>
                <w:r w:rsidRPr="002D2D78">
                  <w:rPr>
                    <w:rFonts w:ascii="Arial" w:hAnsi="Arial" w:cs="Arial"/>
                    <w:sz w:val="18"/>
                    <w:szCs w:val="18"/>
                  </w:rPr>
                  <w:tab/>
                </w:r>
              </w:hyperlink>
            </w:p>
            <w:p w14:paraId="4455C3F0" w14:textId="77777777" w:rsidR="00A053D7" w:rsidRPr="002D2D78" w:rsidRDefault="00C07F8A" w:rsidP="00A053D7">
              <w:pPr>
                <w:pStyle w:val="TOC2"/>
                <w:tabs>
                  <w:tab w:val="right" w:leader="dot" w:pos="9015"/>
                </w:tabs>
                <w:rPr>
                  <w:rFonts w:ascii="Arial" w:hAnsi="Arial" w:cs="Arial"/>
                  <w:sz w:val="18"/>
                  <w:szCs w:val="18"/>
                </w:rPr>
              </w:pPr>
              <w:hyperlink w:anchor="_Toc401410948">
                <w:r w:rsidR="00A053D7">
                  <w:rPr>
                    <w:rStyle w:val="Hyperlink"/>
                    <w:rFonts w:ascii="Arial" w:hAnsi="Arial" w:cs="Arial"/>
                    <w:sz w:val="18"/>
                    <w:szCs w:val="18"/>
                  </w:rPr>
                  <w:t>3.3.7</w:t>
                </w:r>
                <w:r w:rsidR="00A053D7" w:rsidRPr="002D2D78">
                  <w:rPr>
                    <w:rStyle w:val="Hyperlink"/>
                    <w:rFonts w:ascii="Arial" w:hAnsi="Arial" w:cs="Arial"/>
                    <w:sz w:val="18"/>
                    <w:szCs w:val="18"/>
                  </w:rPr>
                  <w:t xml:space="preserve"> Premises</w:t>
                </w:r>
                <w:r w:rsidR="00A053D7" w:rsidRPr="002D2D78">
                  <w:rPr>
                    <w:rFonts w:ascii="Arial" w:hAnsi="Arial" w:cs="Arial"/>
                    <w:sz w:val="18"/>
                    <w:szCs w:val="18"/>
                  </w:rPr>
                  <w:tab/>
                </w:r>
              </w:hyperlink>
            </w:p>
            <w:p w14:paraId="294AB72A" w14:textId="77777777" w:rsidR="00A053D7" w:rsidRPr="002D2D78" w:rsidRDefault="00C07F8A" w:rsidP="00A053D7">
              <w:pPr>
                <w:pStyle w:val="TOC2"/>
                <w:tabs>
                  <w:tab w:val="right" w:leader="dot" w:pos="9015"/>
                </w:tabs>
                <w:rPr>
                  <w:rFonts w:ascii="Arial" w:hAnsi="Arial" w:cs="Arial"/>
                  <w:sz w:val="18"/>
                  <w:szCs w:val="18"/>
                </w:rPr>
              </w:pPr>
              <w:hyperlink w:anchor="_Toc1783377178">
                <w:r w:rsidR="00A053D7">
                  <w:rPr>
                    <w:rStyle w:val="Hyperlink"/>
                    <w:rFonts w:ascii="Arial" w:hAnsi="Arial" w:cs="Arial"/>
                    <w:sz w:val="18"/>
                    <w:szCs w:val="18"/>
                  </w:rPr>
                  <w:t xml:space="preserve">3.3.8 </w:t>
                </w:r>
                <w:r w:rsidR="00A053D7" w:rsidRPr="002D2D78">
                  <w:rPr>
                    <w:rStyle w:val="Hyperlink"/>
                    <w:rFonts w:ascii="Arial" w:hAnsi="Arial" w:cs="Arial"/>
                    <w:sz w:val="18"/>
                    <w:szCs w:val="18"/>
                  </w:rPr>
                  <w:t>Under-serviced Groups</w:t>
                </w:r>
                <w:r w:rsidR="00A053D7" w:rsidRPr="002D2D78">
                  <w:rPr>
                    <w:rFonts w:ascii="Arial" w:hAnsi="Arial" w:cs="Arial"/>
                    <w:sz w:val="18"/>
                    <w:szCs w:val="18"/>
                  </w:rPr>
                  <w:tab/>
                </w:r>
              </w:hyperlink>
            </w:p>
            <w:p w14:paraId="32618C18" w14:textId="77777777" w:rsidR="00A053D7" w:rsidRPr="002D2D78" w:rsidRDefault="00C07F8A" w:rsidP="00A053D7">
              <w:pPr>
                <w:pStyle w:val="TOC2"/>
                <w:tabs>
                  <w:tab w:val="right" w:leader="dot" w:pos="9015"/>
                </w:tabs>
                <w:rPr>
                  <w:rFonts w:ascii="Arial" w:hAnsi="Arial" w:cs="Arial"/>
                  <w:sz w:val="18"/>
                  <w:szCs w:val="18"/>
                </w:rPr>
              </w:pPr>
              <w:hyperlink w:anchor="_Toc947052229">
                <w:r w:rsidR="00A053D7">
                  <w:rPr>
                    <w:rStyle w:val="Hyperlink"/>
                    <w:rFonts w:ascii="Arial" w:hAnsi="Arial" w:cs="Arial"/>
                    <w:sz w:val="18"/>
                    <w:szCs w:val="18"/>
                  </w:rPr>
                  <w:t>3.3.9</w:t>
                </w:r>
                <w:r w:rsidR="00A053D7" w:rsidRPr="002D2D78">
                  <w:rPr>
                    <w:rStyle w:val="Hyperlink"/>
                    <w:rFonts w:ascii="Arial" w:hAnsi="Arial" w:cs="Arial"/>
                    <w:sz w:val="18"/>
                    <w:szCs w:val="18"/>
                  </w:rPr>
                  <w:t xml:space="preserve"> Information Management &amp; Technology</w:t>
                </w:r>
                <w:r w:rsidR="00A053D7" w:rsidRPr="002D2D78">
                  <w:rPr>
                    <w:rFonts w:ascii="Arial" w:hAnsi="Arial" w:cs="Arial"/>
                    <w:sz w:val="18"/>
                    <w:szCs w:val="18"/>
                  </w:rPr>
                  <w:tab/>
                </w:r>
              </w:hyperlink>
            </w:p>
            <w:p w14:paraId="63483348" w14:textId="77777777" w:rsidR="00A053D7" w:rsidRPr="002D2D78" w:rsidRDefault="00C07F8A" w:rsidP="00A053D7">
              <w:pPr>
                <w:pStyle w:val="TOC2"/>
                <w:tabs>
                  <w:tab w:val="right" w:leader="dot" w:pos="9015"/>
                </w:tabs>
                <w:rPr>
                  <w:rFonts w:ascii="Arial" w:hAnsi="Arial" w:cs="Arial"/>
                  <w:sz w:val="18"/>
                  <w:szCs w:val="18"/>
                </w:rPr>
              </w:pPr>
              <w:hyperlink w:anchor="_Toc2112111458">
                <w:r w:rsidR="00A053D7">
                  <w:rPr>
                    <w:rStyle w:val="Hyperlink"/>
                    <w:rFonts w:ascii="Arial" w:hAnsi="Arial" w:cs="Arial"/>
                    <w:sz w:val="18"/>
                    <w:szCs w:val="18"/>
                  </w:rPr>
                  <w:t>3.3.10</w:t>
                </w:r>
                <w:r w:rsidR="00A053D7" w:rsidRPr="002D2D78">
                  <w:rPr>
                    <w:rStyle w:val="Hyperlink"/>
                    <w:rFonts w:ascii="Arial" w:hAnsi="Arial" w:cs="Arial"/>
                    <w:sz w:val="18"/>
                    <w:szCs w:val="18"/>
                  </w:rPr>
                  <w:t xml:space="preserve"> Specialist Advice &amp; Guidance</w:t>
                </w:r>
                <w:r w:rsidR="00A053D7" w:rsidRPr="002D2D78">
                  <w:rPr>
                    <w:rFonts w:ascii="Arial" w:hAnsi="Arial" w:cs="Arial"/>
                    <w:sz w:val="18"/>
                    <w:szCs w:val="18"/>
                  </w:rPr>
                  <w:tab/>
                </w:r>
              </w:hyperlink>
            </w:p>
            <w:p w14:paraId="63E444B2" w14:textId="77777777" w:rsidR="00A053D7" w:rsidRPr="002D2D78" w:rsidRDefault="00C07F8A" w:rsidP="00A053D7">
              <w:pPr>
                <w:pStyle w:val="TOC2"/>
                <w:tabs>
                  <w:tab w:val="right" w:leader="dot" w:pos="9015"/>
                </w:tabs>
                <w:rPr>
                  <w:rFonts w:ascii="Arial" w:hAnsi="Arial" w:cs="Arial"/>
                  <w:sz w:val="18"/>
                  <w:szCs w:val="18"/>
                </w:rPr>
              </w:pPr>
              <w:hyperlink w:anchor="_Toc698562539">
                <w:r w:rsidR="00A053D7">
                  <w:rPr>
                    <w:rStyle w:val="Hyperlink"/>
                    <w:rFonts w:ascii="Arial" w:hAnsi="Arial" w:cs="Arial"/>
                    <w:sz w:val="18"/>
                    <w:szCs w:val="18"/>
                  </w:rPr>
                  <w:t>3.3.11</w:t>
                </w:r>
                <w:r w:rsidR="00A053D7" w:rsidRPr="002D2D78">
                  <w:rPr>
                    <w:rStyle w:val="Hyperlink"/>
                    <w:rFonts w:ascii="Arial" w:hAnsi="Arial" w:cs="Arial"/>
                    <w:sz w:val="18"/>
                    <w:szCs w:val="18"/>
                  </w:rPr>
                  <w:t xml:space="preserve"> Shared Decision Making</w:t>
                </w:r>
                <w:r w:rsidR="00A053D7" w:rsidRPr="002D2D78">
                  <w:rPr>
                    <w:rFonts w:ascii="Arial" w:hAnsi="Arial" w:cs="Arial"/>
                    <w:sz w:val="18"/>
                    <w:szCs w:val="18"/>
                  </w:rPr>
                  <w:tab/>
                </w:r>
              </w:hyperlink>
            </w:p>
            <w:p w14:paraId="472C3DF3" w14:textId="77777777" w:rsidR="00A053D7" w:rsidRPr="002D2D78" w:rsidRDefault="00C07F8A" w:rsidP="00A053D7">
              <w:pPr>
                <w:pStyle w:val="TOC2"/>
                <w:tabs>
                  <w:tab w:val="right" w:leader="dot" w:pos="9015"/>
                </w:tabs>
                <w:rPr>
                  <w:rFonts w:ascii="Arial" w:hAnsi="Arial" w:cs="Arial"/>
                  <w:sz w:val="18"/>
                  <w:szCs w:val="18"/>
                </w:rPr>
              </w:pPr>
              <w:hyperlink w:anchor="_Toc1244745233">
                <w:r w:rsidR="00A053D7">
                  <w:rPr>
                    <w:rStyle w:val="Hyperlink"/>
                    <w:rFonts w:ascii="Arial" w:hAnsi="Arial" w:cs="Arial"/>
                    <w:sz w:val="18"/>
                    <w:szCs w:val="18"/>
                  </w:rPr>
                  <w:t>3.3.12</w:t>
                </w:r>
                <w:r w:rsidR="00A053D7" w:rsidRPr="002D2D78">
                  <w:rPr>
                    <w:rStyle w:val="Hyperlink"/>
                    <w:rFonts w:ascii="Arial" w:hAnsi="Arial" w:cs="Arial"/>
                    <w:sz w:val="18"/>
                    <w:szCs w:val="18"/>
                  </w:rPr>
                  <w:t xml:space="preserve"> Personalised Care</w:t>
                </w:r>
                <w:r w:rsidR="00A053D7" w:rsidRPr="002D2D78">
                  <w:rPr>
                    <w:rFonts w:ascii="Arial" w:hAnsi="Arial" w:cs="Arial"/>
                    <w:sz w:val="18"/>
                    <w:szCs w:val="18"/>
                  </w:rPr>
                  <w:tab/>
                </w:r>
              </w:hyperlink>
            </w:p>
            <w:p w14:paraId="07517297" w14:textId="77777777" w:rsidR="00A053D7" w:rsidRPr="002D2D78" w:rsidRDefault="00C07F8A" w:rsidP="00A053D7">
              <w:pPr>
                <w:pStyle w:val="TOC2"/>
                <w:tabs>
                  <w:tab w:val="right" w:leader="dot" w:pos="9015"/>
                </w:tabs>
                <w:rPr>
                  <w:rFonts w:ascii="Arial" w:hAnsi="Arial" w:cs="Arial"/>
                  <w:sz w:val="18"/>
                  <w:szCs w:val="18"/>
                </w:rPr>
              </w:pPr>
              <w:hyperlink w:anchor="_Toc1669186693">
                <w:r w:rsidR="00A053D7">
                  <w:rPr>
                    <w:rStyle w:val="Hyperlink"/>
                    <w:rFonts w:ascii="Arial" w:hAnsi="Arial" w:cs="Arial"/>
                    <w:sz w:val="18"/>
                    <w:szCs w:val="18"/>
                  </w:rPr>
                  <w:t xml:space="preserve">3.3.13 </w:t>
                </w:r>
                <w:r w:rsidR="00A053D7" w:rsidRPr="002D2D78">
                  <w:rPr>
                    <w:rStyle w:val="Hyperlink"/>
                    <w:rFonts w:ascii="Arial" w:hAnsi="Arial" w:cs="Arial"/>
                    <w:sz w:val="18"/>
                    <w:szCs w:val="18"/>
                  </w:rPr>
                  <w:t>Primary Care &amp; First Contact Practitioners</w:t>
                </w:r>
                <w:r w:rsidR="00A053D7" w:rsidRPr="002D2D78">
                  <w:rPr>
                    <w:rFonts w:ascii="Arial" w:hAnsi="Arial" w:cs="Arial"/>
                    <w:sz w:val="18"/>
                    <w:szCs w:val="18"/>
                  </w:rPr>
                  <w:tab/>
                </w:r>
              </w:hyperlink>
            </w:p>
            <w:p w14:paraId="5AA5C021" w14:textId="77777777" w:rsidR="00A053D7" w:rsidRPr="002D2D78" w:rsidRDefault="00C07F8A" w:rsidP="00A053D7">
              <w:pPr>
                <w:pStyle w:val="TOC2"/>
                <w:tabs>
                  <w:tab w:val="right" w:leader="dot" w:pos="9015"/>
                </w:tabs>
                <w:rPr>
                  <w:rFonts w:ascii="Arial" w:hAnsi="Arial" w:cs="Arial"/>
                  <w:sz w:val="18"/>
                  <w:szCs w:val="18"/>
                </w:rPr>
              </w:pPr>
              <w:hyperlink w:anchor="_Toc1986835723">
                <w:r w:rsidR="00A053D7">
                  <w:rPr>
                    <w:rStyle w:val="Hyperlink"/>
                    <w:rFonts w:ascii="Arial" w:hAnsi="Arial" w:cs="Arial"/>
                    <w:sz w:val="18"/>
                    <w:szCs w:val="18"/>
                  </w:rPr>
                  <w:t>3.3.14</w:t>
                </w:r>
                <w:r w:rsidR="00A053D7" w:rsidRPr="002D2D78">
                  <w:rPr>
                    <w:rStyle w:val="Hyperlink"/>
                    <w:rFonts w:ascii="Arial" w:hAnsi="Arial" w:cs="Arial"/>
                    <w:sz w:val="18"/>
                    <w:szCs w:val="18"/>
                  </w:rPr>
                  <w:t xml:space="preserve"> Tier 1 Physiotherapist-lead Services</w:t>
                </w:r>
                <w:r w:rsidR="00A053D7" w:rsidRPr="002D2D78">
                  <w:rPr>
                    <w:rFonts w:ascii="Arial" w:hAnsi="Arial" w:cs="Arial"/>
                    <w:sz w:val="18"/>
                    <w:szCs w:val="18"/>
                  </w:rPr>
                  <w:tab/>
                </w:r>
              </w:hyperlink>
            </w:p>
            <w:p w14:paraId="23C89173" w14:textId="77777777" w:rsidR="00A053D7" w:rsidRPr="002D2D78" w:rsidRDefault="00C07F8A" w:rsidP="00A053D7">
              <w:pPr>
                <w:pStyle w:val="TOC2"/>
                <w:tabs>
                  <w:tab w:val="right" w:leader="dot" w:pos="9015"/>
                </w:tabs>
                <w:rPr>
                  <w:rFonts w:ascii="Arial" w:hAnsi="Arial" w:cs="Arial"/>
                  <w:sz w:val="18"/>
                  <w:szCs w:val="18"/>
                </w:rPr>
              </w:pPr>
              <w:hyperlink w:anchor="_Toc231781959">
                <w:r w:rsidR="00A053D7">
                  <w:rPr>
                    <w:rStyle w:val="Hyperlink"/>
                    <w:rFonts w:ascii="Arial" w:hAnsi="Arial" w:cs="Arial"/>
                    <w:sz w:val="18"/>
                    <w:szCs w:val="18"/>
                  </w:rPr>
                  <w:t>3.3.15</w:t>
                </w:r>
                <w:r w:rsidR="00A053D7" w:rsidRPr="002D2D78">
                  <w:rPr>
                    <w:rStyle w:val="Hyperlink"/>
                    <w:rFonts w:ascii="Arial" w:hAnsi="Arial" w:cs="Arial"/>
                    <w:sz w:val="18"/>
                    <w:szCs w:val="18"/>
                  </w:rPr>
                  <w:t xml:space="preserve"> Tier 2 Sub-Specialty Requirements:</w:t>
                </w:r>
                <w:r w:rsidR="00A053D7" w:rsidRPr="002D2D78">
                  <w:rPr>
                    <w:rFonts w:ascii="Arial" w:hAnsi="Arial" w:cs="Arial"/>
                    <w:sz w:val="18"/>
                    <w:szCs w:val="18"/>
                  </w:rPr>
                  <w:tab/>
                </w:r>
              </w:hyperlink>
            </w:p>
            <w:p w14:paraId="6080ABFD"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3.3.15</w:t>
              </w:r>
              <w:r w:rsidRPr="002D2D78">
                <w:rPr>
                  <w:rFonts w:ascii="Arial" w:hAnsi="Arial" w:cs="Arial"/>
                  <w:sz w:val="18"/>
                  <w:szCs w:val="18"/>
                </w:rPr>
                <w:t xml:space="preserve">.1 </w:t>
              </w:r>
              <w:hyperlink w:anchor="_Toc1752549009">
                <w:r w:rsidRPr="002D2D78">
                  <w:rPr>
                    <w:rStyle w:val="Hyperlink"/>
                    <w:rFonts w:ascii="Arial" w:hAnsi="Arial" w:cs="Arial"/>
                    <w:sz w:val="18"/>
                    <w:szCs w:val="18"/>
                  </w:rPr>
                  <w:t>Orthopaedics</w:t>
                </w:r>
                <w:r w:rsidRPr="002D2D78">
                  <w:rPr>
                    <w:rFonts w:ascii="Arial" w:hAnsi="Arial" w:cs="Arial"/>
                    <w:sz w:val="18"/>
                    <w:szCs w:val="18"/>
                  </w:rPr>
                  <w:tab/>
                </w:r>
              </w:hyperlink>
            </w:p>
            <w:p w14:paraId="4352E020"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3.3.15</w:t>
              </w:r>
              <w:r w:rsidRPr="002D2D78">
                <w:rPr>
                  <w:rFonts w:ascii="Arial" w:hAnsi="Arial" w:cs="Arial"/>
                  <w:sz w:val="18"/>
                  <w:szCs w:val="18"/>
                </w:rPr>
                <w:t xml:space="preserve">.2 </w:t>
              </w:r>
              <w:hyperlink w:anchor="_Toc221482445">
                <w:r w:rsidRPr="002D2D78">
                  <w:rPr>
                    <w:rStyle w:val="Hyperlink"/>
                    <w:rFonts w:ascii="Arial" w:hAnsi="Arial" w:cs="Arial"/>
                    <w:sz w:val="18"/>
                    <w:szCs w:val="18"/>
                  </w:rPr>
                  <w:t>Rheumatology</w:t>
                </w:r>
                <w:r w:rsidRPr="002D2D78">
                  <w:rPr>
                    <w:rFonts w:ascii="Arial" w:hAnsi="Arial" w:cs="Arial"/>
                    <w:sz w:val="18"/>
                    <w:szCs w:val="18"/>
                  </w:rPr>
                  <w:tab/>
                </w:r>
              </w:hyperlink>
            </w:p>
            <w:p w14:paraId="5D6D15F2"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3.3.15</w:t>
              </w:r>
              <w:r w:rsidRPr="002D2D78">
                <w:rPr>
                  <w:rFonts w:ascii="Arial" w:hAnsi="Arial" w:cs="Arial"/>
                  <w:sz w:val="18"/>
                  <w:szCs w:val="18"/>
                </w:rPr>
                <w:t xml:space="preserve">.3 </w:t>
              </w:r>
              <w:hyperlink w:anchor="_Toc1362263566">
                <w:r w:rsidRPr="002D2D78">
                  <w:rPr>
                    <w:rStyle w:val="Hyperlink"/>
                    <w:rFonts w:ascii="Arial" w:hAnsi="Arial" w:cs="Arial"/>
                    <w:sz w:val="18"/>
                    <w:szCs w:val="18"/>
                  </w:rPr>
                  <w:t>Sciatica Pathway</w:t>
                </w:r>
                <w:r w:rsidRPr="002D2D78">
                  <w:rPr>
                    <w:rFonts w:ascii="Arial" w:hAnsi="Arial" w:cs="Arial"/>
                    <w:sz w:val="18"/>
                    <w:szCs w:val="18"/>
                  </w:rPr>
                  <w:tab/>
                </w:r>
              </w:hyperlink>
            </w:p>
            <w:p w14:paraId="3CEFDB73"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3.3.15</w:t>
              </w:r>
              <w:r w:rsidRPr="002D2D78">
                <w:rPr>
                  <w:rFonts w:ascii="Arial" w:hAnsi="Arial" w:cs="Arial"/>
                  <w:sz w:val="18"/>
                  <w:szCs w:val="18"/>
                </w:rPr>
                <w:t xml:space="preserve">.4 </w:t>
              </w:r>
              <w:hyperlink w:anchor="_Toc2023811511">
                <w:r w:rsidRPr="002D2D78">
                  <w:rPr>
                    <w:rStyle w:val="Hyperlink"/>
                    <w:rFonts w:ascii="Arial" w:hAnsi="Arial" w:cs="Arial"/>
                    <w:sz w:val="18"/>
                    <w:szCs w:val="18"/>
                  </w:rPr>
                  <w:t>Persistent / Chronic Pain</w:t>
                </w:r>
                <w:r w:rsidRPr="002D2D78">
                  <w:rPr>
                    <w:rFonts w:ascii="Arial" w:hAnsi="Arial" w:cs="Arial"/>
                    <w:sz w:val="18"/>
                    <w:szCs w:val="18"/>
                  </w:rPr>
                  <w:tab/>
                </w:r>
              </w:hyperlink>
            </w:p>
            <w:p w14:paraId="58C2B241"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3.3.15</w:t>
              </w:r>
              <w:r w:rsidRPr="002D2D78">
                <w:rPr>
                  <w:rFonts w:ascii="Arial" w:hAnsi="Arial" w:cs="Arial"/>
                  <w:sz w:val="18"/>
                  <w:szCs w:val="18"/>
                </w:rPr>
                <w:t xml:space="preserve">.5 </w:t>
              </w:r>
              <w:hyperlink w:anchor="_Toc1187116064">
                <w:r w:rsidRPr="002D2D78">
                  <w:rPr>
                    <w:rStyle w:val="Hyperlink"/>
                    <w:rFonts w:ascii="Arial" w:hAnsi="Arial" w:cs="Arial"/>
                    <w:sz w:val="18"/>
                    <w:szCs w:val="18"/>
                  </w:rPr>
                  <w:t>Spinal &amp; Radicular Pain</w:t>
                </w:r>
                <w:r w:rsidRPr="002D2D78">
                  <w:rPr>
                    <w:rFonts w:ascii="Arial" w:hAnsi="Arial" w:cs="Arial"/>
                    <w:sz w:val="18"/>
                    <w:szCs w:val="18"/>
                  </w:rPr>
                  <w:tab/>
                </w:r>
              </w:hyperlink>
            </w:p>
            <w:p w14:paraId="403D3B89" w14:textId="77777777" w:rsidR="00A053D7" w:rsidRPr="002D2D78" w:rsidRDefault="00C07F8A" w:rsidP="00A053D7">
              <w:pPr>
                <w:pStyle w:val="TOC2"/>
                <w:tabs>
                  <w:tab w:val="right" w:leader="dot" w:pos="9015"/>
                </w:tabs>
                <w:rPr>
                  <w:rFonts w:ascii="Arial" w:hAnsi="Arial" w:cs="Arial"/>
                  <w:sz w:val="18"/>
                  <w:szCs w:val="18"/>
                </w:rPr>
              </w:pPr>
              <w:hyperlink w:anchor="_Toc1416411583">
                <w:r w:rsidR="00A053D7">
                  <w:rPr>
                    <w:rStyle w:val="Hyperlink"/>
                    <w:rFonts w:ascii="Arial" w:hAnsi="Arial" w:cs="Arial"/>
                    <w:sz w:val="18"/>
                    <w:szCs w:val="18"/>
                  </w:rPr>
                  <w:t>3.3.16</w:t>
                </w:r>
                <w:r w:rsidR="00A053D7" w:rsidRPr="002D2D78">
                  <w:rPr>
                    <w:rStyle w:val="Hyperlink"/>
                    <w:rFonts w:ascii="Arial" w:hAnsi="Arial" w:cs="Arial"/>
                    <w:sz w:val="18"/>
                    <w:szCs w:val="18"/>
                  </w:rPr>
                  <w:t xml:space="preserve"> Medicines Optimisation:</w:t>
                </w:r>
                <w:r w:rsidR="00A053D7" w:rsidRPr="002D2D78">
                  <w:rPr>
                    <w:rFonts w:ascii="Arial" w:hAnsi="Arial" w:cs="Arial"/>
                    <w:sz w:val="18"/>
                    <w:szCs w:val="18"/>
                  </w:rPr>
                  <w:tab/>
                </w:r>
              </w:hyperlink>
            </w:p>
            <w:p w14:paraId="0821BB08"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3.3.16</w:t>
              </w:r>
              <w:r w:rsidRPr="002D2D78">
                <w:rPr>
                  <w:rFonts w:ascii="Arial" w:hAnsi="Arial" w:cs="Arial"/>
                  <w:sz w:val="18"/>
                  <w:szCs w:val="18"/>
                </w:rPr>
                <w:t xml:space="preserve">.1 </w:t>
              </w:r>
              <w:hyperlink w:anchor="_Toc27974355">
                <w:r w:rsidRPr="002D2D78">
                  <w:rPr>
                    <w:rStyle w:val="Hyperlink"/>
                    <w:rFonts w:ascii="Arial" w:hAnsi="Arial" w:cs="Arial"/>
                    <w:sz w:val="18"/>
                    <w:szCs w:val="18"/>
                  </w:rPr>
                  <w:t>Medication Reviews and De-prescribing</w:t>
                </w:r>
                <w:r w:rsidRPr="002D2D78">
                  <w:rPr>
                    <w:rFonts w:ascii="Arial" w:hAnsi="Arial" w:cs="Arial"/>
                    <w:sz w:val="18"/>
                    <w:szCs w:val="18"/>
                  </w:rPr>
                  <w:tab/>
                </w:r>
              </w:hyperlink>
            </w:p>
            <w:p w14:paraId="1110E798" w14:textId="77777777" w:rsidR="00A053D7" w:rsidRPr="002D2D78" w:rsidRDefault="00A053D7" w:rsidP="00A053D7">
              <w:pPr>
                <w:pStyle w:val="TOC2"/>
                <w:tabs>
                  <w:tab w:val="right" w:leader="dot" w:pos="9015"/>
                </w:tabs>
                <w:rPr>
                  <w:rFonts w:ascii="Arial" w:hAnsi="Arial" w:cs="Arial"/>
                  <w:sz w:val="18"/>
                  <w:szCs w:val="18"/>
                </w:rPr>
              </w:pPr>
              <w:r>
                <w:rPr>
                  <w:rFonts w:ascii="Arial" w:hAnsi="Arial" w:cs="Arial"/>
                  <w:sz w:val="18"/>
                  <w:szCs w:val="18"/>
                </w:rPr>
                <w:t>3.3.16</w:t>
              </w:r>
              <w:r w:rsidRPr="002D2D78">
                <w:rPr>
                  <w:rFonts w:ascii="Arial" w:hAnsi="Arial" w:cs="Arial"/>
                  <w:sz w:val="18"/>
                  <w:szCs w:val="18"/>
                </w:rPr>
                <w:t xml:space="preserve">.2 </w:t>
              </w:r>
              <w:hyperlink w:anchor="_Toc387849025">
                <w:r w:rsidRPr="002D2D78">
                  <w:rPr>
                    <w:rStyle w:val="Hyperlink"/>
                    <w:rFonts w:ascii="Arial" w:hAnsi="Arial" w:cs="Arial"/>
                    <w:sz w:val="18"/>
                    <w:szCs w:val="18"/>
                  </w:rPr>
                  <w:t>Prescribing</w:t>
                </w:r>
                <w:r w:rsidRPr="002D2D78">
                  <w:rPr>
                    <w:rFonts w:ascii="Arial" w:hAnsi="Arial" w:cs="Arial"/>
                    <w:sz w:val="18"/>
                    <w:szCs w:val="18"/>
                  </w:rPr>
                  <w:tab/>
                </w:r>
              </w:hyperlink>
            </w:p>
            <w:p w14:paraId="509162D9" w14:textId="77777777" w:rsidR="00A053D7" w:rsidRPr="002D2D78" w:rsidRDefault="00C07F8A" w:rsidP="00A053D7">
              <w:pPr>
                <w:pStyle w:val="TOC2"/>
                <w:tabs>
                  <w:tab w:val="right" w:leader="dot" w:pos="9015"/>
                </w:tabs>
                <w:rPr>
                  <w:rFonts w:ascii="Arial" w:hAnsi="Arial" w:cs="Arial"/>
                  <w:sz w:val="18"/>
                  <w:szCs w:val="18"/>
                </w:rPr>
              </w:pPr>
              <w:hyperlink w:anchor="_Toc726547020">
                <w:r w:rsidR="00A053D7">
                  <w:rPr>
                    <w:rStyle w:val="Hyperlink"/>
                    <w:rFonts w:ascii="Arial" w:hAnsi="Arial" w:cs="Arial"/>
                    <w:sz w:val="18"/>
                    <w:szCs w:val="18"/>
                  </w:rPr>
                  <w:t>3.3.17</w:t>
                </w:r>
                <w:r w:rsidR="00A053D7" w:rsidRPr="002D2D78">
                  <w:rPr>
                    <w:rStyle w:val="Hyperlink"/>
                    <w:rFonts w:ascii="Arial" w:hAnsi="Arial" w:cs="Arial"/>
                    <w:sz w:val="18"/>
                    <w:szCs w:val="18"/>
                  </w:rPr>
                  <w:t xml:space="preserve"> Diagnostics:</w:t>
                </w:r>
                <w:r w:rsidR="00A053D7" w:rsidRPr="002D2D78">
                  <w:rPr>
                    <w:rFonts w:ascii="Arial" w:hAnsi="Arial" w:cs="Arial"/>
                    <w:sz w:val="18"/>
                    <w:szCs w:val="18"/>
                  </w:rPr>
                  <w:tab/>
                </w:r>
              </w:hyperlink>
            </w:p>
            <w:p w14:paraId="7489F43F"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3.3.17</w:t>
              </w:r>
              <w:r w:rsidRPr="002D2D78">
                <w:rPr>
                  <w:rFonts w:ascii="Arial" w:hAnsi="Arial" w:cs="Arial"/>
                  <w:sz w:val="18"/>
                  <w:szCs w:val="18"/>
                </w:rPr>
                <w:t xml:space="preserve">.1 </w:t>
              </w:r>
              <w:hyperlink w:anchor="_Toc228657019">
                <w:r w:rsidRPr="002D2D78">
                  <w:rPr>
                    <w:rStyle w:val="Hyperlink"/>
                    <w:rFonts w:ascii="Arial" w:hAnsi="Arial" w:cs="Arial"/>
                    <w:sz w:val="18"/>
                    <w:szCs w:val="18"/>
                  </w:rPr>
                  <w:t>Point Of Care Ultrasound</w:t>
                </w:r>
                <w:r w:rsidRPr="002D2D78">
                  <w:rPr>
                    <w:rFonts w:ascii="Arial" w:hAnsi="Arial" w:cs="Arial"/>
                    <w:sz w:val="18"/>
                    <w:szCs w:val="18"/>
                  </w:rPr>
                  <w:tab/>
                </w:r>
              </w:hyperlink>
            </w:p>
            <w:p w14:paraId="6B6C17C9" w14:textId="77777777" w:rsidR="00A053D7" w:rsidRPr="005F5056" w:rsidRDefault="00C07F8A" w:rsidP="00A053D7">
              <w:pPr>
                <w:pStyle w:val="TOC2"/>
                <w:tabs>
                  <w:tab w:val="right" w:leader="dot" w:pos="9015"/>
                </w:tabs>
                <w:rPr>
                  <w:rFonts w:ascii="Arial" w:hAnsi="Arial" w:cs="Arial"/>
                  <w:sz w:val="18"/>
                  <w:szCs w:val="18"/>
                </w:rPr>
              </w:pPr>
              <w:hyperlink w:anchor="_Toc469625724">
                <w:r w:rsidR="00A053D7">
                  <w:rPr>
                    <w:rStyle w:val="Hyperlink"/>
                    <w:rFonts w:ascii="Arial" w:hAnsi="Arial" w:cs="Arial"/>
                    <w:sz w:val="18"/>
                    <w:szCs w:val="18"/>
                  </w:rPr>
                  <w:t>3.3.18</w:t>
                </w:r>
                <w:r w:rsidR="00A053D7" w:rsidRPr="005F5056">
                  <w:rPr>
                    <w:rStyle w:val="Hyperlink"/>
                    <w:rFonts w:ascii="Arial" w:hAnsi="Arial" w:cs="Arial"/>
                    <w:sz w:val="18"/>
                    <w:szCs w:val="18"/>
                  </w:rPr>
                  <w:t xml:space="preserve"> Procedures:</w:t>
                </w:r>
                <w:r w:rsidR="00A053D7" w:rsidRPr="005F5056">
                  <w:rPr>
                    <w:rFonts w:ascii="Arial" w:hAnsi="Arial" w:cs="Arial"/>
                    <w:sz w:val="18"/>
                    <w:szCs w:val="18"/>
                  </w:rPr>
                  <w:tab/>
                </w:r>
                <w:r w:rsidR="00A053D7" w:rsidRPr="005F5056">
                  <w:rPr>
                    <w:rFonts w:ascii="Arial" w:hAnsi="Arial" w:cs="Arial"/>
                    <w:sz w:val="18"/>
                    <w:szCs w:val="18"/>
                  </w:rPr>
                  <w:fldChar w:fldCharType="begin"/>
                </w:r>
                <w:r w:rsidR="00A053D7" w:rsidRPr="005F5056">
                  <w:rPr>
                    <w:rFonts w:ascii="Arial" w:hAnsi="Arial" w:cs="Arial"/>
                    <w:sz w:val="18"/>
                    <w:szCs w:val="18"/>
                  </w:rPr>
                  <w:instrText>PAGEREF _Toc469625724 \h</w:instrText>
                </w:r>
                <w:r w:rsidR="00A053D7" w:rsidRPr="005F5056">
                  <w:rPr>
                    <w:rFonts w:ascii="Arial" w:hAnsi="Arial" w:cs="Arial"/>
                    <w:sz w:val="18"/>
                    <w:szCs w:val="18"/>
                  </w:rPr>
                </w:r>
                <w:r w:rsidR="00A053D7" w:rsidRPr="005F5056">
                  <w:rPr>
                    <w:rFonts w:ascii="Arial" w:hAnsi="Arial" w:cs="Arial"/>
                    <w:sz w:val="18"/>
                    <w:szCs w:val="18"/>
                  </w:rPr>
                  <w:fldChar w:fldCharType="separate"/>
                </w:r>
                <w:r w:rsidR="00A053D7" w:rsidRPr="005F5056">
                  <w:rPr>
                    <w:rStyle w:val="Hyperlink"/>
                    <w:rFonts w:ascii="Arial" w:hAnsi="Arial" w:cs="Arial"/>
                    <w:sz w:val="18"/>
                    <w:szCs w:val="18"/>
                  </w:rPr>
                  <w:t>3</w:t>
                </w:r>
                <w:r w:rsidR="00A053D7" w:rsidRPr="005F5056">
                  <w:rPr>
                    <w:rFonts w:ascii="Arial" w:hAnsi="Arial" w:cs="Arial"/>
                    <w:sz w:val="18"/>
                    <w:szCs w:val="18"/>
                  </w:rPr>
                  <w:fldChar w:fldCharType="end"/>
                </w:r>
              </w:hyperlink>
              <w:r w:rsidR="00A053D7" w:rsidRPr="005F5056">
                <w:rPr>
                  <w:rFonts w:ascii="Arial" w:hAnsi="Arial" w:cs="Arial"/>
                  <w:sz w:val="18"/>
                  <w:szCs w:val="18"/>
                </w:rPr>
                <w:fldChar w:fldCharType="end"/>
              </w:r>
            </w:p>
            <w:p w14:paraId="2CD96073"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3.3.18 1 </w:t>
              </w:r>
              <w:r w:rsidRPr="005F5056">
                <w:rPr>
                  <w:rFonts w:ascii="Arial" w:hAnsi="Arial" w:cs="Arial"/>
                  <w:sz w:val="18"/>
                  <w:szCs w:val="18"/>
                </w:rPr>
                <w:t>Injections</w:t>
              </w:r>
              <w:r w:rsidRPr="005F5056">
                <w:rPr>
                  <w:rFonts w:ascii="Arial" w:hAnsi="Arial" w:cs="Arial"/>
                  <w:sz w:val="18"/>
                  <w:szCs w:val="18"/>
                </w:rPr>
                <w:tab/>
              </w:r>
            </w:p>
            <w:p w14:paraId="2A55DAF2"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3.3.18.2 </w:t>
              </w:r>
              <w:r w:rsidRPr="005F5056">
                <w:rPr>
                  <w:rFonts w:ascii="Arial" w:hAnsi="Arial" w:cs="Arial"/>
                  <w:sz w:val="18"/>
                  <w:szCs w:val="18"/>
                </w:rPr>
                <w:t>ESWT</w:t>
              </w:r>
              <w:r w:rsidRPr="005F5056">
                <w:rPr>
                  <w:rFonts w:ascii="Arial" w:hAnsi="Arial" w:cs="Arial"/>
                  <w:sz w:val="18"/>
                  <w:szCs w:val="18"/>
                </w:rPr>
                <w:tab/>
              </w:r>
            </w:p>
            <w:p w14:paraId="3ABD2E1C"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3.3.18.3 </w:t>
              </w:r>
              <w:r w:rsidRPr="005F5056">
                <w:rPr>
                  <w:rFonts w:ascii="Arial" w:hAnsi="Arial" w:cs="Arial"/>
                  <w:sz w:val="18"/>
                  <w:szCs w:val="18"/>
                </w:rPr>
                <w:t>Acupuncture</w:t>
              </w:r>
              <w:r w:rsidRPr="005F5056">
                <w:rPr>
                  <w:rFonts w:ascii="Arial" w:hAnsi="Arial" w:cs="Arial"/>
                  <w:sz w:val="18"/>
                  <w:szCs w:val="18"/>
                </w:rPr>
                <w:tab/>
              </w:r>
            </w:p>
            <w:p w14:paraId="59E0EAA9" w14:textId="77777777" w:rsidR="00A053D7" w:rsidRDefault="00A053D7" w:rsidP="00A053D7">
              <w:pPr>
                <w:pStyle w:val="TOC2"/>
                <w:tabs>
                  <w:tab w:val="right" w:leader="dot" w:pos="9015"/>
                </w:tabs>
                <w:rPr>
                  <w:rFonts w:ascii="Arial" w:hAnsi="Arial" w:cs="Arial"/>
                  <w:sz w:val="18"/>
                  <w:szCs w:val="18"/>
                </w:rPr>
              </w:pPr>
              <w:r>
                <w:rPr>
                  <w:rFonts w:ascii="Arial" w:hAnsi="Arial" w:cs="Arial"/>
                  <w:sz w:val="18"/>
                  <w:szCs w:val="18"/>
                </w:rPr>
                <w:t>3.3.19</w:t>
              </w:r>
              <w:r w:rsidRPr="005F5056">
                <w:rPr>
                  <w:rFonts w:ascii="Arial" w:hAnsi="Arial" w:cs="Arial"/>
                  <w:sz w:val="18"/>
                  <w:szCs w:val="18"/>
                </w:rPr>
                <w:t xml:space="preserve"> Onward Referrals</w:t>
              </w:r>
              <w:r w:rsidRPr="005F5056">
                <w:rPr>
                  <w:rFonts w:ascii="Arial" w:hAnsi="Arial" w:cs="Arial"/>
                  <w:sz w:val="18"/>
                  <w:szCs w:val="18"/>
                </w:rPr>
                <w:tab/>
              </w:r>
            </w:p>
            <w:p w14:paraId="14D8EF81" w14:textId="3C15D491" w:rsidR="00A053D7" w:rsidRPr="00A053D7"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3.3.20 </w:t>
              </w:r>
              <w:r w:rsidRPr="004A6B8D">
                <w:rPr>
                  <w:rFonts w:ascii="Arial" w:hAnsi="Arial" w:cs="Arial"/>
                  <w:sz w:val="18"/>
                  <w:szCs w:val="18"/>
                </w:rPr>
                <w:t>Discharge</w:t>
              </w:r>
              <w:r>
                <w:t>…………………………………………………………………………………………………………………</w:t>
              </w:r>
            </w:p>
            <w:p w14:paraId="6168E753" w14:textId="0BD7F0C4"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3.3.21</w:t>
              </w:r>
              <w:r w:rsidRPr="005F5056">
                <w:rPr>
                  <w:rFonts w:ascii="Arial" w:hAnsi="Arial" w:cs="Arial"/>
                  <w:sz w:val="18"/>
                  <w:szCs w:val="18"/>
                </w:rPr>
                <w:t xml:space="preserve"> Data set and Outcome Measures</w:t>
              </w:r>
              <w:r w:rsidRPr="005F5056">
                <w:rPr>
                  <w:rFonts w:ascii="Arial" w:hAnsi="Arial" w:cs="Arial"/>
                  <w:sz w:val="18"/>
                  <w:szCs w:val="18"/>
                </w:rPr>
                <w:tab/>
              </w:r>
            </w:p>
            <w:p w14:paraId="107F5597"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3.3.22</w:t>
              </w:r>
              <w:r w:rsidRPr="005F5056">
                <w:rPr>
                  <w:rFonts w:ascii="Arial" w:hAnsi="Arial" w:cs="Arial"/>
                  <w:sz w:val="18"/>
                  <w:szCs w:val="18"/>
                </w:rPr>
                <w:t xml:space="preserve"> Patient Engagement &amp; Experience:</w:t>
              </w:r>
              <w:r w:rsidRPr="005F5056">
                <w:rPr>
                  <w:rFonts w:ascii="Arial" w:hAnsi="Arial" w:cs="Arial"/>
                  <w:sz w:val="18"/>
                  <w:szCs w:val="18"/>
                </w:rPr>
                <w:tab/>
              </w:r>
            </w:p>
            <w:p w14:paraId="00032DB1" w14:textId="77777777" w:rsidR="00A053D7" w:rsidRPr="005F5056" w:rsidRDefault="00A053D7" w:rsidP="00A053D7">
              <w:pPr>
                <w:pStyle w:val="TOC2"/>
                <w:tabs>
                  <w:tab w:val="right" w:leader="dot" w:pos="9015"/>
                </w:tabs>
                <w:rPr>
                  <w:rFonts w:ascii="Arial" w:hAnsi="Arial" w:cs="Arial"/>
                  <w:sz w:val="18"/>
                  <w:szCs w:val="18"/>
                </w:rPr>
              </w:pPr>
              <w:r>
                <w:rPr>
                  <w:rFonts w:ascii="Arial" w:hAnsi="Arial" w:cs="Arial"/>
                  <w:sz w:val="18"/>
                  <w:szCs w:val="18"/>
                </w:rPr>
                <w:t xml:space="preserve">3.3.22.1 </w:t>
              </w:r>
              <w:r w:rsidRPr="005F5056">
                <w:rPr>
                  <w:rFonts w:ascii="Arial" w:hAnsi="Arial" w:cs="Arial"/>
                  <w:sz w:val="18"/>
                  <w:szCs w:val="18"/>
                </w:rPr>
                <w:t>Complaints</w:t>
              </w:r>
              <w:r w:rsidRPr="005F5056">
                <w:rPr>
                  <w:rFonts w:ascii="Arial" w:hAnsi="Arial" w:cs="Arial"/>
                  <w:sz w:val="18"/>
                  <w:szCs w:val="18"/>
                </w:rPr>
                <w:tab/>
              </w:r>
            </w:p>
            <w:p w14:paraId="14FC9CBF" w14:textId="77777777" w:rsidR="00A053D7" w:rsidRDefault="00A053D7" w:rsidP="00A053D7">
              <w:pPr>
                <w:pStyle w:val="TOC2"/>
                <w:tabs>
                  <w:tab w:val="right" w:leader="dot" w:pos="9015"/>
                </w:tabs>
                <w:rPr>
                  <w:rFonts w:ascii="Arial" w:hAnsi="Arial" w:cs="Arial"/>
                  <w:sz w:val="18"/>
                  <w:szCs w:val="18"/>
                </w:rPr>
              </w:pPr>
              <w:r>
                <w:rPr>
                  <w:rFonts w:ascii="Arial" w:hAnsi="Arial" w:cs="Arial"/>
                  <w:sz w:val="18"/>
                  <w:szCs w:val="18"/>
                </w:rPr>
                <w:t>3.3.23</w:t>
              </w:r>
              <w:r w:rsidRPr="005F5056">
                <w:rPr>
                  <w:rFonts w:ascii="Arial" w:hAnsi="Arial" w:cs="Arial"/>
                  <w:sz w:val="18"/>
                  <w:szCs w:val="18"/>
                </w:rPr>
                <w:t xml:space="preserve"> Evidence Based Practice, Teaching, Audit &amp; Research</w:t>
              </w:r>
              <w:r w:rsidRPr="005F5056">
                <w:rPr>
                  <w:rFonts w:ascii="Arial" w:hAnsi="Arial" w:cs="Arial"/>
                  <w:sz w:val="18"/>
                  <w:szCs w:val="18"/>
                </w:rPr>
                <w:tab/>
              </w:r>
            </w:p>
          </w:sdtContent>
        </w:sdt>
        <w:p w14:paraId="58712AA7" w14:textId="4519C077" w:rsidR="005F5056" w:rsidRDefault="005F5056" w:rsidP="00A053D7">
          <w:pPr>
            <w:pStyle w:val="TOC3"/>
            <w:tabs>
              <w:tab w:val="right" w:leader="dot" w:pos="9016"/>
            </w:tabs>
            <w:rPr>
              <w:rFonts w:ascii="Arial" w:hAnsi="Arial" w:cs="Arial"/>
              <w:sz w:val="18"/>
              <w:szCs w:val="18"/>
            </w:rPr>
          </w:pPr>
        </w:p>
        <w:p w14:paraId="1BB0D01B" w14:textId="2B86AB40" w:rsidR="004F288A" w:rsidRPr="004A58B4" w:rsidRDefault="00A053D7" w:rsidP="005F5056">
          <w:pPr>
            <w:rPr>
              <w:rFonts w:ascii="Arial" w:hAnsi="Arial" w:cs="Arial"/>
              <w:sz w:val="18"/>
              <w:szCs w:val="18"/>
            </w:rPr>
          </w:pPr>
          <w:r w:rsidRPr="004A58B4">
            <w:rPr>
              <w:rFonts w:ascii="Arial" w:hAnsi="Arial" w:cs="Arial"/>
              <w:sz w:val="18"/>
              <w:szCs w:val="18"/>
            </w:rPr>
            <w:lastRenderedPageBreak/>
            <w:t>Appendix A: National Guidelines, Policies, Tools</w:t>
          </w:r>
        </w:p>
        <w:p w14:paraId="347377B3" w14:textId="2C405FE6" w:rsidR="007C3FD2" w:rsidRPr="004A58B4" w:rsidRDefault="00C07F8A" w:rsidP="005F5056">
          <w:pPr>
            <w:rPr>
              <w:rFonts w:ascii="Arial" w:hAnsi="Arial" w:cs="Arial"/>
              <w:sz w:val="18"/>
              <w:szCs w:val="18"/>
            </w:rPr>
          </w:pPr>
        </w:p>
      </w:sdtContent>
    </w:sdt>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289"/>
        <w:gridCol w:w="6521"/>
      </w:tblGrid>
      <w:tr w:rsidR="0089145C" w:rsidRPr="0089145C" w14:paraId="7D4CD089" w14:textId="77777777" w:rsidTr="00D60079">
        <w:tc>
          <w:tcPr>
            <w:tcW w:w="3289" w:type="dxa"/>
            <w:shd w:val="clear" w:color="auto" w:fill="auto"/>
          </w:tcPr>
          <w:p w14:paraId="44FBB626" w14:textId="3B1517D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Service Specification No.</w:t>
            </w:r>
          </w:p>
        </w:tc>
        <w:tc>
          <w:tcPr>
            <w:tcW w:w="6521" w:type="dxa"/>
            <w:shd w:val="clear" w:color="auto" w:fill="auto"/>
          </w:tcPr>
          <w:p w14:paraId="0787BC3B" w14:textId="77777777" w:rsidR="0089145C" w:rsidRPr="0089145C" w:rsidRDefault="0089145C" w:rsidP="0089145C">
            <w:pPr>
              <w:rPr>
                <w:rFonts w:ascii="Arial" w:eastAsia="MS Mincho" w:hAnsi="Arial" w:cs="Arial"/>
                <w:lang w:val="en-US" w:eastAsia="ja-JP"/>
              </w:rPr>
            </w:pPr>
          </w:p>
        </w:tc>
      </w:tr>
      <w:tr w:rsidR="0089145C" w:rsidRPr="0089145C" w14:paraId="464AB4C9" w14:textId="77777777" w:rsidTr="00D60079">
        <w:tc>
          <w:tcPr>
            <w:tcW w:w="3289" w:type="dxa"/>
            <w:shd w:val="clear" w:color="auto" w:fill="auto"/>
          </w:tcPr>
          <w:p w14:paraId="06E92550" w14:textId="7777777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Service</w:t>
            </w:r>
          </w:p>
        </w:tc>
        <w:tc>
          <w:tcPr>
            <w:tcW w:w="6521" w:type="dxa"/>
            <w:shd w:val="clear" w:color="auto" w:fill="auto"/>
          </w:tcPr>
          <w:p w14:paraId="3949262F" w14:textId="68452EE1" w:rsidR="0089145C" w:rsidRPr="0089145C" w:rsidRDefault="0089145C" w:rsidP="0089145C">
            <w:pPr>
              <w:rPr>
                <w:rFonts w:ascii="Arial" w:eastAsia="MS Mincho" w:hAnsi="Arial" w:cs="Arial"/>
                <w:b/>
                <w:bCs/>
                <w:sz w:val="22"/>
                <w:szCs w:val="22"/>
                <w:lang w:val="en-US" w:eastAsia="ja-JP"/>
              </w:rPr>
            </w:pPr>
            <w:r w:rsidRPr="0089145C">
              <w:rPr>
                <w:rFonts w:ascii="Arial" w:eastAsia="MS Mincho" w:hAnsi="Arial" w:cs="Arial"/>
                <w:b/>
                <w:bCs/>
                <w:sz w:val="22"/>
                <w:szCs w:val="22"/>
                <w:lang w:val="en-US" w:eastAsia="ja-JP"/>
              </w:rPr>
              <w:t xml:space="preserve">NWL </w:t>
            </w:r>
            <w:r w:rsidR="00524235" w:rsidRPr="00F067C5">
              <w:rPr>
                <w:rFonts w:ascii="Arial" w:eastAsia="MS Mincho" w:hAnsi="Arial" w:cs="Arial"/>
                <w:b/>
                <w:bCs/>
                <w:sz w:val="22"/>
                <w:szCs w:val="22"/>
                <w:lang w:val="en-US" w:eastAsia="ja-JP"/>
              </w:rPr>
              <w:t xml:space="preserve">Integrated </w:t>
            </w:r>
            <w:r w:rsidR="00D60079" w:rsidRPr="00F067C5">
              <w:rPr>
                <w:rFonts w:ascii="Arial" w:eastAsia="MS Mincho" w:hAnsi="Arial" w:cs="Arial"/>
                <w:b/>
                <w:bCs/>
                <w:sz w:val="22"/>
                <w:szCs w:val="22"/>
                <w:lang w:val="en-US" w:eastAsia="ja-JP"/>
              </w:rPr>
              <w:t xml:space="preserve">Musculoskeletal </w:t>
            </w:r>
            <w:r w:rsidR="00524235" w:rsidRPr="00F067C5">
              <w:rPr>
                <w:rFonts w:ascii="Arial" w:eastAsia="MS Mincho" w:hAnsi="Arial" w:cs="Arial"/>
                <w:b/>
                <w:bCs/>
                <w:sz w:val="22"/>
                <w:szCs w:val="22"/>
                <w:lang w:val="en-US" w:eastAsia="ja-JP"/>
              </w:rPr>
              <w:t>C</w:t>
            </w:r>
            <w:proofErr w:type="spellStart"/>
            <w:r w:rsidR="00F067C5" w:rsidRPr="00F067C5">
              <w:rPr>
                <w:rFonts w:ascii="Arial" w:eastAsia="MS Mincho" w:hAnsi="Arial" w:cs="Arial"/>
                <w:b/>
                <w:bCs/>
                <w:sz w:val="22"/>
                <w:szCs w:val="22"/>
                <w:lang w:eastAsia="ja-JP"/>
              </w:rPr>
              <w:t>linical</w:t>
            </w:r>
            <w:proofErr w:type="spellEnd"/>
            <w:r w:rsidR="00524235" w:rsidRPr="0089145C">
              <w:rPr>
                <w:rFonts w:ascii="Arial" w:eastAsia="MS Mincho" w:hAnsi="Arial" w:cs="Arial"/>
                <w:b/>
                <w:bCs/>
                <w:sz w:val="22"/>
                <w:szCs w:val="22"/>
                <w:lang w:eastAsia="ja-JP"/>
              </w:rPr>
              <w:t xml:space="preserve"> </w:t>
            </w:r>
            <w:r w:rsidR="00524235" w:rsidRPr="00F067C5">
              <w:rPr>
                <w:rFonts w:ascii="Arial" w:eastAsia="MS Mincho" w:hAnsi="Arial" w:cs="Arial"/>
                <w:b/>
                <w:bCs/>
                <w:sz w:val="22"/>
                <w:szCs w:val="22"/>
                <w:lang w:eastAsia="ja-JP"/>
              </w:rPr>
              <w:t>A</w:t>
            </w:r>
            <w:r w:rsidR="00524235" w:rsidRPr="0089145C">
              <w:rPr>
                <w:rFonts w:ascii="Arial" w:eastAsia="MS Mincho" w:hAnsi="Arial" w:cs="Arial"/>
                <w:b/>
                <w:bCs/>
                <w:sz w:val="22"/>
                <w:szCs w:val="22"/>
                <w:lang w:eastAsia="ja-JP"/>
              </w:rPr>
              <w:t xml:space="preserve">ssessment and </w:t>
            </w:r>
            <w:r w:rsidR="00524235" w:rsidRPr="00F067C5">
              <w:rPr>
                <w:rFonts w:ascii="Arial" w:eastAsia="MS Mincho" w:hAnsi="Arial" w:cs="Arial"/>
                <w:b/>
                <w:bCs/>
                <w:sz w:val="22"/>
                <w:szCs w:val="22"/>
                <w:lang w:eastAsia="ja-JP"/>
              </w:rPr>
              <w:t>T</w:t>
            </w:r>
            <w:r w:rsidR="00524235" w:rsidRPr="0089145C">
              <w:rPr>
                <w:rFonts w:ascii="Arial" w:eastAsia="MS Mincho" w:hAnsi="Arial" w:cs="Arial"/>
                <w:b/>
                <w:bCs/>
                <w:sz w:val="22"/>
                <w:szCs w:val="22"/>
                <w:lang w:eastAsia="ja-JP"/>
              </w:rPr>
              <w:t xml:space="preserve">reatment </w:t>
            </w:r>
            <w:r w:rsidR="00D60079" w:rsidRPr="00F067C5">
              <w:rPr>
                <w:rFonts w:ascii="Arial" w:eastAsia="MS Mincho" w:hAnsi="Arial" w:cs="Arial"/>
                <w:b/>
                <w:bCs/>
                <w:sz w:val="22"/>
                <w:szCs w:val="22"/>
                <w:lang w:val="en-US" w:eastAsia="ja-JP"/>
              </w:rPr>
              <w:t>Service</w:t>
            </w:r>
            <w:r w:rsidR="00524235" w:rsidRPr="00F067C5">
              <w:rPr>
                <w:rFonts w:ascii="Arial" w:eastAsia="MS Mincho" w:hAnsi="Arial" w:cs="Arial"/>
                <w:b/>
                <w:bCs/>
                <w:sz w:val="22"/>
                <w:szCs w:val="22"/>
                <w:lang w:val="en-US" w:eastAsia="ja-JP"/>
              </w:rPr>
              <w:t>.</w:t>
            </w:r>
          </w:p>
        </w:tc>
      </w:tr>
      <w:tr w:rsidR="0089145C" w:rsidRPr="0089145C" w14:paraId="52BB5F3D" w14:textId="77777777" w:rsidTr="00D60079">
        <w:tc>
          <w:tcPr>
            <w:tcW w:w="3289" w:type="dxa"/>
            <w:shd w:val="clear" w:color="auto" w:fill="auto"/>
          </w:tcPr>
          <w:p w14:paraId="3B066972" w14:textId="7777777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Commissioner Lead</w:t>
            </w:r>
          </w:p>
        </w:tc>
        <w:tc>
          <w:tcPr>
            <w:tcW w:w="6521" w:type="dxa"/>
            <w:shd w:val="clear" w:color="auto" w:fill="auto"/>
          </w:tcPr>
          <w:p w14:paraId="00081FDF" w14:textId="4F031704" w:rsidR="0089145C" w:rsidRPr="0089145C" w:rsidRDefault="00D60079" w:rsidP="0089145C">
            <w:pPr>
              <w:rPr>
                <w:rFonts w:ascii="Arial" w:eastAsia="MS Mincho" w:hAnsi="Arial" w:cs="Arial"/>
                <w:sz w:val="22"/>
                <w:szCs w:val="22"/>
                <w:lang w:val="en-US" w:eastAsia="ja-JP"/>
              </w:rPr>
            </w:pPr>
            <w:r w:rsidRPr="00F067C5">
              <w:rPr>
                <w:rFonts w:ascii="Arial" w:eastAsia="MS Mincho" w:hAnsi="Arial" w:cs="Arial"/>
                <w:sz w:val="22"/>
                <w:szCs w:val="22"/>
                <w:lang w:val="en-US" w:eastAsia="ja-JP"/>
              </w:rPr>
              <w:t>Tbc</w:t>
            </w:r>
          </w:p>
        </w:tc>
      </w:tr>
      <w:tr w:rsidR="0089145C" w:rsidRPr="0089145C" w14:paraId="2D208D7F" w14:textId="77777777" w:rsidTr="00D60079">
        <w:tc>
          <w:tcPr>
            <w:tcW w:w="3289" w:type="dxa"/>
            <w:shd w:val="clear" w:color="auto" w:fill="auto"/>
          </w:tcPr>
          <w:p w14:paraId="79418DF6" w14:textId="7777777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Provider Lead</w:t>
            </w:r>
          </w:p>
        </w:tc>
        <w:tc>
          <w:tcPr>
            <w:tcW w:w="6521" w:type="dxa"/>
            <w:shd w:val="clear" w:color="auto" w:fill="auto"/>
          </w:tcPr>
          <w:p w14:paraId="62F005EF" w14:textId="029BD216" w:rsidR="0089145C" w:rsidRPr="0089145C" w:rsidRDefault="00D60079" w:rsidP="0089145C">
            <w:pPr>
              <w:rPr>
                <w:rFonts w:ascii="Arial" w:eastAsia="MS Mincho" w:hAnsi="Arial" w:cs="Arial"/>
                <w:sz w:val="22"/>
                <w:szCs w:val="22"/>
                <w:lang w:val="en-US" w:eastAsia="ja-JP"/>
              </w:rPr>
            </w:pPr>
            <w:r w:rsidRPr="00F067C5">
              <w:rPr>
                <w:rFonts w:ascii="Arial" w:eastAsia="MS Mincho" w:hAnsi="Arial" w:cs="Arial"/>
                <w:sz w:val="22"/>
                <w:szCs w:val="22"/>
                <w:lang w:val="en-US" w:eastAsia="ja-JP"/>
              </w:rPr>
              <w:t>Tbc</w:t>
            </w:r>
          </w:p>
        </w:tc>
      </w:tr>
      <w:tr w:rsidR="0089145C" w:rsidRPr="0089145C" w14:paraId="0E7D062F" w14:textId="77777777" w:rsidTr="00D60079">
        <w:tc>
          <w:tcPr>
            <w:tcW w:w="3289" w:type="dxa"/>
            <w:shd w:val="clear" w:color="auto" w:fill="auto"/>
          </w:tcPr>
          <w:p w14:paraId="54E11BA6" w14:textId="7777777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Period</w:t>
            </w:r>
          </w:p>
        </w:tc>
        <w:tc>
          <w:tcPr>
            <w:tcW w:w="6521" w:type="dxa"/>
            <w:shd w:val="clear" w:color="auto" w:fill="auto"/>
          </w:tcPr>
          <w:p w14:paraId="5AEE9954" w14:textId="4E304A81" w:rsidR="0089145C" w:rsidRPr="0089145C" w:rsidRDefault="00D60079" w:rsidP="0089145C">
            <w:pPr>
              <w:rPr>
                <w:rFonts w:ascii="Arial" w:eastAsia="MS Mincho" w:hAnsi="Arial" w:cs="Arial"/>
                <w:sz w:val="22"/>
                <w:szCs w:val="22"/>
                <w:lang w:val="en-US" w:eastAsia="ja-JP"/>
              </w:rPr>
            </w:pPr>
            <w:r w:rsidRPr="00F067C5">
              <w:rPr>
                <w:rFonts w:ascii="Arial" w:eastAsia="MS Mincho" w:hAnsi="Arial" w:cs="Arial"/>
                <w:sz w:val="22"/>
                <w:szCs w:val="22"/>
                <w:lang w:val="en-US" w:eastAsia="ja-JP"/>
              </w:rPr>
              <w:t>Tbc</w:t>
            </w:r>
          </w:p>
        </w:tc>
      </w:tr>
      <w:tr w:rsidR="0089145C" w:rsidRPr="0089145C" w14:paraId="1D15E09C" w14:textId="77777777" w:rsidTr="00D60079">
        <w:tc>
          <w:tcPr>
            <w:tcW w:w="3289" w:type="dxa"/>
            <w:shd w:val="clear" w:color="auto" w:fill="auto"/>
          </w:tcPr>
          <w:p w14:paraId="6D62E44E" w14:textId="77777777" w:rsidR="0089145C" w:rsidRPr="0089145C" w:rsidRDefault="0089145C" w:rsidP="0089145C">
            <w:pPr>
              <w:spacing w:line="360" w:lineRule="auto"/>
              <w:rPr>
                <w:rFonts w:ascii="Arial" w:eastAsia="MS Mincho" w:hAnsi="Arial" w:cs="Arial"/>
                <w:b/>
                <w:lang w:val="en-US" w:eastAsia="ja-JP"/>
              </w:rPr>
            </w:pPr>
            <w:r w:rsidRPr="0089145C">
              <w:rPr>
                <w:rFonts w:ascii="Arial" w:eastAsia="MS Mincho" w:hAnsi="Arial" w:cs="Arial"/>
                <w:b/>
                <w:lang w:val="en-US" w:eastAsia="ja-JP"/>
              </w:rPr>
              <w:t>Date of Review</w:t>
            </w:r>
          </w:p>
        </w:tc>
        <w:tc>
          <w:tcPr>
            <w:tcW w:w="6521" w:type="dxa"/>
            <w:shd w:val="clear" w:color="auto" w:fill="auto"/>
          </w:tcPr>
          <w:p w14:paraId="05DD7D20" w14:textId="117A416C" w:rsidR="0089145C" w:rsidRPr="0089145C" w:rsidRDefault="00D60079" w:rsidP="0089145C">
            <w:pPr>
              <w:rPr>
                <w:rFonts w:ascii="Arial" w:eastAsia="MS Mincho" w:hAnsi="Arial" w:cs="Arial"/>
                <w:sz w:val="22"/>
                <w:szCs w:val="22"/>
                <w:lang w:val="en-US" w:eastAsia="ja-JP"/>
              </w:rPr>
            </w:pPr>
            <w:r w:rsidRPr="00F067C5">
              <w:rPr>
                <w:rFonts w:ascii="Arial" w:eastAsia="MS Mincho" w:hAnsi="Arial" w:cs="Arial"/>
                <w:sz w:val="22"/>
                <w:szCs w:val="22"/>
                <w:lang w:val="en-US" w:eastAsia="ja-JP"/>
              </w:rPr>
              <w:t>Tbc</w:t>
            </w:r>
          </w:p>
        </w:tc>
      </w:tr>
    </w:tbl>
    <w:p w14:paraId="6B568C0C" w14:textId="77777777" w:rsidR="0089145C" w:rsidRPr="0089145C" w:rsidRDefault="0089145C" w:rsidP="0089145C">
      <w:pPr>
        <w:jc w:val="center"/>
        <w:rPr>
          <w:rFonts w:ascii="Arial" w:eastAsia="MS Mincho" w:hAnsi="Arial" w:cs="Arial"/>
          <w:sz w:val="20"/>
          <w:szCs w:val="20"/>
          <w:lang w:val="en-US" w:eastAsia="ja-JP"/>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668"/>
      </w:tblGrid>
      <w:tr w:rsidR="004C57B7" w:rsidRPr="0089145C" w14:paraId="408DBFE8" w14:textId="77777777" w:rsidTr="008B690B">
        <w:tc>
          <w:tcPr>
            <w:tcW w:w="9668" w:type="dxa"/>
            <w:shd w:val="clear" w:color="auto" w:fill="auto"/>
          </w:tcPr>
          <w:p w14:paraId="72479E38" w14:textId="77777777" w:rsidR="0089145C" w:rsidRPr="0089145C" w:rsidRDefault="0089145C" w:rsidP="0089145C">
            <w:pPr>
              <w:spacing w:line="276" w:lineRule="auto"/>
              <w:rPr>
                <w:rFonts w:ascii="Arial" w:eastAsia="MS Mincho" w:hAnsi="Arial" w:cs="Arial"/>
                <w:b/>
                <w:szCs w:val="20"/>
                <w:lang w:val="en-US" w:eastAsia="ja-JP"/>
              </w:rPr>
            </w:pPr>
            <w:r w:rsidRPr="0089145C">
              <w:rPr>
                <w:rFonts w:ascii="Arial" w:eastAsia="MS Mincho" w:hAnsi="Arial" w:cs="Arial"/>
                <w:b/>
                <w:szCs w:val="20"/>
                <w:lang w:val="en-US" w:eastAsia="ja-JP"/>
              </w:rPr>
              <w:t>1.</w:t>
            </w:r>
            <w:r w:rsidRPr="0089145C">
              <w:rPr>
                <w:rFonts w:ascii="Arial" w:eastAsia="MS Mincho" w:hAnsi="Arial" w:cs="Arial"/>
                <w:b/>
                <w:szCs w:val="20"/>
                <w:lang w:val="en-US" w:eastAsia="ja-JP"/>
              </w:rPr>
              <w:tab/>
              <w:t>Population Needs</w:t>
            </w:r>
          </w:p>
        </w:tc>
      </w:tr>
      <w:tr w:rsidR="004C57B7" w:rsidRPr="0089145C" w14:paraId="566F036B" w14:textId="77777777" w:rsidTr="008B690B">
        <w:tc>
          <w:tcPr>
            <w:tcW w:w="9668" w:type="dxa"/>
            <w:shd w:val="clear" w:color="auto" w:fill="auto"/>
          </w:tcPr>
          <w:p w14:paraId="190800F9" w14:textId="77777777" w:rsidR="0089145C" w:rsidRPr="0089145C" w:rsidRDefault="0089145C" w:rsidP="0089145C">
            <w:pPr>
              <w:ind w:left="360"/>
              <w:rPr>
                <w:rFonts w:ascii="Arial" w:eastAsia="MS Mincho" w:hAnsi="Arial" w:cs="Arial"/>
                <w:sz w:val="20"/>
                <w:szCs w:val="20"/>
                <w:lang w:val="en-US" w:eastAsia="ja-JP"/>
              </w:rPr>
            </w:pPr>
          </w:p>
          <w:p w14:paraId="7A857D6E" w14:textId="4621EFF9" w:rsidR="0089145C" w:rsidRPr="000B3B6B" w:rsidRDefault="0089145C" w:rsidP="00DC3DDC">
            <w:pPr>
              <w:numPr>
                <w:ilvl w:val="1"/>
                <w:numId w:val="8"/>
              </w:numPr>
              <w:spacing w:after="160" w:line="259" w:lineRule="auto"/>
              <w:rPr>
                <w:rFonts w:ascii="Arial" w:eastAsia="MS Mincho" w:hAnsi="Arial" w:cs="Arial"/>
                <w:b/>
                <w:sz w:val="20"/>
                <w:szCs w:val="20"/>
                <w:lang w:val="en-US" w:eastAsia="ja-JP"/>
              </w:rPr>
            </w:pPr>
            <w:r w:rsidRPr="0089145C">
              <w:rPr>
                <w:rFonts w:ascii="Arial" w:eastAsia="MS Mincho" w:hAnsi="Arial" w:cs="Arial"/>
                <w:b/>
                <w:sz w:val="20"/>
                <w:szCs w:val="20"/>
                <w:lang w:val="en-US" w:eastAsia="ja-JP"/>
              </w:rPr>
              <w:tab/>
              <w:t>National/local context and evidence base</w:t>
            </w:r>
          </w:p>
          <w:p w14:paraId="3F53B9BA" w14:textId="0DFB6E77" w:rsidR="00076925" w:rsidRDefault="00076925" w:rsidP="00650984">
            <w:pPr>
              <w:jc w:val="both"/>
              <w:rPr>
                <w:rFonts w:ascii="Arial" w:hAnsi="Arial" w:cs="Arial"/>
                <w:sz w:val="20"/>
                <w:szCs w:val="20"/>
              </w:rPr>
            </w:pPr>
            <w:r w:rsidRPr="00650984">
              <w:rPr>
                <w:rFonts w:ascii="Arial" w:hAnsi="Arial" w:cs="Arial"/>
                <w:sz w:val="20"/>
                <w:szCs w:val="20"/>
              </w:rPr>
              <w:t xml:space="preserve">There is considerable variation in provision of MSK services between the 8 boroughs of </w:t>
            </w:r>
            <w:r w:rsidR="006D015F">
              <w:rPr>
                <w:rFonts w:ascii="Arial" w:hAnsi="Arial" w:cs="Arial"/>
                <w:sz w:val="20"/>
                <w:szCs w:val="20"/>
              </w:rPr>
              <w:t>North West London (NWL) Integrated Care Board (ICB)</w:t>
            </w:r>
            <w:r w:rsidRPr="00650984">
              <w:rPr>
                <w:rFonts w:ascii="Arial" w:hAnsi="Arial" w:cs="Arial"/>
                <w:sz w:val="20"/>
                <w:szCs w:val="20"/>
              </w:rPr>
              <w:t>, resulting in inequality of access to evidence-based intervention and significant variation in pres</w:t>
            </w:r>
            <w:r>
              <w:rPr>
                <w:rFonts w:ascii="Arial" w:hAnsi="Arial" w:cs="Arial"/>
                <w:sz w:val="20"/>
                <w:szCs w:val="20"/>
              </w:rPr>
              <w:t>cribing and surgical rates along with u</w:t>
            </w:r>
            <w:r w:rsidRPr="00650984">
              <w:rPr>
                <w:rFonts w:ascii="Arial" w:hAnsi="Arial" w:cs="Arial"/>
                <w:sz w:val="20"/>
                <w:szCs w:val="20"/>
              </w:rPr>
              <w:t>nequal waiting times. The burden of long-term MSK condition is also expected to vary, based on socio</w:t>
            </w:r>
            <w:r>
              <w:rPr>
                <w:rFonts w:ascii="Arial" w:hAnsi="Arial" w:cs="Arial"/>
                <w:sz w:val="20"/>
                <w:szCs w:val="20"/>
              </w:rPr>
              <w:t>-</w:t>
            </w:r>
            <w:r w:rsidRPr="00650984">
              <w:rPr>
                <w:rFonts w:ascii="Arial" w:hAnsi="Arial" w:cs="Arial"/>
                <w:sz w:val="20"/>
                <w:szCs w:val="20"/>
              </w:rPr>
              <w:t>economic variation between regions.</w:t>
            </w:r>
          </w:p>
          <w:p w14:paraId="6BC9758E" w14:textId="77777777" w:rsidR="00076925" w:rsidRDefault="00076925" w:rsidP="00650984">
            <w:pPr>
              <w:jc w:val="both"/>
              <w:rPr>
                <w:rFonts w:ascii="Arial" w:hAnsi="Arial" w:cs="Arial"/>
                <w:sz w:val="20"/>
                <w:szCs w:val="20"/>
              </w:rPr>
            </w:pPr>
          </w:p>
          <w:p w14:paraId="1C6C8080" w14:textId="66309BA4" w:rsidR="00076925" w:rsidRDefault="00650984" w:rsidP="00650984">
            <w:pPr>
              <w:jc w:val="both"/>
              <w:rPr>
                <w:rFonts w:ascii="Arial" w:hAnsi="Arial" w:cs="Arial"/>
                <w:sz w:val="20"/>
                <w:szCs w:val="20"/>
              </w:rPr>
            </w:pPr>
            <w:r w:rsidRPr="00650984">
              <w:rPr>
                <w:rFonts w:ascii="Arial" w:hAnsi="Arial" w:cs="Arial"/>
                <w:sz w:val="20"/>
                <w:szCs w:val="20"/>
              </w:rPr>
              <w:t>The key challenge for North West London is how best to manage growing demand for Musculoskeletal (MSK) services (namely, Orthopaedics, Pain Management and Rheumatology)</w:t>
            </w:r>
            <w:r w:rsidR="00076925">
              <w:rPr>
                <w:rFonts w:ascii="Arial" w:hAnsi="Arial" w:cs="Arial"/>
                <w:sz w:val="20"/>
                <w:szCs w:val="20"/>
              </w:rPr>
              <w:t xml:space="preserve"> and to deliver consistent access to evidence-based standards of MSK care for patients across NWL which maximise patient outcomes and experience. </w:t>
            </w:r>
          </w:p>
          <w:p w14:paraId="1F75879F" w14:textId="77777777" w:rsidR="00076925" w:rsidRDefault="00076925" w:rsidP="00650984">
            <w:pPr>
              <w:jc w:val="both"/>
              <w:rPr>
                <w:rFonts w:ascii="Arial" w:hAnsi="Arial" w:cs="Arial"/>
                <w:sz w:val="20"/>
                <w:szCs w:val="20"/>
              </w:rPr>
            </w:pPr>
          </w:p>
          <w:p w14:paraId="6F9EDEF3" w14:textId="31E7104C" w:rsidR="008B1991" w:rsidRDefault="00650984" w:rsidP="00650984">
            <w:pPr>
              <w:jc w:val="both"/>
              <w:rPr>
                <w:rFonts w:ascii="Arial" w:hAnsi="Arial" w:cs="Arial"/>
                <w:sz w:val="20"/>
                <w:szCs w:val="20"/>
              </w:rPr>
            </w:pPr>
            <w:r w:rsidRPr="00650984">
              <w:rPr>
                <w:rFonts w:ascii="Arial" w:hAnsi="Arial" w:cs="Arial"/>
                <w:sz w:val="20"/>
                <w:szCs w:val="20"/>
              </w:rPr>
              <w:t xml:space="preserve">The current Model of Care contributes to unsustainable referral rates and consequent sub-optimal waiting times and does not support General Practice to, in turn, support patients to self-care. Collectively, these factors contribute to high secondary care outpatient activity with consequent sub-optimal surgical conversion rates and Referral-to-Treatment (RTT) waits. </w:t>
            </w:r>
          </w:p>
          <w:p w14:paraId="6E29D8CC" w14:textId="42DC27D1" w:rsidR="0089145C" w:rsidRPr="0089145C" w:rsidRDefault="0089145C" w:rsidP="00650984">
            <w:pPr>
              <w:jc w:val="both"/>
              <w:rPr>
                <w:rFonts w:ascii="Arial" w:eastAsia="MS Mincho" w:hAnsi="Arial" w:cs="Arial"/>
                <w:sz w:val="20"/>
                <w:szCs w:val="20"/>
                <w:lang w:val="en-US" w:eastAsia="ja-JP"/>
              </w:rPr>
            </w:pPr>
          </w:p>
        </w:tc>
      </w:tr>
      <w:tr w:rsidR="004C57B7" w:rsidRPr="0089145C" w14:paraId="4E05879E" w14:textId="77777777" w:rsidTr="008B690B">
        <w:tc>
          <w:tcPr>
            <w:tcW w:w="9668" w:type="dxa"/>
            <w:shd w:val="clear" w:color="auto" w:fill="auto"/>
          </w:tcPr>
          <w:p w14:paraId="7BE2FCB4" w14:textId="77777777" w:rsidR="0089145C" w:rsidRPr="0089145C" w:rsidRDefault="0089145C" w:rsidP="0089145C">
            <w:pPr>
              <w:spacing w:line="276" w:lineRule="auto"/>
              <w:rPr>
                <w:rFonts w:ascii="Arial" w:eastAsia="MS Mincho" w:hAnsi="Arial" w:cs="Arial"/>
                <w:b/>
                <w:szCs w:val="20"/>
                <w:lang w:val="en-US" w:eastAsia="ja-JP"/>
              </w:rPr>
            </w:pPr>
            <w:r w:rsidRPr="0089145C">
              <w:rPr>
                <w:rFonts w:ascii="Arial" w:eastAsia="MS Mincho" w:hAnsi="Arial" w:cs="Arial"/>
                <w:b/>
                <w:szCs w:val="20"/>
                <w:lang w:val="en-US" w:eastAsia="ja-JP"/>
              </w:rPr>
              <w:t>2.</w:t>
            </w:r>
            <w:r w:rsidRPr="0089145C">
              <w:rPr>
                <w:rFonts w:ascii="Arial" w:eastAsia="MS Mincho" w:hAnsi="Arial" w:cs="Arial"/>
                <w:b/>
                <w:szCs w:val="20"/>
                <w:lang w:val="en-US" w:eastAsia="ja-JP"/>
              </w:rPr>
              <w:tab/>
              <w:t>Outcomes</w:t>
            </w:r>
          </w:p>
        </w:tc>
      </w:tr>
      <w:tr w:rsidR="004C57B7" w:rsidRPr="0089145C" w14:paraId="52FF897D" w14:textId="77777777" w:rsidTr="008B690B">
        <w:tc>
          <w:tcPr>
            <w:tcW w:w="9668" w:type="dxa"/>
            <w:shd w:val="clear" w:color="auto" w:fill="auto"/>
          </w:tcPr>
          <w:p w14:paraId="4530868C" w14:textId="77777777" w:rsidR="0089145C" w:rsidRPr="00DA02B5" w:rsidRDefault="0089145C" w:rsidP="0089145C">
            <w:pPr>
              <w:spacing w:line="276" w:lineRule="auto"/>
              <w:rPr>
                <w:rFonts w:ascii="Arial" w:eastAsia="MS Mincho" w:hAnsi="Arial" w:cs="Arial"/>
                <w:b/>
                <w:sz w:val="20"/>
                <w:szCs w:val="20"/>
                <w:lang w:val="en-US" w:eastAsia="ja-JP"/>
              </w:rPr>
            </w:pPr>
          </w:p>
          <w:p w14:paraId="71A69401" w14:textId="77777777" w:rsidR="0089145C" w:rsidRPr="00DA02B5" w:rsidRDefault="0089145C" w:rsidP="0089145C">
            <w:pPr>
              <w:spacing w:line="276" w:lineRule="auto"/>
              <w:rPr>
                <w:rFonts w:ascii="Arial" w:eastAsia="MS Mincho" w:hAnsi="Arial" w:cs="Arial"/>
                <w:b/>
                <w:sz w:val="20"/>
                <w:szCs w:val="20"/>
                <w:lang w:val="en-US" w:eastAsia="ja-JP"/>
              </w:rPr>
            </w:pPr>
            <w:r w:rsidRPr="00DA02B5">
              <w:rPr>
                <w:rFonts w:ascii="Arial" w:eastAsia="MS Mincho" w:hAnsi="Arial" w:cs="Arial"/>
                <w:b/>
                <w:sz w:val="20"/>
                <w:szCs w:val="20"/>
                <w:lang w:val="en-US" w:eastAsia="ja-JP"/>
              </w:rPr>
              <w:t>2.1</w:t>
            </w:r>
            <w:r w:rsidRPr="00DA02B5">
              <w:rPr>
                <w:rFonts w:ascii="Arial" w:eastAsia="MS Mincho" w:hAnsi="Arial" w:cs="Arial"/>
                <w:b/>
                <w:sz w:val="20"/>
                <w:szCs w:val="20"/>
                <w:lang w:val="en-US" w:eastAsia="ja-JP"/>
              </w:rPr>
              <w:tab/>
            </w:r>
            <w:r w:rsidRPr="00DA02B5">
              <w:rPr>
                <w:rFonts w:ascii="Arial" w:eastAsia="MS Mincho" w:hAnsi="Arial" w:cs="Arial"/>
                <w:b/>
                <w:sz w:val="20"/>
                <w:szCs w:val="20"/>
                <w:u w:val="single"/>
                <w:lang w:val="en-US" w:eastAsia="ja-JP"/>
              </w:rPr>
              <w:t>NHS Outcomes Framework Domains &amp; Indicators</w:t>
            </w:r>
          </w:p>
          <w:p w14:paraId="1E88E0D4" w14:textId="77777777" w:rsidR="0089145C" w:rsidRPr="00DA02B5" w:rsidRDefault="0089145C" w:rsidP="0089145C">
            <w:pPr>
              <w:spacing w:line="276" w:lineRule="auto"/>
              <w:rPr>
                <w:rFonts w:ascii="Arial" w:eastAsia="MS Mincho" w:hAnsi="Arial" w:cs="Arial"/>
                <w:b/>
                <w:sz w:val="20"/>
                <w:szCs w:val="20"/>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DA02B5" w:rsidRPr="00DA02B5" w14:paraId="7CBB184F" w14:textId="77777777" w:rsidTr="00B23C1A">
              <w:trPr>
                <w:tblHeader/>
              </w:trPr>
              <w:tc>
                <w:tcPr>
                  <w:tcW w:w="1276" w:type="dxa"/>
                </w:tcPr>
                <w:p w14:paraId="0425DF3D"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Domain 1</w:t>
                  </w:r>
                </w:p>
              </w:tc>
              <w:tc>
                <w:tcPr>
                  <w:tcW w:w="5528" w:type="dxa"/>
                </w:tcPr>
                <w:p w14:paraId="3BF1DFCE"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Preventing people from dying prematurely</w:t>
                  </w:r>
                </w:p>
              </w:tc>
              <w:tc>
                <w:tcPr>
                  <w:tcW w:w="641" w:type="dxa"/>
                </w:tcPr>
                <w:p w14:paraId="4923C7F7" w14:textId="77777777" w:rsidR="0089145C" w:rsidRPr="00DA02B5" w:rsidRDefault="0089145C" w:rsidP="0089145C">
                  <w:pPr>
                    <w:spacing w:after="200" w:line="276" w:lineRule="auto"/>
                    <w:rPr>
                      <w:rFonts w:ascii="Arial" w:eastAsia="MS Mincho" w:hAnsi="Arial" w:cs="Arial"/>
                      <w:b/>
                      <w:lang w:val="en-US" w:eastAsia="ja-JP"/>
                    </w:rPr>
                  </w:pPr>
                </w:p>
              </w:tc>
            </w:tr>
            <w:tr w:rsidR="00DA02B5" w:rsidRPr="00DA02B5" w14:paraId="1DA306B7" w14:textId="77777777" w:rsidTr="00B23C1A">
              <w:tc>
                <w:tcPr>
                  <w:tcW w:w="1276" w:type="dxa"/>
                </w:tcPr>
                <w:p w14:paraId="30A076C7"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Domain 2</w:t>
                  </w:r>
                </w:p>
              </w:tc>
              <w:tc>
                <w:tcPr>
                  <w:tcW w:w="5528" w:type="dxa"/>
                </w:tcPr>
                <w:p w14:paraId="16F96F4F"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Enhancing quality of life for people with long-term conditions</w:t>
                  </w:r>
                </w:p>
              </w:tc>
              <w:tc>
                <w:tcPr>
                  <w:tcW w:w="641" w:type="dxa"/>
                </w:tcPr>
                <w:p w14:paraId="7A2FFA52"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Y</w:t>
                  </w:r>
                </w:p>
              </w:tc>
            </w:tr>
            <w:tr w:rsidR="00DA02B5" w:rsidRPr="00DA02B5" w14:paraId="6A5EBE79" w14:textId="77777777" w:rsidTr="00B23C1A">
              <w:tc>
                <w:tcPr>
                  <w:tcW w:w="1276" w:type="dxa"/>
                </w:tcPr>
                <w:p w14:paraId="124555C0"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Domain 3</w:t>
                  </w:r>
                </w:p>
              </w:tc>
              <w:tc>
                <w:tcPr>
                  <w:tcW w:w="5528" w:type="dxa"/>
                </w:tcPr>
                <w:p w14:paraId="08F7743B" w14:textId="443D813E" w:rsidR="008B1991" w:rsidRPr="0017466F"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Helping people to recover from episodes of ill-health or following injury</w:t>
                  </w:r>
                </w:p>
              </w:tc>
              <w:tc>
                <w:tcPr>
                  <w:tcW w:w="641" w:type="dxa"/>
                </w:tcPr>
                <w:p w14:paraId="1832A7DE" w14:textId="4442B2BF" w:rsidR="0089145C" w:rsidRPr="00DA02B5" w:rsidRDefault="0017466F" w:rsidP="0089145C">
                  <w:pPr>
                    <w:spacing w:after="200" w:line="276" w:lineRule="auto"/>
                    <w:rPr>
                      <w:rFonts w:ascii="Arial" w:eastAsia="MS Mincho" w:hAnsi="Arial" w:cs="Arial"/>
                      <w:b/>
                      <w:lang w:val="en-US" w:eastAsia="ja-JP"/>
                    </w:rPr>
                  </w:pPr>
                  <w:r>
                    <w:rPr>
                      <w:rFonts w:ascii="Arial" w:eastAsia="MS Mincho" w:hAnsi="Arial" w:cs="Arial"/>
                      <w:b/>
                      <w:lang w:val="en-US" w:eastAsia="ja-JP"/>
                    </w:rPr>
                    <w:t>Y</w:t>
                  </w:r>
                </w:p>
              </w:tc>
            </w:tr>
            <w:tr w:rsidR="00DA02B5" w:rsidRPr="00DA02B5" w14:paraId="728C6D81" w14:textId="77777777" w:rsidTr="00B23C1A">
              <w:tc>
                <w:tcPr>
                  <w:tcW w:w="1276" w:type="dxa"/>
                </w:tcPr>
                <w:p w14:paraId="4FBE0518"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Domain 4</w:t>
                  </w:r>
                </w:p>
              </w:tc>
              <w:tc>
                <w:tcPr>
                  <w:tcW w:w="5528" w:type="dxa"/>
                </w:tcPr>
                <w:p w14:paraId="47D63B17"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Ensuring people have a positive experience of care</w:t>
                  </w:r>
                </w:p>
              </w:tc>
              <w:tc>
                <w:tcPr>
                  <w:tcW w:w="641" w:type="dxa"/>
                </w:tcPr>
                <w:p w14:paraId="00A5C53D"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Y</w:t>
                  </w:r>
                </w:p>
              </w:tc>
            </w:tr>
            <w:tr w:rsidR="00DA02B5" w:rsidRPr="00DA02B5" w14:paraId="44681CCF" w14:textId="77777777" w:rsidTr="00B23C1A">
              <w:tc>
                <w:tcPr>
                  <w:tcW w:w="1276" w:type="dxa"/>
                </w:tcPr>
                <w:p w14:paraId="1051DE7C"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Domain 5</w:t>
                  </w:r>
                </w:p>
              </w:tc>
              <w:tc>
                <w:tcPr>
                  <w:tcW w:w="5528" w:type="dxa"/>
                </w:tcPr>
                <w:p w14:paraId="2FD0FA5D"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Treating and caring for people in safe environment and protecting them from avoidable harm</w:t>
                  </w:r>
                </w:p>
              </w:tc>
              <w:tc>
                <w:tcPr>
                  <w:tcW w:w="641" w:type="dxa"/>
                </w:tcPr>
                <w:p w14:paraId="7F2187EA" w14:textId="77777777" w:rsidR="0089145C" w:rsidRPr="00DA02B5" w:rsidRDefault="0089145C" w:rsidP="0089145C">
                  <w:pPr>
                    <w:spacing w:after="200" w:line="276" w:lineRule="auto"/>
                    <w:rPr>
                      <w:rFonts w:ascii="Arial" w:eastAsia="MS Mincho" w:hAnsi="Arial" w:cs="Arial"/>
                      <w:b/>
                      <w:lang w:val="en-US" w:eastAsia="ja-JP"/>
                    </w:rPr>
                  </w:pPr>
                  <w:r w:rsidRPr="00DA02B5">
                    <w:rPr>
                      <w:rFonts w:ascii="Arial" w:eastAsia="MS Mincho" w:hAnsi="Arial" w:cs="Arial"/>
                      <w:b/>
                      <w:lang w:val="en-US" w:eastAsia="ja-JP"/>
                    </w:rPr>
                    <w:t>Y</w:t>
                  </w:r>
                </w:p>
              </w:tc>
            </w:tr>
          </w:tbl>
          <w:p w14:paraId="69261454" w14:textId="77777777" w:rsidR="0089145C" w:rsidRPr="00DA02B5" w:rsidRDefault="0089145C" w:rsidP="0089145C">
            <w:pPr>
              <w:spacing w:line="276" w:lineRule="auto"/>
              <w:rPr>
                <w:rFonts w:ascii="Arial" w:eastAsia="MS Mincho" w:hAnsi="Arial" w:cs="Arial"/>
                <w:b/>
                <w:sz w:val="20"/>
                <w:szCs w:val="20"/>
                <w:lang w:val="en-US" w:eastAsia="ja-JP"/>
              </w:rPr>
            </w:pPr>
          </w:p>
          <w:p w14:paraId="74E6C044" w14:textId="77777777" w:rsidR="0089145C" w:rsidRPr="00DA02B5" w:rsidRDefault="0089145C" w:rsidP="0089145C">
            <w:pPr>
              <w:spacing w:line="276" w:lineRule="auto"/>
              <w:rPr>
                <w:rFonts w:ascii="Arial" w:eastAsia="MS Mincho" w:hAnsi="Arial" w:cs="Arial"/>
                <w:b/>
                <w:sz w:val="20"/>
                <w:szCs w:val="20"/>
                <w:lang w:val="en-US" w:eastAsia="ja-JP"/>
              </w:rPr>
            </w:pPr>
            <w:r w:rsidRPr="00DA02B5">
              <w:rPr>
                <w:rFonts w:ascii="Arial" w:eastAsia="MS Mincho" w:hAnsi="Arial" w:cs="Arial"/>
                <w:b/>
                <w:sz w:val="20"/>
                <w:szCs w:val="20"/>
                <w:lang w:val="en-US" w:eastAsia="ja-JP"/>
              </w:rPr>
              <w:t>2.2</w:t>
            </w:r>
            <w:r w:rsidRPr="00DA02B5">
              <w:rPr>
                <w:rFonts w:ascii="Arial" w:eastAsia="MS Mincho" w:hAnsi="Arial" w:cs="Arial"/>
                <w:b/>
                <w:sz w:val="20"/>
                <w:szCs w:val="20"/>
                <w:lang w:val="en-US" w:eastAsia="ja-JP"/>
              </w:rPr>
              <w:tab/>
              <w:t>Local defined outcomes</w:t>
            </w:r>
          </w:p>
          <w:p w14:paraId="149E405A" w14:textId="77777777" w:rsidR="000B3B6B" w:rsidRPr="00DA02B5" w:rsidRDefault="000B3B6B" w:rsidP="000B3B6B">
            <w:pPr>
              <w:jc w:val="both"/>
              <w:rPr>
                <w:rFonts w:ascii="Arial" w:hAnsi="Arial" w:cs="Arial"/>
                <w:sz w:val="20"/>
              </w:rPr>
            </w:pPr>
          </w:p>
          <w:p w14:paraId="46C9324B" w14:textId="46C5B548" w:rsidR="00D6219B" w:rsidRDefault="00650984" w:rsidP="00650984">
            <w:pPr>
              <w:jc w:val="both"/>
              <w:rPr>
                <w:rFonts w:ascii="Arial" w:hAnsi="Arial" w:cs="Arial"/>
                <w:sz w:val="20"/>
                <w:szCs w:val="20"/>
              </w:rPr>
            </w:pPr>
            <w:r w:rsidRPr="00DA02B5">
              <w:rPr>
                <w:rFonts w:ascii="Arial" w:hAnsi="Arial" w:cs="Arial"/>
                <w:sz w:val="20"/>
                <w:szCs w:val="20"/>
              </w:rPr>
              <w:t xml:space="preserve">The Provider is expected to provide a service to all patients aged 16 and over registered with a North West London GP practice. </w:t>
            </w:r>
            <w:r w:rsidR="0022491D">
              <w:rPr>
                <w:rFonts w:ascii="Arial" w:hAnsi="Arial" w:cs="Arial"/>
                <w:sz w:val="20"/>
                <w:szCs w:val="20"/>
              </w:rPr>
              <w:t xml:space="preserve">As described in the guiding principles, the </w:t>
            </w:r>
            <w:r w:rsidR="000F06EB">
              <w:rPr>
                <w:rFonts w:ascii="Arial" w:hAnsi="Arial" w:cs="Arial"/>
                <w:sz w:val="20"/>
                <w:szCs w:val="20"/>
              </w:rPr>
              <w:t>S</w:t>
            </w:r>
            <w:r w:rsidR="0022491D">
              <w:rPr>
                <w:rFonts w:ascii="Arial" w:hAnsi="Arial" w:cs="Arial"/>
                <w:sz w:val="20"/>
                <w:szCs w:val="20"/>
              </w:rPr>
              <w:t>ervice should ensure patients</w:t>
            </w:r>
            <w:r w:rsidR="00F3293E">
              <w:rPr>
                <w:rFonts w:ascii="Arial" w:hAnsi="Arial" w:cs="Arial"/>
                <w:sz w:val="20"/>
                <w:szCs w:val="20"/>
              </w:rPr>
              <w:t>’</w:t>
            </w:r>
            <w:r w:rsidR="0022491D">
              <w:rPr>
                <w:rFonts w:ascii="Arial" w:hAnsi="Arial" w:cs="Arial"/>
                <w:sz w:val="20"/>
                <w:szCs w:val="20"/>
              </w:rPr>
              <w:t xml:space="preserve"> holistic needs are identified</w:t>
            </w:r>
            <w:r w:rsidR="00F3293E">
              <w:rPr>
                <w:rFonts w:ascii="Arial" w:hAnsi="Arial" w:cs="Arial"/>
                <w:sz w:val="20"/>
                <w:szCs w:val="20"/>
              </w:rPr>
              <w:t xml:space="preserve"> as part of their MSK assessment</w:t>
            </w:r>
            <w:r w:rsidR="0022491D">
              <w:rPr>
                <w:rFonts w:ascii="Arial" w:hAnsi="Arial" w:cs="Arial"/>
                <w:sz w:val="20"/>
                <w:szCs w:val="20"/>
              </w:rPr>
              <w:t xml:space="preserve">, with signposting to the range of services available in primary and community settings to provide physical activity, emotional and occupational support, as well as a focus on personalised care planning for those with long-term MSK conditions.  </w:t>
            </w:r>
          </w:p>
          <w:p w14:paraId="351CB85C" w14:textId="3BB7B6E5" w:rsidR="00833E51" w:rsidRPr="00DA02B5" w:rsidRDefault="00833E51" w:rsidP="000B47CE">
            <w:pPr>
              <w:jc w:val="both"/>
              <w:rPr>
                <w:rFonts w:ascii="Arial" w:hAnsi="Arial" w:cs="Arial"/>
                <w:sz w:val="20"/>
                <w:szCs w:val="20"/>
                <w:highlight w:val="yellow"/>
              </w:rPr>
            </w:pPr>
          </w:p>
          <w:p w14:paraId="575DFFC5" w14:textId="244EFF97" w:rsidR="00650984" w:rsidRPr="004F288A" w:rsidRDefault="00F3293E" w:rsidP="004F288A">
            <w:pPr>
              <w:jc w:val="both"/>
              <w:rPr>
                <w:rFonts w:ascii="Arial" w:hAnsi="Arial" w:cs="Arial"/>
                <w:sz w:val="20"/>
                <w:szCs w:val="20"/>
              </w:rPr>
            </w:pPr>
            <w:r>
              <w:rPr>
                <w:rFonts w:ascii="Arial" w:hAnsi="Arial" w:cs="Arial"/>
                <w:sz w:val="20"/>
                <w:szCs w:val="20"/>
              </w:rPr>
              <w:t>In addition to providing self-care support, t</w:t>
            </w:r>
            <w:r w:rsidR="00650984" w:rsidRPr="00DA02B5">
              <w:rPr>
                <w:rFonts w:ascii="Arial" w:hAnsi="Arial" w:cs="Arial"/>
                <w:sz w:val="20"/>
                <w:szCs w:val="20"/>
              </w:rPr>
              <w:t xml:space="preserve">he Provider is expected to provide a Service that </w:t>
            </w:r>
            <w:r>
              <w:rPr>
                <w:rFonts w:ascii="Arial" w:hAnsi="Arial" w:cs="Arial"/>
                <w:sz w:val="20"/>
                <w:szCs w:val="20"/>
              </w:rPr>
              <w:t xml:space="preserve">delivers a range of treatment interventions in the community, with robust use of shared decision-making and a focus on personalised care. This Service should focus on improving </w:t>
            </w:r>
            <w:r w:rsidR="00650984" w:rsidRPr="00DA02B5">
              <w:rPr>
                <w:rFonts w:ascii="Arial" w:hAnsi="Arial" w:cs="Arial"/>
                <w:sz w:val="20"/>
                <w:szCs w:val="20"/>
              </w:rPr>
              <w:t xml:space="preserve">outcomes from surgical and non-surgical </w:t>
            </w:r>
            <w:r>
              <w:rPr>
                <w:rFonts w:ascii="Arial" w:hAnsi="Arial" w:cs="Arial"/>
                <w:sz w:val="20"/>
                <w:szCs w:val="20"/>
              </w:rPr>
              <w:t>care</w:t>
            </w:r>
            <w:r w:rsidR="00650984" w:rsidRPr="00DA02B5">
              <w:rPr>
                <w:rFonts w:ascii="Arial" w:hAnsi="Arial" w:cs="Arial"/>
                <w:sz w:val="20"/>
                <w:szCs w:val="20"/>
              </w:rPr>
              <w:t xml:space="preserve">, </w:t>
            </w:r>
            <w:r>
              <w:rPr>
                <w:rFonts w:ascii="Arial" w:hAnsi="Arial" w:cs="Arial"/>
                <w:sz w:val="20"/>
                <w:szCs w:val="20"/>
              </w:rPr>
              <w:t>optimising</w:t>
            </w:r>
            <w:r w:rsidR="006054A4">
              <w:rPr>
                <w:rFonts w:ascii="Arial" w:hAnsi="Arial" w:cs="Arial"/>
                <w:sz w:val="20"/>
                <w:szCs w:val="20"/>
              </w:rPr>
              <w:t xml:space="preserve"> the use and interpretation of diagnostics</w:t>
            </w:r>
            <w:r w:rsidR="006D2AD6" w:rsidRPr="00DA02B5">
              <w:rPr>
                <w:rFonts w:ascii="Arial" w:hAnsi="Arial" w:cs="Arial"/>
                <w:sz w:val="20"/>
                <w:szCs w:val="20"/>
              </w:rPr>
              <w:t xml:space="preserve"> </w:t>
            </w:r>
            <w:r>
              <w:rPr>
                <w:rFonts w:ascii="Arial" w:hAnsi="Arial" w:cs="Arial"/>
                <w:sz w:val="20"/>
                <w:szCs w:val="20"/>
              </w:rPr>
              <w:t>as well as</w:t>
            </w:r>
            <w:r w:rsidR="006D2AD6" w:rsidRPr="00DA02B5">
              <w:rPr>
                <w:rFonts w:ascii="Arial" w:hAnsi="Arial" w:cs="Arial"/>
                <w:sz w:val="20"/>
                <w:szCs w:val="20"/>
              </w:rPr>
              <w:t xml:space="preserve"> </w:t>
            </w:r>
            <w:r w:rsidR="00650984" w:rsidRPr="00DA02B5">
              <w:rPr>
                <w:rFonts w:ascii="Arial" w:hAnsi="Arial" w:cs="Arial"/>
                <w:sz w:val="20"/>
                <w:szCs w:val="20"/>
              </w:rPr>
              <w:t xml:space="preserve">referrals to Secondary Care, </w:t>
            </w:r>
            <w:r>
              <w:rPr>
                <w:rFonts w:ascii="Arial" w:hAnsi="Arial" w:cs="Arial"/>
                <w:sz w:val="20"/>
                <w:szCs w:val="20"/>
              </w:rPr>
              <w:t>whilst</w:t>
            </w:r>
            <w:r w:rsidR="00650984" w:rsidRPr="00DA02B5">
              <w:rPr>
                <w:rFonts w:ascii="Arial" w:hAnsi="Arial" w:cs="Arial"/>
                <w:sz w:val="20"/>
                <w:szCs w:val="20"/>
              </w:rPr>
              <w:t xml:space="preserve"> support</w:t>
            </w:r>
            <w:r>
              <w:rPr>
                <w:rFonts w:ascii="Arial" w:hAnsi="Arial" w:cs="Arial"/>
                <w:sz w:val="20"/>
                <w:szCs w:val="20"/>
              </w:rPr>
              <w:t>ing</w:t>
            </w:r>
            <w:r w:rsidR="00650984" w:rsidRPr="00DA02B5">
              <w:rPr>
                <w:rFonts w:ascii="Arial" w:hAnsi="Arial" w:cs="Arial"/>
                <w:sz w:val="20"/>
                <w:szCs w:val="20"/>
              </w:rPr>
              <w:t xml:space="preserve"> </w:t>
            </w:r>
            <w:r>
              <w:rPr>
                <w:rFonts w:ascii="Arial" w:hAnsi="Arial" w:cs="Arial"/>
                <w:sz w:val="20"/>
                <w:szCs w:val="20"/>
              </w:rPr>
              <w:t>workforce</w:t>
            </w:r>
            <w:r w:rsidR="00650984" w:rsidRPr="00DA02B5">
              <w:rPr>
                <w:rFonts w:ascii="Arial" w:hAnsi="Arial" w:cs="Arial"/>
                <w:sz w:val="20"/>
                <w:szCs w:val="20"/>
              </w:rPr>
              <w:t xml:space="preserve"> learning and development </w:t>
            </w:r>
            <w:r>
              <w:rPr>
                <w:rFonts w:ascii="Arial" w:hAnsi="Arial" w:cs="Arial"/>
                <w:sz w:val="20"/>
                <w:szCs w:val="20"/>
              </w:rPr>
              <w:t>across the system</w:t>
            </w:r>
            <w:r w:rsidR="00650984" w:rsidRPr="00DA02B5">
              <w:rPr>
                <w:rFonts w:ascii="Arial" w:hAnsi="Arial" w:cs="Arial"/>
                <w:sz w:val="20"/>
                <w:szCs w:val="20"/>
              </w:rPr>
              <w:t xml:space="preserve">. </w:t>
            </w:r>
            <w:r>
              <w:rPr>
                <w:rFonts w:ascii="Arial" w:hAnsi="Arial" w:cs="Arial"/>
                <w:sz w:val="20"/>
                <w:szCs w:val="20"/>
              </w:rPr>
              <w:t>F</w:t>
            </w:r>
            <w:r w:rsidR="00650984" w:rsidRPr="00DA02B5">
              <w:rPr>
                <w:rFonts w:ascii="Arial" w:hAnsi="Arial" w:cs="Arial"/>
                <w:sz w:val="20"/>
                <w:szCs w:val="20"/>
              </w:rPr>
              <w:t xml:space="preserve">ocus on these areas </w:t>
            </w:r>
            <w:r>
              <w:rPr>
                <w:rFonts w:ascii="Arial" w:hAnsi="Arial" w:cs="Arial"/>
                <w:sz w:val="20"/>
                <w:szCs w:val="20"/>
              </w:rPr>
              <w:t>should</w:t>
            </w:r>
            <w:r w:rsidR="00650984" w:rsidRPr="00DA02B5">
              <w:rPr>
                <w:rFonts w:ascii="Arial" w:hAnsi="Arial" w:cs="Arial"/>
                <w:sz w:val="20"/>
                <w:szCs w:val="20"/>
              </w:rPr>
              <w:t xml:space="preserve"> improve both patient experience and Referral to Treatment (RTT) times in secondary care. </w:t>
            </w:r>
          </w:p>
          <w:p w14:paraId="1551CC5A" w14:textId="3B2B995F" w:rsidR="009541BD" w:rsidRPr="00DA02B5" w:rsidRDefault="009541BD" w:rsidP="00650984">
            <w:pPr>
              <w:jc w:val="both"/>
              <w:rPr>
                <w:rFonts w:ascii="Arial" w:eastAsia="Times New Roman" w:hAnsi="Arial" w:cs="Arial"/>
                <w:sz w:val="20"/>
                <w:szCs w:val="20"/>
              </w:rPr>
            </w:pPr>
          </w:p>
          <w:p w14:paraId="10679F56" w14:textId="29243D9C" w:rsidR="009541BD" w:rsidRPr="00DA02B5" w:rsidRDefault="009541BD" w:rsidP="009541BD">
            <w:pPr>
              <w:pStyle w:val="Default"/>
              <w:jc w:val="both"/>
              <w:rPr>
                <w:b/>
                <w:bCs/>
                <w:color w:val="auto"/>
                <w:sz w:val="20"/>
                <w:szCs w:val="20"/>
              </w:rPr>
            </w:pPr>
            <w:r w:rsidRPr="00DA02B5">
              <w:rPr>
                <w:b/>
                <w:bCs/>
                <w:color w:val="auto"/>
                <w:sz w:val="20"/>
                <w:szCs w:val="20"/>
              </w:rPr>
              <w:t xml:space="preserve">Guiding principles: </w:t>
            </w:r>
          </w:p>
          <w:p w14:paraId="21419726" w14:textId="77777777" w:rsidR="00833E51" w:rsidRPr="00DA02B5" w:rsidRDefault="00833E51" w:rsidP="009541BD">
            <w:pPr>
              <w:pStyle w:val="Default"/>
              <w:jc w:val="both"/>
              <w:rPr>
                <w:color w:val="auto"/>
                <w:sz w:val="20"/>
                <w:szCs w:val="20"/>
              </w:rPr>
            </w:pPr>
          </w:p>
          <w:p w14:paraId="059226B5" w14:textId="055D3029" w:rsidR="0013171F" w:rsidRPr="00DA02B5" w:rsidRDefault="0013171F" w:rsidP="0013171F">
            <w:pPr>
              <w:pStyle w:val="Default"/>
              <w:numPr>
                <w:ilvl w:val="0"/>
                <w:numId w:val="24"/>
              </w:numPr>
              <w:jc w:val="both"/>
              <w:rPr>
                <w:color w:val="auto"/>
                <w:sz w:val="20"/>
                <w:szCs w:val="20"/>
              </w:rPr>
            </w:pPr>
            <w:r w:rsidRPr="00DA02B5">
              <w:rPr>
                <w:color w:val="auto"/>
                <w:sz w:val="20"/>
                <w:szCs w:val="20"/>
              </w:rPr>
              <w:t xml:space="preserve">Providing a holistic, evidence-based continuum of care for patients with MSK presentations and ensuring they are </w:t>
            </w:r>
            <w:r w:rsidR="00A47060">
              <w:rPr>
                <w:color w:val="auto"/>
                <w:sz w:val="20"/>
                <w:szCs w:val="20"/>
              </w:rPr>
              <w:t xml:space="preserve">provided with standardised information and </w:t>
            </w:r>
            <w:r w:rsidRPr="00DA02B5">
              <w:rPr>
                <w:color w:val="auto"/>
                <w:sz w:val="20"/>
                <w:szCs w:val="20"/>
              </w:rPr>
              <w:t>seen at the right time in the right place</w:t>
            </w:r>
            <w:r w:rsidR="00381618">
              <w:rPr>
                <w:color w:val="auto"/>
                <w:sz w:val="20"/>
                <w:szCs w:val="20"/>
              </w:rPr>
              <w:t>,</w:t>
            </w:r>
            <w:r w:rsidR="00A47060">
              <w:rPr>
                <w:color w:val="auto"/>
                <w:sz w:val="20"/>
                <w:szCs w:val="20"/>
              </w:rPr>
              <w:t xml:space="preserve"> according to locally agreed pathways</w:t>
            </w:r>
            <w:r w:rsidR="00DA02B5">
              <w:rPr>
                <w:color w:val="auto"/>
                <w:sz w:val="20"/>
                <w:szCs w:val="20"/>
              </w:rPr>
              <w:t>. Low v</w:t>
            </w:r>
            <w:r w:rsidRPr="00DA02B5">
              <w:rPr>
                <w:color w:val="auto"/>
                <w:sz w:val="20"/>
                <w:szCs w:val="20"/>
              </w:rPr>
              <w:t>alue over</w:t>
            </w:r>
            <w:r w:rsidR="00DA02B5">
              <w:rPr>
                <w:color w:val="auto"/>
                <w:sz w:val="20"/>
                <w:szCs w:val="20"/>
              </w:rPr>
              <w:t>-</w:t>
            </w:r>
            <w:r w:rsidRPr="00DA02B5">
              <w:rPr>
                <w:color w:val="auto"/>
                <w:sz w:val="20"/>
                <w:szCs w:val="20"/>
              </w:rPr>
              <w:t>diagnosis and over</w:t>
            </w:r>
            <w:r w:rsidR="00DA02B5">
              <w:rPr>
                <w:color w:val="auto"/>
                <w:sz w:val="20"/>
                <w:szCs w:val="20"/>
              </w:rPr>
              <w:t>-</w:t>
            </w:r>
            <w:r w:rsidRPr="00DA02B5">
              <w:rPr>
                <w:color w:val="auto"/>
                <w:sz w:val="20"/>
                <w:szCs w:val="20"/>
              </w:rPr>
              <w:t xml:space="preserve">treatment should be addressed, whilst improving access for appropriate patients to evidence-based specialist interventions.  </w:t>
            </w:r>
          </w:p>
          <w:p w14:paraId="52E3A14E" w14:textId="77777777" w:rsidR="0013171F" w:rsidRPr="00DA02B5" w:rsidRDefault="0013171F" w:rsidP="0013171F">
            <w:pPr>
              <w:pStyle w:val="Default"/>
              <w:jc w:val="both"/>
              <w:rPr>
                <w:color w:val="auto"/>
                <w:sz w:val="20"/>
                <w:szCs w:val="20"/>
              </w:rPr>
            </w:pPr>
          </w:p>
          <w:p w14:paraId="01B005FB" w14:textId="5B185337" w:rsidR="0013171F" w:rsidRPr="00DA02B5" w:rsidRDefault="00A47060" w:rsidP="0013171F">
            <w:pPr>
              <w:pStyle w:val="Default"/>
              <w:numPr>
                <w:ilvl w:val="0"/>
                <w:numId w:val="24"/>
              </w:numPr>
              <w:jc w:val="both"/>
              <w:rPr>
                <w:color w:val="auto"/>
                <w:sz w:val="20"/>
                <w:szCs w:val="20"/>
              </w:rPr>
            </w:pPr>
            <w:r>
              <w:rPr>
                <w:color w:val="auto"/>
                <w:sz w:val="20"/>
                <w:szCs w:val="20"/>
              </w:rPr>
              <w:t>Through shared decision-making, provide</w:t>
            </w:r>
            <w:r w:rsidR="0013171F" w:rsidRPr="00DA02B5">
              <w:rPr>
                <w:color w:val="auto"/>
                <w:sz w:val="20"/>
                <w:szCs w:val="20"/>
              </w:rPr>
              <w:t xml:space="preserve"> support to patients to manage fitness, physical health and mental wellbeing, with education around optimisation of long-term conditions</w:t>
            </w:r>
            <w:r w:rsidR="00D6219B">
              <w:rPr>
                <w:color w:val="auto"/>
                <w:sz w:val="20"/>
                <w:szCs w:val="20"/>
              </w:rPr>
              <w:t xml:space="preserve">. This would include the use of social prescribing, peer support, third-sector involvement, support to remain or return to work and recognition and support of mental health needs.  </w:t>
            </w:r>
          </w:p>
          <w:p w14:paraId="58E21D16" w14:textId="77777777" w:rsidR="0013171F" w:rsidRPr="00DA02B5" w:rsidRDefault="0013171F" w:rsidP="0013171F">
            <w:pPr>
              <w:pStyle w:val="Default"/>
              <w:jc w:val="both"/>
              <w:rPr>
                <w:color w:val="auto"/>
                <w:sz w:val="20"/>
                <w:szCs w:val="20"/>
              </w:rPr>
            </w:pPr>
          </w:p>
          <w:p w14:paraId="7582C9F4" w14:textId="6E32E155" w:rsidR="0013171F" w:rsidRPr="00DA02B5" w:rsidRDefault="0013171F" w:rsidP="0013171F">
            <w:pPr>
              <w:pStyle w:val="Default"/>
              <w:numPr>
                <w:ilvl w:val="0"/>
                <w:numId w:val="24"/>
              </w:numPr>
              <w:jc w:val="both"/>
              <w:rPr>
                <w:color w:val="auto"/>
                <w:sz w:val="20"/>
                <w:szCs w:val="20"/>
              </w:rPr>
            </w:pPr>
            <w:r w:rsidRPr="00DA02B5">
              <w:rPr>
                <w:color w:val="auto"/>
                <w:sz w:val="20"/>
                <w:szCs w:val="20"/>
              </w:rPr>
              <w:t>To provide a</w:t>
            </w:r>
            <w:r w:rsidR="000C7163">
              <w:rPr>
                <w:color w:val="auto"/>
                <w:sz w:val="20"/>
                <w:szCs w:val="20"/>
              </w:rPr>
              <w:t xml:space="preserve"> range of</w:t>
            </w:r>
            <w:r w:rsidRPr="00DA02B5">
              <w:rPr>
                <w:color w:val="auto"/>
                <w:sz w:val="20"/>
                <w:szCs w:val="20"/>
              </w:rPr>
              <w:t xml:space="preserve"> diagnostic and treatment options for patients in their communities, </w:t>
            </w:r>
            <w:r w:rsidR="000C7163">
              <w:rPr>
                <w:color w:val="auto"/>
                <w:sz w:val="20"/>
                <w:szCs w:val="20"/>
              </w:rPr>
              <w:t>expanding the advanced practitioner workforce and</w:t>
            </w:r>
            <w:r w:rsidRPr="00DA02B5">
              <w:rPr>
                <w:color w:val="auto"/>
                <w:sz w:val="20"/>
                <w:szCs w:val="20"/>
              </w:rPr>
              <w:t xml:space="preserve"> psychologically-informed </w:t>
            </w:r>
            <w:r w:rsidR="000C7163">
              <w:rPr>
                <w:color w:val="auto"/>
                <w:sz w:val="20"/>
                <w:szCs w:val="20"/>
              </w:rPr>
              <w:t>practice</w:t>
            </w:r>
            <w:r w:rsidRPr="00DA02B5">
              <w:rPr>
                <w:color w:val="auto"/>
                <w:sz w:val="20"/>
                <w:szCs w:val="20"/>
              </w:rPr>
              <w:t xml:space="preserve"> amongst health professionals, </w:t>
            </w:r>
            <w:r w:rsidR="00A77644">
              <w:rPr>
                <w:color w:val="auto"/>
                <w:sz w:val="20"/>
                <w:szCs w:val="20"/>
              </w:rPr>
              <w:t>whilst working</w:t>
            </w:r>
            <w:r w:rsidRPr="00DA02B5">
              <w:rPr>
                <w:color w:val="auto"/>
                <w:sz w:val="20"/>
                <w:szCs w:val="20"/>
              </w:rPr>
              <w:t xml:space="preserve"> collaboratively</w:t>
            </w:r>
            <w:r w:rsidR="000C7163">
              <w:rPr>
                <w:color w:val="auto"/>
                <w:sz w:val="20"/>
                <w:szCs w:val="20"/>
              </w:rPr>
              <w:t xml:space="preserve"> </w:t>
            </w:r>
            <w:r w:rsidRPr="00DA02B5">
              <w:rPr>
                <w:color w:val="auto"/>
                <w:sz w:val="20"/>
                <w:szCs w:val="20"/>
              </w:rPr>
              <w:t xml:space="preserve">with </w:t>
            </w:r>
            <w:r w:rsidR="00A77644">
              <w:rPr>
                <w:color w:val="auto"/>
                <w:sz w:val="20"/>
                <w:szCs w:val="20"/>
              </w:rPr>
              <w:t xml:space="preserve">local </w:t>
            </w:r>
            <w:r w:rsidRPr="00DA02B5">
              <w:rPr>
                <w:color w:val="auto"/>
                <w:sz w:val="20"/>
                <w:szCs w:val="20"/>
              </w:rPr>
              <w:t xml:space="preserve">specialist colleagues. This will allow the ICB to build up a resilient local portfolio of treatment options outside of the acute trust for patients to choose and to support system recovery and secondary care demand. </w:t>
            </w:r>
          </w:p>
          <w:p w14:paraId="358A9B3D" w14:textId="77777777" w:rsidR="0013171F" w:rsidRPr="00DA02B5" w:rsidRDefault="0013171F" w:rsidP="0013171F">
            <w:pPr>
              <w:pStyle w:val="ListParagraph"/>
              <w:rPr>
                <w:sz w:val="20"/>
                <w:szCs w:val="20"/>
              </w:rPr>
            </w:pPr>
          </w:p>
          <w:p w14:paraId="217247E8" w14:textId="6AFD0B16" w:rsidR="0013171F" w:rsidRPr="00DA02B5" w:rsidRDefault="0013171F" w:rsidP="0013171F">
            <w:pPr>
              <w:pStyle w:val="Default"/>
              <w:numPr>
                <w:ilvl w:val="0"/>
                <w:numId w:val="24"/>
              </w:numPr>
              <w:jc w:val="both"/>
              <w:rPr>
                <w:color w:val="auto"/>
                <w:sz w:val="20"/>
                <w:szCs w:val="20"/>
              </w:rPr>
            </w:pPr>
            <w:r w:rsidRPr="00DA02B5">
              <w:rPr>
                <w:color w:val="auto"/>
                <w:sz w:val="20"/>
                <w:szCs w:val="20"/>
              </w:rPr>
              <w:t>Partnership working across the MSK landscape, including both NHS and third-sector organisations, as well as with the ICB and patient partnerships to design, evaluate and improve service provision</w:t>
            </w:r>
            <w:r w:rsidR="00576BFD">
              <w:rPr>
                <w:color w:val="auto"/>
                <w:sz w:val="20"/>
                <w:szCs w:val="20"/>
              </w:rPr>
              <w:t>, with continuous quality improvement based on patient reported outcome and experience data</w:t>
            </w:r>
            <w:r w:rsidRPr="00DA02B5">
              <w:rPr>
                <w:color w:val="auto"/>
                <w:sz w:val="20"/>
                <w:szCs w:val="20"/>
              </w:rPr>
              <w:t xml:space="preserve">. </w:t>
            </w:r>
          </w:p>
          <w:p w14:paraId="444F06FE" w14:textId="77777777" w:rsidR="008B1991" w:rsidRPr="008B1991" w:rsidRDefault="008B1991" w:rsidP="008B1991">
            <w:pPr>
              <w:jc w:val="both"/>
              <w:rPr>
                <w:rFonts w:ascii="Calibri" w:hAnsi="Calibri" w:cs="Calibri"/>
                <w:color w:val="FF0000"/>
              </w:rPr>
            </w:pPr>
            <w:r w:rsidRPr="008B1991">
              <w:rPr>
                <w:rFonts w:ascii="Arial" w:eastAsia="Times New Roman" w:hAnsi="Arial" w:cs="Arial"/>
                <w:bCs/>
                <w:color w:val="FF0000"/>
                <w:sz w:val="20"/>
                <w:szCs w:val="20"/>
              </w:rPr>
              <w:t> </w:t>
            </w:r>
          </w:p>
          <w:p w14:paraId="46C01C03" w14:textId="1308295D" w:rsidR="008B1991" w:rsidRPr="004F288A" w:rsidRDefault="008B1991" w:rsidP="00A47060">
            <w:pPr>
              <w:jc w:val="both"/>
              <w:rPr>
                <w:rFonts w:ascii="Calibri" w:hAnsi="Calibri" w:cs="Calibri"/>
                <w:color w:val="FF0000"/>
              </w:rPr>
            </w:pPr>
            <w:r w:rsidRPr="008B1991">
              <w:rPr>
                <w:rFonts w:ascii="Arial" w:eastAsia="Times New Roman" w:hAnsi="Arial" w:cs="Arial"/>
                <w:bCs/>
                <w:color w:val="FF0000"/>
                <w:sz w:val="20"/>
                <w:szCs w:val="20"/>
              </w:rPr>
              <w:t> </w:t>
            </w:r>
          </w:p>
        </w:tc>
      </w:tr>
      <w:tr w:rsidR="0089145C" w:rsidRPr="0089145C" w14:paraId="50DAB10A" w14:textId="77777777" w:rsidTr="008B690B">
        <w:tc>
          <w:tcPr>
            <w:tcW w:w="9668" w:type="dxa"/>
            <w:shd w:val="clear" w:color="auto" w:fill="auto"/>
          </w:tcPr>
          <w:p w14:paraId="03FD7DD5" w14:textId="77777777" w:rsidR="0089145C" w:rsidRPr="0089145C" w:rsidRDefault="0089145C" w:rsidP="0089145C">
            <w:pPr>
              <w:spacing w:line="276" w:lineRule="auto"/>
              <w:rPr>
                <w:rFonts w:ascii="Arial" w:eastAsia="MS Mincho" w:hAnsi="Arial" w:cs="Arial"/>
                <w:b/>
                <w:lang w:eastAsia="ja-JP"/>
              </w:rPr>
            </w:pPr>
            <w:r w:rsidRPr="0089145C">
              <w:rPr>
                <w:rFonts w:ascii="Arial" w:eastAsia="MS Mincho" w:hAnsi="Arial" w:cs="Arial"/>
                <w:b/>
                <w:lang w:eastAsia="ja-JP"/>
              </w:rPr>
              <w:lastRenderedPageBreak/>
              <w:t>SCOPE</w:t>
            </w:r>
          </w:p>
          <w:p w14:paraId="2ED10921" w14:textId="77777777" w:rsidR="0089145C" w:rsidRPr="0089145C" w:rsidRDefault="0089145C" w:rsidP="0089145C">
            <w:pPr>
              <w:spacing w:line="276" w:lineRule="auto"/>
              <w:rPr>
                <w:rFonts w:ascii="Arial" w:eastAsia="MS Mincho" w:hAnsi="Arial" w:cs="Arial"/>
                <w:b/>
                <w:sz w:val="20"/>
                <w:szCs w:val="20"/>
                <w:lang w:eastAsia="ja-JP"/>
              </w:rPr>
            </w:pPr>
          </w:p>
          <w:p w14:paraId="24580C09" w14:textId="00A1A122" w:rsidR="0089145C" w:rsidRPr="0089145C" w:rsidRDefault="0089145C" w:rsidP="0089145C">
            <w:pPr>
              <w:spacing w:line="276" w:lineRule="auto"/>
              <w:rPr>
                <w:rFonts w:ascii="Arial" w:eastAsia="MS Mincho" w:hAnsi="Arial" w:cs="Arial"/>
                <w:b/>
                <w:sz w:val="20"/>
                <w:szCs w:val="20"/>
                <w:lang w:eastAsia="ja-JP"/>
              </w:rPr>
            </w:pPr>
            <w:r w:rsidRPr="0089145C">
              <w:rPr>
                <w:rFonts w:ascii="Arial" w:eastAsia="MS Mincho" w:hAnsi="Arial" w:cs="Arial"/>
                <w:b/>
                <w:sz w:val="20"/>
                <w:szCs w:val="20"/>
                <w:lang w:eastAsia="ja-JP"/>
              </w:rPr>
              <w:t xml:space="preserve">3.1 Aims and objectives of </w:t>
            </w:r>
            <w:r w:rsidR="000F06EB">
              <w:rPr>
                <w:rFonts w:ascii="Arial" w:eastAsia="MS Mincho" w:hAnsi="Arial" w:cs="Arial"/>
                <w:b/>
                <w:sz w:val="20"/>
                <w:szCs w:val="20"/>
                <w:lang w:eastAsia="ja-JP"/>
              </w:rPr>
              <w:t>the S</w:t>
            </w:r>
            <w:r w:rsidRPr="0089145C">
              <w:rPr>
                <w:rFonts w:ascii="Arial" w:eastAsia="MS Mincho" w:hAnsi="Arial" w:cs="Arial"/>
                <w:b/>
                <w:sz w:val="20"/>
                <w:szCs w:val="20"/>
                <w:lang w:eastAsia="ja-JP"/>
              </w:rPr>
              <w:t>ervice</w:t>
            </w:r>
          </w:p>
          <w:p w14:paraId="60D26EF6" w14:textId="77777777" w:rsidR="0089145C" w:rsidRPr="0089145C" w:rsidRDefault="0089145C" w:rsidP="0089145C">
            <w:pPr>
              <w:spacing w:line="276" w:lineRule="auto"/>
              <w:rPr>
                <w:rFonts w:ascii="Arial" w:eastAsia="MS Mincho" w:hAnsi="Arial" w:cs="Arial"/>
                <w:b/>
                <w:sz w:val="20"/>
                <w:szCs w:val="20"/>
                <w:lang w:eastAsia="ja-JP"/>
              </w:rPr>
            </w:pPr>
          </w:p>
          <w:p w14:paraId="7DD76576" w14:textId="02BCFC3A" w:rsidR="008B1991" w:rsidRPr="0017466F" w:rsidRDefault="00C54BA6" w:rsidP="00650984">
            <w:pPr>
              <w:spacing w:line="276" w:lineRule="auto"/>
              <w:jc w:val="both"/>
              <w:rPr>
                <w:rFonts w:ascii="Arial" w:eastAsia="MS Mincho" w:hAnsi="Arial" w:cs="Arial"/>
                <w:bCs/>
                <w:sz w:val="20"/>
                <w:szCs w:val="20"/>
                <w:lang w:eastAsia="ja-JP"/>
              </w:rPr>
            </w:pPr>
            <w:r>
              <w:rPr>
                <w:rFonts w:ascii="Arial" w:eastAsia="MS Mincho" w:hAnsi="Arial" w:cs="Arial"/>
                <w:bCs/>
                <w:sz w:val="20"/>
                <w:szCs w:val="20"/>
                <w:lang w:eastAsia="ja-JP"/>
              </w:rPr>
              <w:t>NWL ICB</w:t>
            </w:r>
            <w:r w:rsidR="00650984" w:rsidRPr="00650984">
              <w:rPr>
                <w:rFonts w:ascii="Arial" w:eastAsia="MS Mincho" w:hAnsi="Arial" w:cs="Arial"/>
                <w:bCs/>
                <w:sz w:val="20"/>
                <w:szCs w:val="20"/>
                <w:lang w:eastAsia="ja-JP"/>
              </w:rPr>
              <w:t xml:space="preserve"> will commission a clinically led multi-disciplinary community based MSK clinical assessment and treatment service (the “Service”) for their adult and young adult (16+) GP registered population</w:t>
            </w:r>
            <w:r w:rsidR="0017466F">
              <w:rPr>
                <w:rFonts w:ascii="Arial" w:eastAsia="MS Mincho" w:hAnsi="Arial" w:cs="Arial"/>
                <w:bCs/>
                <w:sz w:val="20"/>
                <w:szCs w:val="20"/>
                <w:lang w:eastAsia="ja-JP"/>
              </w:rPr>
              <w:t>, standardised across boroughs</w:t>
            </w:r>
            <w:r w:rsidR="00650984" w:rsidRPr="00650984">
              <w:rPr>
                <w:rFonts w:ascii="Arial" w:eastAsia="MS Mincho" w:hAnsi="Arial" w:cs="Arial"/>
                <w:bCs/>
                <w:sz w:val="20"/>
                <w:szCs w:val="20"/>
                <w:lang w:eastAsia="ja-JP"/>
              </w:rPr>
              <w:t xml:space="preserve">. The Service will provide multi-disciplinary team (MDT) MSK care including triage, assessment, diagnosis, treatment and care planning for patients with MSK conditions. The Service will support NWL ICS strategic commissioning intentions to ensure that high-quality care is delivered in the appropriate setting, supporting primary care, system recovery and maximising population outcomes. </w:t>
            </w:r>
            <w:r w:rsidR="008B1991" w:rsidRPr="008B1991">
              <w:rPr>
                <w:rFonts w:ascii="Arial" w:eastAsia="MS Mincho" w:hAnsi="Arial" w:cs="Arial"/>
                <w:bCs/>
                <w:color w:val="FF0000"/>
                <w:sz w:val="20"/>
                <w:szCs w:val="20"/>
                <w:lang w:eastAsia="ja-JP"/>
              </w:rPr>
              <w:t> </w:t>
            </w:r>
          </w:p>
          <w:p w14:paraId="0427780B" w14:textId="77777777" w:rsidR="00650984" w:rsidRPr="00650984" w:rsidRDefault="00650984" w:rsidP="00650984">
            <w:pPr>
              <w:spacing w:line="276" w:lineRule="auto"/>
              <w:jc w:val="both"/>
              <w:rPr>
                <w:rFonts w:ascii="Arial" w:eastAsia="MS Mincho" w:hAnsi="Arial" w:cs="Arial"/>
                <w:bCs/>
                <w:sz w:val="20"/>
                <w:szCs w:val="20"/>
                <w:lang w:eastAsia="ja-JP"/>
              </w:rPr>
            </w:pPr>
          </w:p>
          <w:p w14:paraId="7934E6AE" w14:textId="501C54EE"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The population covered will include all pat</w:t>
            </w:r>
            <w:r w:rsidR="00C54BA6">
              <w:rPr>
                <w:rFonts w:ascii="Arial" w:eastAsia="MS Mincho" w:hAnsi="Arial" w:cs="Arial"/>
                <w:bCs/>
                <w:sz w:val="20"/>
                <w:szCs w:val="20"/>
                <w:lang w:eastAsia="ja-JP"/>
              </w:rPr>
              <w:t>ients registered with an NWL ICB</w:t>
            </w:r>
            <w:r w:rsidRPr="00650984">
              <w:rPr>
                <w:rFonts w:ascii="Arial" w:eastAsia="MS Mincho" w:hAnsi="Arial" w:cs="Arial"/>
                <w:bCs/>
                <w:sz w:val="20"/>
                <w:szCs w:val="20"/>
                <w:lang w:eastAsia="ja-JP"/>
              </w:rPr>
              <w:t xml:space="preserve"> member practice and all patients tempor</w:t>
            </w:r>
            <w:r w:rsidR="00C54BA6">
              <w:rPr>
                <w:rFonts w:ascii="Arial" w:eastAsia="MS Mincho" w:hAnsi="Arial" w:cs="Arial"/>
                <w:bCs/>
                <w:sz w:val="20"/>
                <w:szCs w:val="20"/>
                <w:lang w:eastAsia="ja-JP"/>
              </w:rPr>
              <w:t>arily registered with an NWL ICB</w:t>
            </w:r>
            <w:r w:rsidRPr="00650984">
              <w:rPr>
                <w:rFonts w:ascii="Arial" w:eastAsia="MS Mincho" w:hAnsi="Arial" w:cs="Arial"/>
                <w:bCs/>
                <w:sz w:val="20"/>
                <w:szCs w:val="20"/>
                <w:lang w:eastAsia="ja-JP"/>
              </w:rPr>
              <w:t xml:space="preserve"> member practice. </w:t>
            </w:r>
          </w:p>
          <w:p w14:paraId="7D829340" w14:textId="77777777" w:rsidR="00650984" w:rsidRPr="00650984" w:rsidRDefault="00650984" w:rsidP="00650984">
            <w:pPr>
              <w:spacing w:line="276" w:lineRule="auto"/>
              <w:jc w:val="both"/>
              <w:rPr>
                <w:rFonts w:ascii="Arial" w:eastAsia="MS Mincho" w:hAnsi="Arial" w:cs="Arial"/>
                <w:bCs/>
                <w:sz w:val="20"/>
                <w:szCs w:val="20"/>
                <w:lang w:eastAsia="ja-JP"/>
              </w:rPr>
            </w:pPr>
          </w:p>
          <w:p w14:paraId="1557E9C6" w14:textId="77777777"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The specialties included within the Service scope are:</w:t>
            </w:r>
          </w:p>
          <w:p w14:paraId="68B01D94" w14:textId="425C555E" w:rsid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xml:space="preserve">• Level 1 </w:t>
            </w:r>
            <w:r w:rsidRPr="00DA02B5">
              <w:rPr>
                <w:rFonts w:ascii="Arial" w:eastAsia="MS Mincho" w:hAnsi="Arial" w:cs="Arial"/>
                <w:bCs/>
                <w:sz w:val="20"/>
                <w:szCs w:val="20"/>
                <w:lang w:eastAsia="ja-JP"/>
              </w:rPr>
              <w:t>MSK physiotherap</w:t>
            </w:r>
            <w:r w:rsidR="00B63776">
              <w:rPr>
                <w:rFonts w:ascii="Arial" w:eastAsia="MS Mincho" w:hAnsi="Arial" w:cs="Arial"/>
                <w:bCs/>
                <w:sz w:val="20"/>
                <w:szCs w:val="20"/>
                <w:lang w:eastAsia="ja-JP"/>
              </w:rPr>
              <w:t>ist</w:t>
            </w:r>
            <w:r w:rsidR="00131B83" w:rsidRPr="00DA02B5">
              <w:rPr>
                <w:rFonts w:ascii="Arial" w:eastAsia="MS Mincho" w:hAnsi="Arial" w:cs="Arial"/>
                <w:bCs/>
                <w:sz w:val="20"/>
                <w:szCs w:val="20"/>
                <w:lang w:eastAsia="ja-JP"/>
              </w:rPr>
              <w:t>-led</w:t>
            </w:r>
            <w:r w:rsidRPr="00DA02B5">
              <w:rPr>
                <w:rFonts w:ascii="Arial" w:eastAsia="MS Mincho" w:hAnsi="Arial" w:cs="Arial"/>
                <w:bCs/>
                <w:sz w:val="20"/>
                <w:szCs w:val="20"/>
                <w:lang w:eastAsia="ja-JP"/>
              </w:rPr>
              <w:t xml:space="preserve"> and </w:t>
            </w:r>
            <w:r w:rsidR="00B63776">
              <w:rPr>
                <w:rFonts w:ascii="Arial" w:eastAsia="MS Mincho" w:hAnsi="Arial" w:cs="Arial"/>
                <w:bCs/>
                <w:sz w:val="20"/>
                <w:szCs w:val="20"/>
                <w:lang w:eastAsia="ja-JP"/>
              </w:rPr>
              <w:t xml:space="preserve">MSK </w:t>
            </w:r>
            <w:r w:rsidRPr="00650984">
              <w:rPr>
                <w:rFonts w:ascii="Arial" w:eastAsia="MS Mincho" w:hAnsi="Arial" w:cs="Arial"/>
                <w:bCs/>
                <w:sz w:val="20"/>
                <w:szCs w:val="20"/>
                <w:lang w:eastAsia="ja-JP"/>
              </w:rPr>
              <w:t>podiatry services</w:t>
            </w:r>
          </w:p>
          <w:p w14:paraId="476BB000" w14:textId="73D2D3C5"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Level 2 orthopaedic and spinal services;</w:t>
            </w:r>
          </w:p>
          <w:p w14:paraId="094BC5CC" w14:textId="77777777"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Level 2 rheumatology services; and</w:t>
            </w:r>
          </w:p>
          <w:p w14:paraId="3AEFD5C3" w14:textId="021D598C" w:rsidR="00650984" w:rsidRPr="00650984" w:rsidRDefault="00650984" w:rsidP="00650984">
            <w:pPr>
              <w:spacing w:line="276" w:lineRule="auto"/>
              <w:jc w:val="both"/>
              <w:rPr>
                <w:rFonts w:ascii="Arial" w:eastAsia="MS Mincho" w:hAnsi="Arial" w:cs="Arial"/>
                <w:bCs/>
                <w:sz w:val="20"/>
                <w:szCs w:val="20"/>
                <w:lang w:eastAsia="ja-JP"/>
              </w:rPr>
            </w:pPr>
            <w:r>
              <w:rPr>
                <w:rFonts w:ascii="Arial" w:eastAsia="MS Mincho" w:hAnsi="Arial" w:cs="Arial"/>
                <w:bCs/>
                <w:sz w:val="20"/>
                <w:szCs w:val="20"/>
                <w:lang w:eastAsia="ja-JP"/>
              </w:rPr>
              <w:t>• Level 2 pain services</w:t>
            </w:r>
          </w:p>
          <w:p w14:paraId="350FC3BF" w14:textId="25105D46" w:rsidR="0087475A" w:rsidRDefault="0087475A" w:rsidP="0087475A">
            <w:pPr>
              <w:pStyle w:val="CommentText"/>
            </w:pPr>
          </w:p>
          <w:p w14:paraId="7FD71E78" w14:textId="29660A1D" w:rsidR="007D0099" w:rsidRPr="00F03108" w:rsidRDefault="007D0099" w:rsidP="0087475A">
            <w:pPr>
              <w:pStyle w:val="CommentText"/>
              <w:rPr>
                <w:rFonts w:ascii="Arial" w:hAnsi="Arial" w:cs="Arial"/>
              </w:rPr>
            </w:pPr>
            <w:r w:rsidRPr="00F03108">
              <w:rPr>
                <w:rFonts w:ascii="Arial" w:hAnsi="Arial" w:cs="Arial"/>
                <w:u w:val="single"/>
              </w:rPr>
              <w:t>Definitions</w:t>
            </w:r>
            <w:r w:rsidRPr="00F03108">
              <w:rPr>
                <w:rFonts w:ascii="Arial" w:hAnsi="Arial" w:cs="Arial"/>
              </w:rPr>
              <w:t>:</w:t>
            </w:r>
          </w:p>
          <w:p w14:paraId="2A93F75E" w14:textId="37F3611A" w:rsidR="007D0099" w:rsidRPr="00F03108" w:rsidRDefault="007D0099" w:rsidP="007D0099">
            <w:pPr>
              <w:spacing w:line="276" w:lineRule="auto"/>
              <w:jc w:val="both"/>
              <w:rPr>
                <w:rFonts w:ascii="Arial" w:hAnsi="Arial" w:cs="Arial"/>
                <w:sz w:val="20"/>
                <w:szCs w:val="20"/>
              </w:rPr>
            </w:pPr>
            <w:r w:rsidRPr="00F03108">
              <w:rPr>
                <w:rFonts w:ascii="Arial" w:hAnsi="Arial" w:cs="Arial"/>
                <w:sz w:val="20"/>
                <w:szCs w:val="20"/>
              </w:rPr>
              <w:t>Level 1 Service: Physiotherapy</w:t>
            </w:r>
            <w:r w:rsidR="00B30DAC">
              <w:rPr>
                <w:rFonts w:ascii="Arial" w:hAnsi="Arial" w:cs="Arial"/>
                <w:sz w:val="20"/>
                <w:szCs w:val="20"/>
              </w:rPr>
              <w:t>-</w:t>
            </w:r>
            <w:r w:rsidRPr="00F03108">
              <w:rPr>
                <w:rFonts w:ascii="Arial" w:hAnsi="Arial" w:cs="Arial"/>
                <w:sz w:val="20"/>
                <w:szCs w:val="20"/>
              </w:rPr>
              <w:t xml:space="preserve">led </w:t>
            </w:r>
            <w:r w:rsidR="000F3C64" w:rsidRPr="00F03108">
              <w:rPr>
                <w:rFonts w:ascii="Arial" w:hAnsi="Arial" w:cs="Arial"/>
                <w:sz w:val="20"/>
                <w:szCs w:val="20"/>
              </w:rPr>
              <w:t xml:space="preserve">assessment and </w:t>
            </w:r>
            <w:r w:rsidRPr="00F03108">
              <w:rPr>
                <w:rFonts w:ascii="Arial" w:hAnsi="Arial" w:cs="Arial"/>
                <w:sz w:val="20"/>
                <w:szCs w:val="20"/>
              </w:rPr>
              <w:t>treatment</w:t>
            </w:r>
          </w:p>
          <w:p w14:paraId="273CA927" w14:textId="15C8E83D" w:rsidR="007D0099" w:rsidRPr="00F03108" w:rsidRDefault="007D0099" w:rsidP="007D0099">
            <w:pPr>
              <w:spacing w:line="276" w:lineRule="auto"/>
              <w:jc w:val="both"/>
              <w:rPr>
                <w:rFonts w:ascii="Arial" w:eastAsia="MS Mincho" w:hAnsi="Arial" w:cs="Arial"/>
                <w:bCs/>
                <w:sz w:val="20"/>
                <w:szCs w:val="20"/>
                <w:lang w:eastAsia="ja-JP"/>
              </w:rPr>
            </w:pPr>
            <w:r w:rsidRPr="00F03108">
              <w:rPr>
                <w:rFonts w:ascii="Arial" w:hAnsi="Arial" w:cs="Arial"/>
                <w:sz w:val="20"/>
                <w:szCs w:val="20"/>
              </w:rPr>
              <w:t xml:space="preserve">Level 2 Service: </w:t>
            </w:r>
            <w:r w:rsidR="00B30DAC">
              <w:rPr>
                <w:rFonts w:ascii="Arial" w:hAnsi="Arial" w:cs="Arial"/>
                <w:sz w:val="20"/>
                <w:szCs w:val="20"/>
              </w:rPr>
              <w:t>Specialist-led</w:t>
            </w:r>
            <w:r w:rsidRPr="00F03108">
              <w:rPr>
                <w:rFonts w:ascii="Arial" w:hAnsi="Arial" w:cs="Arial"/>
                <w:sz w:val="20"/>
                <w:szCs w:val="20"/>
              </w:rPr>
              <w:t xml:space="preserve"> </w:t>
            </w:r>
            <w:r w:rsidR="000F3C64" w:rsidRPr="00F03108">
              <w:rPr>
                <w:rFonts w:ascii="Arial" w:hAnsi="Arial" w:cs="Arial"/>
                <w:sz w:val="20"/>
                <w:szCs w:val="20"/>
              </w:rPr>
              <w:t xml:space="preserve">assessment and </w:t>
            </w:r>
            <w:r w:rsidRPr="00F03108">
              <w:rPr>
                <w:rFonts w:ascii="Arial" w:hAnsi="Arial" w:cs="Arial"/>
                <w:sz w:val="20"/>
                <w:szCs w:val="20"/>
              </w:rPr>
              <w:t>treatment</w:t>
            </w:r>
          </w:p>
          <w:p w14:paraId="3E4DCAA3" w14:textId="56182510" w:rsidR="0013171F" w:rsidRDefault="0013171F" w:rsidP="0089145C">
            <w:pPr>
              <w:spacing w:line="276" w:lineRule="auto"/>
              <w:rPr>
                <w:rFonts w:ascii="Arial" w:eastAsia="MS Mincho" w:hAnsi="Arial" w:cs="Arial"/>
                <w:b/>
                <w:sz w:val="20"/>
                <w:szCs w:val="20"/>
                <w:lang w:eastAsia="ja-JP"/>
              </w:rPr>
            </w:pPr>
          </w:p>
          <w:p w14:paraId="7752B418" w14:textId="77777777" w:rsidR="004F288A" w:rsidRDefault="004F288A" w:rsidP="0089145C">
            <w:pPr>
              <w:spacing w:line="276" w:lineRule="auto"/>
              <w:rPr>
                <w:rFonts w:ascii="Arial" w:eastAsia="MS Mincho" w:hAnsi="Arial" w:cs="Arial"/>
                <w:b/>
                <w:sz w:val="20"/>
                <w:szCs w:val="20"/>
                <w:lang w:eastAsia="ja-JP"/>
              </w:rPr>
            </w:pPr>
          </w:p>
          <w:p w14:paraId="08E0B554" w14:textId="2ABB2FAB" w:rsidR="009D2C28" w:rsidRPr="006D015F" w:rsidRDefault="0013171F" w:rsidP="006D015F">
            <w:p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3.1.1 Aims &amp; Objectives</w:t>
            </w:r>
          </w:p>
          <w:p w14:paraId="223D5882" w14:textId="77777777" w:rsidR="0013171F" w:rsidRPr="00DA02B5" w:rsidRDefault="0013171F" w:rsidP="0013171F">
            <w:pPr>
              <w:spacing w:line="276" w:lineRule="auto"/>
              <w:rPr>
                <w:rFonts w:ascii="Arial" w:eastAsia="MS Mincho" w:hAnsi="Arial" w:cs="Arial"/>
                <w:b/>
                <w:sz w:val="20"/>
                <w:szCs w:val="20"/>
                <w:lang w:eastAsia="ja-JP"/>
              </w:rPr>
            </w:pPr>
          </w:p>
          <w:p w14:paraId="267932B1" w14:textId="77777777"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Integrated care pathway with partnership working and a single point of access</w:t>
            </w:r>
          </w:p>
          <w:p w14:paraId="129A8460" w14:textId="7130F354"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A digitally and clinically integrated service, with strong relationships and partnerships </w:t>
            </w:r>
            <w:r w:rsidR="00076925">
              <w:rPr>
                <w:rFonts w:ascii="Arial" w:eastAsia="MS Mincho" w:hAnsi="Arial" w:cs="Arial"/>
                <w:bCs/>
                <w:sz w:val="20"/>
                <w:szCs w:val="20"/>
                <w:lang w:eastAsia="ja-JP"/>
              </w:rPr>
              <w:t xml:space="preserve">between clinical staff </w:t>
            </w:r>
            <w:r w:rsidRPr="00DA02B5">
              <w:rPr>
                <w:rFonts w:ascii="Arial" w:eastAsia="MS Mincho" w:hAnsi="Arial" w:cs="Arial"/>
                <w:bCs/>
                <w:sz w:val="20"/>
                <w:szCs w:val="20"/>
                <w:lang w:eastAsia="ja-JP"/>
              </w:rPr>
              <w:t>across MSK disciplines and health sectors; for example, primary care, secondary care, as well as other community services (such as mental health) and also third sector voluntary organisations.</w:t>
            </w:r>
          </w:p>
          <w:p w14:paraId="4CD502B5"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A single point of access with a central booking system. This may also incorporate digital triage and patient education tools. </w:t>
            </w:r>
          </w:p>
          <w:p w14:paraId="22D5BD8F" w14:textId="4D3F36DB" w:rsidR="0013171F" w:rsidRPr="00974E76"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Triage from a standardised minimum data set referral form, or patient self-referral, should direct patients to physical therapies, orthopaedic, spinal, rheumatology and specialist pain input, ensuring patients are seen in the appropriate setting of care according to local clinical pathways. 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will act as a gatekeeper for all elective GP referrals to orthopaedic, spinal, </w:t>
            </w:r>
            <w:r w:rsidRPr="00974E76">
              <w:rPr>
                <w:rFonts w:ascii="Arial" w:eastAsia="MS Mincho" w:hAnsi="Arial" w:cs="Arial"/>
                <w:bCs/>
                <w:sz w:val="20"/>
                <w:szCs w:val="20"/>
                <w:lang w:eastAsia="ja-JP"/>
              </w:rPr>
              <w:t>rheumatology and pain services in NWL.</w:t>
            </w:r>
          </w:p>
          <w:p w14:paraId="0D285C95" w14:textId="25A5AC3A" w:rsidR="00A86D7B" w:rsidRPr="00974E76" w:rsidRDefault="00A86D7B" w:rsidP="0013171F">
            <w:pPr>
              <w:pStyle w:val="ListParagraph"/>
              <w:numPr>
                <w:ilvl w:val="1"/>
                <w:numId w:val="25"/>
              </w:numPr>
              <w:spacing w:line="276" w:lineRule="auto"/>
              <w:rPr>
                <w:rFonts w:ascii="Arial" w:eastAsia="MS Mincho" w:hAnsi="Arial" w:cs="Arial"/>
                <w:bCs/>
                <w:sz w:val="20"/>
                <w:szCs w:val="20"/>
                <w:lang w:eastAsia="ja-JP"/>
              </w:rPr>
            </w:pPr>
            <w:r w:rsidRPr="00974E76">
              <w:rPr>
                <w:rFonts w:ascii="Arial" w:eastAsia="MS Mincho" w:hAnsi="Arial" w:cs="Arial"/>
                <w:bCs/>
                <w:sz w:val="20"/>
                <w:szCs w:val="20"/>
                <w:lang w:eastAsia="ja-JP"/>
              </w:rPr>
              <w:t>Robust assessment should identify serious underlying pathology and those patients appropriate for specialist treatment.</w:t>
            </w:r>
          </w:p>
          <w:p w14:paraId="7CD5EEB0" w14:textId="77777777" w:rsidR="0013171F" w:rsidRPr="00974E76" w:rsidRDefault="0013171F" w:rsidP="0013171F">
            <w:pPr>
              <w:pStyle w:val="ListParagraph"/>
              <w:numPr>
                <w:ilvl w:val="1"/>
                <w:numId w:val="25"/>
              </w:numPr>
              <w:spacing w:line="276" w:lineRule="auto"/>
              <w:rPr>
                <w:rFonts w:ascii="Arial" w:eastAsia="MS Mincho" w:hAnsi="Arial" w:cs="Arial"/>
                <w:bCs/>
                <w:sz w:val="20"/>
                <w:szCs w:val="20"/>
                <w:lang w:eastAsia="ja-JP"/>
              </w:rPr>
            </w:pPr>
            <w:r w:rsidRPr="00974E76">
              <w:rPr>
                <w:rFonts w:ascii="Arial" w:eastAsia="MS Mincho" w:hAnsi="Arial" w:cs="Arial"/>
                <w:bCs/>
                <w:sz w:val="20"/>
                <w:szCs w:val="20"/>
                <w:lang w:eastAsia="ja-JP"/>
              </w:rPr>
              <w:t>Utilise, evaluate and contribute to the NWL ICS agreed clinical pathway guidance when triaging referrals and providing advice to primary care clinicians on the management of patients with MSK conditions.</w:t>
            </w:r>
          </w:p>
          <w:p w14:paraId="3632CAAD" w14:textId="2CE9096C" w:rsidR="0013171F" w:rsidRPr="00974E76" w:rsidRDefault="0013171F" w:rsidP="0013171F">
            <w:pPr>
              <w:pStyle w:val="ListParagraph"/>
              <w:numPr>
                <w:ilvl w:val="1"/>
                <w:numId w:val="25"/>
              </w:numPr>
              <w:spacing w:line="276" w:lineRule="auto"/>
              <w:rPr>
                <w:rFonts w:ascii="Arial" w:eastAsia="MS Mincho" w:hAnsi="Arial" w:cs="Arial"/>
                <w:bCs/>
                <w:sz w:val="20"/>
                <w:szCs w:val="20"/>
                <w:lang w:eastAsia="ja-JP"/>
              </w:rPr>
            </w:pPr>
            <w:r w:rsidRPr="00974E76">
              <w:rPr>
                <w:rFonts w:ascii="Arial" w:eastAsia="MS Mincho" w:hAnsi="Arial" w:cs="Arial"/>
                <w:bCs/>
                <w:sz w:val="20"/>
                <w:szCs w:val="20"/>
                <w:lang w:eastAsia="ja-JP"/>
              </w:rPr>
              <w:t xml:space="preserve">Ensure that the most appropriate community-based treatment is offered based on clinical need, but where secondary care intervention is required; appropriate benchmarking is monitored to ensure appropriate patients are </w:t>
            </w:r>
            <w:r w:rsidR="00076925" w:rsidRPr="00974E76">
              <w:rPr>
                <w:rFonts w:ascii="Arial" w:eastAsia="MS Mincho" w:hAnsi="Arial" w:cs="Arial"/>
                <w:bCs/>
                <w:sz w:val="20"/>
                <w:szCs w:val="20"/>
                <w:lang w:eastAsia="ja-JP"/>
              </w:rPr>
              <w:t>referred for</w:t>
            </w:r>
            <w:r w:rsidRPr="00974E76">
              <w:rPr>
                <w:rFonts w:ascii="Arial" w:eastAsia="MS Mincho" w:hAnsi="Arial" w:cs="Arial"/>
                <w:bCs/>
                <w:sz w:val="20"/>
                <w:szCs w:val="20"/>
                <w:lang w:eastAsia="ja-JP"/>
              </w:rPr>
              <w:t xml:space="preserve"> secondary care</w:t>
            </w:r>
            <w:r w:rsidR="00076925" w:rsidRPr="00974E76">
              <w:rPr>
                <w:rFonts w:ascii="Arial" w:eastAsia="MS Mincho" w:hAnsi="Arial" w:cs="Arial"/>
                <w:bCs/>
                <w:sz w:val="20"/>
                <w:szCs w:val="20"/>
                <w:lang w:eastAsia="ja-JP"/>
              </w:rPr>
              <w:t xml:space="preserve"> input</w:t>
            </w:r>
            <w:r w:rsidRPr="00974E76">
              <w:rPr>
                <w:rFonts w:ascii="Arial" w:eastAsia="MS Mincho" w:hAnsi="Arial" w:cs="Arial"/>
                <w:bCs/>
                <w:sz w:val="20"/>
                <w:szCs w:val="20"/>
                <w:lang w:eastAsia="ja-JP"/>
              </w:rPr>
              <w:t xml:space="preserve"> (considering the NHSE GIRFT reports and current NHSE MSK benchmarks)</w:t>
            </w:r>
            <w:r w:rsidR="00076925" w:rsidRPr="00974E76">
              <w:rPr>
                <w:rFonts w:ascii="Arial" w:eastAsia="MS Mincho" w:hAnsi="Arial" w:cs="Arial"/>
                <w:bCs/>
                <w:sz w:val="20"/>
                <w:szCs w:val="20"/>
                <w:lang w:eastAsia="ja-JP"/>
              </w:rPr>
              <w:t>.</w:t>
            </w:r>
          </w:p>
          <w:p w14:paraId="559628B0"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974E76">
              <w:rPr>
                <w:rFonts w:ascii="Arial" w:eastAsia="MS Mincho" w:hAnsi="Arial" w:cs="Arial"/>
                <w:bCs/>
                <w:sz w:val="20"/>
                <w:szCs w:val="20"/>
                <w:lang w:eastAsia="ja-JP"/>
              </w:rPr>
              <w:t xml:space="preserve">An integrated seamless care pathway should improve quality and efficiency of service delivery, reducing unnecessary </w:t>
            </w:r>
            <w:r w:rsidRPr="00DA02B5">
              <w:rPr>
                <w:rFonts w:ascii="Arial" w:eastAsia="MS Mincho" w:hAnsi="Arial" w:cs="Arial"/>
                <w:bCs/>
                <w:sz w:val="20"/>
                <w:szCs w:val="20"/>
                <w:lang w:eastAsia="ja-JP"/>
              </w:rPr>
              <w:t xml:space="preserve">secondary care and diagnostic utilisation and improving patient experience. </w:t>
            </w:r>
          </w:p>
          <w:p w14:paraId="30146F10" w14:textId="6065A37B" w:rsidR="0013171F" w:rsidRPr="00DA02B5" w:rsidRDefault="0013171F" w:rsidP="0013171F">
            <w:pPr>
              <w:spacing w:line="276" w:lineRule="auto"/>
              <w:rPr>
                <w:rFonts w:ascii="Arial" w:eastAsia="MS Mincho" w:hAnsi="Arial" w:cs="Arial"/>
                <w:b/>
                <w:sz w:val="20"/>
                <w:szCs w:val="20"/>
                <w:lang w:eastAsia="ja-JP"/>
              </w:rPr>
            </w:pPr>
          </w:p>
          <w:p w14:paraId="1AF5871D" w14:textId="77777777"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High-value, patient-centred, evidence-based MSK care</w:t>
            </w:r>
          </w:p>
          <w:p w14:paraId="584D3641" w14:textId="76F7F692"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High-quality patient-centred assessment of MSK conditions, education and treatment, through shared decision-making, based on clinical need </w:t>
            </w:r>
            <w:r w:rsidR="00C96EA8">
              <w:rPr>
                <w:rFonts w:ascii="Arial" w:eastAsia="MS Mincho" w:hAnsi="Arial" w:cs="Arial"/>
                <w:bCs/>
                <w:sz w:val="20"/>
                <w:szCs w:val="20"/>
                <w:lang w:eastAsia="ja-JP"/>
              </w:rPr>
              <w:t>and patient preferences, whilst</w:t>
            </w:r>
            <w:r w:rsidRPr="00DA02B5">
              <w:rPr>
                <w:rFonts w:ascii="Arial" w:eastAsia="MS Mincho" w:hAnsi="Arial" w:cs="Arial"/>
                <w:bCs/>
                <w:sz w:val="20"/>
                <w:szCs w:val="20"/>
                <w:lang w:eastAsia="ja-JP"/>
              </w:rPr>
              <w:t xml:space="preserve"> aligned to best evidence</w:t>
            </w:r>
            <w:r w:rsidR="00C96EA8">
              <w:rPr>
                <w:rFonts w:ascii="Arial" w:eastAsia="MS Mincho" w:hAnsi="Arial" w:cs="Arial"/>
                <w:bCs/>
                <w:sz w:val="20"/>
                <w:szCs w:val="20"/>
                <w:lang w:eastAsia="ja-JP"/>
              </w:rPr>
              <w:t>,</w:t>
            </w:r>
            <w:r w:rsidRPr="00DA02B5">
              <w:rPr>
                <w:rFonts w:ascii="Arial" w:eastAsia="MS Mincho" w:hAnsi="Arial" w:cs="Arial"/>
                <w:bCs/>
                <w:sz w:val="20"/>
                <w:szCs w:val="20"/>
                <w:lang w:eastAsia="ja-JP"/>
              </w:rPr>
              <w:t xml:space="preserve"> national guidelines and locally agreed clinical pathways.</w:t>
            </w:r>
          </w:p>
          <w:p w14:paraId="252749D6"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Psychologically-informed practice, empowering patients to understand their condition, through evidence-based messaging and education, as well as any individual biopsychosocial contributors, to improve their ability to self-manage musculoskeletal conditions. </w:t>
            </w:r>
          </w:p>
          <w:p w14:paraId="6F4851A2" w14:textId="77777777" w:rsidR="0013171F" w:rsidRPr="00DA02B5" w:rsidRDefault="0013171F" w:rsidP="0013171F">
            <w:pPr>
              <w:pStyle w:val="ListParagraph"/>
              <w:numPr>
                <w:ilvl w:val="1"/>
                <w:numId w:val="25"/>
              </w:numPr>
              <w:rPr>
                <w:rFonts w:ascii="Arial" w:hAnsi="Arial" w:cs="Arial"/>
                <w:sz w:val="20"/>
                <w:szCs w:val="20"/>
              </w:rPr>
            </w:pPr>
            <w:r w:rsidRPr="00DA02B5">
              <w:rPr>
                <w:rFonts w:ascii="Arial" w:hAnsi="Arial" w:cs="Arial"/>
                <w:sz w:val="20"/>
                <w:szCs w:val="20"/>
              </w:rPr>
              <w:t xml:space="preserve">Long-term condition management should focus on a holistic whole-person approach, revolving around shared decision-making across an evidence-based range of management options and individualised personalised care planning. </w:t>
            </w:r>
          </w:p>
          <w:p w14:paraId="31651E18" w14:textId="4BA8531B"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The Service should focus on addressing low-value (ineffective, costly or harmful) over</w:t>
            </w:r>
            <w:r w:rsidR="00DA02B5">
              <w:rPr>
                <w:rFonts w:ascii="Arial" w:eastAsia="MS Mincho" w:hAnsi="Arial" w:cs="Arial"/>
                <w:bCs/>
                <w:sz w:val="20"/>
                <w:szCs w:val="20"/>
                <w:lang w:eastAsia="ja-JP"/>
              </w:rPr>
              <w:t>-</w:t>
            </w:r>
            <w:r w:rsidRPr="00DA02B5">
              <w:rPr>
                <w:rFonts w:ascii="Arial" w:eastAsia="MS Mincho" w:hAnsi="Arial" w:cs="Arial"/>
                <w:bCs/>
                <w:sz w:val="20"/>
                <w:szCs w:val="20"/>
                <w:lang w:eastAsia="ja-JP"/>
              </w:rPr>
              <w:t xml:space="preserve">diagnosis and over-treatment of musculoskeletal conditions, whilst ensuring appropriate patients, likely to benefit from further evidence-based interventions, are referred to specialist input either within 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or secondary care settings (with direct-listing where possible) in a timely manner. </w:t>
            </w:r>
          </w:p>
          <w:p w14:paraId="0F4052A4" w14:textId="77777777" w:rsidR="0013171F" w:rsidRPr="00DA02B5" w:rsidRDefault="0013171F" w:rsidP="0013171F">
            <w:pPr>
              <w:spacing w:line="276" w:lineRule="auto"/>
              <w:rPr>
                <w:rFonts w:ascii="Arial" w:eastAsia="MS Mincho" w:hAnsi="Arial" w:cs="Arial"/>
                <w:b/>
                <w:sz w:val="20"/>
                <w:szCs w:val="20"/>
                <w:lang w:eastAsia="ja-JP"/>
              </w:rPr>
            </w:pPr>
          </w:p>
          <w:p w14:paraId="31AF21D7" w14:textId="1ABA3346"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 xml:space="preserve">Personalised, self-management support </w:t>
            </w:r>
          </w:p>
          <w:p w14:paraId="26B1FACA" w14:textId="29263205" w:rsidR="0013171F" w:rsidRPr="00DA02B5" w:rsidRDefault="0013171F" w:rsidP="0013171F">
            <w:pPr>
              <w:pStyle w:val="ListParagraph"/>
              <w:numPr>
                <w:ilvl w:val="1"/>
                <w:numId w:val="25"/>
              </w:numPr>
              <w:spacing w:line="276" w:lineRule="auto"/>
              <w:rPr>
                <w:rFonts w:ascii="Arial" w:eastAsia="MS Mincho" w:hAnsi="Arial" w:cs="Arial"/>
                <w:b/>
                <w:sz w:val="20"/>
                <w:szCs w:val="20"/>
                <w:lang w:eastAsia="ja-JP"/>
              </w:rPr>
            </w:pPr>
            <w:r w:rsidRPr="00DA02B5">
              <w:rPr>
                <w:rFonts w:ascii="Arial" w:eastAsia="MS Mincho" w:hAnsi="Arial" w:cs="Arial"/>
                <w:bCs/>
                <w:sz w:val="20"/>
                <w:szCs w:val="20"/>
                <w:lang w:eastAsia="ja-JP"/>
              </w:rPr>
              <w:t>Promotion of long-term condition management for chronic MSK conditions, with a focus on</w:t>
            </w:r>
            <w:r w:rsidR="00046D0F">
              <w:rPr>
                <w:rFonts w:ascii="Arial" w:eastAsia="MS Mincho" w:hAnsi="Arial" w:cs="Arial"/>
                <w:bCs/>
                <w:sz w:val="20"/>
                <w:szCs w:val="20"/>
                <w:lang w:eastAsia="ja-JP"/>
              </w:rPr>
              <w:t xml:space="preserve"> quality of life, i</w:t>
            </w:r>
            <w:r w:rsidR="00DA02B5">
              <w:rPr>
                <w:rFonts w:ascii="Arial" w:eastAsia="MS Mincho" w:hAnsi="Arial" w:cs="Arial"/>
                <w:bCs/>
                <w:sz w:val="20"/>
                <w:szCs w:val="20"/>
                <w:lang w:eastAsia="ja-JP"/>
              </w:rPr>
              <w:t>.</w:t>
            </w:r>
            <w:r w:rsidR="00046D0F">
              <w:rPr>
                <w:rFonts w:ascii="Arial" w:eastAsia="MS Mincho" w:hAnsi="Arial" w:cs="Arial"/>
                <w:bCs/>
                <w:sz w:val="20"/>
                <w:szCs w:val="20"/>
                <w:lang w:eastAsia="ja-JP"/>
              </w:rPr>
              <w:t>e</w:t>
            </w:r>
            <w:r w:rsidR="00DA02B5">
              <w:rPr>
                <w:rFonts w:ascii="Arial" w:eastAsia="MS Mincho" w:hAnsi="Arial" w:cs="Arial"/>
                <w:bCs/>
                <w:sz w:val="20"/>
                <w:szCs w:val="20"/>
                <w:lang w:eastAsia="ja-JP"/>
              </w:rPr>
              <w:t>.</w:t>
            </w:r>
            <w:r w:rsidRPr="00DA02B5">
              <w:rPr>
                <w:rFonts w:ascii="Arial" w:eastAsia="MS Mincho" w:hAnsi="Arial" w:cs="Arial"/>
                <w:bCs/>
                <w:sz w:val="20"/>
                <w:szCs w:val="20"/>
                <w:lang w:eastAsia="ja-JP"/>
              </w:rPr>
              <w:t xml:space="preserve"> function, emotional well-being, social functioning, every activities and return to work. </w:t>
            </w:r>
          </w:p>
          <w:p w14:paraId="14EEEE61" w14:textId="77777777" w:rsidR="0013171F" w:rsidRPr="00DA02B5" w:rsidRDefault="0013171F" w:rsidP="0013171F">
            <w:pPr>
              <w:pStyle w:val="ListParagraph"/>
              <w:numPr>
                <w:ilvl w:val="1"/>
                <w:numId w:val="25"/>
              </w:numPr>
              <w:spacing w:line="276" w:lineRule="auto"/>
              <w:rPr>
                <w:rFonts w:ascii="Arial" w:eastAsia="MS Mincho" w:hAnsi="Arial" w:cs="Arial"/>
                <w:b/>
                <w:sz w:val="20"/>
                <w:szCs w:val="20"/>
                <w:lang w:eastAsia="ja-JP"/>
              </w:rPr>
            </w:pPr>
            <w:r w:rsidRPr="00DA02B5">
              <w:rPr>
                <w:rFonts w:ascii="Arial" w:eastAsia="MS Mincho" w:hAnsi="Arial" w:cs="Arial"/>
                <w:bCs/>
                <w:sz w:val="20"/>
                <w:szCs w:val="20"/>
                <w:lang w:eastAsia="ja-JP"/>
              </w:rPr>
              <w:t>Patients should be provided a range of appropriate treatment approaches and support to manage their condition within primary and community settings.</w:t>
            </w:r>
          </w:p>
          <w:p w14:paraId="2D3BAE4B" w14:textId="77777777" w:rsidR="0013171F" w:rsidRPr="00DA02B5" w:rsidRDefault="0013171F" w:rsidP="0013171F">
            <w:pPr>
              <w:pStyle w:val="ListParagraph"/>
              <w:numPr>
                <w:ilvl w:val="1"/>
                <w:numId w:val="25"/>
              </w:numPr>
              <w:spacing w:line="276" w:lineRule="auto"/>
              <w:rPr>
                <w:rFonts w:ascii="Arial" w:eastAsia="MS Mincho" w:hAnsi="Arial" w:cs="Arial"/>
                <w:b/>
                <w:sz w:val="20"/>
                <w:szCs w:val="20"/>
                <w:lang w:eastAsia="ja-JP"/>
              </w:rPr>
            </w:pPr>
            <w:r w:rsidRPr="00DA02B5">
              <w:rPr>
                <w:rFonts w:ascii="Arial" w:eastAsia="MS Mincho" w:hAnsi="Arial" w:cs="Arial"/>
                <w:bCs/>
                <w:sz w:val="20"/>
                <w:szCs w:val="20"/>
                <w:lang w:eastAsia="ja-JP"/>
              </w:rPr>
              <w:lastRenderedPageBreak/>
              <w:t xml:space="preserve">Reduce the risk of co-morbidities associated with all MSK pain such as depression, social isolation and loss of employment and other disability. </w:t>
            </w:r>
          </w:p>
          <w:p w14:paraId="659A4FC8" w14:textId="77777777" w:rsidR="0013171F" w:rsidRPr="00DA02B5" w:rsidRDefault="0013171F" w:rsidP="0013171F">
            <w:pPr>
              <w:pStyle w:val="ListParagraph"/>
              <w:numPr>
                <w:ilvl w:val="1"/>
                <w:numId w:val="25"/>
              </w:numPr>
              <w:spacing w:line="276" w:lineRule="auto"/>
              <w:rPr>
                <w:rFonts w:ascii="Arial" w:eastAsia="MS Mincho" w:hAnsi="Arial" w:cs="Arial"/>
                <w:b/>
                <w:sz w:val="20"/>
                <w:szCs w:val="20"/>
                <w:lang w:eastAsia="ja-JP"/>
              </w:rPr>
            </w:pPr>
            <w:r w:rsidRPr="00DA02B5">
              <w:rPr>
                <w:rFonts w:ascii="Arial" w:eastAsia="MS Mincho" w:hAnsi="Arial" w:cs="Arial"/>
                <w:bCs/>
                <w:sz w:val="20"/>
                <w:szCs w:val="20"/>
                <w:lang w:eastAsia="ja-JP"/>
              </w:rPr>
              <w:t>Provision and development of health and wellbeing coaches and social prescribing link workers, along with partnership working with mental health services.</w:t>
            </w:r>
          </w:p>
          <w:p w14:paraId="6BF39202"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Improving service user-centred clinical care through co-production of service design and delivery, and through implementation of the NHS England six pillars of personalised care to provide the appropriate support and management of MSK conditions in line with evidence and national best practice guidance. </w:t>
            </w:r>
          </w:p>
          <w:p w14:paraId="7A353535"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Disseminating knowledge about disability rights, statutory benefits, workplace benefits, home adaptations, and support for travel and transport to promote quality of life and independence. </w:t>
            </w:r>
          </w:p>
          <w:p w14:paraId="66473467"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Signposting towards national and local charities and community groups for further information and peer support. </w:t>
            </w:r>
          </w:p>
          <w:p w14:paraId="54B240E3"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Addressing health inequalities, through appropriate interpretation services, providing information in a range of languages and accessible formats; mitigating against inequality through digital exclusion or low health literacy, and monitoring service access to underserved groups including by age, ethnicity and deprivation.  </w:t>
            </w:r>
          </w:p>
          <w:p w14:paraId="55702CC4"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Leading partnership working with local PCNs and specialist providers to embed personalised care into clinical pathways, including NHS England (and other) decision support tools, ensuring staff receive training on personalisation of care and that this is regularly audited through patient feedback and standardised measures. </w:t>
            </w:r>
          </w:p>
          <w:p w14:paraId="4B722F0C" w14:textId="3D55B88F"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Engaging with and supporting PCN-based social prescribing link workers, health and wellbein</w:t>
            </w:r>
            <w:r w:rsidR="000F06EB">
              <w:rPr>
                <w:rFonts w:ascii="Arial" w:eastAsia="MS Mincho" w:hAnsi="Arial" w:cs="Arial"/>
                <w:bCs/>
                <w:sz w:val="20"/>
                <w:szCs w:val="20"/>
                <w:lang w:eastAsia="ja-JP"/>
              </w:rPr>
              <w:t>g</w:t>
            </w:r>
            <w:r w:rsidRPr="00DA02B5">
              <w:rPr>
                <w:rFonts w:ascii="Arial" w:eastAsia="MS Mincho" w:hAnsi="Arial" w:cs="Arial"/>
                <w:bCs/>
                <w:sz w:val="20"/>
                <w:szCs w:val="20"/>
                <w:lang w:eastAsia="ja-JP"/>
              </w:rPr>
              <w:t xml:space="preserve"> coaches and other PCN staff (including GPs) to provide ongoing person-centred support for people with chronic and complex MSK symptoms that are unlikely to benefit from additional input from specialist services. </w:t>
            </w:r>
          </w:p>
          <w:p w14:paraId="37DD3A42" w14:textId="17B7758A" w:rsidR="0013171F" w:rsidRPr="00DA02B5" w:rsidRDefault="0013171F" w:rsidP="0013171F">
            <w:pPr>
              <w:spacing w:line="276" w:lineRule="auto"/>
              <w:rPr>
                <w:rFonts w:ascii="Arial" w:eastAsia="MS Mincho" w:hAnsi="Arial" w:cs="Arial"/>
                <w:b/>
                <w:sz w:val="20"/>
                <w:szCs w:val="20"/>
                <w:lang w:eastAsia="ja-JP"/>
              </w:rPr>
            </w:pPr>
          </w:p>
          <w:p w14:paraId="3D10CCAB" w14:textId="3C1A05C6"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 xml:space="preserve">Equality of accessible care </w:t>
            </w:r>
          </w:p>
          <w:p w14:paraId="48889C07"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Timely and easy access to telephone, video and face-to-face consultation, based on patient choice, need and risk. </w:t>
            </w:r>
          </w:p>
          <w:p w14:paraId="3BD6A590"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Care should be delivered out of several borough-based sites which provide an equality of access geographically across NWL and offering appropriate hours and ease of access. </w:t>
            </w:r>
          </w:p>
          <w:p w14:paraId="22E7B9D5" w14:textId="0C1BA974"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should seek appropriate engagement with patient partners / lived experienced partners from key under-served groups and communities. </w:t>
            </w:r>
          </w:p>
          <w:p w14:paraId="2ED0DB6C" w14:textId="77777777" w:rsidR="0013171F" w:rsidRPr="00DA02B5" w:rsidRDefault="0013171F" w:rsidP="0013171F">
            <w:pPr>
              <w:spacing w:line="276" w:lineRule="auto"/>
              <w:rPr>
                <w:rFonts w:ascii="Arial" w:eastAsia="MS Mincho" w:hAnsi="Arial" w:cs="Arial"/>
                <w:b/>
                <w:sz w:val="20"/>
                <w:szCs w:val="20"/>
                <w:lang w:eastAsia="ja-JP"/>
              </w:rPr>
            </w:pPr>
          </w:p>
          <w:p w14:paraId="1D7E9D2C" w14:textId="77777777"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 xml:space="preserve">Population health management and system recovery </w:t>
            </w:r>
          </w:p>
          <w:p w14:paraId="1D6059C8" w14:textId="71FD21F0"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should work with the ICS to identify areas of variation (at primary, community and secondary care levels) to reduce inequalities (for example through the Core20PLUS5 approach to drive targeted action) in access to effective services and best establish ‘value’ across the MSK health economy. </w:t>
            </w:r>
          </w:p>
          <w:p w14:paraId="14611B5C"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Enhance the management of patients within primary and community care, and actively manage the demand for secondary care services ensuring patients have quicker access to appropriate treatment in the appropriate setting.</w:t>
            </w:r>
          </w:p>
          <w:p w14:paraId="6C6359C2"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Ensure that there is no delay towards the achievement of the treatment target maximum waiting time from GP referral to definitive treatment.</w:t>
            </w:r>
          </w:p>
          <w:p w14:paraId="3A77504D"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Implementation of KPIs which address system health utilisation, patient clinical outcome and patient experience measures. </w:t>
            </w:r>
          </w:p>
          <w:p w14:paraId="48579940" w14:textId="03879AEE" w:rsidR="00214CF4" w:rsidRPr="00DA02B5" w:rsidRDefault="00214CF4" w:rsidP="0013171F">
            <w:pPr>
              <w:spacing w:line="276" w:lineRule="auto"/>
              <w:rPr>
                <w:rFonts w:ascii="Arial" w:eastAsia="MS Mincho" w:hAnsi="Arial" w:cs="Arial"/>
                <w:b/>
                <w:sz w:val="20"/>
                <w:szCs w:val="20"/>
                <w:lang w:eastAsia="ja-JP"/>
              </w:rPr>
            </w:pPr>
          </w:p>
          <w:p w14:paraId="752AFA2C" w14:textId="086FC24C" w:rsidR="00214CF4" w:rsidRPr="00214CF4" w:rsidRDefault="0013171F" w:rsidP="00214CF4">
            <w:pPr>
              <w:pStyle w:val="ListParagraph"/>
              <w:numPr>
                <w:ilvl w:val="0"/>
                <w:numId w:val="25"/>
              </w:numPr>
              <w:spacing w:line="276" w:lineRule="auto"/>
              <w:rPr>
                <w:rFonts w:ascii="Arial" w:hAnsi="Arial" w:cs="Arial"/>
                <w:sz w:val="20"/>
                <w:szCs w:val="20"/>
              </w:rPr>
            </w:pPr>
            <w:r w:rsidRPr="00DA02B5">
              <w:rPr>
                <w:rFonts w:ascii="Arial" w:eastAsia="MS Mincho" w:hAnsi="Arial" w:cs="Arial"/>
                <w:b/>
                <w:sz w:val="20"/>
                <w:szCs w:val="20"/>
                <w:lang w:eastAsia="ja-JP"/>
              </w:rPr>
              <w:t xml:space="preserve">Workforce development </w:t>
            </w:r>
          </w:p>
          <w:p w14:paraId="728CCAD3" w14:textId="77777777" w:rsidR="0013171F" w:rsidRPr="00DA02B5" w:rsidRDefault="0013171F" w:rsidP="0013171F">
            <w:pPr>
              <w:pStyle w:val="ListParagraph"/>
              <w:numPr>
                <w:ilvl w:val="1"/>
                <w:numId w:val="25"/>
              </w:numPr>
              <w:spacing w:line="276" w:lineRule="auto"/>
              <w:rPr>
                <w:rFonts w:ascii="Arial" w:hAnsi="Arial" w:cs="Arial"/>
                <w:sz w:val="20"/>
                <w:szCs w:val="20"/>
              </w:rPr>
            </w:pPr>
            <w:r w:rsidRPr="00DA02B5">
              <w:rPr>
                <w:rFonts w:ascii="Arial" w:hAnsi="Arial" w:cs="Arial"/>
                <w:sz w:val="20"/>
                <w:szCs w:val="20"/>
              </w:rPr>
              <w:t xml:space="preserve">Workforce development and integration is a priority, with advanced practitioner capacity being key to relieving system pressures, whilst also developing primary care and providing clinical integration throughout primary, community and secondary care settings. </w:t>
            </w:r>
          </w:p>
          <w:p w14:paraId="1E4E05A7" w14:textId="77777777" w:rsidR="0013171F" w:rsidRPr="00DA02B5" w:rsidRDefault="0013171F" w:rsidP="0013171F">
            <w:pPr>
              <w:pStyle w:val="ListParagraph"/>
              <w:numPr>
                <w:ilvl w:val="1"/>
                <w:numId w:val="25"/>
              </w:numPr>
              <w:spacing w:line="276" w:lineRule="auto"/>
              <w:rPr>
                <w:rFonts w:ascii="Arial" w:hAnsi="Arial" w:cs="Arial"/>
                <w:sz w:val="20"/>
                <w:szCs w:val="20"/>
              </w:rPr>
            </w:pPr>
            <w:r w:rsidRPr="00DA02B5">
              <w:rPr>
                <w:rFonts w:ascii="Arial" w:hAnsi="Arial" w:cs="Arial"/>
                <w:sz w:val="20"/>
                <w:szCs w:val="20"/>
              </w:rPr>
              <w:lastRenderedPageBreak/>
              <w:t>Task-shifting from secondary care orthopaedic, spinal, rheumatology and pain services, as well as primary care support, requires the development of a significant workforce of advanced physiotherapist practitioners with adequate resilience for surge planning.</w:t>
            </w:r>
          </w:p>
          <w:p w14:paraId="323B9B08" w14:textId="77777777" w:rsidR="0013171F" w:rsidRPr="00DA02B5" w:rsidRDefault="0013171F" w:rsidP="0013171F">
            <w:pPr>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The Service should build on skills and confidence of primary care in MSK assessment, diagnosis and management, for example through primary care-based MDTs, as well as supporting recruitment and implementation of First Contact Practitioner roles.</w:t>
            </w:r>
          </w:p>
          <w:p w14:paraId="1839CEBF" w14:textId="209AC29A" w:rsidR="0013171F" w:rsidRPr="00DA02B5" w:rsidRDefault="0013171F" w:rsidP="0013171F">
            <w:pPr>
              <w:spacing w:line="276" w:lineRule="auto"/>
              <w:rPr>
                <w:rFonts w:ascii="Arial" w:eastAsia="MS Mincho" w:hAnsi="Arial" w:cs="Arial"/>
                <w:b/>
                <w:sz w:val="20"/>
                <w:szCs w:val="20"/>
                <w:lang w:eastAsia="ja-JP"/>
              </w:rPr>
            </w:pPr>
          </w:p>
          <w:p w14:paraId="7CBD464E" w14:textId="77777777" w:rsidR="0013171F" w:rsidRPr="00DA02B5" w:rsidRDefault="0013171F" w:rsidP="0013171F">
            <w:pPr>
              <w:pStyle w:val="ListParagraph"/>
              <w:numPr>
                <w:ilvl w:val="0"/>
                <w:numId w:val="25"/>
              </w:numPr>
              <w:spacing w:line="276" w:lineRule="auto"/>
              <w:rPr>
                <w:rFonts w:ascii="Arial" w:eastAsia="MS Mincho" w:hAnsi="Arial" w:cs="Arial"/>
                <w:b/>
                <w:sz w:val="20"/>
                <w:szCs w:val="20"/>
                <w:lang w:eastAsia="ja-JP"/>
              </w:rPr>
            </w:pPr>
            <w:r w:rsidRPr="00DA02B5">
              <w:rPr>
                <w:rFonts w:ascii="Arial" w:eastAsia="MS Mincho" w:hAnsi="Arial" w:cs="Arial"/>
                <w:b/>
                <w:sz w:val="20"/>
                <w:szCs w:val="20"/>
                <w:lang w:eastAsia="ja-JP"/>
              </w:rPr>
              <w:t>Innovation and evaluation</w:t>
            </w:r>
          </w:p>
          <w:p w14:paraId="043F2523" w14:textId="77777777"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Appropriate data collection, analytics and reporting for required local and national datasets, as well as evaluation of opportunities for quality improvement, evidencing the ‘value’ of services. </w:t>
            </w:r>
          </w:p>
          <w:p w14:paraId="05805A81" w14:textId="097CB51D" w:rsidR="0013171F" w:rsidRPr="00DA02B5" w:rsidRDefault="0013171F" w:rsidP="0013171F">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should undertake continual review to identify variation within the </w:t>
            </w:r>
            <w:r w:rsidR="000F06EB">
              <w:rPr>
                <w:rFonts w:ascii="Arial" w:eastAsia="MS Mincho" w:hAnsi="Arial" w:cs="Arial"/>
                <w:bCs/>
                <w:sz w:val="20"/>
                <w:szCs w:val="20"/>
                <w:lang w:eastAsia="ja-JP"/>
              </w:rPr>
              <w:t>S</w:t>
            </w:r>
            <w:r w:rsidRPr="00DA02B5">
              <w:rPr>
                <w:rFonts w:ascii="Arial" w:eastAsia="MS Mincho" w:hAnsi="Arial" w:cs="Arial"/>
                <w:bCs/>
                <w:sz w:val="20"/>
                <w:szCs w:val="20"/>
                <w:lang w:eastAsia="ja-JP"/>
              </w:rPr>
              <w:t xml:space="preserve">ervice and provide appropriate mentorship and development to mitigate the gap between evidence and clinical practice within musculoskeletal care. </w:t>
            </w:r>
          </w:p>
          <w:p w14:paraId="1119BB96" w14:textId="07F51010" w:rsidR="0013171F" w:rsidRPr="00DA02B5" w:rsidRDefault="0013171F" w:rsidP="0089145C">
            <w:pPr>
              <w:pStyle w:val="ListParagraph"/>
              <w:numPr>
                <w:ilvl w:val="1"/>
                <w:numId w:val="25"/>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 xml:space="preserve">Partnership working with academic institutes will encourage robust analysis of the large datasets available and answer questions around clinical and cost-effectiveness of service delivery. </w:t>
            </w:r>
          </w:p>
          <w:p w14:paraId="35E943CC" w14:textId="6B096B91" w:rsidR="00C54BA6" w:rsidRPr="00B23C1A" w:rsidRDefault="00C54BA6" w:rsidP="00DA02B5">
            <w:pPr>
              <w:pStyle w:val="CommentText"/>
              <w:rPr>
                <w:rFonts w:ascii="Arial" w:eastAsia="MS Mincho" w:hAnsi="Arial" w:cs="Arial"/>
                <w:b/>
                <w:lang w:val="en-US" w:eastAsia="ja-JP"/>
              </w:rPr>
            </w:pPr>
          </w:p>
        </w:tc>
      </w:tr>
      <w:tr w:rsidR="00A2729F" w:rsidRPr="0089145C" w14:paraId="3B0441A7" w14:textId="77777777" w:rsidTr="008B690B">
        <w:tc>
          <w:tcPr>
            <w:tcW w:w="9668" w:type="dxa"/>
            <w:shd w:val="clear" w:color="auto" w:fill="auto"/>
          </w:tcPr>
          <w:p w14:paraId="257644F8" w14:textId="1AAB5660" w:rsidR="00A2729F" w:rsidRPr="00A2729F" w:rsidRDefault="00A2729F" w:rsidP="00A2729F">
            <w:pPr>
              <w:spacing w:line="276" w:lineRule="auto"/>
              <w:rPr>
                <w:rFonts w:ascii="Arial" w:eastAsia="MS Mincho" w:hAnsi="Arial" w:cs="Arial"/>
                <w:b/>
                <w:sz w:val="20"/>
                <w:szCs w:val="20"/>
                <w:lang w:eastAsia="ja-JP"/>
              </w:rPr>
            </w:pPr>
            <w:r w:rsidRPr="00A2729F">
              <w:rPr>
                <w:rFonts w:ascii="Arial" w:eastAsia="MS Mincho" w:hAnsi="Arial" w:cs="Arial"/>
                <w:b/>
                <w:sz w:val="20"/>
                <w:szCs w:val="20"/>
                <w:lang w:eastAsia="ja-JP"/>
              </w:rPr>
              <w:lastRenderedPageBreak/>
              <w:t>3.2 Service description/care pathway</w:t>
            </w:r>
          </w:p>
          <w:p w14:paraId="4540958A" w14:textId="77777777" w:rsidR="00A2729F" w:rsidRPr="00A2729F" w:rsidRDefault="00A2729F" w:rsidP="00A2729F">
            <w:pPr>
              <w:spacing w:line="276" w:lineRule="auto"/>
              <w:rPr>
                <w:rFonts w:ascii="Arial" w:eastAsia="MS Mincho" w:hAnsi="Arial" w:cs="Arial"/>
                <w:b/>
                <w:sz w:val="20"/>
                <w:szCs w:val="20"/>
                <w:lang w:eastAsia="ja-JP"/>
              </w:rPr>
            </w:pPr>
          </w:p>
          <w:p w14:paraId="685A3EE3" w14:textId="2E159BE7"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650984">
              <w:rPr>
                <w:rFonts w:ascii="Arial" w:eastAsia="MS Mincho" w:hAnsi="Arial" w:cs="Arial"/>
                <w:bCs/>
                <w:sz w:val="20"/>
                <w:szCs w:val="20"/>
                <w:lang w:eastAsia="ja-JP"/>
              </w:rPr>
              <w:t xml:space="preserve">ervice will provide triage, assessment, diagnosis, treatment and care planning for adult patients of 16 years and </w:t>
            </w:r>
            <w:r w:rsidRPr="007D0099">
              <w:rPr>
                <w:rFonts w:ascii="Arial" w:eastAsia="MS Mincho" w:hAnsi="Arial" w:cs="Arial"/>
                <w:bCs/>
                <w:sz w:val="20"/>
                <w:szCs w:val="20"/>
                <w:lang w:eastAsia="ja-JP"/>
              </w:rPr>
              <w:t>above</w:t>
            </w:r>
            <w:r w:rsidR="007D0099" w:rsidRPr="007D0099">
              <w:rPr>
                <w:rFonts w:ascii="Arial" w:eastAsia="MS Mincho" w:hAnsi="Arial" w:cs="Arial"/>
                <w:bCs/>
                <w:sz w:val="20"/>
                <w:szCs w:val="20"/>
                <w:lang w:eastAsia="ja-JP"/>
              </w:rPr>
              <w:t xml:space="preserve">. </w:t>
            </w:r>
            <w:r w:rsidRPr="007D0099">
              <w:rPr>
                <w:rFonts w:ascii="Arial" w:eastAsia="MS Mincho" w:hAnsi="Arial" w:cs="Arial"/>
                <w:bCs/>
                <w:sz w:val="20"/>
                <w:szCs w:val="20"/>
                <w:lang w:eastAsia="ja-JP"/>
              </w:rPr>
              <w:t xml:space="preserve">(All </w:t>
            </w:r>
            <w:r w:rsidRPr="00650984">
              <w:rPr>
                <w:rFonts w:ascii="Arial" w:eastAsia="MS Mincho" w:hAnsi="Arial" w:cs="Arial"/>
                <w:bCs/>
                <w:sz w:val="20"/>
                <w:szCs w:val="20"/>
                <w:lang w:eastAsia="ja-JP"/>
              </w:rPr>
              <w:t xml:space="preserve">referrals for 16 years and above will be triaged by the </w:t>
            </w:r>
            <w:r w:rsidR="000F06EB">
              <w:rPr>
                <w:rFonts w:ascii="Arial" w:eastAsia="MS Mincho" w:hAnsi="Arial" w:cs="Arial"/>
                <w:bCs/>
                <w:sz w:val="20"/>
                <w:szCs w:val="20"/>
                <w:lang w:eastAsia="ja-JP"/>
              </w:rPr>
              <w:t>S</w:t>
            </w:r>
            <w:r w:rsidRPr="00650984">
              <w:rPr>
                <w:rFonts w:ascii="Arial" w:eastAsia="MS Mincho" w:hAnsi="Arial" w:cs="Arial"/>
                <w:bCs/>
                <w:sz w:val="20"/>
                <w:szCs w:val="20"/>
                <w:lang w:eastAsia="ja-JP"/>
              </w:rPr>
              <w:t>ervice. For younger adults (16 – 18 years old) those requiring paediatric assessment or management may need to be rapidly directed to the appropriate paediatric services, if clinically necessary).</w:t>
            </w:r>
          </w:p>
          <w:p w14:paraId="692B7DDA" w14:textId="77777777" w:rsidR="00650984" w:rsidRPr="00A2729F" w:rsidRDefault="00650984" w:rsidP="00650984">
            <w:pPr>
              <w:spacing w:line="276" w:lineRule="auto"/>
              <w:jc w:val="both"/>
              <w:rPr>
                <w:rFonts w:eastAsia="MS Mincho"/>
                <w:bCs/>
                <w:lang w:eastAsia="ja-JP"/>
              </w:rPr>
            </w:pPr>
          </w:p>
          <w:p w14:paraId="448809E8" w14:textId="4EF36C96" w:rsidR="00650984" w:rsidRPr="00650984"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650984">
              <w:rPr>
                <w:rFonts w:ascii="Arial" w:eastAsia="MS Mincho" w:hAnsi="Arial" w:cs="Arial"/>
                <w:bCs/>
                <w:sz w:val="20"/>
                <w:szCs w:val="20"/>
                <w:lang w:eastAsia="ja-JP"/>
              </w:rPr>
              <w:t>ervice must be delivered by a clinically led</w:t>
            </w:r>
            <w:r w:rsidR="001B28B8">
              <w:rPr>
                <w:rFonts w:ascii="Arial" w:eastAsia="MS Mincho" w:hAnsi="Arial" w:cs="Arial"/>
                <w:bCs/>
                <w:sz w:val="20"/>
                <w:szCs w:val="20"/>
                <w:lang w:eastAsia="ja-JP"/>
              </w:rPr>
              <w:t xml:space="preserve">, for example, </w:t>
            </w:r>
            <w:r w:rsidRPr="00650984">
              <w:rPr>
                <w:rFonts w:ascii="Arial" w:eastAsia="MS Mincho" w:hAnsi="Arial" w:cs="Arial"/>
                <w:bCs/>
                <w:sz w:val="20"/>
                <w:szCs w:val="20"/>
                <w:lang w:eastAsia="ja-JP"/>
              </w:rPr>
              <w:t xml:space="preserve">Consultant Physiotherapist, </w:t>
            </w:r>
            <w:proofErr w:type="spellStart"/>
            <w:r w:rsidRPr="00650984">
              <w:rPr>
                <w:rFonts w:ascii="Arial" w:eastAsia="MS Mincho" w:hAnsi="Arial" w:cs="Arial"/>
                <w:bCs/>
                <w:sz w:val="20"/>
                <w:szCs w:val="20"/>
                <w:lang w:eastAsia="ja-JP"/>
              </w:rPr>
              <w:t>GP</w:t>
            </w:r>
            <w:r w:rsidR="001B28B8">
              <w:rPr>
                <w:rFonts w:ascii="Arial" w:eastAsia="MS Mincho" w:hAnsi="Arial" w:cs="Arial"/>
                <w:bCs/>
                <w:sz w:val="20"/>
                <w:szCs w:val="20"/>
                <w:lang w:eastAsia="ja-JP"/>
              </w:rPr>
              <w:t>w</w:t>
            </w:r>
            <w:r w:rsidRPr="00650984">
              <w:rPr>
                <w:rFonts w:ascii="Arial" w:eastAsia="MS Mincho" w:hAnsi="Arial" w:cs="Arial"/>
                <w:bCs/>
                <w:sz w:val="20"/>
                <w:szCs w:val="20"/>
                <w:lang w:eastAsia="ja-JP"/>
              </w:rPr>
              <w:t>ER</w:t>
            </w:r>
            <w:proofErr w:type="spellEnd"/>
            <w:r w:rsidR="00FE15B5">
              <w:rPr>
                <w:rFonts w:ascii="Arial" w:eastAsia="MS Mincho" w:hAnsi="Arial" w:cs="Arial"/>
                <w:bCs/>
                <w:sz w:val="20"/>
                <w:szCs w:val="20"/>
                <w:lang w:eastAsia="ja-JP"/>
              </w:rPr>
              <w:t xml:space="preserve"> </w:t>
            </w:r>
            <w:r w:rsidR="00FE15B5" w:rsidRPr="00044E9A">
              <w:rPr>
                <w:rFonts w:ascii="Arial" w:eastAsia="MS Mincho" w:hAnsi="Arial" w:cs="Arial"/>
                <w:bCs/>
                <w:sz w:val="20"/>
                <w:szCs w:val="20"/>
                <w:lang w:eastAsia="ja-JP"/>
              </w:rPr>
              <w:t>(GP with extended role)</w:t>
            </w:r>
            <w:r w:rsidRPr="00044E9A">
              <w:rPr>
                <w:rFonts w:ascii="Arial" w:eastAsia="MS Mincho" w:hAnsi="Arial" w:cs="Arial"/>
                <w:bCs/>
                <w:sz w:val="20"/>
                <w:szCs w:val="20"/>
                <w:lang w:eastAsia="ja-JP"/>
              </w:rPr>
              <w:t xml:space="preserve">, </w:t>
            </w:r>
            <w:r w:rsidRPr="00650984">
              <w:rPr>
                <w:rFonts w:ascii="Arial" w:eastAsia="MS Mincho" w:hAnsi="Arial" w:cs="Arial"/>
                <w:bCs/>
                <w:sz w:val="20"/>
                <w:szCs w:val="20"/>
                <w:lang w:eastAsia="ja-JP"/>
              </w:rPr>
              <w:t>or Consultant Physician) multidisciplinary team, including a combination of workforce skills, including roles such as.</w:t>
            </w:r>
          </w:p>
          <w:p w14:paraId="31F0F0D5" w14:textId="77777777" w:rsidR="00650984" w:rsidRPr="00650984" w:rsidRDefault="00650984" w:rsidP="00650984">
            <w:pPr>
              <w:numPr>
                <w:ilvl w:val="0"/>
                <w:numId w:val="4"/>
              </w:num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Consultant Physiotherapists and Advanced Physiotherapist Practitioners</w:t>
            </w:r>
          </w:p>
          <w:p w14:paraId="0353F645" w14:textId="77777777" w:rsidR="00650984" w:rsidRPr="00650984" w:rsidRDefault="00650984" w:rsidP="00650984">
            <w:pPr>
              <w:numPr>
                <w:ilvl w:val="0"/>
                <w:numId w:val="4"/>
              </w:num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GPs with extended roles in MSK, sports medicine, rheumatology and persistent pain</w:t>
            </w:r>
          </w:p>
          <w:p w14:paraId="471B7534" w14:textId="418C8D76" w:rsidR="00650984" w:rsidRPr="00044E9A" w:rsidRDefault="00FE15B5" w:rsidP="00650984">
            <w:pPr>
              <w:numPr>
                <w:ilvl w:val="0"/>
                <w:numId w:val="4"/>
              </w:numPr>
              <w:spacing w:line="276" w:lineRule="auto"/>
              <w:jc w:val="both"/>
              <w:rPr>
                <w:rFonts w:ascii="Arial" w:eastAsia="MS Mincho" w:hAnsi="Arial" w:cs="Arial"/>
                <w:bCs/>
                <w:sz w:val="20"/>
                <w:szCs w:val="20"/>
                <w:lang w:eastAsia="ja-JP"/>
              </w:rPr>
            </w:pPr>
            <w:r w:rsidRPr="00044E9A">
              <w:rPr>
                <w:rFonts w:ascii="Arial" w:hAnsi="Arial" w:cs="Arial"/>
                <w:sz w:val="20"/>
                <w:szCs w:val="20"/>
              </w:rPr>
              <w:t xml:space="preserve">Physiotherapists </w:t>
            </w:r>
          </w:p>
          <w:p w14:paraId="036C3851"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Podiatrists</w:t>
            </w:r>
          </w:p>
          <w:p w14:paraId="69B93F89"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Clinical Psychologists and Health Coaches</w:t>
            </w:r>
          </w:p>
          <w:p w14:paraId="02C748E2"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Specialist Nurses</w:t>
            </w:r>
          </w:p>
          <w:p w14:paraId="3243BEF9"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Occupational Therapists</w:t>
            </w:r>
          </w:p>
          <w:p w14:paraId="6C022B20"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Pharmacists</w:t>
            </w:r>
          </w:p>
          <w:p w14:paraId="2A3D6536"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Consultants (including sports and exercise medicine, pain management, trauma &amp; orthopaedics and rheumatology),</w:t>
            </w:r>
          </w:p>
          <w:p w14:paraId="10608264"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Sports and exercise and fitness practitioners</w:t>
            </w:r>
          </w:p>
          <w:p w14:paraId="6176EB87" w14:textId="77777777" w:rsidR="00650984" w:rsidRPr="00044E9A" w:rsidRDefault="00650984" w:rsidP="00650984">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Rehabilitation assistants and technical instructors</w:t>
            </w:r>
          </w:p>
          <w:p w14:paraId="33F9EB92" w14:textId="5E936E1F" w:rsidR="0087475A" w:rsidRPr="00044E9A" w:rsidRDefault="00650984" w:rsidP="007D0099">
            <w:pPr>
              <w:numPr>
                <w:ilvl w:val="0"/>
                <w:numId w:val="4"/>
              </w:numPr>
              <w:spacing w:line="276" w:lineRule="auto"/>
              <w:jc w:val="both"/>
              <w:rPr>
                <w:rFonts w:ascii="Arial" w:eastAsia="MS Mincho" w:hAnsi="Arial" w:cs="Arial"/>
                <w:bCs/>
                <w:sz w:val="20"/>
                <w:szCs w:val="20"/>
                <w:lang w:eastAsia="ja-JP"/>
              </w:rPr>
            </w:pPr>
            <w:r w:rsidRPr="00044E9A">
              <w:rPr>
                <w:rFonts w:ascii="Arial" w:eastAsia="MS Mincho" w:hAnsi="Arial" w:cs="Arial"/>
                <w:bCs/>
                <w:sz w:val="20"/>
                <w:szCs w:val="20"/>
                <w:lang w:eastAsia="ja-JP"/>
              </w:rPr>
              <w:t>Administrative input</w:t>
            </w:r>
            <w:r w:rsidR="00366C2A" w:rsidRPr="00044E9A">
              <w:t xml:space="preserve">, </w:t>
            </w:r>
            <w:r w:rsidR="00366C2A" w:rsidRPr="00044E9A">
              <w:rPr>
                <w:rFonts w:ascii="Arial" w:hAnsi="Arial" w:cs="Arial"/>
                <w:sz w:val="20"/>
                <w:szCs w:val="20"/>
              </w:rPr>
              <w:t>IT support</w:t>
            </w:r>
            <w:r w:rsidR="00366C2A" w:rsidRPr="00044E9A">
              <w:t xml:space="preserve"> </w:t>
            </w:r>
          </w:p>
          <w:p w14:paraId="58F480F0" w14:textId="77777777" w:rsidR="007D0099" w:rsidRDefault="007D0099" w:rsidP="007D0099">
            <w:pPr>
              <w:spacing w:line="276" w:lineRule="auto"/>
              <w:ind w:left="720"/>
              <w:jc w:val="both"/>
              <w:rPr>
                <w:rFonts w:ascii="Arial" w:eastAsia="MS Mincho" w:hAnsi="Arial" w:cs="Arial"/>
                <w:bCs/>
                <w:sz w:val="20"/>
                <w:szCs w:val="20"/>
                <w:lang w:eastAsia="ja-JP"/>
              </w:rPr>
            </w:pPr>
          </w:p>
          <w:p w14:paraId="4CCDF149" w14:textId="0F60FF6B" w:rsidR="00650984" w:rsidRPr="00044E9A" w:rsidRDefault="00650984" w:rsidP="00650984">
            <w:pPr>
              <w:spacing w:line="276" w:lineRule="auto"/>
              <w:jc w:val="both"/>
              <w:rPr>
                <w:rFonts w:ascii="Arial" w:eastAsia="MS Mincho" w:hAnsi="Arial" w:cs="Arial"/>
                <w:bCs/>
                <w:sz w:val="20"/>
                <w:szCs w:val="20"/>
                <w:lang w:eastAsia="ja-JP"/>
              </w:rPr>
            </w:pPr>
            <w:r w:rsidRPr="00650984">
              <w:rPr>
                <w:rFonts w:ascii="Arial" w:eastAsia="MS Mincho" w:hAnsi="Arial" w:cs="Arial"/>
                <w:bCs/>
                <w:sz w:val="20"/>
                <w:szCs w:val="20"/>
                <w:lang w:eastAsia="ja-JP"/>
              </w:rPr>
              <w:t xml:space="preserve">In order to ensure end-to-end system integration, </w:t>
            </w:r>
            <w:r w:rsidRPr="00044E9A">
              <w:rPr>
                <w:rFonts w:ascii="Arial" w:eastAsia="MS Mincho" w:hAnsi="Arial" w:cs="Arial"/>
                <w:bCs/>
                <w:sz w:val="20"/>
                <w:szCs w:val="20"/>
                <w:lang w:eastAsia="ja-JP"/>
              </w:rPr>
              <w:t xml:space="preserve">specialist consultant input from local secondary care sites using service-level agreement arrangements should be </w:t>
            </w:r>
            <w:r w:rsidR="00CA531E" w:rsidRPr="00044E9A">
              <w:rPr>
                <w:rFonts w:ascii="Arial" w:eastAsia="MS Mincho" w:hAnsi="Arial" w:cs="Arial"/>
                <w:bCs/>
                <w:sz w:val="20"/>
                <w:szCs w:val="20"/>
                <w:lang w:eastAsia="ja-JP"/>
              </w:rPr>
              <w:t>integrated directly</w:t>
            </w:r>
            <w:r w:rsidR="007D0099" w:rsidRPr="00044E9A">
              <w:rPr>
                <w:rFonts w:ascii="Arial" w:eastAsia="MS Mincho" w:hAnsi="Arial" w:cs="Arial"/>
                <w:bCs/>
                <w:sz w:val="20"/>
                <w:szCs w:val="20"/>
                <w:lang w:eastAsia="ja-JP"/>
              </w:rPr>
              <w:t>.</w:t>
            </w:r>
            <w:r w:rsidRPr="00044E9A">
              <w:rPr>
                <w:rFonts w:ascii="Arial" w:eastAsia="MS Mincho" w:hAnsi="Arial" w:cs="Arial"/>
                <w:bCs/>
                <w:sz w:val="20"/>
                <w:szCs w:val="20"/>
                <w:lang w:eastAsia="ja-JP"/>
              </w:rPr>
              <w:t xml:space="preserve"> </w:t>
            </w:r>
          </w:p>
          <w:p w14:paraId="4ED35C90" w14:textId="2ACC60EB" w:rsidR="00E9234F" w:rsidRDefault="00E9234F" w:rsidP="00A2729F">
            <w:pPr>
              <w:spacing w:line="276" w:lineRule="auto"/>
              <w:jc w:val="both"/>
              <w:rPr>
                <w:rFonts w:ascii="Arial" w:eastAsia="MS Mincho" w:hAnsi="Arial" w:cs="Arial"/>
                <w:b/>
                <w:sz w:val="20"/>
                <w:szCs w:val="20"/>
                <w:lang w:eastAsia="ja-JP"/>
              </w:rPr>
            </w:pPr>
          </w:p>
          <w:p w14:paraId="50076DEB" w14:textId="77777777" w:rsidR="00A2729F" w:rsidRPr="00A2729F" w:rsidRDefault="00A2729F" w:rsidP="00A2729F">
            <w:pPr>
              <w:spacing w:line="276" w:lineRule="auto"/>
              <w:jc w:val="both"/>
              <w:rPr>
                <w:rFonts w:ascii="Arial" w:eastAsia="MS Mincho" w:hAnsi="Arial" w:cs="Arial"/>
                <w:b/>
                <w:sz w:val="20"/>
                <w:szCs w:val="20"/>
                <w:lang w:eastAsia="ja-JP"/>
              </w:rPr>
            </w:pPr>
            <w:r w:rsidRPr="00A2729F">
              <w:rPr>
                <w:rFonts w:ascii="Arial" w:eastAsia="MS Mincho" w:hAnsi="Arial" w:cs="Arial"/>
                <w:b/>
                <w:sz w:val="20"/>
                <w:szCs w:val="20"/>
                <w:lang w:eastAsia="ja-JP"/>
              </w:rPr>
              <w:t>3.2.1 Included pathways and conditions</w:t>
            </w:r>
          </w:p>
          <w:p w14:paraId="48109E99" w14:textId="77777777" w:rsidR="00A2729F" w:rsidRPr="00A2729F" w:rsidRDefault="00A2729F" w:rsidP="00A2729F">
            <w:pPr>
              <w:spacing w:line="276" w:lineRule="auto"/>
              <w:jc w:val="both"/>
              <w:rPr>
                <w:rFonts w:ascii="Arial" w:eastAsia="MS Mincho" w:hAnsi="Arial" w:cs="Arial"/>
                <w:bCs/>
                <w:sz w:val="20"/>
                <w:szCs w:val="20"/>
                <w:lang w:eastAsia="ja-JP"/>
              </w:rPr>
            </w:pPr>
          </w:p>
          <w:p w14:paraId="1FAEE74D" w14:textId="4A588B87" w:rsidR="00650984" w:rsidRPr="007B23F0" w:rsidRDefault="00650984" w:rsidP="00650984">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The</w:t>
            </w:r>
            <w:r w:rsidR="000F06EB">
              <w:rPr>
                <w:rFonts w:ascii="Arial" w:eastAsia="MS Mincho" w:hAnsi="Arial" w:cs="Arial"/>
                <w:bCs/>
                <w:sz w:val="20"/>
                <w:szCs w:val="20"/>
                <w:lang w:eastAsia="ja-JP"/>
              </w:rPr>
              <w:t xml:space="preserve"> S</w:t>
            </w:r>
            <w:r w:rsidRPr="007B23F0">
              <w:rPr>
                <w:rFonts w:ascii="Arial" w:eastAsia="MS Mincho" w:hAnsi="Arial" w:cs="Arial"/>
                <w:bCs/>
                <w:sz w:val="20"/>
                <w:szCs w:val="20"/>
                <w:lang w:eastAsia="ja-JP"/>
              </w:rPr>
              <w:t>ervice shall treat the following conditions (not an exhaustive list):</w:t>
            </w:r>
          </w:p>
          <w:p w14:paraId="13EC2874"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Arthralgia (</w:t>
            </w:r>
            <w:proofErr w:type="spellStart"/>
            <w:r w:rsidRPr="007B23F0">
              <w:rPr>
                <w:rFonts w:ascii="Arial" w:eastAsia="MS Mincho" w:hAnsi="Arial" w:cs="Arial"/>
                <w:bCs/>
                <w:sz w:val="20"/>
                <w:szCs w:val="20"/>
                <w:lang w:eastAsia="ja-JP"/>
              </w:rPr>
              <w:t>eg</w:t>
            </w:r>
            <w:proofErr w:type="spellEnd"/>
            <w:r w:rsidRPr="007B23F0">
              <w:rPr>
                <w:rFonts w:ascii="Arial" w:eastAsia="MS Mincho" w:hAnsi="Arial" w:cs="Arial"/>
                <w:bCs/>
                <w:sz w:val="20"/>
                <w:szCs w:val="20"/>
                <w:lang w:eastAsia="ja-JP"/>
              </w:rPr>
              <w:t xml:space="preserve"> osteoarthritis), myalgia (small and large joint, soft tissue, muscular pain).</w:t>
            </w:r>
          </w:p>
          <w:p w14:paraId="65D89572"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Spinal pain.</w:t>
            </w:r>
          </w:p>
          <w:p w14:paraId="40EA362B"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Chronic regional or widespread MSK pain (e.g. Fibromyalgia).</w:t>
            </w:r>
          </w:p>
          <w:p w14:paraId="742CDDD8"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lastRenderedPageBreak/>
              <w:t xml:space="preserve">MSK related soft tissue lesions (e.g., tendon injuries, ganglion, </w:t>
            </w:r>
            <w:proofErr w:type="spellStart"/>
            <w:r w:rsidRPr="007B23F0">
              <w:rPr>
                <w:rFonts w:ascii="Arial" w:eastAsia="MS Mincho" w:hAnsi="Arial" w:cs="Arial"/>
                <w:bCs/>
                <w:sz w:val="20"/>
                <w:szCs w:val="20"/>
                <w:lang w:eastAsia="ja-JP"/>
              </w:rPr>
              <w:t>Dupytrens</w:t>
            </w:r>
            <w:proofErr w:type="spellEnd"/>
            <w:r w:rsidRPr="007B23F0">
              <w:rPr>
                <w:rFonts w:ascii="Arial" w:eastAsia="MS Mincho" w:hAnsi="Arial" w:cs="Arial"/>
                <w:bCs/>
                <w:sz w:val="20"/>
                <w:szCs w:val="20"/>
                <w:lang w:eastAsia="ja-JP"/>
              </w:rPr>
              <w:t xml:space="preserve"> contracture, trigger finger).</w:t>
            </w:r>
          </w:p>
          <w:p w14:paraId="78479995"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Metabolic bone disorders (e.g., Osteoporosis).</w:t>
            </w:r>
          </w:p>
          <w:p w14:paraId="6DDBDB8B" w14:textId="24CE5D5A" w:rsidR="00650984" w:rsidRPr="00366C2A" w:rsidRDefault="00650984" w:rsidP="00650984">
            <w:pPr>
              <w:numPr>
                <w:ilvl w:val="0"/>
                <w:numId w:val="5"/>
              </w:numPr>
              <w:spacing w:line="276" w:lineRule="auto"/>
              <w:jc w:val="both"/>
              <w:rPr>
                <w:rFonts w:ascii="Arial" w:eastAsia="MS Mincho" w:hAnsi="Arial" w:cs="Arial"/>
                <w:bCs/>
                <w:i/>
                <w:color w:val="00B050"/>
                <w:sz w:val="20"/>
                <w:szCs w:val="20"/>
                <w:lang w:eastAsia="ja-JP"/>
              </w:rPr>
            </w:pPr>
            <w:r w:rsidRPr="007B23F0">
              <w:rPr>
                <w:rFonts w:ascii="Arial" w:eastAsia="MS Mincho" w:hAnsi="Arial" w:cs="Arial"/>
                <w:bCs/>
                <w:sz w:val="20"/>
                <w:szCs w:val="20"/>
                <w:lang w:eastAsia="ja-JP"/>
              </w:rPr>
              <w:t>Peripheral nerve entrapments (e.g., carpal tunnel syndrome).</w:t>
            </w:r>
            <w:r w:rsidR="0087475A">
              <w:t xml:space="preserve"> </w:t>
            </w:r>
          </w:p>
          <w:p w14:paraId="26824B6C" w14:textId="77777777" w:rsidR="00650984" w:rsidRPr="007B23F0" w:rsidRDefault="00650984" w:rsidP="00650984">
            <w:pPr>
              <w:numPr>
                <w:ilvl w:val="0"/>
                <w:numId w:val="5"/>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Sports Injuries.</w:t>
            </w:r>
          </w:p>
          <w:p w14:paraId="6F9445AC" w14:textId="77777777" w:rsidR="00650984" w:rsidRPr="007B23F0" w:rsidRDefault="00650984" w:rsidP="00650984">
            <w:pPr>
              <w:spacing w:line="276" w:lineRule="auto"/>
              <w:jc w:val="both"/>
              <w:rPr>
                <w:rFonts w:ascii="Arial" w:eastAsia="MS Mincho" w:hAnsi="Arial" w:cs="Arial"/>
                <w:bCs/>
                <w:sz w:val="20"/>
                <w:szCs w:val="20"/>
                <w:lang w:eastAsia="ja-JP"/>
              </w:rPr>
            </w:pPr>
          </w:p>
          <w:p w14:paraId="2641D6B7" w14:textId="77777777" w:rsidR="00650984" w:rsidRPr="00C54BA6" w:rsidRDefault="00650984" w:rsidP="00650984">
            <w:pPr>
              <w:pStyle w:val="Heading3"/>
              <w:rPr>
                <w:rFonts w:ascii="Arial" w:eastAsia="MS Mincho" w:hAnsi="Arial" w:cs="Arial"/>
                <w:b/>
                <w:color w:val="auto"/>
                <w:sz w:val="20"/>
                <w:szCs w:val="20"/>
                <w:lang w:eastAsia="ja-JP"/>
              </w:rPr>
            </w:pPr>
            <w:bookmarkStart w:id="1" w:name="_Toc127194662"/>
            <w:r w:rsidRPr="00C54BA6">
              <w:rPr>
                <w:rFonts w:ascii="Arial" w:eastAsia="MS Mincho" w:hAnsi="Arial" w:cs="Arial"/>
                <w:b/>
                <w:color w:val="auto"/>
                <w:sz w:val="20"/>
                <w:szCs w:val="20"/>
                <w:lang w:eastAsia="ja-JP"/>
              </w:rPr>
              <w:t>Exclusions</w:t>
            </w:r>
            <w:bookmarkEnd w:id="1"/>
          </w:p>
          <w:p w14:paraId="46D6EE71" w14:textId="16EB53ED" w:rsidR="00650984" w:rsidRPr="00366C2A" w:rsidRDefault="00650984" w:rsidP="00DC3DDC">
            <w:pPr>
              <w:pStyle w:val="ListParagraph"/>
              <w:numPr>
                <w:ilvl w:val="0"/>
                <w:numId w:val="12"/>
              </w:numPr>
              <w:spacing w:line="276" w:lineRule="auto"/>
              <w:jc w:val="both"/>
              <w:rPr>
                <w:rFonts w:ascii="Arial" w:eastAsia="MS Mincho" w:hAnsi="Arial" w:cs="Arial"/>
                <w:bCs/>
                <w:strike/>
                <w:sz w:val="20"/>
                <w:szCs w:val="20"/>
                <w:lang w:eastAsia="ja-JP"/>
              </w:rPr>
            </w:pPr>
            <w:r w:rsidRPr="007B23F0">
              <w:rPr>
                <w:rFonts w:ascii="Arial" w:eastAsia="MS Mincho" w:hAnsi="Arial" w:cs="Arial"/>
                <w:bCs/>
                <w:sz w:val="20"/>
                <w:szCs w:val="20"/>
                <w:lang w:eastAsia="ja-JP"/>
              </w:rPr>
              <w:t>Patients under the age of 16</w:t>
            </w:r>
          </w:p>
          <w:p w14:paraId="3E863539" w14:textId="27C1360B" w:rsidR="00650984" w:rsidRPr="007B23F0" w:rsidRDefault="00650984" w:rsidP="00DC3DDC">
            <w:pPr>
              <w:pStyle w:val="ListParagraph"/>
              <w:numPr>
                <w:ilvl w:val="0"/>
                <w:numId w:val="12"/>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Patients not registered with a GP in the commissioning boroughs (unless a non-contractual agreement is in place). </w:t>
            </w:r>
          </w:p>
          <w:p w14:paraId="41B5A656" w14:textId="47FA9326" w:rsidR="00650984" w:rsidRPr="007B23F0" w:rsidRDefault="00650984" w:rsidP="00DC3DDC">
            <w:pPr>
              <w:pStyle w:val="ListParagraph"/>
              <w:numPr>
                <w:ilvl w:val="0"/>
                <w:numId w:val="12"/>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Patients requiring home visits (non-ambulatory patients typically have different and wider needs beyond that provided within Level 1 and 2 MSK interface services; this rehab is best placed by community-based teams with physiotherapy integrated with occupational therapy, district nursing as well as social work teams to address all areas of frailty and re-enablement). </w:t>
            </w:r>
          </w:p>
          <w:p w14:paraId="70BAF919" w14:textId="070F8649" w:rsidR="00650984" w:rsidRPr="007749C2" w:rsidRDefault="00650984" w:rsidP="00DC3DDC">
            <w:pPr>
              <w:pStyle w:val="ListParagraph"/>
              <w:numPr>
                <w:ilvl w:val="0"/>
                <w:numId w:val="12"/>
              </w:numPr>
              <w:spacing w:line="276" w:lineRule="auto"/>
              <w:jc w:val="both"/>
              <w:rPr>
                <w:rFonts w:ascii="Arial" w:eastAsia="MS Mincho" w:hAnsi="Arial" w:cs="Arial"/>
                <w:bCs/>
                <w:color w:val="FF0000"/>
                <w:sz w:val="20"/>
                <w:szCs w:val="20"/>
                <w:lang w:eastAsia="ja-JP"/>
              </w:rPr>
            </w:pPr>
            <w:r w:rsidRPr="007B23F0">
              <w:rPr>
                <w:rFonts w:ascii="Arial" w:eastAsia="MS Mincho" w:hAnsi="Arial" w:cs="Arial"/>
                <w:bCs/>
                <w:sz w:val="20"/>
                <w:szCs w:val="20"/>
                <w:lang w:eastAsia="ja-JP"/>
              </w:rPr>
              <w:t>NHS England Prescribed Specialist Commissioning Services</w:t>
            </w:r>
            <w:r w:rsidR="007749C2">
              <w:rPr>
                <w:rFonts w:ascii="Arial" w:eastAsia="MS Mincho" w:hAnsi="Arial" w:cs="Arial"/>
                <w:bCs/>
                <w:sz w:val="20"/>
                <w:szCs w:val="20"/>
                <w:lang w:eastAsia="ja-JP"/>
              </w:rPr>
              <w:t xml:space="preserve"> </w:t>
            </w:r>
          </w:p>
          <w:p w14:paraId="4FF31557" w14:textId="77777777" w:rsidR="00650984" w:rsidRPr="007B23F0" w:rsidRDefault="00650984" w:rsidP="00DC3DDC">
            <w:pPr>
              <w:pStyle w:val="ListParagraph"/>
              <w:numPr>
                <w:ilvl w:val="0"/>
                <w:numId w:val="12"/>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Non-MSK podiatry</w:t>
            </w:r>
          </w:p>
          <w:p w14:paraId="31466A17" w14:textId="72EC005A" w:rsidR="00650984" w:rsidRPr="007B23F0" w:rsidRDefault="00650984" w:rsidP="00650984">
            <w:pPr>
              <w:spacing w:line="276" w:lineRule="auto"/>
              <w:jc w:val="both"/>
              <w:rPr>
                <w:rFonts w:ascii="Arial" w:eastAsia="MS Mincho" w:hAnsi="Arial" w:cs="Arial"/>
                <w:bCs/>
                <w:sz w:val="20"/>
                <w:szCs w:val="20"/>
                <w:lang w:eastAsia="ja-JP"/>
              </w:rPr>
            </w:pPr>
          </w:p>
          <w:p w14:paraId="2EA5F245" w14:textId="23263A35" w:rsidR="00054ECF" w:rsidRDefault="00650984" w:rsidP="007919F7">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Clinical practice should be delivered in line with national guidance (including that from NICE, NHSE </w:t>
            </w:r>
            <w:proofErr w:type="spellStart"/>
            <w:r w:rsidRPr="007B23F0">
              <w:rPr>
                <w:rFonts w:ascii="Arial" w:eastAsia="MS Mincho" w:hAnsi="Arial" w:cs="Arial"/>
                <w:bCs/>
                <w:sz w:val="20"/>
                <w:szCs w:val="20"/>
                <w:lang w:eastAsia="ja-JP"/>
              </w:rPr>
              <w:t>BestMSK</w:t>
            </w:r>
            <w:proofErr w:type="spellEnd"/>
            <w:r w:rsidRPr="007B23F0">
              <w:rPr>
                <w:rFonts w:ascii="Arial" w:eastAsia="MS Mincho" w:hAnsi="Arial" w:cs="Arial"/>
                <w:bCs/>
                <w:sz w:val="20"/>
                <w:szCs w:val="20"/>
                <w:lang w:eastAsia="ja-JP"/>
              </w:rPr>
              <w:t>, GIRFT, NHS Evidence Based Interventions, Choosing Wisely</w:t>
            </w:r>
            <w:r w:rsidR="007919F7">
              <w:rPr>
                <w:rFonts w:ascii="Arial" w:eastAsia="MS Mincho" w:hAnsi="Arial" w:cs="Arial"/>
                <w:bCs/>
                <w:sz w:val="20"/>
                <w:szCs w:val="20"/>
                <w:lang w:eastAsia="ja-JP"/>
              </w:rPr>
              <w:t>,</w:t>
            </w:r>
            <w:r w:rsidRPr="007B23F0">
              <w:rPr>
                <w:rFonts w:ascii="Arial" w:eastAsia="MS Mincho" w:hAnsi="Arial" w:cs="Arial"/>
                <w:bCs/>
                <w:sz w:val="20"/>
                <w:szCs w:val="20"/>
                <w:lang w:eastAsia="ja-JP"/>
              </w:rPr>
              <w:t xml:space="preserve"> etc</w:t>
            </w:r>
            <w:r w:rsidR="007B23F0" w:rsidRPr="007B23F0">
              <w:rPr>
                <w:rFonts w:ascii="Arial" w:eastAsia="MS Mincho" w:hAnsi="Arial" w:cs="Arial"/>
                <w:bCs/>
                <w:sz w:val="20"/>
                <w:szCs w:val="20"/>
                <w:lang w:eastAsia="ja-JP"/>
              </w:rPr>
              <w:t xml:space="preserve">) </w:t>
            </w:r>
            <w:r w:rsidR="00F2592E">
              <w:rPr>
                <w:rFonts w:ascii="Arial" w:eastAsia="MS Mincho" w:hAnsi="Arial" w:cs="Arial"/>
                <w:bCs/>
                <w:sz w:val="20"/>
                <w:szCs w:val="20"/>
                <w:lang w:eastAsia="ja-JP"/>
              </w:rPr>
              <w:t>which would be reviewed and appropriately incorporated into</w:t>
            </w:r>
            <w:r w:rsidR="007B23F0" w:rsidRPr="007B23F0">
              <w:rPr>
                <w:rFonts w:ascii="Arial" w:eastAsia="MS Mincho" w:hAnsi="Arial" w:cs="Arial"/>
                <w:bCs/>
                <w:sz w:val="20"/>
                <w:szCs w:val="20"/>
                <w:lang w:eastAsia="ja-JP"/>
              </w:rPr>
              <w:t xml:space="preserve"> locally agreed pathways</w:t>
            </w:r>
            <w:r w:rsidR="00F2592E">
              <w:rPr>
                <w:rFonts w:ascii="Arial" w:eastAsia="MS Mincho" w:hAnsi="Arial" w:cs="Arial"/>
                <w:bCs/>
                <w:sz w:val="20"/>
                <w:szCs w:val="20"/>
                <w:lang w:eastAsia="ja-JP"/>
              </w:rPr>
              <w:t>, taking into consideration local needs and services</w:t>
            </w:r>
            <w:r w:rsidR="00544E64">
              <w:rPr>
                <w:rFonts w:ascii="Arial" w:eastAsia="MS Mincho" w:hAnsi="Arial" w:cs="Arial"/>
                <w:bCs/>
                <w:sz w:val="20"/>
                <w:szCs w:val="20"/>
                <w:lang w:eastAsia="ja-JP"/>
              </w:rPr>
              <w:t>. Appendix A highlights some national best practice guidelines.</w:t>
            </w:r>
          </w:p>
          <w:p w14:paraId="046BEA32" w14:textId="6BAE93F3" w:rsidR="00214CF4" w:rsidRPr="007919F7" w:rsidRDefault="007B23F0" w:rsidP="007919F7">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 </w:t>
            </w:r>
          </w:p>
        </w:tc>
      </w:tr>
      <w:tr w:rsidR="00A2729F" w:rsidRPr="0089145C" w14:paraId="6BC8DD1A" w14:textId="77777777" w:rsidTr="009053A0">
        <w:tc>
          <w:tcPr>
            <w:tcW w:w="9668" w:type="dxa"/>
            <w:tcBorders>
              <w:bottom w:val="single" w:sz="4" w:space="0" w:color="auto"/>
            </w:tcBorders>
            <w:shd w:val="clear" w:color="auto" w:fill="auto"/>
          </w:tcPr>
          <w:p w14:paraId="564299C8" w14:textId="77777777" w:rsidR="00A2729F" w:rsidRPr="00A2729F" w:rsidRDefault="00A2729F" w:rsidP="00A2729F">
            <w:pPr>
              <w:spacing w:line="276" w:lineRule="auto"/>
              <w:rPr>
                <w:rFonts w:ascii="Arial" w:eastAsia="MS Mincho" w:hAnsi="Arial" w:cs="Arial"/>
                <w:b/>
                <w:sz w:val="20"/>
                <w:szCs w:val="20"/>
                <w:lang w:eastAsia="ja-JP"/>
              </w:rPr>
            </w:pPr>
            <w:r w:rsidRPr="00A2729F">
              <w:rPr>
                <w:rFonts w:ascii="Arial" w:eastAsia="MS Mincho" w:hAnsi="Arial" w:cs="Arial"/>
                <w:b/>
                <w:sz w:val="20"/>
                <w:szCs w:val="20"/>
                <w:lang w:eastAsia="ja-JP"/>
              </w:rPr>
              <w:lastRenderedPageBreak/>
              <w:t>3.3 Care pathway</w:t>
            </w:r>
          </w:p>
          <w:p w14:paraId="5412817F" w14:textId="378E7D68" w:rsidR="00A2729F" w:rsidRDefault="00A2729F" w:rsidP="00A2729F">
            <w:pPr>
              <w:spacing w:line="276" w:lineRule="auto"/>
              <w:rPr>
                <w:rFonts w:ascii="Arial" w:eastAsia="MS Mincho" w:hAnsi="Arial" w:cs="Arial"/>
                <w:b/>
                <w:sz w:val="20"/>
                <w:szCs w:val="20"/>
                <w:lang w:eastAsia="ja-JP"/>
              </w:rPr>
            </w:pPr>
          </w:p>
          <w:p w14:paraId="64FEB7EE" w14:textId="7F96F6C2" w:rsidR="00A2729F" w:rsidRPr="00A2729F" w:rsidRDefault="004F288A" w:rsidP="00A2729F">
            <w:pPr>
              <w:spacing w:line="276" w:lineRule="auto"/>
              <w:rPr>
                <w:rFonts w:ascii="Arial" w:eastAsia="MS Mincho" w:hAnsi="Arial" w:cs="Arial"/>
                <w:b/>
                <w:sz w:val="20"/>
                <w:szCs w:val="20"/>
                <w:lang w:eastAsia="ja-JP"/>
              </w:rPr>
            </w:pPr>
            <w:r>
              <w:rPr>
                <w:rFonts w:ascii="Arial" w:eastAsia="MS Mincho" w:hAnsi="Arial" w:cs="Arial"/>
                <w:b/>
                <w:sz w:val="20"/>
                <w:szCs w:val="20"/>
                <w:lang w:eastAsia="ja-JP"/>
              </w:rPr>
              <w:t xml:space="preserve">3.3.1 </w:t>
            </w:r>
            <w:r w:rsidR="00A2729F" w:rsidRPr="00A2729F">
              <w:rPr>
                <w:rFonts w:ascii="Arial" w:eastAsia="MS Mincho" w:hAnsi="Arial" w:cs="Arial"/>
                <w:b/>
                <w:sz w:val="20"/>
                <w:szCs w:val="20"/>
                <w:lang w:eastAsia="ja-JP"/>
              </w:rPr>
              <w:t>DIAGRAM</w:t>
            </w:r>
          </w:p>
          <w:p w14:paraId="7BC6FFBE" w14:textId="77777777" w:rsidR="00A2729F" w:rsidRDefault="00A2729F" w:rsidP="00A2729F">
            <w:pPr>
              <w:spacing w:line="276" w:lineRule="auto"/>
              <w:rPr>
                <w:rFonts w:ascii="Arial" w:eastAsia="MS Mincho" w:hAnsi="Arial" w:cs="Arial"/>
                <w:b/>
                <w:sz w:val="20"/>
                <w:szCs w:val="20"/>
                <w:lang w:eastAsia="ja-JP"/>
              </w:rPr>
            </w:pPr>
          </w:p>
          <w:p w14:paraId="3AF2D544" w14:textId="4E952121" w:rsidR="00A2729F" w:rsidRDefault="002F551C" w:rsidP="00A2729F">
            <w:pPr>
              <w:spacing w:line="276" w:lineRule="auto"/>
              <w:rPr>
                <w:rFonts w:ascii="Arial" w:eastAsia="MS Mincho" w:hAnsi="Arial" w:cs="Arial"/>
                <w:b/>
                <w:sz w:val="20"/>
                <w:szCs w:val="20"/>
                <w:lang w:eastAsia="ja-JP"/>
              </w:rPr>
            </w:pPr>
            <w:r>
              <w:rPr>
                <w:rFonts w:ascii="Arial" w:eastAsia="MS Mincho" w:hAnsi="Arial" w:cs="Arial"/>
                <w:b/>
                <w:noProof/>
                <w:sz w:val="20"/>
                <w:szCs w:val="20"/>
                <w:lang w:eastAsia="en-GB"/>
              </w:rPr>
              <w:lastRenderedPageBreak/>
              <w:drawing>
                <wp:inline distT="0" distB="0" distL="0" distR="0" wp14:anchorId="4A24D3EB" wp14:editId="37919798">
                  <wp:extent cx="5731510" cy="6457950"/>
                  <wp:effectExtent l="0" t="0" r="0" b="6350"/>
                  <wp:docPr id="8" name="Picture 8"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6457950"/>
                          </a:xfrm>
                          <a:prstGeom prst="rect">
                            <a:avLst/>
                          </a:prstGeom>
                        </pic:spPr>
                      </pic:pic>
                    </a:graphicData>
                  </a:graphic>
                </wp:inline>
              </w:drawing>
            </w:r>
          </w:p>
          <w:p w14:paraId="70B2F7F8" w14:textId="77777777" w:rsidR="00797A5C" w:rsidRDefault="00797A5C" w:rsidP="00C96EA8">
            <w:pPr>
              <w:pStyle w:val="CommentText"/>
              <w:rPr>
                <w:rFonts w:ascii="Arial" w:eastAsia="MS Mincho" w:hAnsi="Arial" w:cs="Arial"/>
                <w:b/>
                <w:lang w:eastAsia="ja-JP"/>
              </w:rPr>
            </w:pPr>
          </w:p>
          <w:p w14:paraId="57A92632" w14:textId="58525CC9" w:rsidR="00DA02B5" w:rsidRPr="00272725" w:rsidRDefault="00272725" w:rsidP="00C96EA8">
            <w:pPr>
              <w:pStyle w:val="CommentText"/>
              <w:rPr>
                <w:rFonts w:ascii="Arial" w:eastAsia="MS Mincho" w:hAnsi="Arial" w:cs="Arial"/>
                <w:bCs/>
                <w:lang w:eastAsia="ja-JP"/>
              </w:rPr>
            </w:pPr>
            <w:r w:rsidRPr="00272725">
              <w:rPr>
                <w:rFonts w:ascii="Arial" w:eastAsia="MS Mincho" w:hAnsi="Arial" w:cs="Arial"/>
                <w:bCs/>
                <w:lang w:eastAsia="ja-JP"/>
              </w:rPr>
              <w:t>As highlighted</w:t>
            </w:r>
            <w:r>
              <w:rPr>
                <w:rFonts w:ascii="Arial" w:eastAsia="MS Mincho" w:hAnsi="Arial" w:cs="Arial"/>
                <w:bCs/>
                <w:lang w:eastAsia="ja-JP"/>
              </w:rPr>
              <w:t>, the pathway is not linear, with the majority of patients being supported outside of hospital with appropriate input where required</w:t>
            </w:r>
            <w:r w:rsidR="00A47060">
              <w:rPr>
                <w:rFonts w:ascii="Arial" w:eastAsia="MS Mincho" w:hAnsi="Arial" w:cs="Arial"/>
                <w:bCs/>
                <w:lang w:eastAsia="ja-JP"/>
              </w:rPr>
              <w:t xml:space="preserve"> from primary and </w:t>
            </w:r>
            <w:r w:rsidR="00C56484">
              <w:rPr>
                <w:rFonts w:ascii="Arial" w:eastAsia="MS Mincho" w:hAnsi="Arial" w:cs="Arial"/>
                <w:bCs/>
                <w:lang w:eastAsia="ja-JP"/>
              </w:rPr>
              <w:t>community-based</w:t>
            </w:r>
            <w:r w:rsidR="00A47060">
              <w:rPr>
                <w:rFonts w:ascii="Arial" w:eastAsia="MS Mincho" w:hAnsi="Arial" w:cs="Arial"/>
                <w:bCs/>
                <w:lang w:eastAsia="ja-JP"/>
              </w:rPr>
              <w:t xml:space="preserve"> </w:t>
            </w:r>
            <w:r w:rsidR="00951376">
              <w:rPr>
                <w:rFonts w:ascii="Arial" w:eastAsia="MS Mincho" w:hAnsi="Arial" w:cs="Arial"/>
                <w:bCs/>
                <w:lang w:eastAsia="ja-JP"/>
              </w:rPr>
              <w:t>assets</w:t>
            </w:r>
            <w:r w:rsidR="00A47060">
              <w:rPr>
                <w:rFonts w:ascii="Arial" w:eastAsia="MS Mincho" w:hAnsi="Arial" w:cs="Arial"/>
                <w:bCs/>
                <w:lang w:eastAsia="ja-JP"/>
              </w:rPr>
              <w:t>.</w:t>
            </w:r>
            <w:r w:rsidR="00C56484">
              <w:rPr>
                <w:rFonts w:ascii="Arial" w:eastAsia="MS Mincho" w:hAnsi="Arial" w:cs="Arial"/>
                <w:bCs/>
                <w:lang w:eastAsia="ja-JP"/>
              </w:rPr>
              <w:t xml:space="preserve"> The direct self-referral single point of access should provide a route to community-based care to all patients regardless of the setting they are being seen in.</w:t>
            </w:r>
          </w:p>
          <w:p w14:paraId="76BDD608" w14:textId="031F0255" w:rsidR="00272725" w:rsidRPr="00A2729F" w:rsidRDefault="00272725" w:rsidP="00C96EA8">
            <w:pPr>
              <w:pStyle w:val="CommentText"/>
              <w:rPr>
                <w:rFonts w:ascii="Arial" w:eastAsia="MS Mincho" w:hAnsi="Arial" w:cs="Arial"/>
                <w:b/>
                <w:lang w:eastAsia="ja-JP"/>
              </w:rPr>
            </w:pPr>
          </w:p>
        </w:tc>
      </w:tr>
      <w:tr w:rsidR="00A2729F" w:rsidRPr="0089145C" w14:paraId="13DDEB8B" w14:textId="77777777" w:rsidTr="00BE2EFA">
        <w:tc>
          <w:tcPr>
            <w:tcW w:w="9668" w:type="dxa"/>
            <w:shd w:val="clear" w:color="auto" w:fill="auto"/>
          </w:tcPr>
          <w:p w14:paraId="65B0FC3E" w14:textId="40C3B209" w:rsidR="007B23F0" w:rsidRPr="00C54BA6" w:rsidRDefault="004F288A" w:rsidP="007B23F0">
            <w:pPr>
              <w:pStyle w:val="Heading2"/>
              <w:rPr>
                <w:rFonts w:ascii="Arial" w:hAnsi="Arial" w:cs="Arial"/>
                <w:b/>
                <w:color w:val="auto"/>
                <w:sz w:val="20"/>
                <w:szCs w:val="20"/>
              </w:rPr>
            </w:pPr>
            <w:bookmarkStart w:id="2" w:name="_Toc127194663"/>
            <w:r>
              <w:rPr>
                <w:rFonts w:ascii="Arial" w:hAnsi="Arial" w:cs="Arial"/>
                <w:b/>
                <w:color w:val="auto"/>
                <w:sz w:val="20"/>
                <w:szCs w:val="20"/>
              </w:rPr>
              <w:lastRenderedPageBreak/>
              <w:t>3.3.2</w:t>
            </w:r>
            <w:r w:rsidR="00C54BA6">
              <w:rPr>
                <w:rFonts w:ascii="Arial" w:hAnsi="Arial" w:cs="Arial"/>
                <w:b/>
                <w:color w:val="auto"/>
                <w:sz w:val="20"/>
                <w:szCs w:val="20"/>
              </w:rPr>
              <w:t xml:space="preserve"> </w:t>
            </w:r>
            <w:r w:rsidR="007B23F0" w:rsidRPr="00C54BA6">
              <w:rPr>
                <w:rFonts w:ascii="Arial" w:hAnsi="Arial" w:cs="Arial"/>
                <w:b/>
                <w:color w:val="auto"/>
                <w:sz w:val="20"/>
                <w:szCs w:val="20"/>
              </w:rPr>
              <w:t>Partnership Working</w:t>
            </w:r>
            <w:bookmarkEnd w:id="2"/>
          </w:p>
          <w:p w14:paraId="51C9CCE9" w14:textId="77777777" w:rsidR="007B23F0" w:rsidRPr="007B23F0" w:rsidRDefault="007B23F0" w:rsidP="007B23F0">
            <w:pPr>
              <w:rPr>
                <w:rFonts w:ascii="Arial" w:hAnsi="Arial" w:cs="Arial"/>
                <w:sz w:val="20"/>
                <w:szCs w:val="20"/>
              </w:rPr>
            </w:pPr>
          </w:p>
          <w:p w14:paraId="45C6E02F" w14:textId="3F765E94" w:rsidR="007B23F0" w:rsidRPr="007B23F0" w:rsidRDefault="007B23F0" w:rsidP="007B23F0">
            <w:pPr>
              <w:rPr>
                <w:rFonts w:ascii="Arial" w:hAnsi="Arial" w:cs="Arial"/>
                <w:sz w:val="20"/>
                <w:szCs w:val="20"/>
              </w:rPr>
            </w:pPr>
            <w:r w:rsidRPr="007B23F0">
              <w:rPr>
                <w:rFonts w:ascii="Arial" w:hAnsi="Arial" w:cs="Arial"/>
                <w:sz w:val="20"/>
                <w:szCs w:val="20"/>
              </w:rPr>
              <w:t xml:space="preserve">Provider </w:t>
            </w:r>
            <w:r w:rsidR="00044E9A" w:rsidRPr="007B23F0">
              <w:rPr>
                <w:rFonts w:ascii="Arial" w:hAnsi="Arial" w:cs="Arial"/>
                <w:sz w:val="20"/>
                <w:szCs w:val="20"/>
              </w:rPr>
              <w:t>collaborative</w:t>
            </w:r>
            <w:r w:rsidRPr="007B23F0">
              <w:rPr>
                <w:rFonts w:ascii="Arial" w:hAnsi="Arial" w:cs="Arial"/>
                <w:sz w:val="20"/>
                <w:szCs w:val="20"/>
              </w:rPr>
              <w:t xml:space="preserve"> and place-based partnerships will be essential for efficient use of resources, maximising quality and patient experience, driving innovation, as well as to tailor care for each geographical region. The provider should work collaboratively within a formal governance structure to deliver the service specification and an integrated pathway from primary to secondary care. </w:t>
            </w:r>
          </w:p>
          <w:p w14:paraId="7993473C" w14:textId="77777777" w:rsidR="007B23F0" w:rsidRPr="007B23F0" w:rsidRDefault="007B23F0" w:rsidP="007B23F0">
            <w:pPr>
              <w:rPr>
                <w:rFonts w:ascii="Arial" w:hAnsi="Arial" w:cs="Arial"/>
                <w:sz w:val="20"/>
                <w:szCs w:val="20"/>
              </w:rPr>
            </w:pPr>
          </w:p>
          <w:p w14:paraId="2220B2AC"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Examples of such partnerships include primary care networks / federations, third sector organisations, other NHS community services (such as mental health), diagnostic services, as well as secondary care specialist services including orthopaedics, rheumatology and pain services. </w:t>
            </w:r>
          </w:p>
          <w:p w14:paraId="5B733D49" w14:textId="77777777" w:rsidR="007B23F0" w:rsidRPr="007B23F0" w:rsidRDefault="007B23F0" w:rsidP="007B23F0">
            <w:pPr>
              <w:rPr>
                <w:rFonts w:ascii="Arial" w:hAnsi="Arial" w:cs="Arial"/>
                <w:sz w:val="20"/>
                <w:szCs w:val="20"/>
              </w:rPr>
            </w:pPr>
          </w:p>
          <w:p w14:paraId="6F02FA53" w14:textId="6EC978B6" w:rsidR="007B23F0" w:rsidRPr="007B23F0" w:rsidRDefault="007B23F0" w:rsidP="007B23F0">
            <w:pPr>
              <w:rPr>
                <w:rFonts w:ascii="Arial" w:hAnsi="Arial" w:cs="Arial"/>
                <w:sz w:val="20"/>
                <w:szCs w:val="20"/>
              </w:rPr>
            </w:pPr>
            <w:r w:rsidRPr="007B23F0">
              <w:rPr>
                <w:rFonts w:ascii="Arial" w:hAnsi="Arial" w:cs="Arial"/>
                <w:sz w:val="20"/>
                <w:szCs w:val="20"/>
              </w:rPr>
              <w:t>The provider sh</w:t>
            </w:r>
            <w:r w:rsidR="007919F7">
              <w:rPr>
                <w:rFonts w:ascii="Arial" w:hAnsi="Arial" w:cs="Arial"/>
                <w:sz w:val="20"/>
                <w:szCs w:val="20"/>
              </w:rPr>
              <w:t>ould work with existing Sports M</w:t>
            </w:r>
            <w:r w:rsidRPr="007B23F0">
              <w:rPr>
                <w:rFonts w:ascii="Arial" w:hAnsi="Arial" w:cs="Arial"/>
                <w:sz w:val="20"/>
                <w:szCs w:val="20"/>
              </w:rPr>
              <w:t>edicine consultants and trainees within NW</w:t>
            </w:r>
            <w:r w:rsidR="007919F7">
              <w:rPr>
                <w:rFonts w:ascii="Arial" w:hAnsi="Arial" w:cs="Arial"/>
                <w:sz w:val="20"/>
                <w:szCs w:val="20"/>
              </w:rPr>
              <w:t xml:space="preserve">L to </w:t>
            </w:r>
            <w:r w:rsidRPr="007B23F0">
              <w:rPr>
                <w:rFonts w:ascii="Arial" w:hAnsi="Arial" w:cs="Arial"/>
                <w:sz w:val="20"/>
                <w:szCs w:val="20"/>
              </w:rPr>
              <w:t xml:space="preserve">best utilise this resource, particularly in the context of acute injuries. </w:t>
            </w:r>
          </w:p>
          <w:p w14:paraId="604A3611" w14:textId="77777777" w:rsidR="007B23F0" w:rsidRPr="007B23F0" w:rsidRDefault="007B23F0" w:rsidP="007B23F0">
            <w:pPr>
              <w:rPr>
                <w:rFonts w:ascii="Arial" w:hAnsi="Arial" w:cs="Arial"/>
                <w:sz w:val="20"/>
                <w:szCs w:val="20"/>
              </w:rPr>
            </w:pPr>
          </w:p>
          <w:p w14:paraId="0C9D1FB6" w14:textId="4209ACEB" w:rsidR="00C27255" w:rsidRDefault="007B23F0" w:rsidP="007B23F0">
            <w:pPr>
              <w:rPr>
                <w:rFonts w:ascii="Arial" w:hAnsi="Arial" w:cs="Arial"/>
                <w:sz w:val="20"/>
                <w:szCs w:val="20"/>
              </w:rPr>
            </w:pPr>
            <w:r w:rsidRPr="007B23F0">
              <w:rPr>
                <w:rFonts w:ascii="Arial" w:hAnsi="Arial" w:cs="Arial"/>
                <w:sz w:val="20"/>
                <w:szCs w:val="20"/>
              </w:rPr>
              <w:t>An ideal framework would include an over-arching North West London MSK provider board, with key</w:t>
            </w:r>
            <w:r w:rsidR="007919F7">
              <w:rPr>
                <w:rFonts w:ascii="Arial" w:hAnsi="Arial" w:cs="Arial"/>
                <w:sz w:val="20"/>
                <w:szCs w:val="20"/>
              </w:rPr>
              <w:t xml:space="preserve"> stakeholders, engaged with NWL </w:t>
            </w:r>
            <w:r w:rsidRPr="007B23F0">
              <w:rPr>
                <w:rFonts w:ascii="Arial" w:hAnsi="Arial" w:cs="Arial"/>
                <w:sz w:val="20"/>
                <w:szCs w:val="20"/>
              </w:rPr>
              <w:t xml:space="preserve">ICB. Relevant related governance committees within the NWL for decision-making include </w:t>
            </w:r>
            <w:r w:rsidRPr="00DA02B5">
              <w:rPr>
                <w:rFonts w:ascii="Arial" w:hAnsi="Arial" w:cs="Arial"/>
                <w:sz w:val="20"/>
                <w:szCs w:val="20"/>
              </w:rPr>
              <w:t xml:space="preserve">the North West London MSK Network, North West London Clinical Reference Groups (orthopaedic, rheumatology, pain and musculoskeletal radiology) as well as relevant local care teams. </w:t>
            </w:r>
            <w:r w:rsidR="00916ACE" w:rsidRPr="00DA02B5">
              <w:rPr>
                <w:rFonts w:ascii="Arial" w:hAnsi="Arial" w:cs="Arial"/>
                <w:sz w:val="20"/>
                <w:szCs w:val="20"/>
              </w:rPr>
              <w:t xml:space="preserve">In addition, </w:t>
            </w:r>
            <w:r w:rsidR="00BE688A" w:rsidRPr="00DA02B5">
              <w:rPr>
                <w:rFonts w:ascii="Arial" w:hAnsi="Arial" w:cs="Arial"/>
                <w:sz w:val="20"/>
                <w:szCs w:val="20"/>
              </w:rPr>
              <w:t>public involvement in the Provider’s Boards.</w:t>
            </w:r>
          </w:p>
          <w:p w14:paraId="759943DE" w14:textId="180612B5" w:rsidR="00054ECF" w:rsidRPr="00EB4104" w:rsidRDefault="009D2C28" w:rsidP="007B23F0">
            <w:pPr>
              <w:rPr>
                <w:rFonts w:ascii="Calibri" w:hAnsi="Calibri" w:cs="Calibri"/>
              </w:rPr>
            </w:pPr>
            <w:r>
              <w:rPr>
                <w:rFonts w:ascii="Arial" w:hAnsi="Arial" w:cs="Arial"/>
                <w:sz w:val="20"/>
                <w:szCs w:val="20"/>
              </w:rPr>
              <w:t> </w:t>
            </w:r>
          </w:p>
          <w:p w14:paraId="46A86B7D" w14:textId="490AD87A" w:rsidR="007B23F0" w:rsidRPr="00C54BA6" w:rsidRDefault="004F288A" w:rsidP="007B23F0">
            <w:pPr>
              <w:pStyle w:val="Heading2"/>
              <w:rPr>
                <w:rFonts w:ascii="Arial" w:hAnsi="Arial" w:cs="Arial"/>
                <w:b/>
                <w:color w:val="auto"/>
                <w:sz w:val="20"/>
                <w:szCs w:val="20"/>
              </w:rPr>
            </w:pPr>
            <w:bookmarkStart w:id="3" w:name="_Toc127194664"/>
            <w:r>
              <w:rPr>
                <w:rFonts w:ascii="Arial" w:hAnsi="Arial" w:cs="Arial"/>
                <w:b/>
                <w:color w:val="auto"/>
                <w:sz w:val="20"/>
                <w:szCs w:val="20"/>
              </w:rPr>
              <w:t>3.3.3</w:t>
            </w:r>
            <w:r w:rsidR="00C54BA6" w:rsidRPr="00C54BA6">
              <w:rPr>
                <w:rFonts w:ascii="Arial" w:hAnsi="Arial" w:cs="Arial"/>
                <w:b/>
                <w:color w:val="auto"/>
                <w:sz w:val="20"/>
                <w:szCs w:val="20"/>
              </w:rPr>
              <w:t xml:space="preserve"> </w:t>
            </w:r>
            <w:r w:rsidR="007B23F0" w:rsidRPr="00C54BA6">
              <w:rPr>
                <w:rFonts w:ascii="Arial" w:hAnsi="Arial" w:cs="Arial"/>
                <w:b/>
                <w:color w:val="auto"/>
                <w:sz w:val="20"/>
                <w:szCs w:val="20"/>
              </w:rPr>
              <w:t>Workforce</w:t>
            </w:r>
            <w:bookmarkEnd w:id="3"/>
          </w:p>
          <w:p w14:paraId="4630718D" w14:textId="77777777" w:rsidR="007B23F0" w:rsidRPr="007B23F0" w:rsidRDefault="007B23F0" w:rsidP="007B23F0">
            <w:pPr>
              <w:rPr>
                <w:rFonts w:ascii="Arial" w:hAnsi="Arial" w:cs="Arial"/>
                <w:sz w:val="20"/>
                <w:szCs w:val="20"/>
              </w:rPr>
            </w:pPr>
          </w:p>
          <w:p w14:paraId="4B811194" w14:textId="545FFEFA" w:rsidR="007B23F0" w:rsidRPr="00044E9A" w:rsidRDefault="007B23F0" w:rsidP="00AE006E">
            <w:pPr>
              <w:pStyle w:val="CommentText"/>
              <w:rPr>
                <w:rFonts w:ascii="Arial" w:hAnsi="Arial" w:cs="Arial"/>
              </w:rPr>
            </w:pPr>
            <w:r w:rsidRPr="007B23F0">
              <w:rPr>
                <w:rFonts w:ascii="Arial" w:hAnsi="Arial" w:cs="Arial"/>
              </w:rPr>
              <w:t xml:space="preserve">Workforce development will be a key priority for the </w:t>
            </w:r>
            <w:r w:rsidR="000F06EB">
              <w:rPr>
                <w:rFonts w:ascii="Arial" w:hAnsi="Arial" w:cs="Arial"/>
              </w:rPr>
              <w:t>S</w:t>
            </w:r>
            <w:r w:rsidRPr="007B23F0">
              <w:rPr>
                <w:rFonts w:ascii="Arial" w:hAnsi="Arial" w:cs="Arial"/>
              </w:rPr>
              <w:t>ervice, including physical therapists, but in particular, senior physiotherapists and advanced practitioners, as well as providing opportunities for training of staff roles in primary care</w:t>
            </w:r>
            <w:r w:rsidR="00CA531E">
              <w:rPr>
                <w:rFonts w:ascii="Arial" w:hAnsi="Arial" w:cs="Arial"/>
              </w:rPr>
              <w:t xml:space="preserve"> </w:t>
            </w:r>
            <w:r w:rsidR="00D275AE" w:rsidRPr="00044E9A">
              <w:rPr>
                <w:rFonts w:ascii="Arial" w:hAnsi="Arial" w:cs="Arial"/>
              </w:rPr>
              <w:t>across NWL</w:t>
            </w:r>
            <w:r w:rsidRPr="00044E9A">
              <w:rPr>
                <w:rFonts w:ascii="Arial" w:hAnsi="Arial" w:cs="Arial"/>
              </w:rPr>
              <w:t xml:space="preserve">. </w:t>
            </w:r>
          </w:p>
          <w:p w14:paraId="318C2F10" w14:textId="77777777" w:rsidR="007B23F0" w:rsidRPr="007B23F0" w:rsidRDefault="007B23F0" w:rsidP="007B23F0">
            <w:pPr>
              <w:rPr>
                <w:rFonts w:ascii="Arial" w:hAnsi="Arial" w:cs="Arial"/>
                <w:sz w:val="20"/>
                <w:szCs w:val="20"/>
              </w:rPr>
            </w:pPr>
          </w:p>
          <w:p w14:paraId="7B24F510" w14:textId="15795453" w:rsidR="00D275AE" w:rsidRDefault="008C655A" w:rsidP="00AE006E">
            <w:pPr>
              <w:pStyle w:val="CommentText"/>
              <w:rPr>
                <w:rFonts w:ascii="Arial" w:hAnsi="Arial" w:cs="Arial"/>
              </w:rPr>
            </w:pPr>
            <w:r w:rsidRPr="00044E9A">
              <w:rPr>
                <w:rFonts w:ascii="Arial" w:hAnsi="Arial" w:cs="Arial"/>
              </w:rPr>
              <w:t>The</w:t>
            </w:r>
            <w:r w:rsidR="007B23F0" w:rsidRPr="00044E9A">
              <w:rPr>
                <w:rFonts w:ascii="Arial" w:hAnsi="Arial" w:cs="Arial"/>
              </w:rPr>
              <w:t xml:space="preserve"> </w:t>
            </w:r>
            <w:r w:rsidR="007B23F0" w:rsidRPr="007B23F0">
              <w:rPr>
                <w:rFonts w:ascii="Arial" w:hAnsi="Arial" w:cs="Arial"/>
              </w:rPr>
              <w:t xml:space="preserve">workforce should have a minimum level of competency in psychological-informed clinical practice, for example, approaches such as acceptance commitment therapy </w:t>
            </w:r>
            <w:r w:rsidR="00981996">
              <w:rPr>
                <w:rFonts w:ascii="Arial" w:hAnsi="Arial" w:cs="Arial"/>
              </w:rPr>
              <w:t>and/</w:t>
            </w:r>
            <w:r w:rsidR="007B23F0" w:rsidRPr="007B23F0">
              <w:rPr>
                <w:rFonts w:ascii="Arial" w:hAnsi="Arial" w:cs="Arial"/>
              </w:rPr>
              <w:t xml:space="preserve">or cognitive behavioural therapy. A number of practitioners with advanced postgraduate training in psychological skills within the </w:t>
            </w:r>
            <w:r w:rsidR="000F06EB">
              <w:rPr>
                <w:rFonts w:ascii="Arial" w:hAnsi="Arial" w:cs="Arial"/>
              </w:rPr>
              <w:t>S</w:t>
            </w:r>
            <w:r w:rsidR="007B23F0" w:rsidRPr="007B23F0">
              <w:rPr>
                <w:rFonts w:ascii="Arial" w:hAnsi="Arial" w:cs="Arial"/>
              </w:rPr>
              <w:t>ervice would be beneficial for more complex cases.</w:t>
            </w:r>
            <w:r w:rsidR="00AE006E">
              <w:rPr>
                <w:rFonts w:ascii="Arial" w:hAnsi="Arial" w:cs="Arial"/>
              </w:rPr>
              <w:t xml:space="preserve"> </w:t>
            </w:r>
          </w:p>
          <w:p w14:paraId="50E980E8" w14:textId="29031CA0" w:rsidR="00981996" w:rsidRDefault="00981996" w:rsidP="00AE006E">
            <w:pPr>
              <w:pStyle w:val="CommentText"/>
              <w:rPr>
                <w:rFonts w:ascii="Arial" w:hAnsi="Arial" w:cs="Arial"/>
              </w:rPr>
            </w:pPr>
          </w:p>
          <w:p w14:paraId="776DDF84" w14:textId="78037CDA" w:rsidR="00981996" w:rsidRDefault="00981996" w:rsidP="00AE006E">
            <w:pPr>
              <w:pStyle w:val="CommentText"/>
              <w:rPr>
                <w:rFonts w:ascii="Arial" w:hAnsi="Arial" w:cs="Arial"/>
                <w:strike/>
                <w:color w:val="FF0000"/>
              </w:rPr>
            </w:pPr>
            <w:r>
              <w:rPr>
                <w:rFonts w:ascii="Arial" w:hAnsi="Arial" w:cs="Arial"/>
              </w:rPr>
              <w:t xml:space="preserve">Adequate supervision and safety netting should be in place to mitigate risks when working with more complex patients. </w:t>
            </w:r>
          </w:p>
          <w:p w14:paraId="260AADAA" w14:textId="77777777" w:rsidR="007B23F0" w:rsidRPr="007B23F0" w:rsidRDefault="007B23F0" w:rsidP="007B23F0">
            <w:pPr>
              <w:rPr>
                <w:rFonts w:ascii="Arial" w:hAnsi="Arial" w:cs="Arial"/>
                <w:sz w:val="20"/>
                <w:szCs w:val="20"/>
              </w:rPr>
            </w:pPr>
          </w:p>
          <w:p w14:paraId="02B52BA0" w14:textId="3EC810BC" w:rsidR="007B23F0" w:rsidRDefault="007B23F0" w:rsidP="007B23F0">
            <w:pPr>
              <w:rPr>
                <w:rFonts w:ascii="Arial" w:hAnsi="Arial" w:cs="Arial"/>
                <w:sz w:val="20"/>
                <w:szCs w:val="20"/>
              </w:rPr>
            </w:pPr>
            <w:r w:rsidRPr="007B23F0">
              <w:rPr>
                <w:rFonts w:ascii="Arial" w:hAnsi="Arial" w:cs="Arial"/>
                <w:sz w:val="20"/>
                <w:szCs w:val="20"/>
              </w:rPr>
              <w:t>Development of the advanced practitioner workforce will be critical to provide additional scalable specialist capacity for all branches of MSK activity across the sector, including orthopaedics, rheumatology</w:t>
            </w:r>
            <w:r w:rsidR="00981996">
              <w:rPr>
                <w:rFonts w:ascii="Arial" w:hAnsi="Arial" w:cs="Arial"/>
                <w:sz w:val="20"/>
                <w:szCs w:val="20"/>
              </w:rPr>
              <w:t xml:space="preserve"> and</w:t>
            </w:r>
            <w:r w:rsidRPr="007B23F0">
              <w:rPr>
                <w:rFonts w:ascii="Arial" w:hAnsi="Arial" w:cs="Arial"/>
                <w:sz w:val="20"/>
                <w:szCs w:val="20"/>
              </w:rPr>
              <w:t xml:space="preserve"> pain. These secondary care services will increasingly rely upon an advanced practitioner workforce in order to meet ongoing demand</w:t>
            </w:r>
            <w:r w:rsidR="00981996">
              <w:rPr>
                <w:rFonts w:ascii="Arial" w:hAnsi="Arial" w:cs="Arial"/>
                <w:sz w:val="20"/>
                <w:szCs w:val="20"/>
              </w:rPr>
              <w:t xml:space="preserve"> and waiting list targets</w:t>
            </w:r>
            <w:r w:rsidRPr="007B23F0">
              <w:rPr>
                <w:rFonts w:ascii="Arial" w:hAnsi="Arial" w:cs="Arial"/>
                <w:sz w:val="20"/>
                <w:szCs w:val="20"/>
              </w:rPr>
              <w:t xml:space="preserve">. </w:t>
            </w:r>
          </w:p>
          <w:p w14:paraId="5F4AFF67" w14:textId="77777777" w:rsidR="00C54BA6" w:rsidRPr="007B23F0" w:rsidRDefault="00C54BA6" w:rsidP="007B23F0">
            <w:pPr>
              <w:rPr>
                <w:rFonts w:ascii="Arial" w:hAnsi="Arial" w:cs="Arial"/>
                <w:sz w:val="20"/>
                <w:szCs w:val="20"/>
              </w:rPr>
            </w:pPr>
          </w:p>
          <w:p w14:paraId="6195256D" w14:textId="4E040305" w:rsidR="007B23F0" w:rsidRPr="00D275AE" w:rsidRDefault="007B23F0" w:rsidP="00CB5BFD">
            <w:pPr>
              <w:pStyle w:val="CommentText"/>
              <w:numPr>
                <w:ilvl w:val="0"/>
                <w:numId w:val="21"/>
              </w:numPr>
              <w:rPr>
                <w:rFonts w:ascii="Arial" w:hAnsi="Arial" w:cs="Arial"/>
              </w:rPr>
            </w:pPr>
            <w:r w:rsidRPr="00D275AE">
              <w:rPr>
                <w:rFonts w:ascii="Arial" w:hAnsi="Arial" w:cs="Arial"/>
              </w:rPr>
              <w:t xml:space="preserve">An approximate minimum estimation would be to have 5-6 Band 6/7 practitioners and 3-4 advanced practitioners for every 10,000 annual referrals into the MSK </w:t>
            </w:r>
            <w:r w:rsidR="000F06EB">
              <w:rPr>
                <w:rFonts w:ascii="Arial" w:hAnsi="Arial" w:cs="Arial"/>
              </w:rPr>
              <w:t>S</w:t>
            </w:r>
            <w:r w:rsidRPr="00D275AE">
              <w:rPr>
                <w:rFonts w:ascii="Arial" w:hAnsi="Arial" w:cs="Arial"/>
              </w:rPr>
              <w:t xml:space="preserve">ervice. </w:t>
            </w:r>
          </w:p>
          <w:p w14:paraId="26AD5E76" w14:textId="119B3A52" w:rsidR="007749C2" w:rsidRDefault="007749C2" w:rsidP="007B23F0">
            <w:pPr>
              <w:rPr>
                <w:rFonts w:ascii="Arial" w:hAnsi="Arial" w:cs="Arial"/>
                <w:sz w:val="20"/>
                <w:szCs w:val="20"/>
              </w:rPr>
            </w:pPr>
          </w:p>
          <w:p w14:paraId="31C9A708" w14:textId="0107E373" w:rsidR="007B23F0" w:rsidRPr="007B23F0" w:rsidRDefault="007B23F0" w:rsidP="007B23F0">
            <w:pPr>
              <w:rPr>
                <w:rFonts w:ascii="Arial" w:hAnsi="Arial" w:cs="Arial"/>
                <w:sz w:val="20"/>
                <w:szCs w:val="20"/>
              </w:rPr>
            </w:pPr>
            <w:r w:rsidRPr="007B23F0">
              <w:rPr>
                <w:rFonts w:ascii="Arial" w:hAnsi="Arial" w:cs="Arial"/>
                <w:sz w:val="20"/>
                <w:szCs w:val="20"/>
              </w:rPr>
              <w:t>In view of the pressures to fill advanced practitioner roles, appropriate quality as</w:t>
            </w:r>
            <w:r w:rsidR="007919F7">
              <w:rPr>
                <w:rFonts w:ascii="Arial" w:hAnsi="Arial" w:cs="Arial"/>
                <w:sz w:val="20"/>
                <w:szCs w:val="20"/>
              </w:rPr>
              <w:t xml:space="preserve">surance should be provided to NWL </w:t>
            </w:r>
            <w:r w:rsidRPr="007B23F0">
              <w:rPr>
                <w:rFonts w:ascii="Arial" w:hAnsi="Arial" w:cs="Arial"/>
                <w:sz w:val="20"/>
                <w:szCs w:val="20"/>
              </w:rPr>
              <w:t xml:space="preserve">ICB in terms of experience and expertise of staff in such complex roles. </w:t>
            </w:r>
          </w:p>
          <w:p w14:paraId="2019AEFB" w14:textId="77777777" w:rsidR="007B23F0" w:rsidRPr="007B23F0" w:rsidRDefault="007B23F0" w:rsidP="007B23F0">
            <w:pPr>
              <w:rPr>
                <w:rFonts w:ascii="Arial" w:hAnsi="Arial" w:cs="Arial"/>
                <w:sz w:val="20"/>
                <w:szCs w:val="20"/>
              </w:rPr>
            </w:pPr>
          </w:p>
          <w:p w14:paraId="145A9B31" w14:textId="718F1462" w:rsidR="007B23F0" w:rsidRPr="00AE006E" w:rsidRDefault="007B23F0" w:rsidP="00AE006E">
            <w:pPr>
              <w:pStyle w:val="CommentText"/>
              <w:rPr>
                <w:rFonts w:ascii="Arial" w:hAnsi="Arial" w:cs="Arial"/>
                <w:color w:val="FF0000"/>
              </w:rPr>
            </w:pPr>
            <w:r w:rsidRPr="007B23F0">
              <w:rPr>
                <w:rFonts w:ascii="Arial" w:hAnsi="Arial" w:cs="Arial"/>
              </w:rPr>
              <w:t xml:space="preserve">Rotation of practitioners through other settings will be key for clinical integration, relationship building and professional development. Community practitioners should rotate through secondary care specialist departments as well as secondary care based MDTs, through honorary contracts, as well as through primary care through FCP roles. </w:t>
            </w:r>
          </w:p>
          <w:p w14:paraId="73006FA1" w14:textId="77777777" w:rsidR="007B23F0" w:rsidRPr="007B23F0" w:rsidRDefault="007B23F0" w:rsidP="007B23F0">
            <w:pPr>
              <w:rPr>
                <w:rFonts w:ascii="Arial" w:hAnsi="Arial" w:cs="Arial"/>
                <w:sz w:val="20"/>
                <w:szCs w:val="20"/>
              </w:rPr>
            </w:pPr>
          </w:p>
          <w:p w14:paraId="661EBC88" w14:textId="07D3BAD0" w:rsidR="007B23F0" w:rsidRPr="00044E9A" w:rsidRDefault="007B23F0" w:rsidP="00AE006E">
            <w:pPr>
              <w:pStyle w:val="CommentText"/>
              <w:rPr>
                <w:rFonts w:ascii="Arial" w:hAnsi="Arial" w:cs="Arial"/>
              </w:rPr>
            </w:pPr>
            <w:r w:rsidRPr="007B23F0">
              <w:rPr>
                <w:rFonts w:ascii="Arial" w:hAnsi="Arial" w:cs="Arial"/>
              </w:rPr>
              <w:t xml:space="preserve">Multi-disciplinary team (MDT) working will be essential for effective delivery of the </w:t>
            </w:r>
            <w:r w:rsidR="000F06EB">
              <w:rPr>
                <w:rFonts w:ascii="Arial" w:hAnsi="Arial" w:cs="Arial"/>
              </w:rPr>
              <w:t>S</w:t>
            </w:r>
            <w:r w:rsidRPr="007B23F0">
              <w:rPr>
                <w:rFonts w:ascii="Arial" w:hAnsi="Arial" w:cs="Arial"/>
              </w:rPr>
              <w:t>ervice. This will require service-level agreements with clinicians across local providers, particularly from specialist settings such as orthopaedics, rheumatology and pain medicine. SLAs with s</w:t>
            </w:r>
            <w:r w:rsidR="007919F7">
              <w:rPr>
                <w:rFonts w:ascii="Arial" w:hAnsi="Arial" w:cs="Arial"/>
              </w:rPr>
              <w:t>pecialist staff from local NWL Secondary C</w:t>
            </w:r>
            <w:r w:rsidRPr="007B23F0">
              <w:rPr>
                <w:rFonts w:ascii="Arial" w:hAnsi="Arial" w:cs="Arial"/>
              </w:rPr>
              <w:t xml:space="preserve">are Trusts will be essential to deliver clinical integration across the pathway. The </w:t>
            </w:r>
            <w:r w:rsidR="000F06EB">
              <w:rPr>
                <w:rFonts w:ascii="Arial" w:hAnsi="Arial" w:cs="Arial"/>
              </w:rPr>
              <w:t>S</w:t>
            </w:r>
            <w:r w:rsidRPr="007B23F0">
              <w:rPr>
                <w:rFonts w:ascii="Arial" w:hAnsi="Arial" w:cs="Arial"/>
              </w:rPr>
              <w:t xml:space="preserve">ervice will be expected to host a range of expertise within the </w:t>
            </w:r>
            <w:r w:rsidR="000F06EB">
              <w:rPr>
                <w:rFonts w:ascii="Arial" w:hAnsi="Arial" w:cs="Arial"/>
              </w:rPr>
              <w:t>S</w:t>
            </w:r>
            <w:r w:rsidRPr="007B23F0">
              <w:rPr>
                <w:rFonts w:ascii="Arial" w:hAnsi="Arial" w:cs="Arial"/>
              </w:rPr>
              <w:t>ervice, such as physiotherapists, advanced physiotherapist practitioners, sports and exercise therapists, GPs with extended role, sports &amp; exercise medicine specialists, orthopaedic surgeons, rheumatologists, pain specialists, MSK radiologists, psychologists, health coaches and link workers</w:t>
            </w:r>
            <w:r w:rsidR="00D275AE">
              <w:rPr>
                <w:rFonts w:ascii="Arial" w:hAnsi="Arial" w:cs="Arial"/>
              </w:rPr>
              <w:t xml:space="preserve">. </w:t>
            </w:r>
            <w:r w:rsidR="00CA531E" w:rsidRPr="00044E9A">
              <w:rPr>
                <w:rFonts w:ascii="Arial" w:hAnsi="Arial" w:cs="Arial"/>
              </w:rPr>
              <w:t>There should be integrated educational training days and regular MDT case based discussions to improve clinical knowledge supported by all NWL services.</w:t>
            </w:r>
          </w:p>
          <w:p w14:paraId="6D0E9603" w14:textId="77777777" w:rsidR="00AE006E" w:rsidRPr="00044E9A" w:rsidRDefault="00AE006E" w:rsidP="00AE006E">
            <w:pPr>
              <w:pStyle w:val="CommentText"/>
              <w:rPr>
                <w:rFonts w:ascii="Arial" w:hAnsi="Arial" w:cs="Arial"/>
              </w:rPr>
            </w:pPr>
          </w:p>
          <w:p w14:paraId="1E691975" w14:textId="056F7588" w:rsidR="00A2729F" w:rsidRPr="00F12430" w:rsidRDefault="007B23F0" w:rsidP="00AE006E">
            <w:pPr>
              <w:pStyle w:val="CommentText"/>
              <w:rPr>
                <w:rFonts w:ascii="Arial" w:hAnsi="Arial" w:cs="Arial"/>
                <w:strike/>
                <w:color w:val="FF0000"/>
              </w:rPr>
            </w:pPr>
            <w:r w:rsidRPr="007B23F0">
              <w:rPr>
                <w:rFonts w:ascii="Arial" w:hAnsi="Arial" w:cs="Arial"/>
              </w:rPr>
              <w:t xml:space="preserve">The </w:t>
            </w:r>
            <w:r w:rsidR="000F06EB">
              <w:rPr>
                <w:rFonts w:ascii="Arial" w:hAnsi="Arial" w:cs="Arial"/>
              </w:rPr>
              <w:t>S</w:t>
            </w:r>
            <w:r w:rsidRPr="007B23F0">
              <w:rPr>
                <w:rFonts w:ascii="Arial" w:hAnsi="Arial" w:cs="Arial"/>
              </w:rPr>
              <w:t>ervice should facilitate educational opportunities for primary care roles, including developing a community of practice for GPs with an interest in developing into extended roles. T</w:t>
            </w:r>
            <w:r w:rsidR="007919F7">
              <w:rPr>
                <w:rFonts w:ascii="Arial" w:hAnsi="Arial" w:cs="Arial"/>
              </w:rPr>
              <w:t xml:space="preserve">he </w:t>
            </w:r>
            <w:r w:rsidR="000F06EB">
              <w:rPr>
                <w:rFonts w:ascii="Arial" w:hAnsi="Arial" w:cs="Arial"/>
              </w:rPr>
              <w:t>S</w:t>
            </w:r>
            <w:r w:rsidR="007919F7">
              <w:rPr>
                <w:rFonts w:ascii="Arial" w:hAnsi="Arial" w:cs="Arial"/>
              </w:rPr>
              <w:t xml:space="preserve">ervice should work with NWL </w:t>
            </w:r>
            <w:r w:rsidRPr="007B23F0">
              <w:rPr>
                <w:rFonts w:ascii="Arial" w:hAnsi="Arial" w:cs="Arial"/>
              </w:rPr>
              <w:t xml:space="preserve">ICS to develop minimum competencies for development of a network of GPs with extended roles in MSK fields across NWL. The </w:t>
            </w:r>
            <w:r w:rsidR="000F06EB">
              <w:rPr>
                <w:rFonts w:ascii="Arial" w:hAnsi="Arial" w:cs="Arial"/>
              </w:rPr>
              <w:t>S</w:t>
            </w:r>
            <w:r w:rsidRPr="007B23F0">
              <w:rPr>
                <w:rFonts w:ascii="Arial" w:hAnsi="Arial" w:cs="Arial"/>
              </w:rPr>
              <w:t>ervice should also provide education and training for GPs to deliver routine clinically-guided MSK corticosteroid injections in primary care.</w:t>
            </w:r>
            <w:r w:rsidR="00AE006E">
              <w:t xml:space="preserve"> </w:t>
            </w:r>
          </w:p>
          <w:p w14:paraId="0BE41CD7" w14:textId="77777777" w:rsidR="00AE006E" w:rsidRPr="007B23F0" w:rsidRDefault="00AE006E" w:rsidP="00AE006E">
            <w:pPr>
              <w:pStyle w:val="CommentText"/>
              <w:rPr>
                <w:rFonts w:ascii="Arial" w:eastAsia="MS Mincho" w:hAnsi="Arial" w:cs="Arial"/>
                <w:b/>
                <w:lang w:eastAsia="ja-JP"/>
              </w:rPr>
            </w:pPr>
          </w:p>
          <w:p w14:paraId="5BF4615F" w14:textId="3856AD8B" w:rsidR="007B23F0" w:rsidRDefault="007B23F0" w:rsidP="007B23F0">
            <w:pPr>
              <w:rPr>
                <w:rFonts w:ascii="Arial" w:hAnsi="Arial" w:cs="Arial"/>
                <w:sz w:val="20"/>
                <w:szCs w:val="20"/>
              </w:rPr>
            </w:pPr>
            <w:r w:rsidRPr="007B23F0">
              <w:rPr>
                <w:rFonts w:ascii="Arial" w:hAnsi="Arial" w:cs="Arial"/>
                <w:sz w:val="20"/>
                <w:szCs w:val="20"/>
              </w:rPr>
              <w:t>Primary care-</w:t>
            </w:r>
            <w:r w:rsidRPr="00DA02B5">
              <w:rPr>
                <w:rFonts w:ascii="Arial" w:hAnsi="Arial" w:cs="Arial"/>
                <w:sz w:val="20"/>
                <w:szCs w:val="20"/>
              </w:rPr>
              <w:t xml:space="preserve">based health </w:t>
            </w:r>
            <w:r w:rsidR="00BE688A" w:rsidRPr="00DA02B5">
              <w:rPr>
                <w:rFonts w:ascii="Arial" w:hAnsi="Arial" w:cs="Arial"/>
                <w:sz w:val="20"/>
                <w:szCs w:val="20"/>
              </w:rPr>
              <w:t>and wellbeing</w:t>
            </w:r>
            <w:r w:rsidR="0092153A" w:rsidRPr="00DA02B5">
              <w:rPr>
                <w:rFonts w:ascii="Arial" w:hAnsi="Arial" w:cs="Arial"/>
                <w:sz w:val="20"/>
                <w:szCs w:val="20"/>
              </w:rPr>
              <w:t xml:space="preserve"> </w:t>
            </w:r>
            <w:r w:rsidRPr="00DA02B5">
              <w:rPr>
                <w:rFonts w:ascii="Arial" w:hAnsi="Arial" w:cs="Arial"/>
                <w:sz w:val="20"/>
                <w:szCs w:val="20"/>
              </w:rPr>
              <w:t xml:space="preserve">coaches </w:t>
            </w:r>
            <w:r w:rsidRPr="007B23F0">
              <w:rPr>
                <w:rFonts w:ascii="Arial" w:hAnsi="Arial" w:cs="Arial"/>
                <w:sz w:val="20"/>
                <w:szCs w:val="20"/>
              </w:rPr>
              <w:t xml:space="preserve">and link </w:t>
            </w:r>
            <w:r w:rsidRPr="00044E9A">
              <w:rPr>
                <w:rFonts w:ascii="Arial" w:hAnsi="Arial" w:cs="Arial"/>
                <w:sz w:val="20"/>
                <w:szCs w:val="20"/>
              </w:rPr>
              <w:t xml:space="preserve">workers </w:t>
            </w:r>
            <w:r w:rsidR="00D275AE" w:rsidRPr="00044E9A">
              <w:rPr>
                <w:rFonts w:ascii="Arial" w:hAnsi="Arial" w:cs="Arial"/>
                <w:sz w:val="20"/>
                <w:szCs w:val="20"/>
              </w:rPr>
              <w:t>(</w:t>
            </w:r>
            <w:r w:rsidR="00F12430" w:rsidRPr="00044E9A">
              <w:rPr>
                <w:rFonts w:ascii="Arial" w:hAnsi="Arial" w:cs="Arial"/>
                <w:sz w:val="20"/>
                <w:szCs w:val="20"/>
              </w:rPr>
              <w:t>including</w:t>
            </w:r>
            <w:r w:rsidR="00EA4CAD" w:rsidRPr="00044E9A">
              <w:rPr>
                <w:rFonts w:ascii="Arial" w:hAnsi="Arial" w:cs="Arial"/>
                <w:sz w:val="20"/>
                <w:szCs w:val="20"/>
              </w:rPr>
              <w:t xml:space="preserve"> social prescribers)</w:t>
            </w:r>
            <w:r w:rsidR="00EA4CAD" w:rsidRPr="00044E9A">
              <w:t xml:space="preserve"> </w:t>
            </w:r>
            <w:r w:rsidRPr="00044E9A">
              <w:rPr>
                <w:rFonts w:ascii="Arial" w:hAnsi="Arial" w:cs="Arial"/>
                <w:sz w:val="20"/>
                <w:szCs w:val="20"/>
              </w:rPr>
              <w:t xml:space="preserve">should also be provided with exposure and development within the </w:t>
            </w:r>
            <w:r w:rsidR="000F06EB">
              <w:rPr>
                <w:rFonts w:ascii="Arial" w:hAnsi="Arial" w:cs="Arial"/>
                <w:sz w:val="20"/>
                <w:szCs w:val="20"/>
              </w:rPr>
              <w:t>S</w:t>
            </w:r>
            <w:r w:rsidRPr="00044E9A">
              <w:rPr>
                <w:rFonts w:ascii="Arial" w:hAnsi="Arial" w:cs="Arial"/>
                <w:sz w:val="20"/>
                <w:szCs w:val="20"/>
              </w:rPr>
              <w:t>ervice for upskilling</w:t>
            </w:r>
            <w:r w:rsidR="00BE688A">
              <w:rPr>
                <w:rFonts w:ascii="Arial" w:hAnsi="Arial" w:cs="Arial"/>
                <w:sz w:val="20"/>
                <w:szCs w:val="20"/>
              </w:rPr>
              <w:t xml:space="preserve"> and ongoing</w:t>
            </w:r>
            <w:r w:rsidR="00131B83">
              <w:rPr>
                <w:rFonts w:ascii="Arial" w:hAnsi="Arial" w:cs="Arial"/>
                <w:sz w:val="20"/>
                <w:szCs w:val="20"/>
              </w:rPr>
              <w:t xml:space="preserve"> sup</w:t>
            </w:r>
            <w:r w:rsidR="00BE688A">
              <w:rPr>
                <w:rFonts w:ascii="Arial" w:hAnsi="Arial" w:cs="Arial"/>
                <w:sz w:val="20"/>
                <w:szCs w:val="20"/>
              </w:rPr>
              <w:t>p</w:t>
            </w:r>
            <w:r w:rsidR="00131B83">
              <w:rPr>
                <w:rFonts w:ascii="Arial" w:hAnsi="Arial" w:cs="Arial"/>
                <w:sz w:val="20"/>
                <w:szCs w:val="20"/>
              </w:rPr>
              <w:t>ort</w:t>
            </w:r>
            <w:r w:rsidRPr="00044E9A">
              <w:rPr>
                <w:rFonts w:ascii="Arial" w:hAnsi="Arial" w:cs="Arial"/>
                <w:sz w:val="20"/>
                <w:szCs w:val="20"/>
              </w:rPr>
              <w:t xml:space="preserve">. </w:t>
            </w:r>
          </w:p>
          <w:p w14:paraId="79F9CF9A" w14:textId="6584BB49" w:rsidR="007B23F0" w:rsidRDefault="007B23F0" w:rsidP="007B23F0">
            <w:pPr>
              <w:rPr>
                <w:rFonts w:ascii="Arial" w:hAnsi="Arial" w:cs="Arial"/>
                <w:b/>
                <w:sz w:val="20"/>
                <w:szCs w:val="20"/>
              </w:rPr>
            </w:pPr>
          </w:p>
          <w:p w14:paraId="3011C892" w14:textId="77777777" w:rsidR="00214CF4" w:rsidRPr="00C54BA6" w:rsidRDefault="00214CF4" w:rsidP="007B23F0">
            <w:pPr>
              <w:rPr>
                <w:rFonts w:ascii="Arial" w:hAnsi="Arial" w:cs="Arial"/>
                <w:b/>
                <w:sz w:val="20"/>
                <w:szCs w:val="20"/>
              </w:rPr>
            </w:pPr>
          </w:p>
          <w:p w14:paraId="7F9E389C" w14:textId="5527261E" w:rsidR="007B23F0" w:rsidRPr="00C54BA6" w:rsidRDefault="004F288A" w:rsidP="007B23F0">
            <w:pPr>
              <w:pStyle w:val="Heading2"/>
              <w:rPr>
                <w:rFonts w:ascii="Arial" w:hAnsi="Arial" w:cs="Arial"/>
                <w:b/>
                <w:color w:val="auto"/>
                <w:sz w:val="20"/>
                <w:szCs w:val="20"/>
              </w:rPr>
            </w:pPr>
            <w:bookmarkStart w:id="4" w:name="_Toc127194665"/>
            <w:r>
              <w:rPr>
                <w:rFonts w:ascii="Arial" w:hAnsi="Arial" w:cs="Arial"/>
                <w:b/>
                <w:color w:val="auto"/>
                <w:sz w:val="20"/>
                <w:szCs w:val="20"/>
              </w:rPr>
              <w:lastRenderedPageBreak/>
              <w:t>3.3.4</w:t>
            </w:r>
            <w:r w:rsidR="00C54BA6">
              <w:rPr>
                <w:rFonts w:ascii="Arial" w:hAnsi="Arial" w:cs="Arial"/>
                <w:b/>
                <w:color w:val="auto"/>
                <w:sz w:val="20"/>
                <w:szCs w:val="20"/>
              </w:rPr>
              <w:t xml:space="preserve"> </w:t>
            </w:r>
            <w:r w:rsidR="007B23F0" w:rsidRPr="00C54BA6">
              <w:rPr>
                <w:rFonts w:ascii="Arial" w:hAnsi="Arial" w:cs="Arial"/>
                <w:b/>
                <w:color w:val="auto"/>
                <w:sz w:val="20"/>
                <w:szCs w:val="20"/>
              </w:rPr>
              <w:t>Triage and Response Times</w:t>
            </w:r>
            <w:bookmarkEnd w:id="4"/>
          </w:p>
          <w:p w14:paraId="73EEA7A3" w14:textId="77777777" w:rsidR="007B23F0" w:rsidRPr="007B23F0" w:rsidRDefault="007B23F0" w:rsidP="007B23F0">
            <w:pPr>
              <w:rPr>
                <w:rFonts w:ascii="Arial" w:hAnsi="Arial" w:cs="Arial"/>
                <w:sz w:val="20"/>
                <w:szCs w:val="20"/>
              </w:rPr>
            </w:pPr>
          </w:p>
          <w:p w14:paraId="25A218DE" w14:textId="3EEE8E15" w:rsidR="007B23F0" w:rsidRDefault="007B23F0" w:rsidP="007B23F0">
            <w:pPr>
              <w:rPr>
                <w:rFonts w:ascii="Arial" w:hAnsi="Arial" w:cs="Arial"/>
                <w:sz w:val="20"/>
                <w:szCs w:val="20"/>
              </w:rPr>
            </w:pPr>
            <w:r w:rsidRPr="007B23F0">
              <w:rPr>
                <w:rFonts w:ascii="Arial" w:hAnsi="Arial" w:cs="Arial"/>
                <w:sz w:val="20"/>
                <w:szCs w:val="20"/>
              </w:rPr>
              <w:t xml:space="preserve">Patients can be referred to the </w:t>
            </w:r>
            <w:r w:rsidR="000F06EB">
              <w:rPr>
                <w:rFonts w:ascii="Arial" w:hAnsi="Arial" w:cs="Arial"/>
                <w:sz w:val="20"/>
                <w:szCs w:val="20"/>
              </w:rPr>
              <w:t>S</w:t>
            </w:r>
            <w:r w:rsidRPr="007B23F0">
              <w:rPr>
                <w:rFonts w:ascii="Arial" w:hAnsi="Arial" w:cs="Arial"/>
                <w:sz w:val="20"/>
                <w:szCs w:val="20"/>
              </w:rPr>
              <w:t>ervice either via self-referral, referral from the GP, or other agreed professionals, such as hospital consultants, A&amp;E / out-of-hours staff, 111 and ambulance services.</w:t>
            </w:r>
            <w:r w:rsidR="00AE006E">
              <w:t xml:space="preserve"> </w:t>
            </w:r>
            <w:r w:rsidRPr="007B23F0">
              <w:rPr>
                <w:rFonts w:ascii="Arial" w:hAnsi="Arial" w:cs="Arial"/>
                <w:sz w:val="20"/>
                <w:szCs w:val="20"/>
              </w:rPr>
              <w:t xml:space="preserve">Referrals should be accepted electronically. </w:t>
            </w:r>
            <w:r w:rsidR="00F12430" w:rsidRPr="00044E9A">
              <w:rPr>
                <w:rFonts w:ascii="Arial" w:hAnsi="Arial" w:cs="Arial"/>
                <w:sz w:val="20"/>
                <w:szCs w:val="20"/>
              </w:rPr>
              <w:t>There should be a Single Point of Access for all MSK services (inc</w:t>
            </w:r>
            <w:r w:rsidR="00D275AE" w:rsidRPr="00044E9A">
              <w:rPr>
                <w:rFonts w:ascii="Arial" w:hAnsi="Arial" w:cs="Arial"/>
                <w:sz w:val="20"/>
                <w:szCs w:val="20"/>
              </w:rPr>
              <w:t>luding Physiotherapy</w:t>
            </w:r>
            <w:r w:rsidR="00F12430" w:rsidRPr="00044E9A">
              <w:rPr>
                <w:rFonts w:ascii="Arial" w:hAnsi="Arial" w:cs="Arial"/>
                <w:sz w:val="20"/>
                <w:szCs w:val="20"/>
              </w:rPr>
              <w:t>,</w:t>
            </w:r>
            <w:r w:rsidR="00D275AE" w:rsidRPr="00044E9A">
              <w:rPr>
                <w:rFonts w:ascii="Arial" w:hAnsi="Arial" w:cs="Arial"/>
                <w:sz w:val="20"/>
                <w:szCs w:val="20"/>
              </w:rPr>
              <w:t xml:space="preserve"> Orthopaedic</w:t>
            </w:r>
            <w:r w:rsidR="00F12430" w:rsidRPr="00044E9A">
              <w:rPr>
                <w:rFonts w:ascii="Arial" w:hAnsi="Arial" w:cs="Arial"/>
                <w:sz w:val="20"/>
                <w:szCs w:val="20"/>
              </w:rPr>
              <w:t>,</w:t>
            </w:r>
            <w:r w:rsidR="00D275AE" w:rsidRPr="00044E9A">
              <w:rPr>
                <w:rFonts w:ascii="Arial" w:hAnsi="Arial" w:cs="Arial"/>
                <w:sz w:val="20"/>
                <w:szCs w:val="20"/>
              </w:rPr>
              <w:t xml:space="preserve"> Rheumatology and Pain services</w:t>
            </w:r>
            <w:r w:rsidR="00F12430" w:rsidRPr="00044E9A">
              <w:rPr>
                <w:rFonts w:ascii="Arial" w:hAnsi="Arial" w:cs="Arial"/>
                <w:sz w:val="20"/>
                <w:szCs w:val="20"/>
              </w:rPr>
              <w:t>)</w:t>
            </w:r>
          </w:p>
          <w:p w14:paraId="56A0D1D7" w14:textId="77777777" w:rsidR="007B23F0" w:rsidRPr="000910F9" w:rsidRDefault="007B23F0" w:rsidP="007B23F0">
            <w:pPr>
              <w:rPr>
                <w:rFonts w:ascii="Arial" w:hAnsi="Arial" w:cs="Arial"/>
                <w:sz w:val="20"/>
                <w:szCs w:val="20"/>
              </w:rPr>
            </w:pPr>
          </w:p>
          <w:p w14:paraId="076EA78C" w14:textId="7CBC2377" w:rsidR="007B23F0" w:rsidRPr="00044E9A" w:rsidRDefault="00F12430" w:rsidP="00D275AE">
            <w:pPr>
              <w:pStyle w:val="CommentText"/>
              <w:numPr>
                <w:ilvl w:val="0"/>
                <w:numId w:val="13"/>
              </w:numPr>
              <w:rPr>
                <w:rFonts w:ascii="Arial" w:hAnsi="Arial" w:cs="Arial"/>
              </w:rPr>
            </w:pPr>
            <w:r w:rsidRPr="00044E9A">
              <w:rPr>
                <w:rFonts w:ascii="Arial" w:hAnsi="Arial" w:cs="Arial"/>
              </w:rPr>
              <w:t xml:space="preserve">All </w:t>
            </w:r>
            <w:r w:rsidR="00F877C2">
              <w:rPr>
                <w:rFonts w:ascii="Arial" w:hAnsi="Arial" w:cs="Arial"/>
              </w:rPr>
              <w:t>‘urgent</w:t>
            </w:r>
            <w:r w:rsidR="0017466F">
              <w:rPr>
                <w:rFonts w:ascii="Arial" w:hAnsi="Arial" w:cs="Arial"/>
              </w:rPr>
              <w:t>/priority</w:t>
            </w:r>
            <w:r w:rsidR="00F877C2">
              <w:rPr>
                <w:rFonts w:ascii="Arial" w:hAnsi="Arial" w:cs="Arial"/>
              </w:rPr>
              <w:t>’ and Tier 2 speciality referrals</w:t>
            </w:r>
            <w:r w:rsidR="00F877C2" w:rsidRPr="00044E9A">
              <w:rPr>
                <w:rFonts w:ascii="Arial" w:hAnsi="Arial" w:cs="Arial"/>
              </w:rPr>
              <w:t xml:space="preserve"> </w:t>
            </w:r>
            <w:r w:rsidR="007B23F0" w:rsidRPr="00044E9A">
              <w:rPr>
                <w:rFonts w:ascii="Arial" w:hAnsi="Arial" w:cs="Arial"/>
              </w:rPr>
              <w:t xml:space="preserve">should undergo initial ‘paper’ </w:t>
            </w:r>
            <w:r w:rsidR="00F877C2">
              <w:rPr>
                <w:rFonts w:ascii="Arial" w:hAnsi="Arial" w:cs="Arial"/>
              </w:rPr>
              <w:t xml:space="preserve">clinical </w:t>
            </w:r>
            <w:r w:rsidR="007B23F0" w:rsidRPr="00044E9A">
              <w:rPr>
                <w:rFonts w:ascii="Arial" w:hAnsi="Arial" w:cs="Arial"/>
              </w:rPr>
              <w:t xml:space="preserve">triage within </w:t>
            </w:r>
            <w:r w:rsidRPr="00044E9A">
              <w:rPr>
                <w:rFonts w:ascii="Arial" w:hAnsi="Arial" w:cs="Arial"/>
              </w:rPr>
              <w:t xml:space="preserve">3 </w:t>
            </w:r>
            <w:r w:rsidR="007B23F0" w:rsidRPr="00044E9A">
              <w:rPr>
                <w:rFonts w:ascii="Arial" w:hAnsi="Arial" w:cs="Arial"/>
              </w:rPr>
              <w:t>working days of receipt</w:t>
            </w:r>
            <w:r w:rsidRPr="00044E9A">
              <w:rPr>
                <w:rFonts w:ascii="Arial" w:hAnsi="Arial" w:cs="Arial"/>
              </w:rPr>
              <w:t>. Triage can also be undertaken through digital tools,</w:t>
            </w:r>
            <w:r w:rsidR="00D275AE" w:rsidRPr="00044E9A">
              <w:rPr>
                <w:rFonts w:ascii="Arial" w:hAnsi="Arial" w:cs="Arial"/>
              </w:rPr>
              <w:t xml:space="preserve"> provi</w:t>
            </w:r>
            <w:r w:rsidRPr="00044E9A">
              <w:rPr>
                <w:rFonts w:ascii="Arial" w:hAnsi="Arial" w:cs="Arial"/>
              </w:rPr>
              <w:t>ded there is quality assurance around their accuracy</w:t>
            </w:r>
            <w:r w:rsidR="00F877C2">
              <w:rPr>
                <w:rFonts w:ascii="Arial" w:hAnsi="Arial" w:cs="Arial"/>
              </w:rPr>
              <w:t xml:space="preserve">. Routine Tier 1 referrals may undergo triage through digital tools, again with quality assurance around diagnostic accuracy. </w:t>
            </w:r>
            <w:r w:rsidR="007749C2" w:rsidRPr="00044E9A">
              <w:rPr>
                <w:rFonts w:ascii="Arial" w:hAnsi="Arial" w:cs="Arial"/>
              </w:rPr>
              <w:t xml:space="preserve"> </w:t>
            </w:r>
          </w:p>
          <w:p w14:paraId="1DF7B32A" w14:textId="58A9896F" w:rsidR="00D275AE" w:rsidRPr="00044E9A" w:rsidRDefault="00D275AE" w:rsidP="009D2C28">
            <w:pPr>
              <w:pStyle w:val="CommentText"/>
              <w:rPr>
                <w:rFonts w:ascii="Arial" w:hAnsi="Arial" w:cs="Arial"/>
              </w:rPr>
            </w:pPr>
          </w:p>
          <w:p w14:paraId="3B1E6CBE" w14:textId="0FBE864B" w:rsidR="007B23F0" w:rsidRDefault="007B23F0" w:rsidP="007B23F0">
            <w:pPr>
              <w:rPr>
                <w:rFonts w:ascii="Arial" w:hAnsi="Arial" w:cs="Arial"/>
                <w:sz w:val="20"/>
                <w:szCs w:val="20"/>
              </w:rPr>
            </w:pPr>
            <w:r w:rsidRPr="007B23F0">
              <w:rPr>
                <w:rFonts w:ascii="Arial" w:hAnsi="Arial" w:cs="Arial"/>
                <w:sz w:val="20"/>
                <w:szCs w:val="20"/>
              </w:rPr>
              <w:t xml:space="preserve">Appointment confirmation should be provided to the patient via their preferred method of communication (email, letter, telephone or text). Due consideration should be given to patient requests in view of location day and time, within the practical constraints of the contracted service. </w:t>
            </w:r>
          </w:p>
          <w:p w14:paraId="193E886C" w14:textId="035DF6FE" w:rsidR="007B23F0" w:rsidRPr="007B23F0" w:rsidRDefault="007B23F0" w:rsidP="007B23F0">
            <w:pPr>
              <w:rPr>
                <w:rFonts w:ascii="Arial" w:hAnsi="Arial" w:cs="Arial"/>
                <w:sz w:val="20"/>
                <w:szCs w:val="20"/>
              </w:rPr>
            </w:pPr>
          </w:p>
          <w:p w14:paraId="1605ED03" w14:textId="77777777" w:rsidR="00DD01D2" w:rsidRDefault="00DD01D2" w:rsidP="00DD01D2">
            <w:pPr>
              <w:rPr>
                <w:rFonts w:ascii="Arial" w:hAnsi="Arial" w:cs="Arial"/>
                <w:sz w:val="20"/>
                <w:szCs w:val="20"/>
              </w:rPr>
            </w:pPr>
            <w:r>
              <w:rPr>
                <w:rFonts w:ascii="Arial" w:hAnsi="Arial" w:cs="Arial"/>
                <w:sz w:val="20"/>
                <w:szCs w:val="20"/>
              </w:rPr>
              <w:t>Urgent/Priority, but non-</w:t>
            </w:r>
            <w:r w:rsidRPr="007B23F0">
              <w:rPr>
                <w:rFonts w:ascii="Arial" w:hAnsi="Arial" w:cs="Arial"/>
                <w:sz w:val="20"/>
                <w:szCs w:val="20"/>
              </w:rPr>
              <w:t xml:space="preserve">emergency conditions, may sometimes be appropriate for urgent review within the community MSK </w:t>
            </w:r>
            <w:r>
              <w:rPr>
                <w:rFonts w:ascii="Arial" w:hAnsi="Arial" w:cs="Arial"/>
                <w:sz w:val="20"/>
                <w:szCs w:val="20"/>
              </w:rPr>
              <w:t>S</w:t>
            </w:r>
            <w:r w:rsidRPr="007B23F0">
              <w:rPr>
                <w:rFonts w:ascii="Arial" w:hAnsi="Arial" w:cs="Arial"/>
                <w:sz w:val="20"/>
                <w:szCs w:val="20"/>
              </w:rPr>
              <w:t xml:space="preserve">ervice, depending on specific locally agreed clinical pathways and timely review within the </w:t>
            </w:r>
            <w:r>
              <w:rPr>
                <w:rFonts w:ascii="Arial" w:hAnsi="Arial" w:cs="Arial"/>
                <w:sz w:val="20"/>
                <w:szCs w:val="20"/>
              </w:rPr>
              <w:t>S</w:t>
            </w:r>
            <w:r w:rsidRPr="007B23F0">
              <w:rPr>
                <w:rFonts w:ascii="Arial" w:hAnsi="Arial" w:cs="Arial"/>
                <w:sz w:val="20"/>
                <w:szCs w:val="20"/>
              </w:rPr>
              <w:t xml:space="preserve">ervice with appropriate integrated secondary care </w:t>
            </w:r>
            <w:r w:rsidRPr="00044E9A">
              <w:rPr>
                <w:rFonts w:ascii="Arial" w:hAnsi="Arial" w:cs="Arial"/>
                <w:sz w:val="20"/>
                <w:szCs w:val="20"/>
              </w:rPr>
              <w:t xml:space="preserve">input (i.e. CRPS, severe post-surgical pain, moderate to severe painful peripheral neuropathy) with timely access to diagnostics. </w:t>
            </w:r>
            <w:r>
              <w:rPr>
                <w:rFonts w:ascii="Arial" w:hAnsi="Arial" w:cs="Arial"/>
                <w:sz w:val="20"/>
                <w:szCs w:val="20"/>
              </w:rPr>
              <w:t xml:space="preserve">‘Priority’ criteria will be subject to ongoing review, with a basic outline included in the </w:t>
            </w:r>
            <w:hyperlink r:id="rId12" w:history="1">
              <w:r>
                <w:rPr>
                  <w:rStyle w:val="Hyperlink"/>
                  <w:rFonts w:ascii="Arial" w:hAnsi="Arial" w:cs="Arial"/>
                  <w:sz w:val="20"/>
                  <w:szCs w:val="20"/>
                </w:rPr>
                <w:t>I</w:t>
              </w:r>
              <w:r w:rsidRPr="00B84BC9">
                <w:rPr>
                  <w:rStyle w:val="Hyperlink"/>
                  <w:rFonts w:ascii="Arial" w:hAnsi="Arial" w:cs="Arial"/>
                  <w:sz w:val="20"/>
                  <w:szCs w:val="20"/>
                </w:rPr>
                <w:t>mprovement framework to reduce community musculoskeletal waits while delivering best outcomes and experience</w:t>
              </w:r>
            </w:hyperlink>
            <w:r w:rsidRPr="00B84BC9">
              <w:rPr>
                <w:rFonts w:ascii="Arial" w:hAnsi="Arial" w:cs="Arial"/>
                <w:sz w:val="20"/>
                <w:szCs w:val="20"/>
              </w:rPr>
              <w:t xml:space="preserve"> from NHS England</w:t>
            </w:r>
            <w:r>
              <w:rPr>
                <w:rFonts w:ascii="Arial" w:hAnsi="Arial" w:cs="Arial"/>
                <w:sz w:val="20"/>
                <w:szCs w:val="20"/>
              </w:rPr>
              <w:t>.</w:t>
            </w:r>
          </w:p>
          <w:p w14:paraId="0B17BEBC" w14:textId="54E91E8D" w:rsidR="00DD01D2" w:rsidRDefault="00DD01D2" w:rsidP="007B23F0">
            <w:pPr>
              <w:rPr>
                <w:rFonts w:ascii="Arial" w:hAnsi="Arial" w:cs="Arial"/>
                <w:sz w:val="20"/>
                <w:szCs w:val="20"/>
              </w:rPr>
            </w:pPr>
          </w:p>
          <w:p w14:paraId="2DA94884" w14:textId="5C8C8638" w:rsidR="00DD01D2" w:rsidRDefault="00DD01D2" w:rsidP="00DD01D2">
            <w:pPr>
              <w:rPr>
                <w:rFonts w:ascii="Arial" w:hAnsi="Arial" w:cs="Arial"/>
                <w:sz w:val="20"/>
                <w:szCs w:val="20"/>
              </w:rPr>
            </w:pPr>
            <w:r w:rsidRPr="007B23F0">
              <w:rPr>
                <w:rFonts w:ascii="Arial" w:hAnsi="Arial" w:cs="Arial"/>
                <w:sz w:val="20"/>
                <w:szCs w:val="20"/>
              </w:rPr>
              <w:t>‘Priority’ and ‘routine’ waiting times will be subject to ongoing review, depending on demand and resource (including cost) factors.</w:t>
            </w:r>
          </w:p>
          <w:p w14:paraId="0E45FA8A" w14:textId="77777777" w:rsidR="00DD01D2" w:rsidRDefault="00DD01D2" w:rsidP="007B23F0">
            <w:pPr>
              <w:rPr>
                <w:rFonts w:ascii="Arial" w:hAnsi="Arial" w:cs="Arial"/>
                <w:sz w:val="20"/>
                <w:szCs w:val="20"/>
              </w:rPr>
            </w:pPr>
          </w:p>
          <w:p w14:paraId="72C9C3D4" w14:textId="0FBF27C2" w:rsidR="000910F9" w:rsidRPr="00BE688A" w:rsidRDefault="00BE688A" w:rsidP="00AE006E">
            <w:pPr>
              <w:pStyle w:val="CommentText"/>
              <w:rPr>
                <w:rFonts w:ascii="Arial" w:hAnsi="Arial" w:cs="Arial"/>
              </w:rPr>
            </w:pPr>
            <w:r w:rsidRPr="00BE688A">
              <w:rPr>
                <w:rFonts w:ascii="Arial" w:hAnsi="Arial" w:cs="Arial"/>
              </w:rPr>
              <w:t>P</w:t>
            </w:r>
            <w:r w:rsidR="007B23F0" w:rsidRPr="007B23F0">
              <w:rPr>
                <w:rFonts w:ascii="Arial" w:hAnsi="Arial" w:cs="Arial"/>
              </w:rPr>
              <w:t>atients triaged as ‘priority’ should be contacted by phone and offered a</w:t>
            </w:r>
            <w:r w:rsidR="00D275AE">
              <w:rPr>
                <w:rFonts w:ascii="Arial" w:hAnsi="Arial" w:cs="Arial"/>
              </w:rPr>
              <w:t xml:space="preserve">n appointment to be seen within </w:t>
            </w:r>
            <w:r w:rsidR="00F12430" w:rsidRPr="00F03108">
              <w:rPr>
                <w:rFonts w:ascii="Arial" w:hAnsi="Arial" w:cs="Arial"/>
              </w:rPr>
              <w:t xml:space="preserve">14 </w:t>
            </w:r>
            <w:r w:rsidR="00C07F8A">
              <w:rPr>
                <w:rFonts w:ascii="Arial" w:hAnsi="Arial" w:cs="Arial"/>
              </w:rPr>
              <w:t xml:space="preserve">calendar </w:t>
            </w:r>
            <w:r w:rsidR="007B23F0" w:rsidRPr="007B23F0">
              <w:rPr>
                <w:rFonts w:ascii="Arial" w:hAnsi="Arial" w:cs="Arial"/>
              </w:rPr>
              <w:t>days of the date of contact, whilst routine patients should be offered an appointment within 28</w:t>
            </w:r>
            <w:r w:rsidR="00C07F8A">
              <w:rPr>
                <w:rFonts w:ascii="Arial" w:hAnsi="Arial" w:cs="Arial"/>
              </w:rPr>
              <w:t xml:space="preserve"> calendar</w:t>
            </w:r>
            <w:r w:rsidR="007B23F0" w:rsidRPr="007B23F0">
              <w:rPr>
                <w:rFonts w:ascii="Arial" w:hAnsi="Arial" w:cs="Arial"/>
              </w:rPr>
              <w:t xml:space="preserve"> days. </w:t>
            </w:r>
          </w:p>
          <w:p w14:paraId="0EA19D7A" w14:textId="77777777" w:rsidR="00AE006E" w:rsidRDefault="00AE006E" w:rsidP="00AE006E">
            <w:pPr>
              <w:pStyle w:val="CommentText"/>
            </w:pPr>
          </w:p>
          <w:p w14:paraId="120C09A7" w14:textId="07276D88" w:rsidR="007B23F0" w:rsidRDefault="007B23F0" w:rsidP="00AE006E">
            <w:pPr>
              <w:pStyle w:val="CommentText"/>
              <w:rPr>
                <w:rFonts w:ascii="Arial" w:hAnsi="Arial" w:cs="Arial"/>
              </w:rPr>
            </w:pPr>
            <w:r w:rsidRPr="007B23F0">
              <w:rPr>
                <w:rFonts w:ascii="Arial" w:hAnsi="Arial" w:cs="Arial"/>
              </w:rPr>
              <w:t xml:space="preserve">If patients are identified as clinical emergencies should be immediately onward referred in line with local or national guidelines. </w:t>
            </w:r>
          </w:p>
          <w:p w14:paraId="5E0BF76A" w14:textId="77777777" w:rsidR="00C54BA6" w:rsidRPr="007B23F0" w:rsidRDefault="00C54BA6" w:rsidP="007B23F0">
            <w:pPr>
              <w:rPr>
                <w:rFonts w:ascii="Arial" w:hAnsi="Arial" w:cs="Arial"/>
                <w:sz w:val="20"/>
                <w:szCs w:val="20"/>
              </w:rPr>
            </w:pPr>
          </w:p>
          <w:p w14:paraId="72DAFE8B" w14:textId="43228814" w:rsidR="007B23F0" w:rsidRPr="00044E9A" w:rsidRDefault="00C07F8A" w:rsidP="007B23F0">
            <w:pPr>
              <w:rPr>
                <w:rFonts w:ascii="Arial" w:hAnsi="Arial" w:cs="Arial"/>
                <w:sz w:val="20"/>
                <w:szCs w:val="20"/>
              </w:rPr>
            </w:pPr>
            <w:hyperlink r:id="rId13" w:history="1">
              <w:r w:rsidR="007B23F0" w:rsidRPr="00044E9A">
                <w:rPr>
                  <w:rStyle w:val="Hyperlink"/>
                  <w:rFonts w:ascii="Arial" w:hAnsi="Arial" w:cs="Arial"/>
                  <w:color w:val="auto"/>
                  <w:sz w:val="20"/>
                  <w:szCs w:val="20"/>
                </w:rPr>
                <w:t>Urgent and Emergency Musculoskeletal Conditions Requiring Onward Referral</w:t>
              </w:r>
              <w:r w:rsidR="00044E9A">
                <w:rPr>
                  <w:rStyle w:val="Hyperlink"/>
                  <w:rFonts w:ascii="Arial" w:hAnsi="Arial" w:cs="Arial"/>
                  <w:color w:val="auto"/>
                  <w:sz w:val="20"/>
                  <w:szCs w:val="20"/>
                </w:rPr>
                <w:t xml:space="preserve"> as of </w:t>
              </w:r>
              <w:r w:rsidR="007B23F0" w:rsidRPr="00044E9A">
                <w:rPr>
                  <w:rStyle w:val="Hyperlink"/>
                  <w:rFonts w:ascii="Arial" w:hAnsi="Arial" w:cs="Arial"/>
                  <w:color w:val="auto"/>
                  <w:sz w:val="20"/>
                  <w:szCs w:val="20"/>
                </w:rPr>
                <w:t>Dec</w:t>
              </w:r>
              <w:r w:rsidR="001D400A">
                <w:rPr>
                  <w:rStyle w:val="Hyperlink"/>
                  <w:rFonts w:ascii="Arial" w:hAnsi="Arial" w:cs="Arial"/>
                  <w:color w:val="auto"/>
                  <w:sz w:val="20"/>
                  <w:szCs w:val="20"/>
                </w:rPr>
                <w:t>ember</w:t>
              </w:r>
              <w:r w:rsidR="007B23F0" w:rsidRPr="00044E9A">
                <w:rPr>
                  <w:rStyle w:val="Hyperlink"/>
                  <w:rFonts w:ascii="Arial" w:hAnsi="Arial" w:cs="Arial"/>
                  <w:color w:val="auto"/>
                  <w:sz w:val="20"/>
                  <w:szCs w:val="20"/>
                </w:rPr>
                <w:t xml:space="preserve"> 2020</w:t>
              </w:r>
            </w:hyperlink>
          </w:p>
          <w:p w14:paraId="56640126" w14:textId="4D041213" w:rsidR="007B23F0" w:rsidRDefault="007B23F0" w:rsidP="007B23F0">
            <w:pPr>
              <w:rPr>
                <w:rFonts w:ascii="Arial" w:hAnsi="Arial" w:cs="Arial"/>
                <w:sz w:val="20"/>
                <w:szCs w:val="20"/>
              </w:rPr>
            </w:pPr>
            <w:r w:rsidRPr="007B23F0">
              <w:rPr>
                <w:rFonts w:ascii="Arial" w:hAnsi="Arial" w:cs="Arial"/>
                <w:sz w:val="20"/>
                <w:szCs w:val="20"/>
              </w:rPr>
              <w:t>Clinical emergencies may include:</w:t>
            </w:r>
          </w:p>
          <w:p w14:paraId="558CE2F3" w14:textId="77777777" w:rsidR="007B23F0" w:rsidRPr="007B23F0" w:rsidRDefault="007B23F0" w:rsidP="00DC3DDC">
            <w:pPr>
              <w:pStyle w:val="ListParagraph"/>
              <w:numPr>
                <w:ilvl w:val="0"/>
                <w:numId w:val="14"/>
              </w:numPr>
              <w:rPr>
                <w:rFonts w:ascii="Arial" w:hAnsi="Arial" w:cs="Arial"/>
                <w:sz w:val="20"/>
                <w:szCs w:val="20"/>
              </w:rPr>
            </w:pPr>
            <w:r w:rsidRPr="007B23F0">
              <w:rPr>
                <w:rFonts w:ascii="Arial" w:hAnsi="Arial" w:cs="Arial"/>
                <w:sz w:val="20"/>
                <w:szCs w:val="20"/>
              </w:rPr>
              <w:t>Suspected cauda equina syndrome</w:t>
            </w:r>
          </w:p>
          <w:p w14:paraId="18EB5D72" w14:textId="77777777" w:rsidR="007B23F0" w:rsidRPr="007B23F0" w:rsidRDefault="007B23F0" w:rsidP="00DC3DDC">
            <w:pPr>
              <w:pStyle w:val="ListParagraph"/>
              <w:numPr>
                <w:ilvl w:val="0"/>
                <w:numId w:val="14"/>
              </w:numPr>
              <w:rPr>
                <w:rFonts w:ascii="Arial" w:hAnsi="Arial" w:cs="Arial"/>
                <w:sz w:val="20"/>
                <w:szCs w:val="20"/>
              </w:rPr>
            </w:pPr>
            <w:proofErr w:type="spellStart"/>
            <w:r w:rsidRPr="007B23F0">
              <w:rPr>
                <w:rFonts w:ascii="Arial" w:hAnsi="Arial" w:cs="Arial"/>
                <w:sz w:val="20"/>
                <w:szCs w:val="20"/>
              </w:rPr>
              <w:t>Metastastic</w:t>
            </w:r>
            <w:proofErr w:type="spellEnd"/>
            <w:r w:rsidRPr="007B23F0">
              <w:rPr>
                <w:rFonts w:ascii="Arial" w:hAnsi="Arial" w:cs="Arial"/>
                <w:sz w:val="20"/>
                <w:szCs w:val="20"/>
              </w:rPr>
              <w:t xml:space="preserve"> spinal cord compression</w:t>
            </w:r>
          </w:p>
          <w:p w14:paraId="186C97BD" w14:textId="77777777" w:rsidR="007B23F0" w:rsidRPr="007B23F0" w:rsidRDefault="007B23F0" w:rsidP="00DC3DDC">
            <w:pPr>
              <w:pStyle w:val="ListParagraph"/>
              <w:numPr>
                <w:ilvl w:val="0"/>
                <w:numId w:val="14"/>
              </w:numPr>
              <w:rPr>
                <w:rFonts w:ascii="Arial" w:hAnsi="Arial" w:cs="Arial"/>
                <w:sz w:val="20"/>
                <w:szCs w:val="20"/>
              </w:rPr>
            </w:pPr>
            <w:r w:rsidRPr="007B23F0">
              <w:rPr>
                <w:rFonts w:ascii="Arial" w:hAnsi="Arial" w:cs="Arial"/>
                <w:sz w:val="20"/>
                <w:szCs w:val="20"/>
              </w:rPr>
              <w:t>Spinal infection</w:t>
            </w:r>
          </w:p>
          <w:p w14:paraId="1905DF6A" w14:textId="77777777" w:rsidR="007B23F0" w:rsidRPr="007B23F0" w:rsidRDefault="007B23F0" w:rsidP="00DC3DDC">
            <w:pPr>
              <w:pStyle w:val="ListParagraph"/>
              <w:numPr>
                <w:ilvl w:val="0"/>
                <w:numId w:val="14"/>
              </w:numPr>
              <w:rPr>
                <w:rFonts w:ascii="Arial" w:hAnsi="Arial" w:cs="Arial"/>
                <w:sz w:val="20"/>
                <w:szCs w:val="20"/>
              </w:rPr>
            </w:pPr>
            <w:r w:rsidRPr="007B23F0">
              <w:rPr>
                <w:rFonts w:ascii="Arial" w:hAnsi="Arial" w:cs="Arial"/>
                <w:sz w:val="20"/>
                <w:szCs w:val="20"/>
              </w:rPr>
              <w:t>Septic arthritis</w:t>
            </w:r>
          </w:p>
          <w:p w14:paraId="58015C31" w14:textId="77777777" w:rsidR="00D275AE" w:rsidRDefault="007B23F0" w:rsidP="00D275AE">
            <w:pPr>
              <w:pStyle w:val="ListParagraph"/>
              <w:numPr>
                <w:ilvl w:val="0"/>
                <w:numId w:val="14"/>
              </w:numPr>
              <w:rPr>
                <w:rFonts w:ascii="Arial" w:hAnsi="Arial" w:cs="Arial"/>
                <w:sz w:val="20"/>
                <w:szCs w:val="20"/>
              </w:rPr>
            </w:pPr>
            <w:r w:rsidRPr="007B23F0">
              <w:rPr>
                <w:rFonts w:ascii="Arial" w:hAnsi="Arial" w:cs="Arial"/>
                <w:sz w:val="20"/>
                <w:szCs w:val="20"/>
              </w:rPr>
              <w:t>Giant cell arteritis</w:t>
            </w:r>
          </w:p>
          <w:p w14:paraId="2D3EEB9B" w14:textId="76764DC4" w:rsidR="00D275AE" w:rsidRPr="00044E9A" w:rsidRDefault="00D275AE" w:rsidP="00D275AE">
            <w:pPr>
              <w:pStyle w:val="ListParagraph"/>
              <w:numPr>
                <w:ilvl w:val="0"/>
                <w:numId w:val="14"/>
              </w:numPr>
              <w:rPr>
                <w:rFonts w:ascii="Arial" w:hAnsi="Arial" w:cs="Arial"/>
                <w:sz w:val="20"/>
                <w:szCs w:val="20"/>
              </w:rPr>
            </w:pPr>
            <w:r w:rsidRPr="00044E9A">
              <w:rPr>
                <w:rFonts w:ascii="Arial" w:hAnsi="Arial" w:cs="Arial"/>
                <w:sz w:val="20"/>
                <w:szCs w:val="20"/>
              </w:rPr>
              <w:t>Unstable acute fractures</w:t>
            </w:r>
          </w:p>
          <w:p w14:paraId="775CC8A4" w14:textId="77777777" w:rsidR="002925D6" w:rsidRDefault="002925D6" w:rsidP="007B23F0">
            <w:pPr>
              <w:rPr>
                <w:rFonts w:ascii="Arial" w:hAnsi="Arial" w:cs="Arial"/>
                <w:sz w:val="20"/>
                <w:szCs w:val="20"/>
              </w:rPr>
            </w:pPr>
          </w:p>
          <w:p w14:paraId="4FE384F2" w14:textId="68159B72" w:rsidR="002925D6" w:rsidRPr="00A053D7" w:rsidRDefault="002925D6" w:rsidP="007B23F0">
            <w:pPr>
              <w:rPr>
                <w:rFonts w:ascii="Arial" w:hAnsi="Arial" w:cs="Arial"/>
                <w:bCs/>
                <w:sz w:val="20"/>
                <w:szCs w:val="20"/>
              </w:rPr>
            </w:pPr>
            <w:r w:rsidRPr="00DA02B5">
              <w:rPr>
                <w:rFonts w:ascii="Arial" w:hAnsi="Arial" w:cs="Arial"/>
                <w:bCs/>
                <w:sz w:val="20"/>
                <w:szCs w:val="20"/>
              </w:rPr>
              <w:t>If a 2</w:t>
            </w:r>
            <w:r w:rsidR="00B63776">
              <w:rPr>
                <w:rFonts w:ascii="Arial" w:hAnsi="Arial" w:cs="Arial"/>
                <w:bCs/>
                <w:sz w:val="20"/>
                <w:szCs w:val="20"/>
              </w:rPr>
              <w:t>-</w:t>
            </w:r>
            <w:r w:rsidRPr="00DA02B5">
              <w:rPr>
                <w:rFonts w:ascii="Arial" w:hAnsi="Arial" w:cs="Arial"/>
                <w:bCs/>
                <w:sz w:val="20"/>
                <w:szCs w:val="20"/>
              </w:rPr>
              <w:t>week</w:t>
            </w:r>
            <w:r w:rsidR="00B63776">
              <w:rPr>
                <w:rFonts w:ascii="Arial" w:hAnsi="Arial" w:cs="Arial"/>
                <w:bCs/>
                <w:sz w:val="20"/>
                <w:szCs w:val="20"/>
              </w:rPr>
              <w:t>-</w:t>
            </w:r>
            <w:r w:rsidRPr="00DA02B5">
              <w:rPr>
                <w:rFonts w:ascii="Arial" w:hAnsi="Arial" w:cs="Arial"/>
                <w:bCs/>
                <w:sz w:val="20"/>
                <w:szCs w:val="20"/>
              </w:rPr>
              <w:t>wait</w:t>
            </w:r>
            <w:r w:rsidR="00B63776">
              <w:rPr>
                <w:rFonts w:ascii="Arial" w:hAnsi="Arial" w:cs="Arial"/>
                <w:bCs/>
                <w:sz w:val="20"/>
                <w:szCs w:val="20"/>
              </w:rPr>
              <w:t xml:space="preserve"> (suspected cancer)</w:t>
            </w:r>
            <w:r w:rsidRPr="00DA02B5">
              <w:rPr>
                <w:rFonts w:ascii="Arial" w:hAnsi="Arial" w:cs="Arial"/>
                <w:bCs/>
                <w:sz w:val="20"/>
                <w:szCs w:val="20"/>
              </w:rPr>
              <w:t xml:space="preserve"> referral is required, </w:t>
            </w:r>
            <w:r w:rsidR="00044E9A" w:rsidRPr="00DA02B5">
              <w:rPr>
                <w:rFonts w:ascii="Arial" w:hAnsi="Arial" w:cs="Arial"/>
                <w:bCs/>
                <w:sz w:val="20"/>
                <w:szCs w:val="20"/>
              </w:rPr>
              <w:t>the provider should have a seamless pathway in place</w:t>
            </w:r>
            <w:r w:rsidR="00B63776">
              <w:rPr>
                <w:rFonts w:ascii="Arial" w:hAnsi="Arial" w:cs="Arial"/>
                <w:bCs/>
                <w:sz w:val="20"/>
                <w:szCs w:val="20"/>
              </w:rPr>
              <w:t xml:space="preserve"> to initiate this referral directly.</w:t>
            </w:r>
          </w:p>
          <w:p w14:paraId="532BC49F" w14:textId="77777777" w:rsidR="007B23F0" w:rsidRPr="00044E9A" w:rsidRDefault="007B23F0" w:rsidP="007B23F0">
            <w:pPr>
              <w:rPr>
                <w:rFonts w:ascii="Arial" w:hAnsi="Arial" w:cs="Arial"/>
                <w:sz w:val="20"/>
                <w:szCs w:val="20"/>
              </w:rPr>
            </w:pPr>
          </w:p>
          <w:p w14:paraId="5122D7C9" w14:textId="1BA6F5B4" w:rsidR="007B23F0" w:rsidRDefault="007919F7"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ervice will</w:t>
            </w:r>
            <w:r w:rsidR="009D2C28">
              <w:rPr>
                <w:rFonts w:ascii="Arial" w:hAnsi="Arial" w:cs="Arial"/>
                <w:sz w:val="20"/>
                <w:szCs w:val="20"/>
              </w:rPr>
              <w:t xml:space="preserve"> provide an appropriate balance </w:t>
            </w:r>
            <w:r w:rsidR="007B23F0" w:rsidRPr="007B23F0">
              <w:rPr>
                <w:rFonts w:ascii="Arial" w:hAnsi="Arial" w:cs="Arial"/>
                <w:sz w:val="20"/>
                <w:szCs w:val="20"/>
              </w:rPr>
              <w:t>of virtual and face-to-face clinical assessments, but where a patient prefers a face-to-face assessment, this should be offered.</w:t>
            </w:r>
            <w:r w:rsidR="0017466F">
              <w:rPr>
                <w:rFonts w:ascii="Arial" w:hAnsi="Arial" w:cs="Arial"/>
                <w:sz w:val="20"/>
                <w:szCs w:val="20"/>
              </w:rPr>
              <w:t xml:space="preserve"> Distribution of resource between virtual and face-to-face capacity should be continually </w:t>
            </w:r>
            <w:r w:rsidR="000966C5">
              <w:rPr>
                <w:rFonts w:ascii="Arial" w:hAnsi="Arial" w:cs="Arial"/>
                <w:sz w:val="20"/>
                <w:szCs w:val="20"/>
              </w:rPr>
              <w:t xml:space="preserve">evaluated, including patient outcome and experience measures. </w:t>
            </w:r>
            <w:r w:rsidR="007B23F0" w:rsidRPr="007B23F0">
              <w:rPr>
                <w:rFonts w:ascii="Arial" w:hAnsi="Arial" w:cs="Arial"/>
                <w:sz w:val="20"/>
                <w:szCs w:val="20"/>
              </w:rPr>
              <w:t xml:space="preserve"> </w:t>
            </w:r>
          </w:p>
          <w:p w14:paraId="40BD138F" w14:textId="4AEA400E" w:rsidR="007B23F0" w:rsidRPr="007B23F0" w:rsidRDefault="007B23F0" w:rsidP="007B23F0">
            <w:pPr>
              <w:rPr>
                <w:rFonts w:ascii="Arial" w:hAnsi="Arial" w:cs="Arial"/>
                <w:sz w:val="20"/>
                <w:szCs w:val="20"/>
              </w:rPr>
            </w:pPr>
          </w:p>
          <w:p w14:paraId="30A4311D" w14:textId="4929FCF1" w:rsidR="007B23F0" w:rsidRPr="007B23F0" w:rsidRDefault="007B23F0" w:rsidP="007B23F0">
            <w:pPr>
              <w:rPr>
                <w:rFonts w:ascii="Arial" w:hAnsi="Arial" w:cs="Arial"/>
                <w:sz w:val="20"/>
                <w:szCs w:val="20"/>
              </w:rPr>
            </w:pPr>
            <w:r w:rsidRPr="007B23F0">
              <w:rPr>
                <w:rFonts w:ascii="Arial" w:hAnsi="Arial" w:cs="Arial"/>
                <w:sz w:val="20"/>
                <w:szCs w:val="20"/>
              </w:rPr>
              <w:t xml:space="preserve">Inappropriate or incomplete referrals should be returned to the referring clinician within 5 working days, with a clear explanation as to why </w:t>
            </w:r>
            <w:r w:rsidR="00DD01D2">
              <w:rPr>
                <w:rFonts w:ascii="Arial" w:hAnsi="Arial" w:cs="Arial"/>
                <w:sz w:val="20"/>
                <w:szCs w:val="20"/>
              </w:rPr>
              <w:t>the referral</w:t>
            </w:r>
            <w:r w:rsidRPr="007B23F0">
              <w:rPr>
                <w:rFonts w:ascii="Arial" w:hAnsi="Arial" w:cs="Arial"/>
                <w:sz w:val="20"/>
                <w:szCs w:val="20"/>
              </w:rPr>
              <w:t xml:space="preserve"> is being returned. </w:t>
            </w:r>
          </w:p>
          <w:p w14:paraId="25FCE90C" w14:textId="77777777" w:rsidR="007B23F0" w:rsidRPr="007B23F0" w:rsidRDefault="007B23F0" w:rsidP="007B23F0">
            <w:pPr>
              <w:rPr>
                <w:rFonts w:ascii="Arial" w:hAnsi="Arial" w:cs="Arial"/>
                <w:sz w:val="20"/>
                <w:szCs w:val="20"/>
              </w:rPr>
            </w:pPr>
          </w:p>
          <w:p w14:paraId="72853E15" w14:textId="77777777" w:rsidR="007B23F0" w:rsidRPr="007B23F0" w:rsidRDefault="007B23F0" w:rsidP="007B23F0">
            <w:pPr>
              <w:rPr>
                <w:rFonts w:ascii="Arial" w:hAnsi="Arial" w:cs="Arial"/>
                <w:sz w:val="20"/>
                <w:szCs w:val="20"/>
              </w:rPr>
            </w:pPr>
            <w:r w:rsidRPr="007B23F0">
              <w:rPr>
                <w:rFonts w:ascii="Arial" w:hAnsi="Arial" w:cs="Arial"/>
                <w:sz w:val="20"/>
                <w:szCs w:val="20"/>
              </w:rPr>
              <w:t>Outcomes from triage may include:</w:t>
            </w:r>
          </w:p>
          <w:p w14:paraId="3697F93B" w14:textId="77777777" w:rsidR="00DD01D2" w:rsidRPr="00DD01D2" w:rsidRDefault="007B23F0" w:rsidP="003245E5">
            <w:pPr>
              <w:pStyle w:val="ListParagraph"/>
              <w:numPr>
                <w:ilvl w:val="0"/>
                <w:numId w:val="15"/>
              </w:numPr>
              <w:rPr>
                <w:rFonts w:ascii="Arial" w:hAnsi="Arial" w:cs="Arial"/>
                <w:sz w:val="20"/>
                <w:szCs w:val="20"/>
              </w:rPr>
            </w:pPr>
            <w:r w:rsidRPr="00BE688A">
              <w:rPr>
                <w:rFonts w:ascii="Arial" w:hAnsi="Arial" w:cs="Arial"/>
                <w:sz w:val="20"/>
                <w:szCs w:val="20"/>
              </w:rPr>
              <w:t xml:space="preserve">Offering an appointment within a specific pathway within the MSK </w:t>
            </w:r>
            <w:r w:rsidR="000F06EB">
              <w:rPr>
                <w:rFonts w:ascii="Arial" w:hAnsi="Arial" w:cs="Arial"/>
                <w:sz w:val="20"/>
                <w:szCs w:val="20"/>
              </w:rPr>
              <w:t>S</w:t>
            </w:r>
            <w:r w:rsidRPr="00BE688A">
              <w:rPr>
                <w:rFonts w:ascii="Arial" w:hAnsi="Arial" w:cs="Arial"/>
                <w:sz w:val="20"/>
                <w:szCs w:val="20"/>
              </w:rPr>
              <w:t>ervice (with or without pre-appointment diagnostics)</w:t>
            </w:r>
            <w:r w:rsidR="007749C2">
              <w:t xml:space="preserve"> </w:t>
            </w:r>
          </w:p>
          <w:p w14:paraId="60EBDC20" w14:textId="6AD98A35" w:rsidR="007B23F0" w:rsidRPr="00BE688A" w:rsidRDefault="007B23F0" w:rsidP="003245E5">
            <w:pPr>
              <w:pStyle w:val="ListParagraph"/>
              <w:numPr>
                <w:ilvl w:val="0"/>
                <w:numId w:val="15"/>
              </w:numPr>
              <w:rPr>
                <w:rFonts w:ascii="Arial" w:hAnsi="Arial" w:cs="Arial"/>
                <w:sz w:val="20"/>
                <w:szCs w:val="20"/>
              </w:rPr>
            </w:pPr>
            <w:r w:rsidRPr="00BE688A">
              <w:rPr>
                <w:rFonts w:ascii="Arial" w:hAnsi="Arial" w:cs="Arial"/>
                <w:sz w:val="20"/>
                <w:szCs w:val="20"/>
              </w:rPr>
              <w:t>Offering direct referral onward to secondary care services</w:t>
            </w:r>
          </w:p>
          <w:p w14:paraId="5368980F" w14:textId="77777777" w:rsidR="007B23F0" w:rsidRPr="007B23F0" w:rsidRDefault="007B23F0" w:rsidP="00DC3DDC">
            <w:pPr>
              <w:pStyle w:val="ListParagraph"/>
              <w:numPr>
                <w:ilvl w:val="0"/>
                <w:numId w:val="15"/>
              </w:numPr>
              <w:rPr>
                <w:rFonts w:ascii="Arial" w:hAnsi="Arial" w:cs="Arial"/>
                <w:sz w:val="20"/>
                <w:szCs w:val="20"/>
              </w:rPr>
            </w:pPr>
            <w:r w:rsidRPr="007B23F0">
              <w:rPr>
                <w:rFonts w:ascii="Arial" w:hAnsi="Arial" w:cs="Arial"/>
                <w:sz w:val="20"/>
                <w:szCs w:val="20"/>
              </w:rPr>
              <w:t>Signposting to alternate services</w:t>
            </w:r>
          </w:p>
          <w:p w14:paraId="6E9E4885" w14:textId="77777777" w:rsidR="007B23F0" w:rsidRPr="007B23F0" w:rsidRDefault="007B23F0" w:rsidP="00DC3DDC">
            <w:pPr>
              <w:pStyle w:val="ListParagraph"/>
              <w:numPr>
                <w:ilvl w:val="0"/>
                <w:numId w:val="15"/>
              </w:numPr>
              <w:rPr>
                <w:rFonts w:ascii="Arial" w:hAnsi="Arial" w:cs="Arial"/>
                <w:sz w:val="20"/>
                <w:szCs w:val="20"/>
              </w:rPr>
            </w:pPr>
            <w:r w:rsidRPr="007B23F0">
              <w:rPr>
                <w:rFonts w:ascii="Arial" w:hAnsi="Arial" w:cs="Arial"/>
                <w:sz w:val="20"/>
                <w:szCs w:val="20"/>
              </w:rPr>
              <w:lastRenderedPageBreak/>
              <w:t xml:space="preserve">Returning the referral with advice and guidance provided to the referring clinician, to enable ongoing management of the patient within primary care. </w:t>
            </w:r>
          </w:p>
          <w:p w14:paraId="495104AF" w14:textId="77777777" w:rsidR="007B23F0" w:rsidRPr="007B23F0" w:rsidRDefault="007B23F0" w:rsidP="007B23F0">
            <w:pPr>
              <w:rPr>
                <w:rFonts w:ascii="Arial" w:hAnsi="Arial" w:cs="Arial"/>
                <w:sz w:val="20"/>
                <w:szCs w:val="20"/>
              </w:rPr>
            </w:pPr>
          </w:p>
          <w:p w14:paraId="442D9CD8" w14:textId="7548DD0C" w:rsidR="007B23F0" w:rsidRDefault="007B23F0" w:rsidP="007B23F0">
            <w:pPr>
              <w:rPr>
                <w:rFonts w:ascii="Arial" w:hAnsi="Arial" w:cs="Arial"/>
                <w:sz w:val="20"/>
                <w:szCs w:val="20"/>
              </w:rPr>
            </w:pPr>
            <w:r w:rsidRPr="007B23F0">
              <w:rPr>
                <w:rFonts w:ascii="Arial" w:hAnsi="Arial" w:cs="Arial"/>
                <w:sz w:val="20"/>
                <w:szCs w:val="20"/>
              </w:rPr>
              <w:t>Patients may also be sent education and self-management information</w:t>
            </w:r>
            <w:r w:rsidR="00DD01D2">
              <w:rPr>
                <w:rFonts w:ascii="Arial" w:hAnsi="Arial" w:cs="Arial"/>
                <w:sz w:val="20"/>
                <w:szCs w:val="20"/>
              </w:rPr>
              <w:t xml:space="preserve"> (which may also be through digital platforms)</w:t>
            </w:r>
            <w:r w:rsidRPr="007B23F0">
              <w:rPr>
                <w:rFonts w:ascii="Arial" w:hAnsi="Arial" w:cs="Arial"/>
                <w:sz w:val="20"/>
                <w:szCs w:val="20"/>
              </w:rPr>
              <w:t xml:space="preserve">, as appropriate, at initial triage.  </w:t>
            </w:r>
          </w:p>
          <w:p w14:paraId="24E6DA32" w14:textId="6E174964" w:rsidR="007B23F0" w:rsidRPr="007B23F0" w:rsidRDefault="007B23F0" w:rsidP="007B23F0">
            <w:pPr>
              <w:rPr>
                <w:rFonts w:ascii="Arial" w:hAnsi="Arial" w:cs="Arial"/>
                <w:sz w:val="20"/>
                <w:szCs w:val="20"/>
              </w:rPr>
            </w:pPr>
          </w:p>
          <w:p w14:paraId="55378CCA" w14:textId="5EA787A8" w:rsidR="007B23F0" w:rsidRPr="00C54BA6" w:rsidRDefault="004F288A" w:rsidP="007B23F0">
            <w:pPr>
              <w:pStyle w:val="Heading2"/>
              <w:rPr>
                <w:rFonts w:ascii="Arial" w:hAnsi="Arial" w:cs="Arial"/>
                <w:b/>
                <w:color w:val="auto"/>
                <w:sz w:val="20"/>
                <w:szCs w:val="20"/>
              </w:rPr>
            </w:pPr>
            <w:bookmarkStart w:id="5" w:name="_Toc127194666"/>
            <w:r>
              <w:rPr>
                <w:rFonts w:ascii="Arial" w:hAnsi="Arial" w:cs="Arial"/>
                <w:b/>
                <w:color w:val="auto"/>
                <w:sz w:val="20"/>
                <w:szCs w:val="20"/>
              </w:rPr>
              <w:t>3.3.5</w:t>
            </w:r>
            <w:r w:rsidR="00C54BA6">
              <w:rPr>
                <w:rFonts w:ascii="Arial" w:hAnsi="Arial" w:cs="Arial"/>
                <w:b/>
                <w:color w:val="auto"/>
                <w:sz w:val="20"/>
                <w:szCs w:val="20"/>
              </w:rPr>
              <w:t xml:space="preserve"> </w:t>
            </w:r>
            <w:r w:rsidR="007B23F0" w:rsidRPr="00C54BA6">
              <w:rPr>
                <w:rFonts w:ascii="Arial" w:hAnsi="Arial" w:cs="Arial"/>
                <w:b/>
                <w:color w:val="auto"/>
                <w:sz w:val="20"/>
                <w:szCs w:val="20"/>
              </w:rPr>
              <w:t>Self-referral</w:t>
            </w:r>
            <w:bookmarkEnd w:id="5"/>
          </w:p>
          <w:p w14:paraId="4F21167F" w14:textId="77777777" w:rsidR="007B23F0" w:rsidRPr="007B23F0" w:rsidRDefault="007B23F0" w:rsidP="007B23F0">
            <w:pPr>
              <w:rPr>
                <w:rFonts w:ascii="Arial" w:hAnsi="Arial" w:cs="Arial"/>
                <w:sz w:val="20"/>
                <w:szCs w:val="20"/>
              </w:rPr>
            </w:pPr>
          </w:p>
          <w:p w14:paraId="12EEE31E" w14:textId="3B2DA147" w:rsidR="007749C2" w:rsidRPr="00F90610" w:rsidRDefault="007B23F0" w:rsidP="007749C2">
            <w:pPr>
              <w:pStyle w:val="CommentText"/>
            </w:pPr>
            <w:r w:rsidRPr="007B23F0">
              <w:rPr>
                <w:rFonts w:ascii="Arial" w:eastAsia="MS Mincho" w:hAnsi="Arial" w:cs="Arial"/>
                <w:bCs/>
                <w:lang w:eastAsia="ja-JP"/>
              </w:rPr>
              <w:t xml:space="preserve">The option for patients to self-refer to the </w:t>
            </w:r>
            <w:r w:rsidR="000F06EB">
              <w:rPr>
                <w:rFonts w:ascii="Arial" w:eastAsia="MS Mincho" w:hAnsi="Arial" w:cs="Arial"/>
                <w:bCs/>
                <w:lang w:eastAsia="ja-JP"/>
              </w:rPr>
              <w:t>S</w:t>
            </w:r>
            <w:r w:rsidRPr="007B23F0">
              <w:rPr>
                <w:rFonts w:ascii="Arial" w:eastAsia="MS Mincho" w:hAnsi="Arial" w:cs="Arial"/>
                <w:bCs/>
                <w:lang w:eastAsia="ja-JP"/>
              </w:rPr>
              <w:t xml:space="preserve">ervice should be </w:t>
            </w:r>
            <w:r w:rsidR="00797A5C">
              <w:rPr>
                <w:rFonts w:ascii="Arial" w:eastAsia="MS Mincho" w:hAnsi="Arial" w:cs="Arial"/>
                <w:bCs/>
                <w:lang w:eastAsia="ja-JP"/>
              </w:rPr>
              <w:t xml:space="preserve">available. </w:t>
            </w:r>
            <w:r w:rsidR="00797A5C" w:rsidRPr="00F03108">
              <w:rPr>
                <w:rFonts w:ascii="Arial" w:eastAsia="MS Mincho" w:hAnsi="Arial" w:cs="Arial"/>
                <w:bCs/>
                <w:lang w:eastAsia="ja-JP"/>
              </w:rPr>
              <w:t xml:space="preserve">This could be </w:t>
            </w:r>
            <w:r w:rsidRPr="007B23F0">
              <w:rPr>
                <w:rFonts w:ascii="Arial" w:eastAsia="MS Mincho" w:hAnsi="Arial" w:cs="Arial"/>
                <w:bCs/>
                <w:lang w:eastAsia="ja-JP"/>
              </w:rPr>
              <w:t xml:space="preserve">via telephone, online </w:t>
            </w:r>
            <w:r w:rsidRPr="00F90610">
              <w:rPr>
                <w:rFonts w:ascii="Arial" w:eastAsia="MS Mincho" w:hAnsi="Arial" w:cs="Arial"/>
                <w:bCs/>
                <w:lang w:eastAsia="ja-JP"/>
              </w:rPr>
              <w:t>questionnaire or other digital applications</w:t>
            </w:r>
            <w:r w:rsidR="00797A5C" w:rsidRPr="00F90610">
              <w:rPr>
                <w:rFonts w:ascii="Arial" w:eastAsia="MS Mincho" w:hAnsi="Arial" w:cs="Arial"/>
                <w:bCs/>
                <w:lang w:eastAsia="ja-JP"/>
              </w:rPr>
              <w:t xml:space="preserve"> but must provide equity of access</w:t>
            </w:r>
            <w:r w:rsidRPr="00F90610">
              <w:rPr>
                <w:rFonts w:ascii="Arial" w:eastAsia="MS Mincho" w:hAnsi="Arial" w:cs="Arial"/>
                <w:bCs/>
                <w:lang w:eastAsia="ja-JP"/>
              </w:rPr>
              <w:t>. All incoming referrals will require an appropriate level of triage.</w:t>
            </w:r>
            <w:r w:rsidR="007749C2" w:rsidRPr="00F90610">
              <w:rPr>
                <w:rFonts w:ascii="Arial" w:eastAsia="MS Mincho" w:hAnsi="Arial" w:cs="Arial"/>
                <w:bCs/>
                <w:lang w:eastAsia="ja-JP"/>
              </w:rPr>
              <w:t xml:space="preserve"> </w:t>
            </w:r>
          </w:p>
          <w:p w14:paraId="145A96A2" w14:textId="547C65F4" w:rsidR="00DD01D2" w:rsidRPr="00F90610" w:rsidRDefault="00DD01D2" w:rsidP="00A2729F">
            <w:pPr>
              <w:spacing w:line="276" w:lineRule="auto"/>
              <w:rPr>
                <w:rFonts w:ascii="Arial" w:eastAsia="MS Mincho" w:hAnsi="Arial" w:cs="Arial"/>
                <w:b/>
                <w:sz w:val="20"/>
                <w:szCs w:val="20"/>
                <w:lang w:eastAsia="ja-JP"/>
              </w:rPr>
            </w:pPr>
          </w:p>
          <w:p w14:paraId="034675E5" w14:textId="3CD31D5A" w:rsidR="007B23F0" w:rsidRPr="00F90610" w:rsidRDefault="004F288A" w:rsidP="007B23F0">
            <w:pPr>
              <w:pStyle w:val="Heading2"/>
              <w:rPr>
                <w:rFonts w:ascii="Arial" w:hAnsi="Arial" w:cs="Arial"/>
                <w:b/>
                <w:color w:val="auto"/>
                <w:sz w:val="20"/>
                <w:szCs w:val="20"/>
              </w:rPr>
            </w:pPr>
            <w:bookmarkStart w:id="6" w:name="_Toc127194667"/>
            <w:r>
              <w:rPr>
                <w:rFonts w:ascii="Arial" w:hAnsi="Arial" w:cs="Arial"/>
                <w:b/>
                <w:color w:val="auto"/>
                <w:sz w:val="20"/>
                <w:szCs w:val="20"/>
              </w:rPr>
              <w:t>3.3.6</w:t>
            </w:r>
            <w:r w:rsidR="005649AA">
              <w:rPr>
                <w:rFonts w:ascii="Arial" w:hAnsi="Arial" w:cs="Arial"/>
                <w:b/>
                <w:color w:val="auto"/>
                <w:sz w:val="20"/>
                <w:szCs w:val="20"/>
              </w:rPr>
              <w:t xml:space="preserve"> </w:t>
            </w:r>
            <w:r w:rsidR="007B23F0" w:rsidRPr="00F90610">
              <w:rPr>
                <w:rFonts w:ascii="Arial" w:hAnsi="Arial" w:cs="Arial"/>
                <w:b/>
                <w:color w:val="auto"/>
                <w:sz w:val="20"/>
                <w:szCs w:val="20"/>
              </w:rPr>
              <w:t>Digital</w:t>
            </w:r>
            <w:bookmarkEnd w:id="6"/>
            <w:r w:rsidR="007B23F0" w:rsidRPr="00F90610">
              <w:rPr>
                <w:rFonts w:ascii="Arial" w:hAnsi="Arial" w:cs="Arial"/>
                <w:b/>
                <w:color w:val="auto"/>
                <w:sz w:val="20"/>
                <w:szCs w:val="20"/>
              </w:rPr>
              <w:t xml:space="preserve"> </w:t>
            </w:r>
          </w:p>
          <w:p w14:paraId="41258D4F" w14:textId="77777777" w:rsidR="007B23F0" w:rsidRPr="00F90610" w:rsidRDefault="007B23F0" w:rsidP="007B23F0">
            <w:pPr>
              <w:rPr>
                <w:rFonts w:ascii="Arial" w:hAnsi="Arial" w:cs="Arial"/>
                <w:sz w:val="20"/>
                <w:szCs w:val="20"/>
              </w:rPr>
            </w:pPr>
          </w:p>
          <w:p w14:paraId="69672E6D" w14:textId="319910CE" w:rsidR="007749C2" w:rsidRDefault="007B23F0" w:rsidP="007749C2">
            <w:pPr>
              <w:pStyle w:val="CommentText"/>
              <w:rPr>
                <w:rFonts w:ascii="Arial" w:eastAsia="MS Mincho" w:hAnsi="Arial" w:cs="Arial"/>
                <w:bCs/>
                <w:lang w:eastAsia="ja-JP"/>
              </w:rPr>
            </w:pPr>
            <w:r w:rsidRPr="00F90610">
              <w:rPr>
                <w:rFonts w:ascii="Arial" w:eastAsia="MS Mincho" w:hAnsi="Arial" w:cs="Arial"/>
                <w:bCs/>
                <w:lang w:eastAsia="ja-JP"/>
              </w:rPr>
              <w:t xml:space="preserve">The </w:t>
            </w:r>
            <w:r w:rsidR="000F06EB">
              <w:rPr>
                <w:rFonts w:ascii="Arial" w:eastAsia="MS Mincho" w:hAnsi="Arial" w:cs="Arial"/>
                <w:bCs/>
                <w:lang w:eastAsia="ja-JP"/>
              </w:rPr>
              <w:t>S</w:t>
            </w:r>
            <w:r w:rsidRPr="00F90610">
              <w:rPr>
                <w:rFonts w:ascii="Arial" w:eastAsia="MS Mincho" w:hAnsi="Arial" w:cs="Arial"/>
                <w:bCs/>
                <w:lang w:eastAsia="ja-JP"/>
              </w:rPr>
              <w:t>ervice will provide digital options which may support patients with initial referral, triage, signposting, along with education and self-management education</w:t>
            </w:r>
            <w:r w:rsidR="002925D6" w:rsidRPr="00F90610">
              <w:rPr>
                <w:rFonts w:ascii="Arial" w:eastAsia="MS Mincho" w:hAnsi="Arial" w:cs="Arial"/>
                <w:bCs/>
                <w:lang w:eastAsia="ja-JP"/>
              </w:rPr>
              <w:t xml:space="preserve"> (i.e. group based sessions)</w:t>
            </w:r>
            <w:r w:rsidRPr="00F90610">
              <w:rPr>
                <w:rFonts w:ascii="Arial" w:eastAsia="MS Mincho" w:hAnsi="Arial" w:cs="Arial"/>
                <w:bCs/>
                <w:lang w:eastAsia="ja-JP"/>
              </w:rPr>
              <w:t>. Ideally</w:t>
            </w:r>
            <w:r w:rsidR="000966C5">
              <w:rPr>
                <w:rFonts w:ascii="Arial" w:eastAsia="MS Mincho" w:hAnsi="Arial" w:cs="Arial"/>
                <w:bCs/>
                <w:lang w:eastAsia="ja-JP"/>
              </w:rPr>
              <w:t>,</w:t>
            </w:r>
            <w:r w:rsidRPr="009D2C28">
              <w:rPr>
                <w:rFonts w:ascii="Arial" w:eastAsia="MS Mincho" w:hAnsi="Arial" w:cs="Arial"/>
                <w:bCs/>
                <w:color w:val="FF0000"/>
                <w:lang w:eastAsia="ja-JP"/>
              </w:rPr>
              <w:t xml:space="preserve"> </w:t>
            </w:r>
            <w:r w:rsidRPr="00F90610">
              <w:rPr>
                <w:rFonts w:ascii="Arial" w:eastAsia="MS Mincho" w:hAnsi="Arial" w:cs="Arial"/>
                <w:bCs/>
                <w:lang w:eastAsia="ja-JP"/>
              </w:rPr>
              <w:t xml:space="preserve">digital options should also enable patient control over appointment-booking. Digital patient care should undergo robust and continual evaluation to ensure diagnostic accuracy, quality of care and equality of access. </w:t>
            </w:r>
          </w:p>
          <w:p w14:paraId="319D06FD" w14:textId="46D3F53A" w:rsidR="007B23F0" w:rsidRPr="00F90610" w:rsidRDefault="007B23F0" w:rsidP="007B23F0">
            <w:pPr>
              <w:spacing w:line="276" w:lineRule="auto"/>
              <w:jc w:val="both"/>
              <w:rPr>
                <w:rFonts w:ascii="Arial" w:eastAsia="MS Mincho" w:hAnsi="Arial" w:cs="Arial"/>
                <w:bCs/>
                <w:sz w:val="20"/>
                <w:szCs w:val="20"/>
                <w:lang w:eastAsia="ja-JP"/>
              </w:rPr>
            </w:pPr>
          </w:p>
          <w:p w14:paraId="12749086" w14:textId="1D72014A" w:rsidR="007749C2" w:rsidRPr="00F90610" w:rsidRDefault="007B23F0" w:rsidP="007749C2">
            <w:pPr>
              <w:pStyle w:val="CommentText"/>
              <w:rPr>
                <w:rFonts w:ascii="Arial" w:hAnsi="Arial" w:cs="Arial"/>
                <w:strike/>
              </w:rPr>
            </w:pPr>
            <w:r w:rsidRPr="00F90610">
              <w:rPr>
                <w:rFonts w:ascii="Arial" w:eastAsia="MS Mincho" w:hAnsi="Arial" w:cs="Arial"/>
                <w:bCs/>
                <w:lang w:eastAsia="ja-JP"/>
              </w:rPr>
              <w:t>A digital pathway should be regularly reviewed, with established data benchmarking and KPIs. Sensitivity and specificity of digital screening tools should be scrutinised to ensure safe clinical assessment, without undue escalation of patients to both primary and specialist Tier 2 clinics</w:t>
            </w:r>
            <w:r w:rsidR="002925D6" w:rsidRPr="00F90610">
              <w:rPr>
                <w:rFonts w:ascii="Arial" w:eastAsia="MS Mincho" w:hAnsi="Arial" w:cs="Arial"/>
                <w:bCs/>
                <w:lang w:eastAsia="ja-JP"/>
              </w:rPr>
              <w:t>, or urgent care services</w:t>
            </w:r>
            <w:r w:rsidRPr="00F90610">
              <w:rPr>
                <w:rFonts w:ascii="Arial" w:eastAsia="MS Mincho" w:hAnsi="Arial" w:cs="Arial"/>
                <w:bCs/>
                <w:lang w:eastAsia="ja-JP"/>
              </w:rPr>
              <w:t xml:space="preserve">. </w:t>
            </w:r>
          </w:p>
          <w:p w14:paraId="5E25085F" w14:textId="43D02F0D" w:rsidR="007B23F0" w:rsidRPr="00F90610" w:rsidRDefault="007B23F0" w:rsidP="007B23F0">
            <w:pPr>
              <w:spacing w:line="276" w:lineRule="auto"/>
              <w:jc w:val="both"/>
              <w:rPr>
                <w:rFonts w:ascii="Arial" w:eastAsia="MS Mincho" w:hAnsi="Arial" w:cs="Arial"/>
                <w:bCs/>
                <w:sz w:val="20"/>
                <w:szCs w:val="20"/>
                <w:lang w:eastAsia="ja-JP"/>
              </w:rPr>
            </w:pPr>
          </w:p>
          <w:p w14:paraId="7A379D6F" w14:textId="4F92C432" w:rsidR="00E5251D" w:rsidRDefault="007B23F0" w:rsidP="00E5251D">
            <w:pPr>
              <w:pStyle w:val="CommentText"/>
              <w:rPr>
                <w:rFonts w:ascii="Arial" w:eastAsia="MS Mincho" w:hAnsi="Arial" w:cs="Arial"/>
                <w:bCs/>
                <w:lang w:eastAsia="ja-JP"/>
              </w:rPr>
            </w:pPr>
            <w:r w:rsidRPr="00F90610">
              <w:rPr>
                <w:rFonts w:ascii="Arial" w:eastAsia="MS Mincho" w:hAnsi="Arial" w:cs="Arial"/>
                <w:bCs/>
                <w:lang w:eastAsia="ja-JP"/>
              </w:rPr>
              <w:t xml:space="preserve">The digital </w:t>
            </w:r>
            <w:r w:rsidR="002925D6" w:rsidRPr="00F90610">
              <w:rPr>
                <w:rFonts w:ascii="Arial" w:eastAsia="MS Mincho" w:hAnsi="Arial" w:cs="Arial"/>
                <w:bCs/>
                <w:lang w:eastAsia="ja-JP"/>
              </w:rPr>
              <w:t>se</w:t>
            </w:r>
            <w:r w:rsidR="00D275AE" w:rsidRPr="00F90610">
              <w:rPr>
                <w:rFonts w:ascii="Arial" w:eastAsia="MS Mincho" w:hAnsi="Arial" w:cs="Arial"/>
                <w:bCs/>
                <w:lang w:eastAsia="ja-JP"/>
              </w:rPr>
              <w:t>lf-</w:t>
            </w:r>
            <w:r w:rsidR="002925D6" w:rsidRPr="00F90610">
              <w:rPr>
                <w:rFonts w:ascii="Arial" w:eastAsia="MS Mincho" w:hAnsi="Arial" w:cs="Arial"/>
                <w:bCs/>
                <w:lang w:eastAsia="ja-JP"/>
              </w:rPr>
              <w:t>management tools</w:t>
            </w:r>
            <w:r w:rsidR="00833E51" w:rsidRPr="00833E51">
              <w:rPr>
                <w:rFonts w:ascii="Arial" w:eastAsia="MS Mincho" w:hAnsi="Arial" w:cs="Arial"/>
                <w:bCs/>
                <w:color w:val="FF0000"/>
                <w:lang w:eastAsia="ja-JP"/>
              </w:rPr>
              <w:t xml:space="preserve"> </w:t>
            </w:r>
            <w:r w:rsidRPr="00F90610">
              <w:rPr>
                <w:rFonts w:ascii="Arial" w:eastAsia="MS Mincho" w:hAnsi="Arial" w:cs="Arial"/>
                <w:bCs/>
                <w:lang w:eastAsia="ja-JP"/>
              </w:rPr>
              <w:t xml:space="preserve">should also be available to primary care clinicians to enable patients to be managed without referral.  </w:t>
            </w:r>
          </w:p>
          <w:p w14:paraId="77BDA172" w14:textId="2ACCDA86" w:rsidR="007C3FD2" w:rsidRPr="00F90610" w:rsidRDefault="007C3FD2" w:rsidP="007B23F0">
            <w:pPr>
              <w:spacing w:line="276" w:lineRule="auto"/>
              <w:jc w:val="both"/>
              <w:rPr>
                <w:rFonts w:ascii="Arial" w:eastAsia="MS Mincho" w:hAnsi="Arial" w:cs="Arial"/>
                <w:bCs/>
                <w:sz w:val="20"/>
                <w:szCs w:val="20"/>
                <w:lang w:eastAsia="ja-JP"/>
              </w:rPr>
            </w:pPr>
          </w:p>
          <w:p w14:paraId="39A50BDE" w14:textId="5EE67A2D" w:rsidR="007B23F0" w:rsidRPr="00C54BA6" w:rsidRDefault="004F288A" w:rsidP="007B23F0">
            <w:pPr>
              <w:pStyle w:val="Heading2"/>
              <w:rPr>
                <w:rFonts w:ascii="Arial" w:hAnsi="Arial" w:cs="Arial"/>
                <w:b/>
                <w:color w:val="auto"/>
                <w:sz w:val="20"/>
                <w:szCs w:val="20"/>
              </w:rPr>
            </w:pPr>
            <w:bookmarkStart w:id="7" w:name="_Toc127194668"/>
            <w:r>
              <w:rPr>
                <w:rFonts w:ascii="Arial" w:hAnsi="Arial" w:cs="Arial"/>
                <w:b/>
                <w:color w:val="auto"/>
                <w:sz w:val="20"/>
                <w:szCs w:val="20"/>
              </w:rPr>
              <w:t>3.3.7</w:t>
            </w:r>
            <w:r w:rsidR="00C54BA6">
              <w:rPr>
                <w:rFonts w:ascii="Arial" w:hAnsi="Arial" w:cs="Arial"/>
                <w:b/>
                <w:color w:val="auto"/>
                <w:sz w:val="20"/>
                <w:szCs w:val="20"/>
              </w:rPr>
              <w:t xml:space="preserve"> </w:t>
            </w:r>
            <w:r w:rsidR="007B23F0" w:rsidRPr="00C54BA6">
              <w:rPr>
                <w:rFonts w:ascii="Arial" w:hAnsi="Arial" w:cs="Arial"/>
                <w:b/>
                <w:color w:val="auto"/>
                <w:sz w:val="20"/>
                <w:szCs w:val="20"/>
              </w:rPr>
              <w:t>Premises</w:t>
            </w:r>
            <w:bookmarkEnd w:id="7"/>
          </w:p>
          <w:p w14:paraId="0BC51BC5" w14:textId="77777777" w:rsidR="007B23F0" w:rsidRPr="007B23F0" w:rsidRDefault="007B23F0" w:rsidP="007B23F0">
            <w:pPr>
              <w:rPr>
                <w:rFonts w:ascii="Arial" w:hAnsi="Arial" w:cs="Arial"/>
                <w:sz w:val="20"/>
                <w:szCs w:val="20"/>
              </w:rPr>
            </w:pPr>
          </w:p>
          <w:p w14:paraId="23C6F90F"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The provider is expected to review and tailor premises as appropriate for patient need, which may change over the length of the contract. Appropriate and flexible access should be made available. </w:t>
            </w:r>
          </w:p>
          <w:p w14:paraId="234D7989" w14:textId="77777777" w:rsidR="007B23F0" w:rsidRPr="007B23F0" w:rsidRDefault="007B23F0" w:rsidP="007B23F0">
            <w:pPr>
              <w:rPr>
                <w:rFonts w:ascii="Arial" w:hAnsi="Arial" w:cs="Arial"/>
                <w:sz w:val="20"/>
                <w:szCs w:val="20"/>
              </w:rPr>
            </w:pPr>
          </w:p>
          <w:p w14:paraId="6E3C4260" w14:textId="5819F4BF" w:rsidR="007B23F0" w:rsidRPr="007B23F0" w:rsidRDefault="007B23F0" w:rsidP="007B23F0">
            <w:pPr>
              <w:rPr>
                <w:rFonts w:ascii="Arial" w:hAnsi="Arial" w:cs="Arial"/>
                <w:sz w:val="20"/>
                <w:szCs w:val="20"/>
              </w:rPr>
            </w:pPr>
            <w:r w:rsidRPr="007B23F0">
              <w:rPr>
                <w:rFonts w:ascii="Arial" w:hAnsi="Arial" w:cs="Arial"/>
                <w:sz w:val="20"/>
                <w:szCs w:val="20"/>
              </w:rPr>
              <w:t xml:space="preserve">The provider will operate the </w:t>
            </w:r>
            <w:r w:rsidR="000F06EB">
              <w:rPr>
                <w:rFonts w:ascii="Arial" w:hAnsi="Arial" w:cs="Arial"/>
                <w:sz w:val="20"/>
                <w:szCs w:val="20"/>
              </w:rPr>
              <w:t>S</w:t>
            </w:r>
            <w:r w:rsidRPr="007B23F0">
              <w:rPr>
                <w:rFonts w:ascii="Arial" w:hAnsi="Arial" w:cs="Arial"/>
                <w:sz w:val="20"/>
                <w:szCs w:val="20"/>
              </w:rPr>
              <w:t xml:space="preserve">ervice between 0900 and 1700 Monday to Friday, excluding bank holidays. The provider should work to develop evening and weekend service provision, based on demand analysis, within the contract value. </w:t>
            </w:r>
          </w:p>
          <w:p w14:paraId="44C834FA" w14:textId="77777777" w:rsidR="000401FB" w:rsidRPr="007B23F0" w:rsidRDefault="000401FB" w:rsidP="007B23F0">
            <w:pPr>
              <w:rPr>
                <w:rFonts w:ascii="Arial" w:hAnsi="Arial" w:cs="Arial"/>
                <w:sz w:val="20"/>
                <w:szCs w:val="20"/>
              </w:rPr>
            </w:pPr>
          </w:p>
          <w:p w14:paraId="4B460AE1" w14:textId="77777777" w:rsidR="007B23F0" w:rsidRPr="007B23F0" w:rsidRDefault="007B23F0" w:rsidP="007B23F0">
            <w:pPr>
              <w:rPr>
                <w:rFonts w:ascii="Arial" w:hAnsi="Arial" w:cs="Arial"/>
                <w:sz w:val="20"/>
                <w:szCs w:val="20"/>
              </w:rPr>
            </w:pPr>
            <w:r w:rsidRPr="007B23F0">
              <w:rPr>
                <w:rFonts w:ascii="Arial" w:hAnsi="Arial" w:cs="Arial"/>
                <w:sz w:val="20"/>
                <w:szCs w:val="20"/>
              </w:rPr>
              <w:t>The provider is expected to review and tailor the location of premises to the geographical areas of greatest patient need throughout the contract. Needs may change over the time of the contract and the development of any future locations must be agreed with Commissioners prior to implementation.</w:t>
            </w:r>
          </w:p>
          <w:p w14:paraId="591C35E6" w14:textId="77777777" w:rsidR="007B23F0" w:rsidRPr="00C54BA6" w:rsidRDefault="007B23F0" w:rsidP="007B23F0">
            <w:pPr>
              <w:rPr>
                <w:rFonts w:ascii="Arial" w:hAnsi="Arial" w:cs="Arial"/>
                <w:b/>
                <w:sz w:val="20"/>
                <w:szCs w:val="20"/>
              </w:rPr>
            </w:pPr>
          </w:p>
          <w:p w14:paraId="2A4CA26E" w14:textId="31577BAB" w:rsidR="007B23F0" w:rsidRPr="00C54BA6" w:rsidRDefault="004F288A" w:rsidP="007B23F0">
            <w:pPr>
              <w:pStyle w:val="Heading2"/>
              <w:rPr>
                <w:rFonts w:ascii="Arial" w:hAnsi="Arial" w:cs="Arial"/>
                <w:b/>
                <w:color w:val="auto"/>
                <w:sz w:val="20"/>
                <w:szCs w:val="20"/>
              </w:rPr>
            </w:pPr>
            <w:bookmarkStart w:id="8" w:name="_Toc127194669"/>
            <w:r>
              <w:rPr>
                <w:rFonts w:ascii="Arial" w:hAnsi="Arial" w:cs="Arial"/>
                <w:b/>
                <w:color w:val="auto"/>
                <w:sz w:val="20"/>
                <w:szCs w:val="20"/>
              </w:rPr>
              <w:t>3.3.8</w:t>
            </w:r>
            <w:r w:rsidR="00C54BA6">
              <w:rPr>
                <w:rFonts w:ascii="Arial" w:hAnsi="Arial" w:cs="Arial"/>
                <w:b/>
                <w:color w:val="auto"/>
                <w:sz w:val="20"/>
                <w:szCs w:val="20"/>
              </w:rPr>
              <w:t xml:space="preserve"> </w:t>
            </w:r>
            <w:r w:rsidR="007B23F0" w:rsidRPr="00C54BA6">
              <w:rPr>
                <w:rFonts w:ascii="Arial" w:hAnsi="Arial" w:cs="Arial"/>
                <w:b/>
                <w:color w:val="auto"/>
                <w:sz w:val="20"/>
                <w:szCs w:val="20"/>
              </w:rPr>
              <w:t>Underserved groups</w:t>
            </w:r>
            <w:bookmarkEnd w:id="8"/>
          </w:p>
          <w:p w14:paraId="590022B0" w14:textId="77777777" w:rsidR="007B23F0" w:rsidRPr="007B23F0" w:rsidRDefault="007B23F0" w:rsidP="007B23F0">
            <w:pPr>
              <w:rPr>
                <w:rFonts w:ascii="Arial" w:hAnsi="Arial" w:cs="Arial"/>
                <w:sz w:val="20"/>
                <w:szCs w:val="20"/>
              </w:rPr>
            </w:pPr>
          </w:p>
          <w:p w14:paraId="753F93C6" w14:textId="6E263F65" w:rsidR="007B23F0" w:rsidRDefault="007B23F0" w:rsidP="007B23F0">
            <w:pPr>
              <w:rPr>
                <w:rFonts w:ascii="Arial" w:hAnsi="Arial" w:cs="Arial"/>
                <w:sz w:val="20"/>
                <w:szCs w:val="20"/>
              </w:rPr>
            </w:pPr>
            <w:r w:rsidRPr="007B23F0">
              <w:rPr>
                <w:rFonts w:ascii="Arial" w:hAnsi="Arial" w:cs="Arial"/>
                <w:sz w:val="20"/>
                <w:szCs w:val="20"/>
              </w:rPr>
              <w:t xml:space="preserve">North West </w:t>
            </w:r>
            <w:r w:rsidRPr="00DA02B5">
              <w:rPr>
                <w:rFonts w:ascii="Arial" w:hAnsi="Arial" w:cs="Arial"/>
                <w:sz w:val="20"/>
                <w:szCs w:val="20"/>
              </w:rPr>
              <w:t xml:space="preserve">London represents a large sector with varying population needs, which includes several under-served </w:t>
            </w:r>
            <w:r w:rsidR="00C54BA6" w:rsidRPr="00DA02B5">
              <w:rPr>
                <w:rFonts w:ascii="Arial" w:hAnsi="Arial" w:cs="Arial"/>
                <w:sz w:val="20"/>
                <w:szCs w:val="20"/>
              </w:rPr>
              <w:t>groups</w:t>
            </w:r>
            <w:r w:rsidR="00963324" w:rsidRPr="00DA02B5">
              <w:t xml:space="preserve"> </w:t>
            </w:r>
            <w:r w:rsidR="00911D4B" w:rsidRPr="00DA02B5">
              <w:rPr>
                <w:rFonts w:ascii="Arial" w:hAnsi="Arial" w:cs="Arial"/>
                <w:sz w:val="20"/>
                <w:szCs w:val="20"/>
              </w:rPr>
              <w:t>(such as s</w:t>
            </w:r>
            <w:r w:rsidR="00963324" w:rsidRPr="00DA02B5">
              <w:rPr>
                <w:rFonts w:ascii="Arial" w:hAnsi="Arial" w:cs="Arial"/>
                <w:sz w:val="20"/>
                <w:szCs w:val="20"/>
              </w:rPr>
              <w:t>ocial support groups of same languages with health coaches/ social prescribers having the interpreters to increase inclusion)</w:t>
            </w:r>
            <w:r w:rsidR="00C54BA6" w:rsidRPr="00DA02B5">
              <w:rPr>
                <w:rFonts w:ascii="Arial" w:hAnsi="Arial" w:cs="Arial"/>
                <w:sz w:val="20"/>
                <w:szCs w:val="20"/>
              </w:rPr>
              <w:t xml:space="preserve">. The </w:t>
            </w:r>
            <w:r w:rsidR="000F06EB">
              <w:rPr>
                <w:rFonts w:ascii="Arial" w:hAnsi="Arial" w:cs="Arial"/>
                <w:sz w:val="20"/>
                <w:szCs w:val="20"/>
              </w:rPr>
              <w:t>S</w:t>
            </w:r>
            <w:r w:rsidR="00C54BA6" w:rsidRPr="00DA02B5">
              <w:rPr>
                <w:rFonts w:ascii="Arial" w:hAnsi="Arial" w:cs="Arial"/>
                <w:sz w:val="20"/>
                <w:szCs w:val="20"/>
              </w:rPr>
              <w:t xml:space="preserve">ervice </w:t>
            </w:r>
            <w:r w:rsidR="00C54BA6">
              <w:rPr>
                <w:rFonts w:ascii="Arial" w:hAnsi="Arial" w:cs="Arial"/>
                <w:sz w:val="20"/>
                <w:szCs w:val="20"/>
              </w:rPr>
              <w:t>should seek</w:t>
            </w:r>
            <w:r w:rsidRPr="007B23F0">
              <w:rPr>
                <w:rFonts w:ascii="Arial" w:hAnsi="Arial" w:cs="Arial"/>
                <w:sz w:val="20"/>
                <w:szCs w:val="20"/>
              </w:rPr>
              <w:t xml:space="preserve"> appropriate representation with patient partners / lived experienced partners from such communities. Social prescribers may be useful to engage with under-served communities, and appropriate language support will be essential. </w:t>
            </w:r>
          </w:p>
          <w:p w14:paraId="2A55496E" w14:textId="24EECDFD" w:rsidR="000E519E" w:rsidRDefault="000E519E" w:rsidP="007B23F0">
            <w:pPr>
              <w:rPr>
                <w:rFonts w:ascii="Arial" w:hAnsi="Arial" w:cs="Arial"/>
                <w:sz w:val="20"/>
                <w:szCs w:val="20"/>
              </w:rPr>
            </w:pPr>
          </w:p>
          <w:p w14:paraId="78613242" w14:textId="6E72BD22" w:rsidR="000E519E" w:rsidRDefault="000E519E" w:rsidP="007B23F0">
            <w:pPr>
              <w:rPr>
                <w:rFonts w:ascii="Arial" w:hAnsi="Arial" w:cs="Arial"/>
                <w:sz w:val="20"/>
                <w:szCs w:val="20"/>
              </w:rPr>
            </w:pPr>
            <w:r>
              <w:rPr>
                <w:rFonts w:ascii="Arial" w:hAnsi="Arial" w:cs="Arial"/>
                <w:sz w:val="20"/>
                <w:szCs w:val="20"/>
              </w:rPr>
              <w:t xml:space="preserve">Appropriate interpretation and translation services and tools should be employed to meet varying language needs. </w:t>
            </w:r>
          </w:p>
          <w:p w14:paraId="23150AF8" w14:textId="77777777" w:rsidR="007B23F0" w:rsidRPr="00C54BA6" w:rsidRDefault="007B23F0" w:rsidP="007B23F0">
            <w:pPr>
              <w:rPr>
                <w:rFonts w:ascii="Arial" w:hAnsi="Arial" w:cs="Arial"/>
                <w:b/>
                <w:sz w:val="20"/>
                <w:szCs w:val="20"/>
              </w:rPr>
            </w:pPr>
          </w:p>
          <w:p w14:paraId="79527F44" w14:textId="02D347E0" w:rsidR="007B23F0" w:rsidRPr="00C54BA6" w:rsidRDefault="004F288A" w:rsidP="007B23F0">
            <w:pPr>
              <w:pStyle w:val="Heading2"/>
              <w:rPr>
                <w:rFonts w:ascii="Arial" w:hAnsi="Arial" w:cs="Arial"/>
                <w:b/>
                <w:color w:val="auto"/>
                <w:sz w:val="20"/>
                <w:szCs w:val="20"/>
              </w:rPr>
            </w:pPr>
            <w:bookmarkStart w:id="9" w:name="_Toc127194670"/>
            <w:r>
              <w:rPr>
                <w:rFonts w:ascii="Arial" w:hAnsi="Arial" w:cs="Arial"/>
                <w:b/>
                <w:color w:val="auto"/>
                <w:sz w:val="20"/>
                <w:szCs w:val="20"/>
              </w:rPr>
              <w:t>3.3.9</w:t>
            </w:r>
            <w:r w:rsidR="00C54BA6">
              <w:rPr>
                <w:rFonts w:ascii="Arial" w:hAnsi="Arial" w:cs="Arial"/>
                <w:b/>
                <w:color w:val="auto"/>
                <w:sz w:val="20"/>
                <w:szCs w:val="20"/>
              </w:rPr>
              <w:t xml:space="preserve"> </w:t>
            </w:r>
            <w:r w:rsidR="007B23F0" w:rsidRPr="00C54BA6">
              <w:rPr>
                <w:rFonts w:ascii="Arial" w:hAnsi="Arial" w:cs="Arial"/>
                <w:b/>
                <w:color w:val="auto"/>
                <w:sz w:val="20"/>
                <w:szCs w:val="20"/>
              </w:rPr>
              <w:t>Information Management and Technology</w:t>
            </w:r>
            <w:bookmarkEnd w:id="9"/>
            <w:r w:rsidR="007B23F0" w:rsidRPr="00C54BA6">
              <w:rPr>
                <w:rFonts w:ascii="Arial" w:hAnsi="Arial" w:cs="Arial"/>
                <w:b/>
                <w:color w:val="auto"/>
                <w:sz w:val="20"/>
                <w:szCs w:val="20"/>
              </w:rPr>
              <w:t xml:space="preserve"> </w:t>
            </w:r>
          </w:p>
          <w:p w14:paraId="6CE9563A" w14:textId="77777777" w:rsidR="007B23F0" w:rsidRPr="007B23F0" w:rsidRDefault="007B23F0" w:rsidP="007B23F0">
            <w:pPr>
              <w:rPr>
                <w:rFonts w:ascii="Arial" w:hAnsi="Arial" w:cs="Arial"/>
                <w:sz w:val="20"/>
                <w:szCs w:val="20"/>
              </w:rPr>
            </w:pPr>
          </w:p>
          <w:p w14:paraId="4E9DD918" w14:textId="0846715F" w:rsidR="007B23F0" w:rsidRDefault="007B23F0" w:rsidP="007B23F0">
            <w:pPr>
              <w:rPr>
                <w:rFonts w:ascii="Arial" w:hAnsi="Arial" w:cs="Arial"/>
                <w:sz w:val="20"/>
                <w:szCs w:val="20"/>
              </w:rPr>
            </w:pPr>
            <w:r w:rsidRPr="007B23F0">
              <w:rPr>
                <w:rFonts w:ascii="Arial" w:hAnsi="Arial" w:cs="Arial"/>
                <w:sz w:val="20"/>
                <w:szCs w:val="20"/>
              </w:rPr>
              <w:t xml:space="preserve">Digital integration and interoperability enables joined up patient care. </w:t>
            </w:r>
            <w:r w:rsidRPr="007B23F0">
              <w:rPr>
                <w:rFonts w:ascii="Arial" w:eastAsia="MS Mincho" w:hAnsi="Arial" w:cs="Arial"/>
                <w:bCs/>
                <w:sz w:val="20"/>
                <w:szCs w:val="20"/>
                <w:lang w:eastAsia="ja-JP"/>
              </w:rPr>
              <w:t xml:space="preserve">The </w:t>
            </w:r>
            <w:r w:rsidR="000F06EB">
              <w:rPr>
                <w:rFonts w:ascii="Arial" w:eastAsia="MS Mincho" w:hAnsi="Arial" w:cs="Arial"/>
                <w:bCs/>
                <w:sz w:val="20"/>
                <w:szCs w:val="20"/>
                <w:lang w:eastAsia="ja-JP"/>
              </w:rPr>
              <w:t>S</w:t>
            </w:r>
            <w:r w:rsidRPr="007B23F0">
              <w:rPr>
                <w:rFonts w:ascii="Arial" w:eastAsia="MS Mincho" w:hAnsi="Arial" w:cs="Arial"/>
                <w:bCs/>
                <w:sz w:val="20"/>
                <w:szCs w:val="20"/>
                <w:lang w:eastAsia="ja-JP"/>
              </w:rPr>
              <w:t xml:space="preserve">ervice provider will be required to use an appropriate </w:t>
            </w:r>
            <w:r w:rsidR="000966C5">
              <w:rPr>
                <w:rFonts w:ascii="Arial" w:eastAsia="MS Mincho" w:hAnsi="Arial" w:cs="Arial"/>
                <w:bCs/>
                <w:sz w:val="20"/>
                <w:szCs w:val="20"/>
                <w:lang w:eastAsia="ja-JP"/>
              </w:rPr>
              <w:t xml:space="preserve">electronic </w:t>
            </w:r>
            <w:r w:rsidRPr="007B23F0">
              <w:rPr>
                <w:rFonts w:ascii="Arial" w:eastAsia="MS Mincho" w:hAnsi="Arial" w:cs="Arial"/>
                <w:bCs/>
                <w:sz w:val="20"/>
                <w:szCs w:val="20"/>
                <w:lang w:eastAsia="ja-JP"/>
              </w:rPr>
              <w:t xml:space="preserve">health record system integrated with primary care to deliver the </w:t>
            </w:r>
            <w:r w:rsidR="000F06EB">
              <w:rPr>
                <w:rFonts w:ascii="Arial" w:eastAsia="MS Mincho" w:hAnsi="Arial" w:cs="Arial"/>
                <w:bCs/>
                <w:sz w:val="20"/>
                <w:szCs w:val="20"/>
                <w:lang w:eastAsia="ja-JP"/>
              </w:rPr>
              <w:t>S</w:t>
            </w:r>
            <w:r w:rsidRPr="007B23F0">
              <w:rPr>
                <w:rFonts w:ascii="Arial" w:eastAsia="MS Mincho" w:hAnsi="Arial" w:cs="Arial"/>
                <w:bCs/>
                <w:sz w:val="20"/>
                <w:szCs w:val="20"/>
                <w:lang w:eastAsia="ja-JP"/>
              </w:rPr>
              <w:t xml:space="preserve">ervice. </w:t>
            </w:r>
            <w:r w:rsidR="000966C5">
              <w:rPr>
                <w:rFonts w:ascii="Arial" w:hAnsi="Arial" w:cs="Arial"/>
                <w:sz w:val="20"/>
                <w:szCs w:val="20"/>
              </w:rPr>
              <w:t>T</w:t>
            </w:r>
            <w:r w:rsidRPr="007B23F0">
              <w:rPr>
                <w:rFonts w:ascii="Arial" w:hAnsi="Arial" w:cs="Arial"/>
                <w:sz w:val="20"/>
                <w:szCs w:val="20"/>
              </w:rPr>
              <w:t xml:space="preserve">he </w:t>
            </w:r>
            <w:r w:rsidR="000F06EB">
              <w:rPr>
                <w:rFonts w:ascii="Arial" w:hAnsi="Arial" w:cs="Arial"/>
                <w:sz w:val="20"/>
                <w:szCs w:val="20"/>
              </w:rPr>
              <w:t>S</w:t>
            </w:r>
            <w:r w:rsidRPr="007B23F0">
              <w:rPr>
                <w:rFonts w:ascii="Arial" w:hAnsi="Arial" w:cs="Arial"/>
                <w:sz w:val="20"/>
                <w:szCs w:val="20"/>
              </w:rPr>
              <w:t xml:space="preserve">ervice should use the same digital health record system as </w:t>
            </w:r>
            <w:r w:rsidR="000966C5">
              <w:rPr>
                <w:rFonts w:ascii="Arial" w:hAnsi="Arial" w:cs="Arial"/>
                <w:sz w:val="20"/>
                <w:szCs w:val="20"/>
              </w:rPr>
              <w:t xml:space="preserve">predominantly </w:t>
            </w:r>
            <w:r w:rsidRPr="007B23F0">
              <w:rPr>
                <w:rFonts w:ascii="Arial" w:hAnsi="Arial" w:cs="Arial"/>
                <w:sz w:val="20"/>
                <w:szCs w:val="20"/>
              </w:rPr>
              <w:t xml:space="preserve">utilised by primary care within that borough (TPP </w:t>
            </w:r>
            <w:proofErr w:type="spellStart"/>
            <w:r w:rsidRPr="007B23F0">
              <w:rPr>
                <w:rFonts w:ascii="Arial" w:hAnsi="Arial" w:cs="Arial"/>
                <w:sz w:val="20"/>
                <w:szCs w:val="20"/>
              </w:rPr>
              <w:t>SystmOne</w:t>
            </w:r>
            <w:proofErr w:type="spellEnd"/>
            <w:r w:rsidRPr="007B23F0">
              <w:rPr>
                <w:rFonts w:ascii="Arial" w:hAnsi="Arial" w:cs="Arial"/>
                <w:sz w:val="20"/>
                <w:szCs w:val="20"/>
              </w:rPr>
              <w:t xml:space="preserve"> </w:t>
            </w:r>
            <w:r w:rsidR="000966C5">
              <w:rPr>
                <w:rFonts w:ascii="Arial" w:hAnsi="Arial" w:cs="Arial"/>
                <w:sz w:val="20"/>
                <w:szCs w:val="20"/>
              </w:rPr>
              <w:t xml:space="preserve">and </w:t>
            </w:r>
            <w:r w:rsidRPr="007B23F0">
              <w:rPr>
                <w:rFonts w:ascii="Arial" w:hAnsi="Arial" w:cs="Arial"/>
                <w:sz w:val="20"/>
                <w:szCs w:val="20"/>
              </w:rPr>
              <w:t>EMIS</w:t>
            </w:r>
            <w:r w:rsidR="000966C5">
              <w:rPr>
                <w:rFonts w:ascii="Arial" w:hAnsi="Arial" w:cs="Arial"/>
                <w:sz w:val="20"/>
                <w:szCs w:val="20"/>
              </w:rPr>
              <w:t xml:space="preserve"> Web</w:t>
            </w:r>
            <w:r w:rsidRPr="007B23F0">
              <w:rPr>
                <w:rFonts w:ascii="Arial" w:hAnsi="Arial" w:cs="Arial"/>
                <w:sz w:val="20"/>
                <w:szCs w:val="20"/>
              </w:rPr>
              <w:t xml:space="preserve"> are used by practices in NWL). </w:t>
            </w:r>
          </w:p>
          <w:p w14:paraId="189E4876" w14:textId="77777777" w:rsidR="007B23F0" w:rsidRPr="007B23F0" w:rsidRDefault="007B23F0" w:rsidP="007B23F0">
            <w:pPr>
              <w:spacing w:line="276" w:lineRule="auto"/>
              <w:jc w:val="both"/>
              <w:rPr>
                <w:rFonts w:ascii="Arial" w:eastAsia="MS Mincho" w:hAnsi="Arial" w:cs="Arial"/>
                <w:bCs/>
                <w:sz w:val="20"/>
                <w:szCs w:val="20"/>
                <w:lang w:eastAsia="ja-JP"/>
              </w:rPr>
            </w:pPr>
          </w:p>
          <w:p w14:paraId="0B4E8913" w14:textId="5A4EFF30" w:rsidR="007B23F0" w:rsidRPr="002925D6" w:rsidRDefault="007919F7" w:rsidP="007B23F0">
            <w:pPr>
              <w:spacing w:line="276" w:lineRule="auto"/>
              <w:jc w:val="both"/>
              <w:rPr>
                <w:rFonts w:ascii="Arial" w:eastAsia="MS Mincho" w:hAnsi="Arial" w:cs="Arial"/>
                <w:bCs/>
                <w:strike/>
                <w:color w:val="FF0000"/>
                <w:sz w:val="20"/>
                <w:szCs w:val="20"/>
                <w:lang w:eastAsia="ja-JP"/>
              </w:rPr>
            </w:pPr>
            <w:r>
              <w:rPr>
                <w:rFonts w:ascii="Arial" w:eastAsia="MS Mincho" w:hAnsi="Arial" w:cs="Arial"/>
                <w:bCs/>
                <w:sz w:val="20"/>
                <w:szCs w:val="20"/>
                <w:lang w:eastAsia="ja-JP"/>
              </w:rPr>
              <w:t>The S</w:t>
            </w:r>
            <w:r w:rsidR="007B23F0" w:rsidRPr="007B23F0">
              <w:rPr>
                <w:rFonts w:ascii="Arial" w:eastAsia="MS Mincho" w:hAnsi="Arial" w:cs="Arial"/>
                <w:bCs/>
                <w:sz w:val="20"/>
                <w:szCs w:val="20"/>
                <w:lang w:eastAsia="ja-JP"/>
              </w:rPr>
              <w:t xml:space="preserve">ervice should also have appropriate access to the NWL electronic </w:t>
            </w:r>
            <w:r w:rsidR="001B59E0">
              <w:rPr>
                <w:rFonts w:ascii="Arial" w:eastAsia="MS Mincho" w:hAnsi="Arial" w:cs="Arial"/>
                <w:bCs/>
                <w:sz w:val="20"/>
                <w:szCs w:val="20"/>
                <w:lang w:eastAsia="ja-JP"/>
              </w:rPr>
              <w:t xml:space="preserve">diagnostic </w:t>
            </w:r>
            <w:r w:rsidR="007B23F0" w:rsidRPr="007B23F0">
              <w:rPr>
                <w:rFonts w:ascii="Arial" w:eastAsia="MS Mincho" w:hAnsi="Arial" w:cs="Arial"/>
                <w:bCs/>
                <w:sz w:val="20"/>
                <w:szCs w:val="20"/>
                <w:lang w:eastAsia="ja-JP"/>
              </w:rPr>
              <w:t>ordering system (</w:t>
            </w:r>
            <w:proofErr w:type="spellStart"/>
            <w:r w:rsidR="007B23F0" w:rsidRPr="007B23F0">
              <w:rPr>
                <w:rFonts w:ascii="Arial" w:eastAsia="MS Mincho" w:hAnsi="Arial" w:cs="Arial"/>
                <w:bCs/>
                <w:sz w:val="20"/>
                <w:szCs w:val="20"/>
                <w:lang w:eastAsia="ja-JP"/>
              </w:rPr>
              <w:t>CliniSys</w:t>
            </w:r>
            <w:proofErr w:type="spellEnd"/>
            <w:r w:rsidR="007B23F0" w:rsidRPr="007B23F0">
              <w:rPr>
                <w:rFonts w:ascii="Arial" w:eastAsia="MS Mincho" w:hAnsi="Arial" w:cs="Arial"/>
                <w:bCs/>
                <w:sz w:val="20"/>
                <w:szCs w:val="20"/>
                <w:lang w:eastAsia="ja-JP"/>
              </w:rPr>
              <w:t xml:space="preserve"> ICE) to order both pathology and radiology diagnostics, as well as viewing of textual results. </w:t>
            </w:r>
          </w:p>
          <w:p w14:paraId="5EED45D6" w14:textId="77777777" w:rsidR="007B23F0" w:rsidRPr="007B23F0" w:rsidRDefault="007B23F0" w:rsidP="007B23F0">
            <w:pPr>
              <w:spacing w:line="276" w:lineRule="auto"/>
              <w:jc w:val="both"/>
              <w:rPr>
                <w:rFonts w:ascii="Arial" w:eastAsia="MS Mincho" w:hAnsi="Arial" w:cs="Arial"/>
                <w:bCs/>
                <w:sz w:val="20"/>
                <w:szCs w:val="20"/>
                <w:lang w:eastAsia="ja-JP"/>
              </w:rPr>
            </w:pPr>
          </w:p>
          <w:p w14:paraId="4F9D1BD3" w14:textId="360B8201" w:rsidR="007B23F0" w:rsidRPr="00F90610" w:rsidRDefault="00206524" w:rsidP="007B23F0">
            <w:pPr>
              <w:spacing w:line="276" w:lineRule="auto"/>
              <w:jc w:val="both"/>
              <w:rPr>
                <w:rFonts w:ascii="Arial" w:eastAsia="MS Mincho" w:hAnsi="Arial" w:cs="Arial"/>
                <w:bCs/>
                <w:strike/>
                <w:sz w:val="20"/>
                <w:szCs w:val="20"/>
                <w:lang w:eastAsia="ja-JP"/>
              </w:rPr>
            </w:pPr>
            <w:r>
              <w:rPr>
                <w:rFonts w:ascii="Arial" w:eastAsia="MS Mincho" w:hAnsi="Arial" w:cs="Arial"/>
                <w:bCs/>
                <w:sz w:val="20"/>
                <w:szCs w:val="20"/>
                <w:lang w:eastAsia="ja-JP"/>
              </w:rPr>
              <w:t>The Service should have a</w:t>
            </w:r>
            <w:r w:rsidR="007B23F0" w:rsidRPr="00F90610">
              <w:rPr>
                <w:rFonts w:ascii="Arial" w:eastAsia="MS Mincho" w:hAnsi="Arial" w:cs="Arial"/>
                <w:bCs/>
                <w:sz w:val="20"/>
                <w:szCs w:val="20"/>
                <w:lang w:eastAsia="ja-JP"/>
              </w:rPr>
              <w:t>ccess to</w:t>
            </w:r>
            <w:r>
              <w:rPr>
                <w:rFonts w:ascii="Arial" w:eastAsia="MS Mincho" w:hAnsi="Arial" w:cs="Arial"/>
                <w:bCs/>
                <w:sz w:val="20"/>
                <w:szCs w:val="20"/>
                <w:lang w:eastAsia="ja-JP"/>
              </w:rPr>
              <w:t xml:space="preserve"> the NWL</w:t>
            </w:r>
            <w:r w:rsidR="007B23F0" w:rsidRPr="00F90610">
              <w:rPr>
                <w:rFonts w:ascii="Arial" w:eastAsia="MS Mincho" w:hAnsi="Arial" w:cs="Arial"/>
                <w:bCs/>
                <w:sz w:val="20"/>
                <w:szCs w:val="20"/>
                <w:lang w:eastAsia="ja-JP"/>
              </w:rPr>
              <w:t xml:space="preserve"> SOLITON</w:t>
            </w:r>
            <w:r>
              <w:rPr>
                <w:rFonts w:ascii="Arial" w:eastAsia="MS Mincho" w:hAnsi="Arial" w:cs="Arial"/>
                <w:bCs/>
                <w:sz w:val="20"/>
                <w:szCs w:val="20"/>
                <w:lang w:eastAsia="ja-JP"/>
              </w:rPr>
              <w:t xml:space="preserve"> platform</w:t>
            </w:r>
            <w:r w:rsidR="007B23F0" w:rsidRPr="00F90610">
              <w:rPr>
                <w:rFonts w:ascii="Arial" w:eastAsia="MS Mincho" w:hAnsi="Arial" w:cs="Arial"/>
                <w:bCs/>
                <w:sz w:val="20"/>
                <w:szCs w:val="20"/>
                <w:lang w:eastAsia="ja-JP"/>
              </w:rPr>
              <w:t xml:space="preserve"> </w:t>
            </w:r>
            <w:r w:rsidR="009053A0" w:rsidRPr="00F90610">
              <w:rPr>
                <w:rFonts w:ascii="Arial" w:eastAsia="MS Mincho" w:hAnsi="Arial" w:cs="Arial"/>
                <w:bCs/>
                <w:sz w:val="20"/>
                <w:szCs w:val="20"/>
                <w:lang w:eastAsia="ja-JP"/>
              </w:rPr>
              <w:t>and the associated PACS system</w:t>
            </w:r>
            <w:r>
              <w:rPr>
                <w:rFonts w:ascii="Arial" w:eastAsia="MS Mincho" w:hAnsi="Arial" w:cs="Arial"/>
                <w:bCs/>
                <w:sz w:val="20"/>
                <w:szCs w:val="20"/>
                <w:lang w:eastAsia="ja-JP"/>
              </w:rPr>
              <w:t xml:space="preserve"> to</w:t>
            </w:r>
            <w:r w:rsidR="009053A0" w:rsidRPr="00F90610">
              <w:rPr>
                <w:rFonts w:ascii="Arial" w:eastAsia="MS Mincho" w:hAnsi="Arial" w:cs="Arial"/>
                <w:bCs/>
                <w:sz w:val="20"/>
                <w:szCs w:val="20"/>
                <w:lang w:eastAsia="ja-JP"/>
              </w:rPr>
              <w:t xml:space="preserve"> </w:t>
            </w:r>
            <w:r w:rsidR="007B23F0" w:rsidRPr="00F90610">
              <w:rPr>
                <w:rFonts w:ascii="Arial" w:eastAsia="MS Mincho" w:hAnsi="Arial" w:cs="Arial"/>
                <w:bCs/>
                <w:sz w:val="20"/>
                <w:szCs w:val="20"/>
                <w:lang w:eastAsia="ja-JP"/>
              </w:rPr>
              <w:t>enable the service to obtain real-time access to radiology image archiving systems across NWL providers</w:t>
            </w:r>
            <w:r>
              <w:rPr>
                <w:rFonts w:ascii="Arial" w:eastAsia="MS Mincho" w:hAnsi="Arial" w:cs="Arial"/>
                <w:bCs/>
                <w:sz w:val="20"/>
                <w:szCs w:val="20"/>
                <w:lang w:eastAsia="ja-JP"/>
              </w:rPr>
              <w:t>. This is to ensure clinicians are able to view radiology images as well as written reports.</w:t>
            </w:r>
            <w:r w:rsidR="000966C5">
              <w:rPr>
                <w:rFonts w:ascii="Arial" w:eastAsia="MS Mincho" w:hAnsi="Arial" w:cs="Arial"/>
                <w:bCs/>
                <w:sz w:val="20"/>
                <w:szCs w:val="20"/>
                <w:lang w:eastAsia="ja-JP"/>
              </w:rPr>
              <w:t xml:space="preserve"> </w:t>
            </w:r>
          </w:p>
          <w:p w14:paraId="59415BDF" w14:textId="77777777" w:rsidR="007B23F0" w:rsidRPr="00F90610" w:rsidRDefault="007B23F0" w:rsidP="007B23F0">
            <w:pPr>
              <w:spacing w:line="276" w:lineRule="auto"/>
              <w:jc w:val="both"/>
              <w:rPr>
                <w:rFonts w:ascii="Arial" w:eastAsia="MS Mincho" w:hAnsi="Arial" w:cs="Arial"/>
                <w:bCs/>
                <w:sz w:val="20"/>
                <w:szCs w:val="20"/>
                <w:lang w:eastAsia="ja-JP"/>
              </w:rPr>
            </w:pPr>
          </w:p>
          <w:p w14:paraId="3B6E5B45" w14:textId="758CAFEF" w:rsidR="007B23F0" w:rsidRPr="00F90610" w:rsidRDefault="007B23F0" w:rsidP="007B23F0">
            <w:pPr>
              <w:spacing w:line="276" w:lineRule="auto"/>
              <w:jc w:val="both"/>
              <w:rPr>
                <w:rFonts w:ascii="Arial" w:eastAsia="MS Mincho" w:hAnsi="Arial" w:cs="Arial"/>
                <w:bCs/>
                <w:sz w:val="20"/>
                <w:szCs w:val="20"/>
                <w:lang w:eastAsia="ja-JP"/>
              </w:rPr>
            </w:pPr>
            <w:r w:rsidRPr="00F90610">
              <w:rPr>
                <w:rFonts w:ascii="Arial" w:eastAsia="MS Mincho" w:hAnsi="Arial" w:cs="Arial"/>
                <w:bCs/>
                <w:sz w:val="20"/>
                <w:szCs w:val="20"/>
                <w:lang w:eastAsia="ja-JP"/>
              </w:rPr>
              <w:t>REGO Vantage is the preferred platform for Advic</w:t>
            </w:r>
            <w:r w:rsidR="009053A0" w:rsidRPr="00F90610">
              <w:rPr>
                <w:rFonts w:ascii="Arial" w:eastAsia="MS Mincho" w:hAnsi="Arial" w:cs="Arial"/>
                <w:bCs/>
                <w:sz w:val="20"/>
                <w:szCs w:val="20"/>
                <w:lang w:eastAsia="ja-JP"/>
              </w:rPr>
              <w:t>e &amp; Guidance across the sector, which the provider should also have access to.</w:t>
            </w:r>
          </w:p>
          <w:p w14:paraId="13B03711" w14:textId="77777777" w:rsidR="007B23F0" w:rsidRPr="00F90610" w:rsidRDefault="007B23F0" w:rsidP="007B23F0">
            <w:pPr>
              <w:spacing w:line="276" w:lineRule="auto"/>
              <w:jc w:val="both"/>
              <w:rPr>
                <w:rFonts w:ascii="Arial" w:eastAsia="MS Mincho" w:hAnsi="Arial" w:cs="Arial"/>
                <w:bCs/>
                <w:sz w:val="20"/>
                <w:szCs w:val="20"/>
                <w:lang w:eastAsia="ja-JP"/>
              </w:rPr>
            </w:pPr>
          </w:p>
          <w:p w14:paraId="6A3D4836" w14:textId="32F36360" w:rsidR="007B23F0" w:rsidRPr="00F90610" w:rsidRDefault="007B23F0" w:rsidP="007B23F0">
            <w:pPr>
              <w:spacing w:line="276" w:lineRule="auto"/>
              <w:jc w:val="both"/>
              <w:rPr>
                <w:rFonts w:ascii="Arial" w:eastAsia="MS Mincho" w:hAnsi="Arial" w:cs="Arial"/>
                <w:bCs/>
                <w:sz w:val="20"/>
                <w:szCs w:val="20"/>
                <w:lang w:eastAsia="ja-JP"/>
              </w:rPr>
            </w:pPr>
            <w:r w:rsidRPr="00F90610">
              <w:rPr>
                <w:rFonts w:ascii="Arial" w:eastAsia="MS Mincho" w:hAnsi="Arial" w:cs="Arial"/>
                <w:bCs/>
                <w:sz w:val="20"/>
                <w:szCs w:val="20"/>
                <w:lang w:eastAsia="ja-JP"/>
              </w:rPr>
              <w:t xml:space="preserve">The Provider will be responsible for the provision, maintenance and cost of all Information Management &amp; Technology (IM&amp;T) hardware and software, licenses and IT support services required to meet the needs of the Service. These will need to meet local and national standards and support NHS </w:t>
            </w:r>
            <w:r w:rsidR="00D275AE" w:rsidRPr="00F90610">
              <w:rPr>
                <w:rFonts w:ascii="Arial" w:eastAsia="MS Mincho" w:hAnsi="Arial" w:cs="Arial"/>
                <w:bCs/>
                <w:sz w:val="20"/>
                <w:szCs w:val="20"/>
                <w:lang w:eastAsia="ja-JP"/>
              </w:rPr>
              <w:t xml:space="preserve">NWL ICB’s </w:t>
            </w:r>
            <w:r w:rsidRPr="00F90610">
              <w:rPr>
                <w:rFonts w:ascii="Arial" w:eastAsia="MS Mincho" w:hAnsi="Arial" w:cs="Arial"/>
                <w:bCs/>
                <w:sz w:val="20"/>
                <w:szCs w:val="20"/>
                <w:lang w:eastAsia="ja-JP"/>
              </w:rPr>
              <w:t>direction of travel regarding interoperability.</w:t>
            </w:r>
          </w:p>
          <w:p w14:paraId="4C0832EE" w14:textId="77777777" w:rsidR="007B23F0" w:rsidRPr="007B23F0" w:rsidRDefault="007B23F0" w:rsidP="007B23F0">
            <w:pPr>
              <w:spacing w:line="276" w:lineRule="auto"/>
              <w:jc w:val="both"/>
              <w:rPr>
                <w:rFonts w:ascii="Arial" w:eastAsia="MS Mincho" w:hAnsi="Arial" w:cs="Arial"/>
                <w:bCs/>
                <w:sz w:val="20"/>
                <w:szCs w:val="20"/>
                <w:lang w:eastAsia="ja-JP"/>
              </w:rPr>
            </w:pPr>
          </w:p>
          <w:p w14:paraId="7196C334" w14:textId="437C1E9A" w:rsid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The Provider must ensure that appropriate “IM&amp;T Systems” are in place to support the Service before Service Commencement. “IM&amp;T Systems” means all computer hardware, software, networking, training, support and maintenance necessary to support and ensure effective delivery of the Services, management of patient care, contract management and of the organisation’s business processes, which must include:</w:t>
            </w:r>
          </w:p>
          <w:p w14:paraId="0BAEC2C7" w14:textId="77777777" w:rsidR="00F03108" w:rsidRPr="007B23F0" w:rsidRDefault="00F03108" w:rsidP="007B23F0">
            <w:pPr>
              <w:spacing w:line="276" w:lineRule="auto"/>
              <w:jc w:val="both"/>
              <w:rPr>
                <w:rFonts w:ascii="Arial" w:eastAsia="MS Mincho" w:hAnsi="Arial" w:cs="Arial"/>
                <w:bCs/>
                <w:sz w:val="20"/>
                <w:szCs w:val="20"/>
                <w:lang w:eastAsia="ja-JP"/>
              </w:rPr>
            </w:pPr>
          </w:p>
          <w:p w14:paraId="3FCB8D90" w14:textId="77777777" w:rsidR="007B23F0" w:rsidRPr="00A053D7" w:rsidRDefault="007B23F0" w:rsidP="00DC3DDC">
            <w:pPr>
              <w:numPr>
                <w:ilvl w:val="0"/>
                <w:numId w:val="7"/>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Clinical </w:t>
            </w:r>
            <w:r w:rsidRPr="00A053D7">
              <w:rPr>
                <w:rFonts w:ascii="Arial" w:eastAsia="MS Mincho" w:hAnsi="Arial" w:cs="Arial"/>
                <w:bCs/>
                <w:sz w:val="20"/>
                <w:szCs w:val="20"/>
                <w:lang w:eastAsia="ja-JP"/>
              </w:rPr>
              <w:t>services including ordering and receipt of pathology, radiology and other diagnostic procedure results and reports.</w:t>
            </w:r>
          </w:p>
          <w:p w14:paraId="7F02A7E6" w14:textId="51A56395" w:rsidR="007B23F0" w:rsidRPr="00A053D7" w:rsidRDefault="007B23F0" w:rsidP="00DC3DDC">
            <w:pPr>
              <w:numPr>
                <w:ilvl w:val="0"/>
                <w:numId w:val="7"/>
              </w:numPr>
              <w:spacing w:line="276" w:lineRule="auto"/>
              <w:jc w:val="both"/>
              <w:rPr>
                <w:rFonts w:ascii="Arial" w:eastAsia="MS Mincho" w:hAnsi="Arial" w:cs="Arial"/>
                <w:bCs/>
                <w:sz w:val="20"/>
                <w:szCs w:val="20"/>
                <w:lang w:eastAsia="ja-JP"/>
              </w:rPr>
            </w:pPr>
            <w:r w:rsidRPr="00A053D7">
              <w:rPr>
                <w:rFonts w:ascii="Arial" w:eastAsia="MS Mincho" w:hAnsi="Arial" w:cs="Arial"/>
                <w:bCs/>
                <w:sz w:val="20"/>
                <w:szCs w:val="20"/>
                <w:lang w:eastAsia="ja-JP"/>
              </w:rPr>
              <w:t>Prescribing.</w:t>
            </w:r>
            <w:r w:rsidR="00CA531E" w:rsidRPr="00A053D7">
              <w:rPr>
                <w:rFonts w:ascii="Arial" w:eastAsia="MS Mincho" w:hAnsi="Arial" w:cs="Arial"/>
                <w:bCs/>
                <w:sz w:val="20"/>
                <w:szCs w:val="20"/>
                <w:lang w:eastAsia="ja-JP"/>
              </w:rPr>
              <w:t xml:space="preserve"> </w:t>
            </w:r>
          </w:p>
          <w:p w14:paraId="1D5D1EE0" w14:textId="0E9410FA" w:rsidR="00E5251D" w:rsidRPr="00A053D7" w:rsidRDefault="00E5251D" w:rsidP="00DC3DDC">
            <w:pPr>
              <w:numPr>
                <w:ilvl w:val="0"/>
                <w:numId w:val="7"/>
              </w:numPr>
              <w:spacing w:line="276" w:lineRule="auto"/>
              <w:jc w:val="both"/>
              <w:rPr>
                <w:rFonts w:ascii="Arial" w:eastAsia="MS Mincho" w:hAnsi="Arial" w:cs="Arial"/>
                <w:bCs/>
                <w:strike/>
                <w:sz w:val="20"/>
                <w:szCs w:val="20"/>
                <w:lang w:eastAsia="ja-JP"/>
              </w:rPr>
            </w:pPr>
            <w:r w:rsidRPr="00A053D7">
              <w:rPr>
                <w:rFonts w:ascii="Arial" w:eastAsia="MS Mincho" w:hAnsi="Arial" w:cs="Arial"/>
                <w:bCs/>
                <w:lang w:eastAsia="ja-JP"/>
              </w:rPr>
              <w:t>C</w:t>
            </w:r>
            <w:r w:rsidR="007B23F0" w:rsidRPr="00A053D7">
              <w:rPr>
                <w:rFonts w:ascii="Arial" w:eastAsia="MS Mincho" w:hAnsi="Arial" w:cs="Arial"/>
                <w:bCs/>
                <w:sz w:val="20"/>
                <w:szCs w:val="20"/>
                <w:lang w:eastAsia="ja-JP"/>
              </w:rPr>
              <w:t xml:space="preserve">hoose and Book </w:t>
            </w:r>
            <w:r w:rsidR="009053A0" w:rsidRPr="00A053D7">
              <w:rPr>
                <w:rFonts w:ascii="Arial" w:eastAsia="MS Mincho" w:hAnsi="Arial" w:cs="Arial"/>
                <w:bCs/>
                <w:sz w:val="20"/>
                <w:szCs w:val="20"/>
                <w:lang w:eastAsia="ja-JP"/>
              </w:rPr>
              <w:t xml:space="preserve">/ </w:t>
            </w:r>
            <w:proofErr w:type="spellStart"/>
            <w:r w:rsidR="000E519E" w:rsidRPr="00A053D7">
              <w:rPr>
                <w:rFonts w:ascii="Arial" w:eastAsia="MS Mincho" w:hAnsi="Arial" w:cs="Arial"/>
                <w:bCs/>
                <w:sz w:val="20"/>
                <w:szCs w:val="20"/>
                <w:lang w:eastAsia="ja-JP"/>
              </w:rPr>
              <w:t>e</w:t>
            </w:r>
            <w:r w:rsidR="009053A0" w:rsidRPr="00A053D7">
              <w:rPr>
                <w:rFonts w:ascii="Arial" w:eastAsia="MS Mincho" w:hAnsi="Arial" w:cs="Arial"/>
                <w:bCs/>
                <w:sz w:val="20"/>
                <w:szCs w:val="20"/>
                <w:lang w:eastAsia="ja-JP"/>
              </w:rPr>
              <w:t>RS</w:t>
            </w:r>
            <w:proofErr w:type="spellEnd"/>
            <w:r w:rsidR="009053A0" w:rsidRPr="00A053D7">
              <w:rPr>
                <w:rFonts w:ascii="Arial" w:eastAsia="MS Mincho" w:hAnsi="Arial" w:cs="Arial"/>
                <w:bCs/>
                <w:sz w:val="20"/>
                <w:szCs w:val="20"/>
                <w:lang w:eastAsia="ja-JP"/>
              </w:rPr>
              <w:t xml:space="preserve"> </w:t>
            </w:r>
            <w:r w:rsidR="007B23F0" w:rsidRPr="00A053D7">
              <w:rPr>
                <w:rFonts w:ascii="Arial" w:eastAsia="MS Mincho" w:hAnsi="Arial" w:cs="Arial"/>
                <w:bCs/>
                <w:sz w:val="20"/>
                <w:szCs w:val="20"/>
                <w:lang w:eastAsia="ja-JP"/>
              </w:rPr>
              <w:t>(or any future replacement</w:t>
            </w:r>
          </w:p>
          <w:p w14:paraId="1DF11964" w14:textId="6BF47C9A" w:rsidR="007B23F0" w:rsidRPr="00E5251D" w:rsidRDefault="007B23F0" w:rsidP="00DC3DDC">
            <w:pPr>
              <w:numPr>
                <w:ilvl w:val="0"/>
                <w:numId w:val="7"/>
              </w:numPr>
              <w:spacing w:line="276" w:lineRule="auto"/>
              <w:jc w:val="both"/>
              <w:rPr>
                <w:rFonts w:ascii="Arial" w:eastAsia="MS Mincho" w:hAnsi="Arial" w:cs="Arial"/>
                <w:bCs/>
                <w:sz w:val="20"/>
                <w:szCs w:val="20"/>
                <w:lang w:eastAsia="ja-JP"/>
              </w:rPr>
            </w:pPr>
            <w:r w:rsidRPr="00A053D7">
              <w:rPr>
                <w:rFonts w:ascii="Arial" w:eastAsia="MS Mincho" w:hAnsi="Arial" w:cs="Arial"/>
                <w:bCs/>
                <w:sz w:val="20"/>
                <w:szCs w:val="20"/>
                <w:lang w:eastAsia="ja-JP"/>
              </w:rPr>
              <w:t>A single electronic patient health record for every patient, which is identifiable by a unique number (e.g.</w:t>
            </w:r>
            <w:r w:rsidR="007919F7" w:rsidRPr="00A053D7">
              <w:rPr>
                <w:rFonts w:ascii="Arial" w:eastAsia="MS Mincho" w:hAnsi="Arial" w:cs="Arial"/>
                <w:bCs/>
                <w:sz w:val="20"/>
                <w:szCs w:val="20"/>
                <w:lang w:eastAsia="ja-JP"/>
              </w:rPr>
              <w:t xml:space="preserve"> </w:t>
            </w:r>
            <w:r w:rsidRPr="00A053D7">
              <w:rPr>
                <w:rFonts w:ascii="Arial" w:eastAsia="MS Mincho" w:hAnsi="Arial" w:cs="Arial"/>
                <w:bCs/>
                <w:sz w:val="20"/>
                <w:szCs w:val="20"/>
                <w:lang w:eastAsia="ja-JP"/>
              </w:rPr>
              <w:t xml:space="preserve">patient NHS </w:t>
            </w:r>
            <w:r w:rsidRPr="00E5251D">
              <w:rPr>
                <w:rFonts w:ascii="Arial" w:eastAsia="MS Mincho" w:hAnsi="Arial" w:cs="Arial"/>
                <w:bCs/>
                <w:sz w:val="20"/>
                <w:szCs w:val="20"/>
                <w:lang w:eastAsia="ja-JP"/>
              </w:rPr>
              <w:t>Number).</w:t>
            </w:r>
          </w:p>
          <w:p w14:paraId="4567E03A" w14:textId="77777777" w:rsidR="007B23F0" w:rsidRPr="007B23F0" w:rsidRDefault="007B23F0" w:rsidP="00DC3DDC">
            <w:pPr>
              <w:numPr>
                <w:ilvl w:val="0"/>
                <w:numId w:val="7"/>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Inter-communication or integration between clinical and administrative systems for use of patient</w:t>
            </w:r>
          </w:p>
          <w:p w14:paraId="3D11F52D" w14:textId="77777777" w:rsidR="007B23F0" w:rsidRPr="007B23F0" w:rsidRDefault="007B23F0" w:rsidP="00DC3DDC">
            <w:pPr>
              <w:numPr>
                <w:ilvl w:val="0"/>
                <w:numId w:val="7"/>
              </w:num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demographics.</w:t>
            </w:r>
          </w:p>
          <w:p w14:paraId="522E9FF7" w14:textId="18FC52F5" w:rsidR="007919F7" w:rsidRPr="00D275AE" w:rsidRDefault="007B23F0" w:rsidP="00CB5BFD">
            <w:pPr>
              <w:numPr>
                <w:ilvl w:val="0"/>
                <w:numId w:val="7"/>
              </w:numPr>
              <w:spacing w:line="276" w:lineRule="auto"/>
              <w:jc w:val="both"/>
              <w:rPr>
                <w:rFonts w:ascii="Arial" w:hAnsi="Arial" w:cs="Arial"/>
                <w:b/>
                <w:sz w:val="20"/>
                <w:szCs w:val="20"/>
              </w:rPr>
            </w:pPr>
            <w:r w:rsidRPr="00D275AE">
              <w:rPr>
                <w:rFonts w:ascii="Arial" w:eastAsia="MS Mincho" w:hAnsi="Arial" w:cs="Arial"/>
                <w:bCs/>
                <w:sz w:val="20"/>
                <w:szCs w:val="20"/>
                <w:lang w:eastAsia="ja-JP"/>
              </w:rPr>
              <w:t>Systems for referral management and booking for both GP referrals to the Service and onward referral from the Service to a specialist.</w:t>
            </w:r>
            <w:r w:rsidR="00E5251D">
              <w:t xml:space="preserve"> </w:t>
            </w:r>
          </w:p>
          <w:p w14:paraId="230744AB" w14:textId="77777777" w:rsidR="00D275AE" w:rsidRPr="00D275AE" w:rsidRDefault="00D275AE" w:rsidP="00D275AE">
            <w:pPr>
              <w:spacing w:line="276" w:lineRule="auto"/>
              <w:ind w:left="720"/>
              <w:jc w:val="both"/>
              <w:rPr>
                <w:rFonts w:ascii="Arial" w:hAnsi="Arial" w:cs="Arial"/>
                <w:b/>
                <w:sz w:val="20"/>
                <w:szCs w:val="20"/>
              </w:rPr>
            </w:pPr>
          </w:p>
          <w:p w14:paraId="7E1A2CAC" w14:textId="2ED14365" w:rsidR="007B23F0" w:rsidRPr="00C54BA6" w:rsidRDefault="004F288A" w:rsidP="007B23F0">
            <w:pPr>
              <w:pStyle w:val="Heading2"/>
              <w:rPr>
                <w:rFonts w:ascii="Arial" w:hAnsi="Arial" w:cs="Arial"/>
                <w:b/>
                <w:color w:val="auto"/>
                <w:sz w:val="20"/>
                <w:szCs w:val="20"/>
              </w:rPr>
            </w:pPr>
            <w:bookmarkStart w:id="10" w:name="_Toc127194671"/>
            <w:r>
              <w:rPr>
                <w:rFonts w:ascii="Arial" w:hAnsi="Arial" w:cs="Arial"/>
                <w:b/>
                <w:color w:val="auto"/>
                <w:sz w:val="20"/>
                <w:szCs w:val="20"/>
              </w:rPr>
              <w:t>3.3.10</w:t>
            </w:r>
            <w:r w:rsidR="00C54BA6" w:rsidRPr="00C54BA6">
              <w:rPr>
                <w:rFonts w:ascii="Arial" w:hAnsi="Arial" w:cs="Arial"/>
                <w:b/>
                <w:color w:val="auto"/>
                <w:sz w:val="20"/>
                <w:szCs w:val="20"/>
              </w:rPr>
              <w:t xml:space="preserve"> </w:t>
            </w:r>
            <w:r w:rsidR="007B23F0" w:rsidRPr="00C54BA6">
              <w:rPr>
                <w:rFonts w:ascii="Arial" w:hAnsi="Arial" w:cs="Arial"/>
                <w:b/>
                <w:color w:val="auto"/>
                <w:sz w:val="20"/>
                <w:szCs w:val="20"/>
              </w:rPr>
              <w:t>Specialist Advice &amp; Guidance</w:t>
            </w:r>
            <w:bookmarkEnd w:id="10"/>
          </w:p>
          <w:p w14:paraId="4D30BE91" w14:textId="77777777" w:rsidR="007B23F0" w:rsidRPr="007B23F0" w:rsidRDefault="007B23F0" w:rsidP="007B23F0">
            <w:pPr>
              <w:rPr>
                <w:rFonts w:ascii="Arial" w:hAnsi="Arial" w:cs="Arial"/>
                <w:sz w:val="20"/>
                <w:szCs w:val="20"/>
              </w:rPr>
            </w:pPr>
          </w:p>
          <w:p w14:paraId="620B92B8"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Specialist advice should be available to support practitioners in both primary and community services. This may occur before a referral is made, or where a referral is made a specialist may review the clinical information and return the referral to the appropriate clinician with guidance or signposting advice to an alternative appropriate pathway.  </w:t>
            </w:r>
          </w:p>
          <w:p w14:paraId="71089912" w14:textId="77777777" w:rsidR="007B23F0" w:rsidRPr="007B23F0" w:rsidRDefault="007B23F0" w:rsidP="007B23F0">
            <w:pPr>
              <w:rPr>
                <w:rFonts w:ascii="Arial" w:hAnsi="Arial" w:cs="Arial"/>
                <w:sz w:val="20"/>
                <w:szCs w:val="20"/>
              </w:rPr>
            </w:pPr>
          </w:p>
          <w:p w14:paraId="71E54DE2" w14:textId="4285FF6B" w:rsidR="007B23F0" w:rsidRPr="00F90610" w:rsidRDefault="007B23F0" w:rsidP="007B23F0">
            <w:pPr>
              <w:rPr>
                <w:rFonts w:ascii="Arial" w:hAnsi="Arial" w:cs="Arial"/>
                <w:sz w:val="20"/>
                <w:szCs w:val="20"/>
              </w:rPr>
            </w:pPr>
            <w:r w:rsidRPr="007B23F0">
              <w:rPr>
                <w:rFonts w:ascii="Arial" w:hAnsi="Arial" w:cs="Arial"/>
                <w:sz w:val="20"/>
                <w:szCs w:val="20"/>
              </w:rPr>
              <w:t>Specialist advice may be provided by both consultant and non-consultant practitioners in both primary, communit</w:t>
            </w:r>
            <w:r w:rsidR="006F56A6">
              <w:rPr>
                <w:rFonts w:ascii="Arial" w:hAnsi="Arial" w:cs="Arial"/>
                <w:sz w:val="20"/>
                <w:szCs w:val="20"/>
              </w:rPr>
              <w:t xml:space="preserve">y and secondary care providers </w:t>
            </w:r>
            <w:r w:rsidR="006F56A6" w:rsidRPr="00F90610">
              <w:rPr>
                <w:rFonts w:ascii="Arial" w:hAnsi="Arial" w:cs="Arial"/>
                <w:sz w:val="20"/>
                <w:szCs w:val="20"/>
              </w:rPr>
              <w:t>T</w:t>
            </w:r>
            <w:r w:rsidR="00CA531E" w:rsidRPr="00F90610">
              <w:rPr>
                <w:rFonts w:ascii="Arial" w:hAnsi="Arial" w:cs="Arial"/>
                <w:sz w:val="20"/>
                <w:szCs w:val="20"/>
              </w:rPr>
              <w:t xml:space="preserve">he establishment of regular </w:t>
            </w:r>
            <w:r w:rsidR="006F56A6" w:rsidRPr="00F90610">
              <w:rPr>
                <w:rFonts w:ascii="Arial" w:hAnsi="Arial" w:cs="Arial"/>
                <w:sz w:val="20"/>
                <w:szCs w:val="20"/>
              </w:rPr>
              <w:t>virtual clinics may assist this</w:t>
            </w:r>
            <w:r w:rsidR="00D275AE" w:rsidRPr="00F90610">
              <w:rPr>
                <w:rFonts w:ascii="Arial" w:hAnsi="Arial" w:cs="Arial"/>
                <w:sz w:val="20"/>
                <w:szCs w:val="20"/>
              </w:rPr>
              <w:t>.</w:t>
            </w:r>
          </w:p>
          <w:p w14:paraId="04E9CB2B" w14:textId="77777777" w:rsidR="007B23F0" w:rsidRPr="00CA531E" w:rsidRDefault="007B23F0" w:rsidP="007B23F0">
            <w:pPr>
              <w:rPr>
                <w:rFonts w:ascii="Arial" w:hAnsi="Arial" w:cs="Arial"/>
                <w:color w:val="FF0000"/>
                <w:sz w:val="20"/>
                <w:szCs w:val="20"/>
              </w:rPr>
            </w:pPr>
          </w:p>
          <w:p w14:paraId="1823F209"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Primary care GPs or FCPs should be able to seek advice and guidance through the community MSK single point of access, in both a pre- or post-referral manner. Where such expertise is not available within the community service, or where community practitioners require further support for patients within the service, there should be clear and timely access to specialist advice from secondary care. </w:t>
            </w:r>
          </w:p>
          <w:p w14:paraId="36090CB3" w14:textId="77777777" w:rsidR="007B23F0" w:rsidRPr="007B23F0" w:rsidRDefault="007B23F0" w:rsidP="007B23F0">
            <w:pPr>
              <w:rPr>
                <w:rFonts w:ascii="Arial" w:hAnsi="Arial" w:cs="Arial"/>
                <w:sz w:val="20"/>
                <w:szCs w:val="20"/>
              </w:rPr>
            </w:pPr>
          </w:p>
          <w:p w14:paraId="1439092B"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Within North West London, the agreed digital platform for advice and guidance is the REGO platform, which interfaces with the NHS e-Referral Service (e-RS). The community provider would be expected to utilise this REGO platform to provide support to primary care.  </w:t>
            </w:r>
          </w:p>
          <w:p w14:paraId="6B217DCD" w14:textId="77777777" w:rsidR="007B23F0" w:rsidRPr="007B23F0" w:rsidRDefault="007B23F0" w:rsidP="007B23F0">
            <w:pPr>
              <w:rPr>
                <w:rFonts w:ascii="Arial" w:hAnsi="Arial" w:cs="Arial"/>
                <w:sz w:val="20"/>
                <w:szCs w:val="20"/>
              </w:rPr>
            </w:pPr>
          </w:p>
          <w:p w14:paraId="7EE410BD" w14:textId="77777777" w:rsidR="007B23F0" w:rsidRPr="00F90610" w:rsidRDefault="00C07F8A" w:rsidP="007B23F0">
            <w:pPr>
              <w:rPr>
                <w:rFonts w:ascii="Arial" w:hAnsi="Arial" w:cs="Arial"/>
                <w:sz w:val="20"/>
                <w:szCs w:val="20"/>
              </w:rPr>
            </w:pPr>
            <w:hyperlink r:id="rId14" w:history="1">
              <w:proofErr w:type="spellStart"/>
              <w:r w:rsidR="007B23F0" w:rsidRPr="00F90610">
                <w:rPr>
                  <w:rStyle w:val="Hyperlink"/>
                  <w:rFonts w:ascii="Arial" w:hAnsi="Arial" w:cs="Arial"/>
                  <w:color w:val="auto"/>
                  <w:sz w:val="20"/>
                  <w:szCs w:val="20"/>
                </w:rPr>
                <w:t>BestMSK</w:t>
              </w:r>
              <w:proofErr w:type="spellEnd"/>
              <w:r w:rsidR="007B23F0" w:rsidRPr="00F90610">
                <w:rPr>
                  <w:rStyle w:val="Hyperlink"/>
                  <w:rFonts w:ascii="Arial" w:hAnsi="Arial" w:cs="Arial"/>
                  <w:color w:val="auto"/>
                  <w:sz w:val="20"/>
                  <w:szCs w:val="20"/>
                </w:rPr>
                <w:t xml:space="preserve"> Specialist MSK Advice and Guidance draft guidance</w:t>
              </w:r>
            </w:hyperlink>
          </w:p>
          <w:p w14:paraId="0ABC1B5D" w14:textId="40E78235" w:rsidR="007B23F0" w:rsidRPr="00F90610" w:rsidRDefault="007B23F0" w:rsidP="007B23F0">
            <w:pPr>
              <w:rPr>
                <w:rFonts w:ascii="Arial" w:hAnsi="Arial" w:cs="Arial"/>
                <w:sz w:val="20"/>
                <w:szCs w:val="20"/>
              </w:rPr>
            </w:pPr>
          </w:p>
          <w:p w14:paraId="6D7287EA" w14:textId="3F539EB7" w:rsidR="007B23F0" w:rsidRPr="00F90610" w:rsidRDefault="004F288A" w:rsidP="007B23F0">
            <w:pPr>
              <w:pStyle w:val="Heading2"/>
              <w:rPr>
                <w:rFonts w:ascii="Arial" w:hAnsi="Arial" w:cs="Arial"/>
                <w:b/>
                <w:color w:val="auto"/>
                <w:sz w:val="20"/>
                <w:szCs w:val="20"/>
              </w:rPr>
            </w:pPr>
            <w:bookmarkStart w:id="11" w:name="_Toc127194672"/>
            <w:r>
              <w:rPr>
                <w:rFonts w:ascii="Arial" w:hAnsi="Arial" w:cs="Arial"/>
                <w:b/>
                <w:color w:val="auto"/>
                <w:sz w:val="20"/>
                <w:szCs w:val="20"/>
              </w:rPr>
              <w:t>3.3.11</w:t>
            </w:r>
            <w:r w:rsidR="00C54BA6" w:rsidRPr="00F90610">
              <w:rPr>
                <w:rFonts w:ascii="Arial" w:hAnsi="Arial" w:cs="Arial"/>
                <w:b/>
                <w:color w:val="auto"/>
                <w:sz w:val="20"/>
                <w:szCs w:val="20"/>
              </w:rPr>
              <w:t xml:space="preserve"> </w:t>
            </w:r>
            <w:r w:rsidR="007B23F0" w:rsidRPr="00F90610">
              <w:rPr>
                <w:rFonts w:ascii="Arial" w:hAnsi="Arial" w:cs="Arial"/>
                <w:b/>
                <w:color w:val="auto"/>
                <w:sz w:val="20"/>
                <w:szCs w:val="20"/>
              </w:rPr>
              <w:t>Shared Decision Making</w:t>
            </w:r>
            <w:bookmarkEnd w:id="11"/>
          </w:p>
          <w:p w14:paraId="753FC382" w14:textId="77777777" w:rsidR="00911D4B" w:rsidRDefault="00911D4B" w:rsidP="007B23F0">
            <w:pPr>
              <w:rPr>
                <w:rFonts w:ascii="Arial" w:hAnsi="Arial" w:cs="Arial"/>
                <w:color w:val="FF0000"/>
                <w:sz w:val="20"/>
                <w:szCs w:val="20"/>
              </w:rPr>
            </w:pPr>
          </w:p>
          <w:p w14:paraId="4F8644F5" w14:textId="46D9A532" w:rsidR="007B23F0" w:rsidRDefault="007B23F0" w:rsidP="007B23F0">
            <w:pPr>
              <w:rPr>
                <w:rFonts w:ascii="Arial" w:hAnsi="Arial" w:cs="Arial"/>
                <w:sz w:val="20"/>
                <w:szCs w:val="20"/>
              </w:rPr>
            </w:pPr>
            <w:r w:rsidRPr="00F90610">
              <w:rPr>
                <w:rFonts w:ascii="Arial" w:hAnsi="Arial" w:cs="Arial"/>
                <w:sz w:val="20"/>
                <w:szCs w:val="20"/>
              </w:rPr>
              <w:t xml:space="preserve">With any diagnostic, intervention or management plans, patients should have a discussion, being provided with their options, benefits and risks, taking into account their individual personal preferences and values. </w:t>
            </w:r>
          </w:p>
          <w:p w14:paraId="6D103960" w14:textId="77777777" w:rsidR="007B23F0" w:rsidRPr="00F90610" w:rsidRDefault="007B23F0" w:rsidP="007B23F0">
            <w:pPr>
              <w:rPr>
                <w:rFonts w:ascii="Arial" w:hAnsi="Arial" w:cs="Arial"/>
                <w:sz w:val="20"/>
                <w:szCs w:val="20"/>
              </w:rPr>
            </w:pPr>
          </w:p>
          <w:p w14:paraId="227617EE" w14:textId="5E787494" w:rsidR="007B23F0" w:rsidRDefault="007B23F0" w:rsidP="007B23F0">
            <w:pPr>
              <w:rPr>
                <w:rFonts w:ascii="Arial" w:hAnsi="Arial" w:cs="Arial"/>
                <w:sz w:val="20"/>
                <w:szCs w:val="20"/>
              </w:rPr>
            </w:pPr>
            <w:r w:rsidRPr="00F90610">
              <w:rPr>
                <w:rFonts w:ascii="Arial" w:hAnsi="Arial" w:cs="Arial"/>
                <w:sz w:val="20"/>
                <w:szCs w:val="20"/>
              </w:rPr>
              <w:lastRenderedPageBreak/>
              <w:t xml:space="preserve">Information should be offered in a variety of formats, including verbal or printed information, or signposting to appropriate online information, in order for patients to make an informed decision about their care. </w:t>
            </w:r>
          </w:p>
          <w:p w14:paraId="2780C946" w14:textId="20DD7B46" w:rsidR="007B23F0" w:rsidRPr="00F90610" w:rsidRDefault="007B23F0" w:rsidP="007B23F0">
            <w:pPr>
              <w:rPr>
                <w:rFonts w:ascii="Arial" w:hAnsi="Arial" w:cs="Arial"/>
                <w:sz w:val="20"/>
                <w:szCs w:val="20"/>
              </w:rPr>
            </w:pPr>
          </w:p>
          <w:p w14:paraId="75751D79" w14:textId="212EBF1D" w:rsidR="007B23F0" w:rsidRPr="00911D4B" w:rsidRDefault="007B23F0" w:rsidP="00911D4B">
            <w:pPr>
              <w:rPr>
                <w:rFonts w:ascii="Arial" w:hAnsi="Arial" w:cs="Arial"/>
                <w:sz w:val="20"/>
                <w:szCs w:val="20"/>
              </w:rPr>
            </w:pPr>
            <w:r w:rsidRPr="00F90610">
              <w:rPr>
                <w:rFonts w:ascii="Arial" w:hAnsi="Arial" w:cs="Arial"/>
                <w:sz w:val="20"/>
                <w:szCs w:val="20"/>
              </w:rPr>
              <w:t xml:space="preserve">Appropriate tools may include the </w:t>
            </w:r>
            <w:hyperlink r:id="rId15" w:history="1">
              <w:r w:rsidRPr="00DA02B5">
                <w:rPr>
                  <w:rStyle w:val="Hyperlink"/>
                  <w:rFonts w:ascii="Arial" w:hAnsi="Arial" w:cs="Arial"/>
                  <w:color w:val="auto"/>
                  <w:sz w:val="20"/>
                  <w:szCs w:val="20"/>
                </w:rPr>
                <w:t>NHS England decision support tools</w:t>
              </w:r>
            </w:hyperlink>
            <w:r w:rsidRPr="00DA02B5">
              <w:rPr>
                <w:rFonts w:ascii="Arial" w:hAnsi="Arial" w:cs="Arial"/>
                <w:sz w:val="20"/>
                <w:szCs w:val="20"/>
              </w:rPr>
              <w:t xml:space="preserve">, or any other tools in accordance with the </w:t>
            </w:r>
            <w:hyperlink r:id="rId16" w:history="1">
              <w:r w:rsidRPr="00DA02B5">
                <w:rPr>
                  <w:rStyle w:val="Hyperlink"/>
                  <w:rFonts w:ascii="Arial" w:hAnsi="Arial" w:cs="Arial"/>
                  <w:color w:val="auto"/>
                  <w:sz w:val="20"/>
                  <w:szCs w:val="20"/>
                </w:rPr>
                <w:t>NICE framework for shared decision making support tools</w:t>
              </w:r>
            </w:hyperlink>
            <w:r w:rsidR="00911D4B" w:rsidRPr="00DA02B5">
              <w:rPr>
                <w:rFonts w:ascii="Arial" w:hAnsi="Arial" w:cs="Arial"/>
                <w:sz w:val="20"/>
                <w:szCs w:val="20"/>
              </w:rPr>
              <w:t xml:space="preserve">. For back pain and </w:t>
            </w:r>
            <w:r w:rsidR="003B204B" w:rsidRPr="00DA02B5">
              <w:rPr>
                <w:rFonts w:ascii="Arial" w:hAnsi="Arial" w:cs="Arial"/>
                <w:sz w:val="20"/>
                <w:szCs w:val="20"/>
              </w:rPr>
              <w:t xml:space="preserve">shoulder pain: </w:t>
            </w:r>
            <w:hyperlink r:id="rId17" w:history="1">
              <w:r w:rsidR="003B204B" w:rsidRPr="00DA02B5">
                <w:rPr>
                  <w:rStyle w:val="Hyperlink"/>
                  <w:rFonts w:ascii="Arial" w:hAnsi="Arial" w:cs="Arial"/>
                  <w:color w:val="auto"/>
                  <w:sz w:val="20"/>
                  <w:szCs w:val="20"/>
                </w:rPr>
                <w:t>https://www.versusarthritis.org/about-arthritis/healthcare-professionals/musculoskeletal-decision-support-tools/</w:t>
              </w:r>
            </w:hyperlink>
          </w:p>
          <w:p w14:paraId="187DEC84" w14:textId="77777777" w:rsidR="003B204B" w:rsidRDefault="003B204B" w:rsidP="007B23F0">
            <w:pPr>
              <w:rPr>
                <w:rFonts w:ascii="Arial" w:hAnsi="Arial" w:cs="Arial"/>
                <w:sz w:val="20"/>
                <w:szCs w:val="20"/>
              </w:rPr>
            </w:pPr>
          </w:p>
          <w:p w14:paraId="14D56293" w14:textId="77C69638" w:rsidR="00C51F28" w:rsidRDefault="007B23F0" w:rsidP="007B23F0">
            <w:pPr>
              <w:rPr>
                <w:rFonts w:ascii="Arial" w:hAnsi="Arial" w:cs="Arial"/>
                <w:sz w:val="20"/>
                <w:szCs w:val="20"/>
              </w:rPr>
            </w:pPr>
            <w:r w:rsidRPr="007B23F0">
              <w:rPr>
                <w:rFonts w:ascii="Arial" w:hAnsi="Arial" w:cs="Arial"/>
                <w:sz w:val="20"/>
                <w:szCs w:val="20"/>
              </w:rPr>
              <w:t xml:space="preserve">Shared decision making should offer options from clinical best practice and national standards, for example those of the NHSE Evidence Based Intervention policies and local </w:t>
            </w:r>
            <w:proofErr w:type="spellStart"/>
            <w:r w:rsidRPr="007B23F0">
              <w:rPr>
                <w:rFonts w:ascii="Arial" w:hAnsi="Arial" w:cs="Arial"/>
                <w:sz w:val="20"/>
                <w:szCs w:val="20"/>
              </w:rPr>
              <w:t>PPwT</w:t>
            </w:r>
            <w:proofErr w:type="spellEnd"/>
            <w:r w:rsidRPr="007B23F0">
              <w:rPr>
                <w:rFonts w:ascii="Arial" w:hAnsi="Arial" w:cs="Arial"/>
                <w:sz w:val="20"/>
                <w:szCs w:val="20"/>
              </w:rPr>
              <w:t xml:space="preserve"> criteria.  </w:t>
            </w:r>
          </w:p>
          <w:p w14:paraId="2373F495" w14:textId="77777777" w:rsidR="00C51F28" w:rsidRPr="007B23F0" w:rsidRDefault="00C51F28" w:rsidP="007B23F0">
            <w:pPr>
              <w:rPr>
                <w:rFonts w:ascii="Arial" w:hAnsi="Arial" w:cs="Arial"/>
                <w:sz w:val="20"/>
                <w:szCs w:val="20"/>
              </w:rPr>
            </w:pPr>
          </w:p>
          <w:p w14:paraId="1E908D23" w14:textId="4A61E13D" w:rsidR="007B23F0" w:rsidRDefault="004F288A" w:rsidP="007B23F0">
            <w:pPr>
              <w:pStyle w:val="Heading2"/>
              <w:rPr>
                <w:rFonts w:ascii="Arial" w:hAnsi="Arial" w:cs="Arial"/>
                <w:b/>
                <w:color w:val="auto"/>
                <w:sz w:val="20"/>
                <w:szCs w:val="20"/>
              </w:rPr>
            </w:pPr>
            <w:bookmarkStart w:id="12" w:name="_Toc127194673"/>
            <w:r>
              <w:rPr>
                <w:rFonts w:ascii="Arial" w:hAnsi="Arial" w:cs="Arial"/>
                <w:b/>
                <w:color w:val="auto"/>
                <w:sz w:val="20"/>
                <w:szCs w:val="20"/>
              </w:rPr>
              <w:t>3.3.12</w:t>
            </w:r>
            <w:r w:rsidR="007919F7">
              <w:rPr>
                <w:rFonts w:ascii="Arial" w:hAnsi="Arial" w:cs="Arial"/>
                <w:b/>
                <w:color w:val="auto"/>
                <w:sz w:val="20"/>
                <w:szCs w:val="20"/>
              </w:rPr>
              <w:t xml:space="preserve"> </w:t>
            </w:r>
            <w:r w:rsidR="007B23F0" w:rsidRPr="00C54BA6">
              <w:rPr>
                <w:rFonts w:ascii="Arial" w:hAnsi="Arial" w:cs="Arial"/>
                <w:b/>
                <w:color w:val="auto"/>
                <w:sz w:val="20"/>
                <w:szCs w:val="20"/>
              </w:rPr>
              <w:t>Personalised Care</w:t>
            </w:r>
            <w:bookmarkEnd w:id="12"/>
          </w:p>
          <w:p w14:paraId="639C5D98" w14:textId="77777777" w:rsidR="00DA02B5" w:rsidRPr="00DA02B5" w:rsidRDefault="00DA02B5" w:rsidP="00DA02B5"/>
          <w:p w14:paraId="09D6F208" w14:textId="2F4E1264" w:rsidR="007B23F0" w:rsidRDefault="007B23F0" w:rsidP="007B23F0">
            <w:pPr>
              <w:rPr>
                <w:rFonts w:ascii="Arial" w:hAnsi="Arial" w:cs="Arial"/>
                <w:sz w:val="20"/>
                <w:szCs w:val="20"/>
              </w:rPr>
            </w:pPr>
            <w:r w:rsidRPr="00753D14">
              <w:rPr>
                <w:rFonts w:ascii="Arial" w:hAnsi="Arial" w:cs="Arial"/>
                <w:sz w:val="20"/>
                <w:szCs w:val="20"/>
              </w:rPr>
              <w:t xml:space="preserve">Personalised care will be a key feature for managing long-term conditions. All long-term MSK conditions should be viewed with a whole-person approach, considering individual needs, preferences and abilities. It is important for practitioners and patients to </w:t>
            </w:r>
            <w:r w:rsidRPr="00DA02B5">
              <w:rPr>
                <w:rFonts w:ascii="Arial" w:hAnsi="Arial" w:cs="Arial"/>
                <w:sz w:val="20"/>
                <w:szCs w:val="20"/>
              </w:rPr>
              <w:t xml:space="preserve">recognise that </w:t>
            </w:r>
            <w:r w:rsidR="00753D14" w:rsidRPr="00DA02B5">
              <w:rPr>
                <w:rFonts w:ascii="Arial" w:hAnsi="Arial" w:cs="Arial"/>
                <w:sz w:val="20"/>
                <w:szCs w:val="20"/>
              </w:rPr>
              <w:t>a</w:t>
            </w:r>
            <w:r w:rsidR="0092153A" w:rsidRPr="00DA02B5">
              <w:rPr>
                <w:rFonts w:ascii="Arial" w:hAnsi="Arial" w:cs="Arial"/>
                <w:sz w:val="20"/>
                <w:szCs w:val="20"/>
              </w:rPr>
              <w:t xml:space="preserve"> </w:t>
            </w:r>
            <w:r w:rsidRPr="00DA02B5">
              <w:rPr>
                <w:rFonts w:ascii="Arial" w:hAnsi="Arial" w:cs="Arial"/>
                <w:sz w:val="20"/>
                <w:szCs w:val="20"/>
              </w:rPr>
              <w:t xml:space="preserve">‘cure’ for many conditions will not be available and many treatments only serve as an adjunct to care. A personalised approach should focus on </w:t>
            </w:r>
            <w:r w:rsidR="00753D14" w:rsidRPr="00DA02B5">
              <w:rPr>
                <w:rFonts w:ascii="Arial" w:hAnsi="Arial" w:cs="Arial"/>
                <w:sz w:val="20"/>
                <w:szCs w:val="20"/>
              </w:rPr>
              <w:t>supporting people</w:t>
            </w:r>
            <w:r w:rsidR="0092153A" w:rsidRPr="00DA02B5">
              <w:rPr>
                <w:rFonts w:ascii="Arial" w:hAnsi="Arial" w:cs="Arial"/>
                <w:sz w:val="20"/>
                <w:szCs w:val="20"/>
              </w:rPr>
              <w:t xml:space="preserve"> to </w:t>
            </w:r>
            <w:r w:rsidRPr="00DA02B5">
              <w:rPr>
                <w:rFonts w:ascii="Arial" w:hAnsi="Arial" w:cs="Arial"/>
                <w:sz w:val="20"/>
                <w:szCs w:val="20"/>
              </w:rPr>
              <w:t>identify</w:t>
            </w:r>
            <w:r w:rsidR="00753D14" w:rsidRPr="00DA02B5">
              <w:rPr>
                <w:rFonts w:ascii="Arial" w:hAnsi="Arial" w:cs="Arial"/>
                <w:sz w:val="20"/>
                <w:szCs w:val="20"/>
              </w:rPr>
              <w:t xml:space="preserve"> </w:t>
            </w:r>
            <w:r w:rsidR="0092153A" w:rsidRPr="00DA02B5">
              <w:rPr>
                <w:rFonts w:ascii="Arial" w:hAnsi="Arial" w:cs="Arial"/>
                <w:sz w:val="20"/>
                <w:szCs w:val="20"/>
              </w:rPr>
              <w:t xml:space="preserve">their own </w:t>
            </w:r>
            <w:r w:rsidRPr="00DA02B5">
              <w:rPr>
                <w:rFonts w:ascii="Arial" w:hAnsi="Arial" w:cs="Arial"/>
                <w:sz w:val="20"/>
                <w:szCs w:val="20"/>
              </w:rPr>
              <w:t xml:space="preserve">goals and </w:t>
            </w:r>
            <w:r w:rsidR="00753D14" w:rsidRPr="00DA02B5">
              <w:rPr>
                <w:rFonts w:ascii="Arial" w:hAnsi="Arial" w:cs="Arial"/>
                <w:sz w:val="20"/>
                <w:szCs w:val="20"/>
              </w:rPr>
              <w:t xml:space="preserve">strengths </w:t>
            </w:r>
            <w:r w:rsidR="0092153A" w:rsidRPr="00DA02B5">
              <w:rPr>
                <w:rFonts w:ascii="Arial" w:hAnsi="Arial" w:cs="Arial"/>
                <w:sz w:val="20"/>
                <w:szCs w:val="20"/>
              </w:rPr>
              <w:t xml:space="preserve">and </w:t>
            </w:r>
            <w:r w:rsidR="0092153A" w:rsidRPr="00753D14">
              <w:rPr>
                <w:rFonts w:ascii="Arial" w:hAnsi="Arial" w:cs="Arial"/>
                <w:sz w:val="20"/>
                <w:szCs w:val="20"/>
              </w:rPr>
              <w:t xml:space="preserve">to </w:t>
            </w:r>
            <w:r w:rsidRPr="00753D14">
              <w:rPr>
                <w:rFonts w:ascii="Arial" w:hAnsi="Arial" w:cs="Arial"/>
                <w:sz w:val="20"/>
                <w:szCs w:val="20"/>
              </w:rPr>
              <w:t>improv</w:t>
            </w:r>
            <w:r w:rsidR="0092153A" w:rsidRPr="00753D14">
              <w:rPr>
                <w:rFonts w:ascii="Arial" w:hAnsi="Arial" w:cs="Arial"/>
                <w:sz w:val="20"/>
                <w:szCs w:val="20"/>
              </w:rPr>
              <w:t>e</w:t>
            </w:r>
            <w:r w:rsidR="00753D14" w:rsidRPr="00753D14">
              <w:rPr>
                <w:rFonts w:ascii="Arial" w:hAnsi="Arial" w:cs="Arial"/>
                <w:sz w:val="20"/>
                <w:szCs w:val="20"/>
              </w:rPr>
              <w:t xml:space="preserve"> </w:t>
            </w:r>
            <w:r w:rsidRPr="00753D14">
              <w:rPr>
                <w:rFonts w:ascii="Arial" w:hAnsi="Arial" w:cs="Arial"/>
                <w:sz w:val="20"/>
                <w:szCs w:val="20"/>
              </w:rPr>
              <w:t xml:space="preserve">daily function and quality of life. </w:t>
            </w:r>
          </w:p>
          <w:p w14:paraId="612449C4" w14:textId="675C4ADD" w:rsidR="00ED0209" w:rsidRDefault="00ED0209" w:rsidP="007B23F0">
            <w:pPr>
              <w:rPr>
                <w:rFonts w:ascii="Arial" w:hAnsi="Arial" w:cs="Arial"/>
                <w:sz w:val="20"/>
                <w:szCs w:val="20"/>
              </w:rPr>
            </w:pPr>
          </w:p>
          <w:p w14:paraId="44AD98A0" w14:textId="422BB35A" w:rsidR="00ED0209" w:rsidRPr="00753D14" w:rsidRDefault="00ED0209" w:rsidP="007B23F0">
            <w:pPr>
              <w:rPr>
                <w:rFonts w:ascii="Arial" w:hAnsi="Arial" w:cs="Arial"/>
                <w:sz w:val="20"/>
                <w:szCs w:val="20"/>
              </w:rPr>
            </w:pPr>
            <w:r>
              <w:rPr>
                <w:rFonts w:ascii="Arial" w:hAnsi="Arial" w:cs="Arial"/>
                <w:sz w:val="20"/>
                <w:szCs w:val="20"/>
              </w:rPr>
              <w:t xml:space="preserve">Personalised care will largely be continued to delivered within primary care and therefore the </w:t>
            </w:r>
            <w:r w:rsidR="000F06EB">
              <w:rPr>
                <w:rFonts w:ascii="Arial" w:hAnsi="Arial" w:cs="Arial"/>
                <w:sz w:val="20"/>
                <w:szCs w:val="20"/>
              </w:rPr>
              <w:t>S</w:t>
            </w:r>
            <w:r>
              <w:rPr>
                <w:rFonts w:ascii="Arial" w:hAnsi="Arial" w:cs="Arial"/>
                <w:sz w:val="20"/>
                <w:szCs w:val="20"/>
              </w:rPr>
              <w:t>ervice should work collaboratively (with digital integration) with PCNs and ensure care plans are co-designed and accessible across settings of care and that there is appropriate close working with both GPs and other staff in ARRS roles within PCNs (</w:t>
            </w:r>
            <w:proofErr w:type="spellStart"/>
            <w:r>
              <w:rPr>
                <w:rFonts w:ascii="Arial" w:hAnsi="Arial" w:cs="Arial"/>
                <w:sz w:val="20"/>
                <w:szCs w:val="20"/>
              </w:rPr>
              <w:t>eg</w:t>
            </w:r>
            <w:proofErr w:type="spellEnd"/>
            <w:r>
              <w:rPr>
                <w:rFonts w:ascii="Arial" w:hAnsi="Arial" w:cs="Arial"/>
                <w:sz w:val="20"/>
                <w:szCs w:val="20"/>
              </w:rPr>
              <w:t xml:space="preserve"> health coaches).</w:t>
            </w:r>
          </w:p>
          <w:p w14:paraId="160FC752" w14:textId="14797743" w:rsidR="007B23F0" w:rsidRPr="007B23F0" w:rsidRDefault="007B23F0" w:rsidP="007B23F0">
            <w:pPr>
              <w:rPr>
                <w:rFonts w:ascii="Arial" w:hAnsi="Arial" w:cs="Arial"/>
                <w:sz w:val="20"/>
                <w:szCs w:val="20"/>
              </w:rPr>
            </w:pPr>
          </w:p>
          <w:p w14:paraId="765E40EB" w14:textId="1884DF35" w:rsidR="007B23F0" w:rsidRP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 xml:space="preserve">ervice should support a shift away from a purely biomedical model, to incorporate wider principles of chronic condition management, including therapeutic alliance (and continuity), education, exercise and lifestyle and emotional wellbeing, in order build individual self-efficacy. Lifestyle factors may include sleep hygiene, smoking cessation, stress management or vocational support. </w:t>
            </w:r>
          </w:p>
          <w:p w14:paraId="18ED770D" w14:textId="77777777" w:rsidR="007B23F0" w:rsidRPr="007B23F0" w:rsidRDefault="007B23F0" w:rsidP="007B23F0">
            <w:pPr>
              <w:rPr>
                <w:rFonts w:ascii="Arial" w:hAnsi="Arial" w:cs="Arial"/>
                <w:sz w:val="20"/>
                <w:szCs w:val="20"/>
              </w:rPr>
            </w:pPr>
          </w:p>
          <w:p w14:paraId="68FCF4FA"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All patients with ongoing conditions should be reviewed from a psycho-social perspective to identify non-biomedical areas for support. </w:t>
            </w:r>
          </w:p>
          <w:p w14:paraId="4B4F110F" w14:textId="77777777" w:rsidR="007B23F0" w:rsidRPr="007B23F0" w:rsidRDefault="007B23F0" w:rsidP="007B23F0">
            <w:pPr>
              <w:rPr>
                <w:rFonts w:ascii="Arial" w:hAnsi="Arial" w:cs="Arial"/>
                <w:sz w:val="20"/>
                <w:szCs w:val="20"/>
              </w:rPr>
            </w:pPr>
          </w:p>
          <w:p w14:paraId="334E380E" w14:textId="77777777" w:rsidR="007B23F0" w:rsidRPr="007B23F0" w:rsidRDefault="007B23F0" w:rsidP="007B23F0">
            <w:pPr>
              <w:rPr>
                <w:rFonts w:ascii="Arial" w:hAnsi="Arial" w:cs="Arial"/>
                <w:sz w:val="20"/>
                <w:szCs w:val="20"/>
              </w:rPr>
            </w:pPr>
            <w:r w:rsidRPr="00F90610">
              <w:rPr>
                <w:rFonts w:ascii="Arial" w:hAnsi="Arial" w:cs="Arial"/>
                <w:sz w:val="20"/>
                <w:szCs w:val="20"/>
              </w:rPr>
              <w:t xml:space="preserve">The </w:t>
            </w:r>
            <w:hyperlink r:id="rId18" w:history="1">
              <w:r w:rsidRPr="00F90610">
                <w:rPr>
                  <w:rStyle w:val="Hyperlink"/>
                  <w:rFonts w:ascii="Arial" w:hAnsi="Arial" w:cs="Arial"/>
                  <w:color w:val="auto"/>
                  <w:sz w:val="20"/>
                  <w:szCs w:val="20"/>
                </w:rPr>
                <w:t>Making Every Contact Count (MECC)</w:t>
              </w:r>
            </w:hyperlink>
            <w:r w:rsidRPr="00F90610">
              <w:rPr>
                <w:rFonts w:ascii="Arial" w:hAnsi="Arial" w:cs="Arial"/>
                <w:sz w:val="20"/>
                <w:szCs w:val="20"/>
              </w:rPr>
              <w:t xml:space="preserve"> approach may be one model of care to empower patients to review and change behaviour, deliverable across </w:t>
            </w:r>
            <w:r w:rsidRPr="007B23F0">
              <w:rPr>
                <w:rFonts w:ascii="Arial" w:hAnsi="Arial" w:cs="Arial"/>
                <w:sz w:val="20"/>
                <w:szCs w:val="20"/>
              </w:rPr>
              <w:t xml:space="preserve">practitioners in a community MSK service. Practitioners should be trained to deliver both very brief and brief interventions which may enable and empower patients by signposting them to appropriate support for positive behaviour change. </w:t>
            </w:r>
          </w:p>
          <w:p w14:paraId="3F325D5C" w14:textId="77777777" w:rsidR="004B4460" w:rsidRDefault="004B4460" w:rsidP="007B23F0">
            <w:pPr>
              <w:rPr>
                <w:rFonts w:ascii="Arial" w:hAnsi="Arial" w:cs="Arial"/>
                <w:sz w:val="20"/>
                <w:szCs w:val="20"/>
              </w:rPr>
            </w:pPr>
          </w:p>
          <w:p w14:paraId="5AC92F20" w14:textId="550EC5A3" w:rsidR="007B23F0" w:rsidRP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 xml:space="preserve">ervice should work closely with the NWL ICB Personalised Care Workstream initiatives to continually expand this approach throughout both community and primary care settings for patients with long-term MSK conditions. </w:t>
            </w:r>
          </w:p>
          <w:p w14:paraId="7321C7BF"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 </w:t>
            </w:r>
          </w:p>
          <w:p w14:paraId="77C637F6" w14:textId="77777777" w:rsidR="000966C5" w:rsidRDefault="007B23F0" w:rsidP="007B23F0">
            <w:pPr>
              <w:rPr>
                <w:rFonts w:ascii="Arial" w:hAnsi="Arial" w:cs="Arial"/>
                <w:sz w:val="20"/>
                <w:szCs w:val="20"/>
              </w:rPr>
            </w:pPr>
            <w:r w:rsidRPr="007B23F0">
              <w:rPr>
                <w:rFonts w:ascii="Arial" w:hAnsi="Arial" w:cs="Arial"/>
                <w:sz w:val="20"/>
                <w:szCs w:val="20"/>
              </w:rPr>
              <w:t xml:space="preserve">All patients with long-term </w:t>
            </w:r>
            <w:r w:rsidRPr="008B20D5">
              <w:rPr>
                <w:rFonts w:ascii="Arial" w:hAnsi="Arial" w:cs="Arial"/>
                <w:sz w:val="20"/>
                <w:szCs w:val="20"/>
              </w:rPr>
              <w:t>health conditions should have a personalised care plan completed jointly in partnership. Once agreed, a copy sh</w:t>
            </w:r>
            <w:r w:rsidR="006F56A6">
              <w:rPr>
                <w:rFonts w:ascii="Arial" w:hAnsi="Arial" w:cs="Arial"/>
                <w:sz w:val="20"/>
                <w:szCs w:val="20"/>
              </w:rPr>
              <w:t>ould be provided to the patient</w:t>
            </w:r>
            <w:r w:rsidR="000966C5">
              <w:rPr>
                <w:rFonts w:ascii="Arial" w:hAnsi="Arial" w:cs="Arial"/>
                <w:sz w:val="20"/>
                <w:szCs w:val="20"/>
              </w:rPr>
              <w:t xml:space="preserve"> and recorded in the patient’s shared primary care electronic health record</w:t>
            </w:r>
            <w:r w:rsidR="006F56A6">
              <w:rPr>
                <w:rFonts w:ascii="Arial" w:hAnsi="Arial" w:cs="Arial"/>
                <w:sz w:val="20"/>
                <w:szCs w:val="20"/>
              </w:rPr>
              <w:t xml:space="preserve">. </w:t>
            </w:r>
          </w:p>
          <w:p w14:paraId="4A02D08C" w14:textId="77777777" w:rsidR="000966C5" w:rsidRDefault="000966C5" w:rsidP="007B23F0">
            <w:pPr>
              <w:rPr>
                <w:rFonts w:ascii="Arial" w:hAnsi="Arial" w:cs="Arial"/>
                <w:sz w:val="20"/>
                <w:szCs w:val="20"/>
              </w:rPr>
            </w:pPr>
          </w:p>
          <w:p w14:paraId="2CDD771B" w14:textId="0A5DC2B2" w:rsidR="007B23F0" w:rsidRDefault="00E5251D" w:rsidP="007B23F0">
            <w:pPr>
              <w:rPr>
                <w:rFonts w:ascii="Arial" w:hAnsi="Arial" w:cs="Arial"/>
                <w:sz w:val="20"/>
                <w:szCs w:val="20"/>
              </w:rPr>
            </w:pPr>
            <w:r>
              <w:t>I</w:t>
            </w:r>
            <w:r w:rsidR="007B23F0" w:rsidRPr="008B20D5">
              <w:rPr>
                <w:rFonts w:ascii="Arial" w:hAnsi="Arial" w:cs="Arial"/>
                <w:sz w:val="20"/>
                <w:szCs w:val="20"/>
              </w:rPr>
              <w:t xml:space="preserve">nformation should be available in different languages based on local population needs. </w:t>
            </w:r>
          </w:p>
          <w:p w14:paraId="472F1BDA" w14:textId="491727A9" w:rsidR="007B23F0" w:rsidRDefault="007B23F0" w:rsidP="007B23F0">
            <w:pPr>
              <w:rPr>
                <w:rFonts w:ascii="Arial" w:hAnsi="Arial" w:cs="Arial"/>
                <w:color w:val="FF0000"/>
                <w:sz w:val="20"/>
                <w:szCs w:val="20"/>
              </w:rPr>
            </w:pPr>
          </w:p>
          <w:p w14:paraId="754C5A40" w14:textId="77777777" w:rsidR="007B23F0" w:rsidRPr="007B23F0" w:rsidRDefault="007B23F0" w:rsidP="007B23F0">
            <w:pPr>
              <w:rPr>
                <w:rFonts w:ascii="Arial" w:hAnsi="Arial" w:cs="Arial"/>
                <w:sz w:val="20"/>
                <w:szCs w:val="20"/>
              </w:rPr>
            </w:pPr>
            <w:r w:rsidRPr="007B23F0">
              <w:rPr>
                <w:rFonts w:ascii="Arial" w:hAnsi="Arial" w:cs="Arial"/>
                <w:sz w:val="20"/>
                <w:szCs w:val="20"/>
              </w:rPr>
              <w:t>Care plans should include, but not necessarily limited to:</w:t>
            </w:r>
          </w:p>
          <w:p w14:paraId="0D2F4436" w14:textId="77777777" w:rsidR="007B23F0" w:rsidRPr="007B23F0" w:rsidRDefault="007B23F0" w:rsidP="00DC3DDC">
            <w:pPr>
              <w:pStyle w:val="ListParagraph"/>
              <w:numPr>
                <w:ilvl w:val="0"/>
                <w:numId w:val="19"/>
              </w:numPr>
              <w:rPr>
                <w:rFonts w:ascii="Arial" w:hAnsi="Arial" w:cs="Arial"/>
                <w:sz w:val="20"/>
                <w:szCs w:val="20"/>
              </w:rPr>
            </w:pPr>
            <w:r w:rsidRPr="007B23F0">
              <w:rPr>
                <w:rFonts w:ascii="Arial" w:hAnsi="Arial" w:cs="Arial"/>
                <w:sz w:val="20"/>
                <w:szCs w:val="20"/>
              </w:rPr>
              <w:t>Patient priorities and their individual goals</w:t>
            </w:r>
          </w:p>
          <w:p w14:paraId="695881F0" w14:textId="77777777" w:rsidR="007B23F0" w:rsidRPr="007B23F0" w:rsidRDefault="007B23F0" w:rsidP="00DC3DDC">
            <w:pPr>
              <w:pStyle w:val="ListParagraph"/>
              <w:numPr>
                <w:ilvl w:val="0"/>
                <w:numId w:val="19"/>
              </w:numPr>
              <w:rPr>
                <w:rFonts w:ascii="Arial" w:hAnsi="Arial" w:cs="Arial"/>
                <w:sz w:val="20"/>
                <w:szCs w:val="20"/>
              </w:rPr>
            </w:pPr>
            <w:r w:rsidRPr="007B23F0">
              <w:rPr>
                <w:rFonts w:ascii="Arial" w:hAnsi="Arial" w:cs="Arial"/>
                <w:sz w:val="20"/>
                <w:szCs w:val="20"/>
              </w:rPr>
              <w:t>List of long-term health conditions and prior treatments and their outcomes</w:t>
            </w:r>
          </w:p>
          <w:p w14:paraId="037DC87B" w14:textId="77777777" w:rsidR="007B23F0" w:rsidRPr="007B23F0" w:rsidRDefault="007B23F0" w:rsidP="00DC3DDC">
            <w:pPr>
              <w:pStyle w:val="ListParagraph"/>
              <w:numPr>
                <w:ilvl w:val="0"/>
                <w:numId w:val="19"/>
              </w:numPr>
              <w:rPr>
                <w:rFonts w:ascii="Arial" w:hAnsi="Arial" w:cs="Arial"/>
                <w:sz w:val="20"/>
                <w:szCs w:val="20"/>
              </w:rPr>
            </w:pPr>
            <w:r w:rsidRPr="007B23F0">
              <w:rPr>
                <w:rFonts w:ascii="Arial" w:hAnsi="Arial" w:cs="Arial"/>
                <w:sz w:val="20"/>
                <w:szCs w:val="20"/>
              </w:rPr>
              <w:t>Support services, whether NHS or third-sector, applicable to the patient</w:t>
            </w:r>
          </w:p>
          <w:p w14:paraId="0B80C691" w14:textId="77777777" w:rsidR="007B23F0" w:rsidRPr="007B23F0" w:rsidRDefault="007B23F0" w:rsidP="00DC3DDC">
            <w:pPr>
              <w:pStyle w:val="ListParagraph"/>
              <w:numPr>
                <w:ilvl w:val="0"/>
                <w:numId w:val="19"/>
              </w:numPr>
              <w:rPr>
                <w:rFonts w:ascii="Arial" w:hAnsi="Arial" w:cs="Arial"/>
                <w:sz w:val="20"/>
                <w:szCs w:val="20"/>
              </w:rPr>
            </w:pPr>
            <w:r w:rsidRPr="007B23F0">
              <w:rPr>
                <w:rFonts w:ascii="Arial" w:hAnsi="Arial" w:cs="Arial"/>
                <w:sz w:val="20"/>
                <w:szCs w:val="20"/>
              </w:rPr>
              <w:t>Individualised self-management, including advice on management of flares</w:t>
            </w:r>
          </w:p>
          <w:p w14:paraId="664E5EC6" w14:textId="77777777" w:rsidR="007B23F0" w:rsidRPr="007B23F0" w:rsidRDefault="007B23F0" w:rsidP="00DC3DDC">
            <w:pPr>
              <w:pStyle w:val="ListParagraph"/>
              <w:numPr>
                <w:ilvl w:val="0"/>
                <w:numId w:val="19"/>
              </w:numPr>
              <w:rPr>
                <w:rFonts w:ascii="Arial" w:hAnsi="Arial" w:cs="Arial"/>
                <w:sz w:val="20"/>
                <w:szCs w:val="20"/>
              </w:rPr>
            </w:pPr>
            <w:r w:rsidRPr="007B23F0">
              <w:rPr>
                <w:rFonts w:ascii="Arial" w:hAnsi="Arial" w:cs="Arial"/>
                <w:sz w:val="20"/>
                <w:szCs w:val="20"/>
              </w:rPr>
              <w:t>Access pathways for further support from NHS services</w:t>
            </w:r>
          </w:p>
          <w:p w14:paraId="6796B150" w14:textId="77777777" w:rsidR="007B23F0" w:rsidRPr="007B23F0" w:rsidRDefault="007B23F0" w:rsidP="007B23F0">
            <w:pPr>
              <w:rPr>
                <w:rFonts w:ascii="Arial" w:hAnsi="Arial" w:cs="Arial"/>
                <w:sz w:val="20"/>
                <w:szCs w:val="20"/>
              </w:rPr>
            </w:pPr>
          </w:p>
          <w:p w14:paraId="1B1D2CAC" w14:textId="4F83620C" w:rsidR="007B23F0" w:rsidRDefault="007B23F0" w:rsidP="007B23F0">
            <w:pPr>
              <w:rPr>
                <w:rFonts w:ascii="Arial" w:hAnsi="Arial" w:cs="Arial"/>
                <w:sz w:val="20"/>
                <w:szCs w:val="20"/>
              </w:rPr>
            </w:pPr>
            <w:r w:rsidRPr="007B23F0">
              <w:rPr>
                <w:rFonts w:ascii="Arial" w:hAnsi="Arial" w:cs="Arial"/>
                <w:sz w:val="20"/>
                <w:szCs w:val="20"/>
              </w:rPr>
              <w:t>More details:</w:t>
            </w:r>
          </w:p>
          <w:p w14:paraId="7E5547EA" w14:textId="77777777" w:rsidR="00F03108" w:rsidRPr="007B23F0" w:rsidRDefault="00F03108" w:rsidP="007B23F0">
            <w:pPr>
              <w:rPr>
                <w:rFonts w:ascii="Arial" w:hAnsi="Arial" w:cs="Arial"/>
                <w:sz w:val="20"/>
                <w:szCs w:val="20"/>
              </w:rPr>
            </w:pPr>
          </w:p>
          <w:p w14:paraId="49477775" w14:textId="6A207B6D" w:rsidR="007B23F0" w:rsidRPr="00F90610" w:rsidRDefault="00C07F8A" w:rsidP="007B23F0">
            <w:pPr>
              <w:rPr>
                <w:rFonts w:ascii="Arial" w:hAnsi="Arial" w:cs="Arial"/>
                <w:sz w:val="20"/>
                <w:szCs w:val="20"/>
              </w:rPr>
            </w:pPr>
            <w:hyperlink r:id="rId19" w:history="1">
              <w:r w:rsidR="007B23F0" w:rsidRPr="00F90610">
                <w:rPr>
                  <w:rStyle w:val="Hyperlink"/>
                  <w:rFonts w:ascii="Arial" w:hAnsi="Arial" w:cs="Arial"/>
                  <w:color w:val="auto"/>
                  <w:sz w:val="20"/>
                  <w:szCs w:val="20"/>
                </w:rPr>
                <w:t>NHS Personalise Care Support (PCSP) Checklist</w:t>
              </w:r>
            </w:hyperlink>
            <w:r w:rsidR="006D015F">
              <w:rPr>
                <w:rStyle w:val="Hyperlink"/>
                <w:rFonts w:ascii="Arial" w:hAnsi="Arial" w:cs="Arial"/>
                <w:color w:val="auto"/>
                <w:sz w:val="20"/>
                <w:szCs w:val="20"/>
              </w:rPr>
              <w:t xml:space="preserve"> </w:t>
            </w:r>
          </w:p>
          <w:p w14:paraId="55BEAD74" w14:textId="77777777" w:rsidR="007B23F0" w:rsidRPr="00F90610" w:rsidRDefault="007B23F0" w:rsidP="007B23F0">
            <w:pPr>
              <w:rPr>
                <w:rFonts w:ascii="Arial" w:hAnsi="Arial" w:cs="Arial"/>
                <w:sz w:val="20"/>
                <w:szCs w:val="20"/>
              </w:rPr>
            </w:pPr>
          </w:p>
          <w:p w14:paraId="0F110ED7" w14:textId="77777777" w:rsidR="007B23F0" w:rsidRPr="00F90610" w:rsidRDefault="00C07F8A" w:rsidP="007B23F0">
            <w:pPr>
              <w:rPr>
                <w:rFonts w:ascii="Arial" w:hAnsi="Arial" w:cs="Arial"/>
                <w:sz w:val="20"/>
                <w:szCs w:val="20"/>
              </w:rPr>
            </w:pPr>
            <w:hyperlink r:id="rId20" w:history="1">
              <w:r w:rsidR="007B23F0" w:rsidRPr="00F90610">
                <w:rPr>
                  <w:rStyle w:val="Hyperlink"/>
                  <w:rFonts w:ascii="Arial" w:hAnsi="Arial" w:cs="Arial"/>
                  <w:color w:val="auto"/>
                  <w:sz w:val="20"/>
                  <w:szCs w:val="20"/>
                </w:rPr>
                <w:t>Personalised Care Introductory Pack</w:t>
              </w:r>
            </w:hyperlink>
          </w:p>
          <w:p w14:paraId="1C72FD76" w14:textId="77777777" w:rsidR="007B23F0" w:rsidRPr="00F90610" w:rsidRDefault="007B23F0" w:rsidP="007B23F0">
            <w:pPr>
              <w:rPr>
                <w:rFonts w:ascii="Arial" w:hAnsi="Arial" w:cs="Arial"/>
                <w:sz w:val="20"/>
                <w:szCs w:val="20"/>
              </w:rPr>
            </w:pPr>
          </w:p>
          <w:p w14:paraId="027269EB" w14:textId="77777777" w:rsidR="007B23F0" w:rsidRPr="00F90610" w:rsidRDefault="00C07F8A" w:rsidP="007B23F0">
            <w:pPr>
              <w:rPr>
                <w:rFonts w:ascii="Arial" w:hAnsi="Arial" w:cs="Arial"/>
                <w:sz w:val="20"/>
                <w:szCs w:val="20"/>
              </w:rPr>
            </w:pPr>
            <w:hyperlink r:id="rId21" w:history="1">
              <w:r w:rsidR="007B23F0" w:rsidRPr="00F90610">
                <w:rPr>
                  <w:rStyle w:val="Hyperlink"/>
                  <w:rFonts w:ascii="Arial" w:hAnsi="Arial" w:cs="Arial"/>
                  <w:color w:val="auto"/>
                  <w:sz w:val="20"/>
                  <w:szCs w:val="20"/>
                </w:rPr>
                <w:t>Guide to completing your personalised well-being plan</w:t>
              </w:r>
            </w:hyperlink>
          </w:p>
          <w:p w14:paraId="7A560BDF" w14:textId="77777777" w:rsidR="007B23F0" w:rsidRPr="00F90610" w:rsidRDefault="007B23F0" w:rsidP="007B23F0">
            <w:pPr>
              <w:rPr>
                <w:rFonts w:ascii="Arial" w:hAnsi="Arial" w:cs="Arial"/>
                <w:sz w:val="20"/>
                <w:szCs w:val="20"/>
              </w:rPr>
            </w:pPr>
          </w:p>
          <w:p w14:paraId="5212705C" w14:textId="77777777" w:rsidR="007B23F0" w:rsidRPr="00F90610" w:rsidRDefault="00C07F8A" w:rsidP="007B23F0">
            <w:pPr>
              <w:rPr>
                <w:rFonts w:ascii="Arial" w:hAnsi="Arial" w:cs="Arial"/>
                <w:sz w:val="20"/>
                <w:szCs w:val="20"/>
              </w:rPr>
            </w:pPr>
            <w:hyperlink r:id="rId22" w:history="1">
              <w:r w:rsidR="007B23F0" w:rsidRPr="00F90610">
                <w:rPr>
                  <w:rStyle w:val="Hyperlink"/>
                  <w:rFonts w:ascii="Arial" w:hAnsi="Arial" w:cs="Arial"/>
                  <w:color w:val="auto"/>
                  <w:sz w:val="20"/>
                  <w:szCs w:val="20"/>
                </w:rPr>
                <w:t>Personalised well-being plan template</w:t>
              </w:r>
            </w:hyperlink>
          </w:p>
          <w:p w14:paraId="3FBBF3BC" w14:textId="3299E181" w:rsidR="007B23F0" w:rsidRPr="007B23F0" w:rsidRDefault="007B23F0" w:rsidP="007B23F0">
            <w:pPr>
              <w:rPr>
                <w:rFonts w:ascii="Arial" w:hAnsi="Arial" w:cs="Arial"/>
                <w:sz w:val="20"/>
                <w:szCs w:val="20"/>
              </w:rPr>
            </w:pPr>
          </w:p>
          <w:p w14:paraId="2882511C" w14:textId="4D301FEB" w:rsidR="007B23F0" w:rsidRPr="00C54BA6" w:rsidRDefault="004F288A" w:rsidP="007B23F0">
            <w:pPr>
              <w:pStyle w:val="Heading2"/>
              <w:rPr>
                <w:rFonts w:ascii="Arial" w:hAnsi="Arial" w:cs="Arial"/>
                <w:b/>
                <w:color w:val="auto"/>
                <w:sz w:val="20"/>
                <w:szCs w:val="20"/>
              </w:rPr>
            </w:pPr>
            <w:bookmarkStart w:id="13" w:name="_Toc127194674"/>
            <w:r>
              <w:rPr>
                <w:rFonts w:ascii="Arial" w:hAnsi="Arial" w:cs="Arial"/>
                <w:b/>
                <w:color w:val="auto"/>
                <w:sz w:val="20"/>
                <w:szCs w:val="20"/>
              </w:rPr>
              <w:t>3.3.13</w:t>
            </w:r>
            <w:r w:rsidR="007919F7">
              <w:rPr>
                <w:rFonts w:ascii="Arial" w:hAnsi="Arial" w:cs="Arial"/>
                <w:b/>
                <w:color w:val="auto"/>
                <w:sz w:val="20"/>
                <w:szCs w:val="20"/>
              </w:rPr>
              <w:t xml:space="preserve"> </w:t>
            </w:r>
            <w:r w:rsidR="007B23F0" w:rsidRPr="00C54BA6">
              <w:rPr>
                <w:rFonts w:ascii="Arial" w:hAnsi="Arial" w:cs="Arial"/>
                <w:b/>
                <w:color w:val="auto"/>
                <w:sz w:val="20"/>
                <w:szCs w:val="20"/>
              </w:rPr>
              <w:t>Primary Care &amp; First Contact Practitioners</w:t>
            </w:r>
            <w:bookmarkEnd w:id="13"/>
          </w:p>
          <w:p w14:paraId="2A6E6289" w14:textId="77777777" w:rsidR="007B23F0" w:rsidRPr="007B23F0" w:rsidRDefault="007B23F0" w:rsidP="007B23F0">
            <w:pPr>
              <w:rPr>
                <w:rFonts w:ascii="Arial" w:hAnsi="Arial" w:cs="Arial"/>
                <w:sz w:val="20"/>
                <w:szCs w:val="20"/>
              </w:rPr>
            </w:pPr>
          </w:p>
          <w:p w14:paraId="67C6E08F" w14:textId="31AB81FE" w:rsidR="007B23F0" w:rsidRDefault="007B23F0" w:rsidP="007B23F0">
            <w:pPr>
              <w:rPr>
                <w:rFonts w:ascii="Arial" w:hAnsi="Arial" w:cs="Arial"/>
                <w:sz w:val="20"/>
                <w:szCs w:val="20"/>
              </w:rPr>
            </w:pPr>
            <w:r w:rsidRPr="007B23F0">
              <w:rPr>
                <w:rFonts w:ascii="Arial" w:hAnsi="Arial" w:cs="Arial"/>
                <w:sz w:val="20"/>
                <w:szCs w:val="20"/>
              </w:rPr>
              <w:t xml:space="preserve">By providing early MSK point of contact assessment, specialist advice, early guidance and treatment, first contact practitioners (FCPs) may reduce downstream service utilisation, as well as </w:t>
            </w:r>
            <w:r w:rsidR="000966C5">
              <w:rPr>
                <w:rFonts w:ascii="Arial" w:hAnsi="Arial" w:cs="Arial"/>
                <w:sz w:val="20"/>
                <w:szCs w:val="20"/>
              </w:rPr>
              <w:t xml:space="preserve">to </w:t>
            </w:r>
            <w:r w:rsidRPr="007B23F0">
              <w:rPr>
                <w:rFonts w:ascii="Arial" w:hAnsi="Arial" w:cs="Arial"/>
                <w:sz w:val="20"/>
                <w:szCs w:val="20"/>
              </w:rPr>
              <w:t xml:space="preserve">support to primary care demand. </w:t>
            </w:r>
          </w:p>
          <w:p w14:paraId="53A1B008" w14:textId="77777777" w:rsidR="007B23F0" w:rsidRPr="007B23F0" w:rsidRDefault="007B23F0" w:rsidP="007B23F0">
            <w:pPr>
              <w:rPr>
                <w:rFonts w:ascii="Arial" w:hAnsi="Arial" w:cs="Arial"/>
                <w:sz w:val="20"/>
                <w:szCs w:val="20"/>
              </w:rPr>
            </w:pPr>
          </w:p>
          <w:p w14:paraId="41744EB2" w14:textId="1BD72EBE" w:rsidR="0067252D" w:rsidRPr="007B23F0" w:rsidRDefault="007B23F0" w:rsidP="007B23F0">
            <w:pPr>
              <w:rPr>
                <w:rFonts w:ascii="Arial" w:hAnsi="Arial" w:cs="Arial"/>
                <w:sz w:val="20"/>
                <w:szCs w:val="20"/>
              </w:rPr>
            </w:pPr>
            <w:r w:rsidRPr="007B23F0">
              <w:rPr>
                <w:rFonts w:ascii="Arial" w:hAnsi="Arial" w:cs="Arial"/>
                <w:sz w:val="20"/>
                <w:szCs w:val="20"/>
              </w:rPr>
              <w:t xml:space="preserve">Whilst NWL ICB cannot mandate primary care networks to recruit from the community MSK provider, the NWL </w:t>
            </w:r>
            <w:r w:rsidRPr="00F90610">
              <w:rPr>
                <w:rFonts w:ascii="Arial" w:hAnsi="Arial" w:cs="Arial"/>
                <w:sz w:val="20"/>
                <w:szCs w:val="20"/>
              </w:rPr>
              <w:t xml:space="preserve">preferred position would be for FCPs to be formally integrated within the community MSK </w:t>
            </w:r>
            <w:r w:rsidR="000F06EB">
              <w:rPr>
                <w:rFonts w:ascii="Arial" w:hAnsi="Arial" w:cs="Arial"/>
                <w:sz w:val="20"/>
                <w:szCs w:val="20"/>
              </w:rPr>
              <w:t>S</w:t>
            </w:r>
            <w:r w:rsidRPr="00F90610">
              <w:rPr>
                <w:rFonts w:ascii="Arial" w:hAnsi="Arial" w:cs="Arial"/>
                <w:sz w:val="20"/>
                <w:szCs w:val="20"/>
              </w:rPr>
              <w:t xml:space="preserve">ervice, both to enable </w:t>
            </w:r>
            <w:r w:rsidR="0067252D" w:rsidRPr="00F90610">
              <w:rPr>
                <w:rFonts w:ascii="Arial" w:hAnsi="Arial" w:cs="Arial"/>
                <w:sz w:val="20"/>
                <w:szCs w:val="20"/>
              </w:rPr>
              <w:t xml:space="preserve">continuing </w:t>
            </w:r>
            <w:r w:rsidRPr="00F90610">
              <w:rPr>
                <w:rFonts w:ascii="Arial" w:hAnsi="Arial" w:cs="Arial"/>
                <w:sz w:val="20"/>
                <w:szCs w:val="20"/>
              </w:rPr>
              <w:t xml:space="preserve">development </w:t>
            </w:r>
            <w:r w:rsidRPr="007B23F0">
              <w:rPr>
                <w:rFonts w:ascii="Arial" w:hAnsi="Arial" w:cs="Arial"/>
                <w:sz w:val="20"/>
                <w:szCs w:val="20"/>
              </w:rPr>
              <w:t xml:space="preserve">and supervision for practitioners, as well as to allow the </w:t>
            </w:r>
            <w:r w:rsidR="000F06EB">
              <w:rPr>
                <w:rFonts w:ascii="Arial" w:hAnsi="Arial" w:cs="Arial"/>
                <w:sz w:val="20"/>
                <w:szCs w:val="20"/>
              </w:rPr>
              <w:t>S</w:t>
            </w:r>
            <w:r w:rsidRPr="007B23F0">
              <w:rPr>
                <w:rFonts w:ascii="Arial" w:hAnsi="Arial" w:cs="Arial"/>
                <w:sz w:val="20"/>
                <w:szCs w:val="20"/>
              </w:rPr>
              <w:t xml:space="preserve">ervice to maintain clinical standards and provide governance for these roles. Ideally FCPs should regularly rotate through both primary care, as well as community clinical settings. </w:t>
            </w:r>
          </w:p>
          <w:p w14:paraId="5C98EC72" w14:textId="77777777" w:rsidR="007B23F0" w:rsidRPr="007B23F0" w:rsidRDefault="007B23F0" w:rsidP="007B23F0">
            <w:pPr>
              <w:rPr>
                <w:rFonts w:ascii="Arial" w:hAnsi="Arial" w:cs="Arial"/>
                <w:sz w:val="20"/>
                <w:szCs w:val="20"/>
              </w:rPr>
            </w:pPr>
          </w:p>
          <w:p w14:paraId="71B3C8EC" w14:textId="08EF8118" w:rsidR="007B23F0" w:rsidRPr="008B20D5" w:rsidRDefault="007B23F0" w:rsidP="008B20D5">
            <w:pPr>
              <w:rPr>
                <w:rFonts w:ascii="Arial" w:hAnsi="Arial" w:cs="Arial"/>
                <w:sz w:val="20"/>
                <w:szCs w:val="20"/>
              </w:rPr>
            </w:pPr>
            <w:r w:rsidRPr="007B23F0">
              <w:rPr>
                <w:rFonts w:ascii="Arial" w:hAnsi="Arial" w:cs="Arial"/>
                <w:sz w:val="20"/>
                <w:szCs w:val="20"/>
              </w:rPr>
              <w:t xml:space="preserve">Integration with community services would also enable appropriately qualified FCPs based within primary care to have access to more advanced radiology requests, which would not be routinely accessed in primary care in NWL. If MSK-service based FCPs order more advanced imaging within a primary care setting, interpretation of such results should be undertaken only by that FCP, or within the community MSK service </w:t>
            </w:r>
            <w:r w:rsidRPr="008B20D5">
              <w:rPr>
                <w:rFonts w:ascii="Arial" w:hAnsi="Arial" w:cs="Arial"/>
                <w:sz w:val="20"/>
                <w:szCs w:val="20"/>
              </w:rPr>
              <w:t>and not by other primary care staff.</w:t>
            </w:r>
          </w:p>
          <w:p w14:paraId="192FFB13" w14:textId="77777777" w:rsidR="007B23F0" w:rsidRPr="007B23F0" w:rsidRDefault="007B23F0" w:rsidP="007B23F0">
            <w:pPr>
              <w:rPr>
                <w:rFonts w:ascii="Arial" w:hAnsi="Arial" w:cs="Arial"/>
                <w:sz w:val="20"/>
                <w:szCs w:val="20"/>
              </w:rPr>
            </w:pPr>
          </w:p>
          <w:p w14:paraId="60BFCCC3" w14:textId="24C78929" w:rsidR="007B23F0" w:rsidRPr="00DA02B5" w:rsidRDefault="007B23F0" w:rsidP="007B23F0">
            <w:pPr>
              <w:rPr>
                <w:rFonts w:ascii="Arial" w:hAnsi="Arial" w:cs="Arial"/>
                <w:sz w:val="20"/>
                <w:szCs w:val="20"/>
              </w:rPr>
            </w:pPr>
            <w:r w:rsidRPr="007B23F0">
              <w:rPr>
                <w:rFonts w:ascii="Arial" w:hAnsi="Arial" w:cs="Arial"/>
                <w:sz w:val="20"/>
                <w:szCs w:val="20"/>
              </w:rPr>
              <w:t xml:space="preserve">This will </w:t>
            </w:r>
            <w:r w:rsidRPr="00DA02B5">
              <w:rPr>
                <w:rFonts w:ascii="Arial" w:hAnsi="Arial" w:cs="Arial"/>
                <w:sz w:val="20"/>
                <w:szCs w:val="20"/>
              </w:rPr>
              <w:t xml:space="preserve">require close engagement and working relationships between the MSK community </w:t>
            </w:r>
            <w:r w:rsidR="000F06EB">
              <w:rPr>
                <w:rFonts w:ascii="Arial" w:hAnsi="Arial" w:cs="Arial"/>
                <w:sz w:val="20"/>
                <w:szCs w:val="20"/>
              </w:rPr>
              <w:t>S</w:t>
            </w:r>
            <w:r w:rsidRPr="00DA02B5">
              <w:rPr>
                <w:rFonts w:ascii="Arial" w:hAnsi="Arial" w:cs="Arial"/>
                <w:sz w:val="20"/>
                <w:szCs w:val="20"/>
              </w:rPr>
              <w:t xml:space="preserve">ervice and neighbourhood based primary care networks (PCNs) across North West London. </w:t>
            </w:r>
          </w:p>
          <w:p w14:paraId="391F2BE8" w14:textId="77777777" w:rsidR="007B23F0" w:rsidRPr="00DA02B5" w:rsidRDefault="007B23F0" w:rsidP="007B23F0">
            <w:pPr>
              <w:rPr>
                <w:rFonts w:ascii="Arial" w:hAnsi="Arial" w:cs="Arial"/>
                <w:sz w:val="20"/>
                <w:szCs w:val="20"/>
              </w:rPr>
            </w:pPr>
          </w:p>
          <w:p w14:paraId="7BE43FAA" w14:textId="77777777" w:rsidR="007B23F0" w:rsidRPr="00DA02B5" w:rsidRDefault="007B23F0" w:rsidP="007B23F0">
            <w:pPr>
              <w:rPr>
                <w:rFonts w:ascii="Arial" w:hAnsi="Arial" w:cs="Arial"/>
                <w:sz w:val="20"/>
                <w:szCs w:val="20"/>
              </w:rPr>
            </w:pPr>
            <w:r w:rsidRPr="00DA02B5">
              <w:rPr>
                <w:rFonts w:ascii="Arial" w:hAnsi="Arial" w:cs="Arial"/>
                <w:sz w:val="20"/>
                <w:szCs w:val="20"/>
              </w:rPr>
              <w:t xml:space="preserve">First contact practitioners must meet the minimum standards of the </w:t>
            </w:r>
            <w:hyperlink r:id="rId23" w:history="1">
              <w:r w:rsidRPr="00DA02B5">
                <w:rPr>
                  <w:rStyle w:val="Hyperlink"/>
                  <w:rFonts w:ascii="Arial" w:hAnsi="Arial" w:cs="Arial"/>
                  <w:color w:val="auto"/>
                  <w:sz w:val="20"/>
                  <w:szCs w:val="20"/>
                </w:rPr>
                <w:t>HEE Roadmap to Practice</w:t>
              </w:r>
            </w:hyperlink>
            <w:r w:rsidRPr="00DA02B5">
              <w:rPr>
                <w:rFonts w:ascii="Arial" w:hAnsi="Arial" w:cs="Arial"/>
                <w:sz w:val="20"/>
                <w:szCs w:val="20"/>
              </w:rPr>
              <w:t>, as well as CQC requirements (</w:t>
            </w:r>
            <w:hyperlink r:id="rId24" w:history="1">
              <w:r w:rsidRPr="00DA02B5">
                <w:rPr>
                  <w:rStyle w:val="Hyperlink"/>
                  <w:rFonts w:ascii="Arial" w:hAnsi="Arial" w:cs="Arial"/>
                  <w:color w:val="auto"/>
                  <w:sz w:val="20"/>
                  <w:szCs w:val="20"/>
                </w:rPr>
                <w:t>FCP Care Quality Commission myth buster</w:t>
              </w:r>
            </w:hyperlink>
            <w:r w:rsidRPr="00DA02B5">
              <w:rPr>
                <w:rFonts w:ascii="Arial" w:hAnsi="Arial" w:cs="Arial"/>
                <w:sz w:val="20"/>
                <w:szCs w:val="20"/>
              </w:rPr>
              <w:t>)</w:t>
            </w:r>
          </w:p>
          <w:p w14:paraId="7E6B5B88" w14:textId="77777777" w:rsidR="007B23F0" w:rsidRPr="00DA02B5" w:rsidRDefault="007B23F0" w:rsidP="007B23F0">
            <w:pPr>
              <w:rPr>
                <w:rFonts w:ascii="Arial" w:hAnsi="Arial" w:cs="Arial"/>
                <w:sz w:val="20"/>
                <w:szCs w:val="20"/>
              </w:rPr>
            </w:pPr>
          </w:p>
          <w:p w14:paraId="4848BB28" w14:textId="725187C3" w:rsidR="00C54BA6" w:rsidRDefault="007B23F0" w:rsidP="007B23F0">
            <w:pPr>
              <w:rPr>
                <w:rFonts w:ascii="Arial" w:hAnsi="Arial" w:cs="Arial"/>
                <w:sz w:val="20"/>
                <w:szCs w:val="20"/>
              </w:rPr>
            </w:pPr>
            <w:r w:rsidRPr="00DA02B5">
              <w:rPr>
                <w:rFonts w:ascii="Arial" w:hAnsi="Arial" w:cs="Arial"/>
                <w:sz w:val="20"/>
                <w:szCs w:val="20"/>
              </w:rPr>
              <w:t xml:space="preserve">The provider must work with PCNs to set up IT interoperability for booking and FCP health record </w:t>
            </w:r>
            <w:r w:rsidR="009053A0" w:rsidRPr="00DA02B5">
              <w:rPr>
                <w:rFonts w:ascii="Arial" w:hAnsi="Arial" w:cs="Arial"/>
                <w:sz w:val="20"/>
                <w:szCs w:val="20"/>
              </w:rPr>
              <w:t xml:space="preserve">and diagnostic </w:t>
            </w:r>
            <w:r w:rsidRPr="00DA02B5">
              <w:rPr>
                <w:rFonts w:ascii="Arial" w:hAnsi="Arial" w:cs="Arial"/>
                <w:sz w:val="20"/>
                <w:szCs w:val="20"/>
              </w:rPr>
              <w:t xml:space="preserve">access. </w:t>
            </w:r>
          </w:p>
          <w:p w14:paraId="37F3593E" w14:textId="700CD046" w:rsidR="00C54BA6" w:rsidRPr="00DA02B5" w:rsidRDefault="00C54BA6" w:rsidP="007B23F0">
            <w:pPr>
              <w:rPr>
                <w:rFonts w:ascii="Arial" w:hAnsi="Arial" w:cs="Arial"/>
                <w:sz w:val="20"/>
                <w:szCs w:val="20"/>
              </w:rPr>
            </w:pPr>
          </w:p>
          <w:p w14:paraId="76356F9D" w14:textId="3DF30C8B" w:rsidR="007B23F0" w:rsidRPr="00DA02B5" w:rsidRDefault="004F288A" w:rsidP="007B23F0">
            <w:pPr>
              <w:pStyle w:val="Heading2"/>
              <w:rPr>
                <w:rFonts w:ascii="Arial" w:hAnsi="Arial" w:cs="Arial"/>
                <w:b/>
                <w:color w:val="auto"/>
                <w:sz w:val="20"/>
                <w:szCs w:val="20"/>
              </w:rPr>
            </w:pPr>
            <w:bookmarkStart w:id="14" w:name="_Toc127194675"/>
            <w:r>
              <w:rPr>
                <w:rFonts w:ascii="Arial" w:hAnsi="Arial" w:cs="Arial"/>
                <w:b/>
                <w:color w:val="auto"/>
                <w:sz w:val="20"/>
                <w:szCs w:val="20"/>
              </w:rPr>
              <w:t>3.3.14</w:t>
            </w:r>
            <w:r w:rsidR="007919F7" w:rsidRPr="00DA02B5">
              <w:rPr>
                <w:rFonts w:ascii="Arial" w:hAnsi="Arial" w:cs="Arial"/>
                <w:b/>
                <w:color w:val="auto"/>
                <w:sz w:val="20"/>
                <w:szCs w:val="20"/>
              </w:rPr>
              <w:t xml:space="preserve"> </w:t>
            </w:r>
            <w:r w:rsidR="00F877C2" w:rsidRPr="00DA02B5">
              <w:rPr>
                <w:rFonts w:ascii="Arial" w:hAnsi="Arial" w:cs="Arial"/>
                <w:b/>
                <w:color w:val="auto"/>
                <w:sz w:val="20"/>
                <w:szCs w:val="20"/>
              </w:rPr>
              <w:t xml:space="preserve">Tier 1 </w:t>
            </w:r>
            <w:r w:rsidR="000966C5">
              <w:rPr>
                <w:rFonts w:ascii="Arial" w:hAnsi="Arial" w:cs="Arial"/>
                <w:b/>
                <w:color w:val="auto"/>
                <w:sz w:val="20"/>
                <w:szCs w:val="20"/>
              </w:rPr>
              <w:t>Physiotherapist-Lead Services</w:t>
            </w:r>
            <w:bookmarkEnd w:id="14"/>
          </w:p>
          <w:p w14:paraId="2D428166" w14:textId="323724CB" w:rsidR="00F877C2" w:rsidRDefault="00F877C2" w:rsidP="007B23F0">
            <w:pPr>
              <w:rPr>
                <w:rFonts w:ascii="Arial" w:hAnsi="Arial" w:cs="Arial"/>
                <w:sz w:val="20"/>
                <w:szCs w:val="20"/>
              </w:rPr>
            </w:pPr>
          </w:p>
          <w:p w14:paraId="088B44E9" w14:textId="298A340C" w:rsidR="00F877C2" w:rsidRDefault="00F877C2" w:rsidP="007B23F0">
            <w:pPr>
              <w:rPr>
                <w:rFonts w:ascii="Arial" w:hAnsi="Arial" w:cs="Arial"/>
                <w:sz w:val="20"/>
                <w:szCs w:val="20"/>
              </w:rPr>
            </w:pPr>
            <w:r>
              <w:rPr>
                <w:rFonts w:ascii="Arial" w:hAnsi="Arial" w:cs="Arial"/>
                <w:sz w:val="20"/>
                <w:szCs w:val="20"/>
              </w:rPr>
              <w:t xml:space="preserve">Tier 1 services should be clinically and digitally integrated with Tier 2 speciality clinics to ensure a seamless bi-directional patient journey and also to enable clinical supervision, with escalation and onward referral of only appropriate cases from Tier 1 to Tier 2, with feedback and upskilling for Tier 1 clinicians. </w:t>
            </w:r>
          </w:p>
          <w:p w14:paraId="3A46339F" w14:textId="77777777" w:rsidR="00F877C2" w:rsidRDefault="00F877C2" w:rsidP="007B23F0">
            <w:pPr>
              <w:rPr>
                <w:rFonts w:ascii="Arial" w:hAnsi="Arial" w:cs="Arial"/>
                <w:sz w:val="20"/>
                <w:szCs w:val="20"/>
              </w:rPr>
            </w:pPr>
          </w:p>
          <w:p w14:paraId="784BFC52" w14:textId="4195DCC0" w:rsidR="007B23F0" w:rsidRDefault="007B23F0" w:rsidP="007B23F0">
            <w:pPr>
              <w:rPr>
                <w:rFonts w:ascii="Arial" w:hAnsi="Arial" w:cs="Arial"/>
                <w:sz w:val="20"/>
                <w:szCs w:val="20"/>
              </w:rPr>
            </w:pPr>
            <w:r w:rsidRPr="007B23F0">
              <w:rPr>
                <w:rFonts w:ascii="Arial" w:hAnsi="Arial" w:cs="Arial"/>
                <w:sz w:val="20"/>
                <w:szCs w:val="20"/>
              </w:rPr>
              <w:t xml:space="preserve">The service should deliver care using a mix of one-to-one, </w:t>
            </w:r>
            <w:r w:rsidRPr="00F90610">
              <w:rPr>
                <w:rFonts w:ascii="Arial" w:hAnsi="Arial" w:cs="Arial"/>
                <w:sz w:val="20"/>
                <w:szCs w:val="20"/>
              </w:rPr>
              <w:t>group</w:t>
            </w:r>
            <w:r w:rsidR="006F56A6" w:rsidRPr="00F90610">
              <w:rPr>
                <w:rFonts w:ascii="Arial" w:hAnsi="Arial" w:cs="Arial"/>
                <w:sz w:val="20"/>
                <w:szCs w:val="20"/>
              </w:rPr>
              <w:t>,</w:t>
            </w:r>
            <w:r w:rsidR="006F56A6" w:rsidRPr="00F90610">
              <w:t xml:space="preserve"> </w:t>
            </w:r>
            <w:r w:rsidR="009053A0" w:rsidRPr="00F90610">
              <w:rPr>
                <w:rFonts w:ascii="Arial" w:hAnsi="Arial" w:cs="Arial"/>
                <w:sz w:val="20"/>
                <w:szCs w:val="20"/>
              </w:rPr>
              <w:t xml:space="preserve">face to face and remote </w:t>
            </w:r>
            <w:r w:rsidRPr="00F90610">
              <w:rPr>
                <w:rFonts w:ascii="Arial" w:hAnsi="Arial" w:cs="Arial"/>
                <w:sz w:val="20"/>
                <w:szCs w:val="20"/>
              </w:rPr>
              <w:t xml:space="preserve">telephone </w:t>
            </w:r>
            <w:r w:rsidRPr="007B23F0">
              <w:rPr>
                <w:rFonts w:ascii="Arial" w:hAnsi="Arial" w:cs="Arial"/>
                <w:sz w:val="20"/>
                <w:szCs w:val="20"/>
              </w:rPr>
              <w:t xml:space="preserve">and virtual sessions. Patients should be supported to engaged in both supervised and unsupervised physical activity, tailored to their individual needs, preferences and abilities. </w:t>
            </w:r>
          </w:p>
          <w:p w14:paraId="161BC01D" w14:textId="30DFB7EA" w:rsidR="007B23F0" w:rsidRPr="007B23F0" w:rsidRDefault="007B23F0" w:rsidP="007B23F0">
            <w:pPr>
              <w:rPr>
                <w:rFonts w:ascii="Arial" w:hAnsi="Arial" w:cs="Arial"/>
                <w:sz w:val="20"/>
                <w:szCs w:val="20"/>
              </w:rPr>
            </w:pPr>
          </w:p>
          <w:p w14:paraId="41A5E8C9"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Digital tools should be used to support appropriate patients to self-manage their condition, with education and physical activity advice, for example online ‘Joint Schools’.  </w:t>
            </w:r>
          </w:p>
          <w:p w14:paraId="66319343" w14:textId="77777777" w:rsidR="00D6219B" w:rsidRDefault="00D6219B" w:rsidP="007B23F0">
            <w:pPr>
              <w:rPr>
                <w:rFonts w:ascii="Arial" w:hAnsi="Arial" w:cs="Arial"/>
                <w:sz w:val="20"/>
                <w:szCs w:val="20"/>
              </w:rPr>
            </w:pPr>
          </w:p>
          <w:p w14:paraId="777BC83E" w14:textId="263D077D" w:rsidR="007B23F0" w:rsidRDefault="00D6219B" w:rsidP="007B23F0">
            <w:pPr>
              <w:rPr>
                <w:rFonts w:ascii="Arial" w:hAnsi="Arial" w:cs="Arial"/>
                <w:sz w:val="20"/>
                <w:szCs w:val="20"/>
              </w:rPr>
            </w:pPr>
            <w:r>
              <w:rPr>
                <w:rFonts w:ascii="Arial" w:hAnsi="Arial" w:cs="Arial"/>
                <w:sz w:val="20"/>
                <w:szCs w:val="20"/>
              </w:rPr>
              <w:t>There should be provision of adequate capacity of supervised rehabilitation classes for common musculoskeletal conditions, such as osteoarthritis</w:t>
            </w:r>
            <w:r w:rsidR="00EB2022">
              <w:rPr>
                <w:rFonts w:ascii="Arial" w:hAnsi="Arial" w:cs="Arial"/>
                <w:sz w:val="20"/>
                <w:szCs w:val="20"/>
              </w:rPr>
              <w:t>, both virtually and in-person.</w:t>
            </w:r>
          </w:p>
          <w:p w14:paraId="0E55165D" w14:textId="714799FD" w:rsidR="00EB2022" w:rsidRDefault="00EB2022" w:rsidP="007B23F0">
            <w:pPr>
              <w:rPr>
                <w:rFonts w:ascii="Arial" w:hAnsi="Arial" w:cs="Arial"/>
                <w:sz w:val="20"/>
                <w:szCs w:val="20"/>
              </w:rPr>
            </w:pPr>
          </w:p>
          <w:p w14:paraId="006F822A" w14:textId="77777777" w:rsidR="00EB2022" w:rsidRDefault="00EB2022" w:rsidP="00EB2022">
            <w:pPr>
              <w:rPr>
                <w:rFonts w:ascii="Arial" w:hAnsi="Arial" w:cs="Arial"/>
                <w:sz w:val="20"/>
                <w:szCs w:val="20"/>
              </w:rPr>
            </w:pPr>
            <w:r w:rsidRPr="007B23F0">
              <w:rPr>
                <w:rFonts w:ascii="Arial" w:hAnsi="Arial" w:cs="Arial"/>
                <w:sz w:val="20"/>
                <w:szCs w:val="20"/>
              </w:rPr>
              <w:t>Where patients have a preference for face-to-face rather than virtual input, this should be offered</w:t>
            </w:r>
            <w:r>
              <w:rPr>
                <w:rFonts w:ascii="Arial" w:hAnsi="Arial" w:cs="Arial"/>
                <w:sz w:val="20"/>
                <w:szCs w:val="20"/>
              </w:rPr>
              <w:t xml:space="preserve">. </w:t>
            </w:r>
          </w:p>
          <w:p w14:paraId="62BDDD85" w14:textId="4688CAD8" w:rsidR="007B23F0" w:rsidRPr="007B23F0" w:rsidRDefault="007B23F0" w:rsidP="007B23F0">
            <w:pPr>
              <w:rPr>
                <w:rFonts w:ascii="Arial" w:hAnsi="Arial" w:cs="Arial"/>
                <w:sz w:val="20"/>
                <w:szCs w:val="20"/>
              </w:rPr>
            </w:pPr>
          </w:p>
          <w:p w14:paraId="28E81FD8" w14:textId="77777777" w:rsidR="007B23F0" w:rsidRPr="007B23F0" w:rsidRDefault="007B23F0" w:rsidP="007B23F0">
            <w:pPr>
              <w:rPr>
                <w:rFonts w:ascii="Arial" w:hAnsi="Arial" w:cs="Arial"/>
                <w:sz w:val="20"/>
                <w:szCs w:val="20"/>
              </w:rPr>
            </w:pPr>
            <w:r w:rsidRPr="007B23F0">
              <w:rPr>
                <w:rFonts w:ascii="Arial" w:hAnsi="Arial" w:cs="Arial"/>
                <w:sz w:val="20"/>
                <w:szCs w:val="20"/>
              </w:rPr>
              <w:t>Appropriate diagnostic labelling should be used in all patient encounters with practitioners.</w:t>
            </w:r>
          </w:p>
          <w:p w14:paraId="6C1A63DA" w14:textId="77777777" w:rsidR="007B23F0" w:rsidRPr="007B23F0" w:rsidRDefault="007B23F0" w:rsidP="007B23F0">
            <w:pPr>
              <w:rPr>
                <w:rFonts w:ascii="Arial" w:hAnsi="Arial" w:cs="Arial"/>
                <w:sz w:val="20"/>
                <w:szCs w:val="20"/>
              </w:rPr>
            </w:pPr>
          </w:p>
          <w:p w14:paraId="4B759FDA" w14:textId="266864F3" w:rsidR="007B23F0" w:rsidRPr="00D6219B" w:rsidRDefault="007B23F0" w:rsidP="00E5251D">
            <w:pPr>
              <w:pStyle w:val="CommentText"/>
              <w:rPr>
                <w:rFonts w:ascii="Arial" w:hAnsi="Arial" w:cs="Arial"/>
                <w:color w:val="FF0000"/>
              </w:rPr>
            </w:pPr>
            <w:r w:rsidRPr="007B23F0">
              <w:rPr>
                <w:rFonts w:ascii="Arial" w:hAnsi="Arial" w:cs="Arial"/>
              </w:rPr>
              <w:t xml:space="preserve">Basic orthotics should be available within the </w:t>
            </w:r>
            <w:r w:rsidR="000F06EB">
              <w:rPr>
                <w:rFonts w:ascii="Arial" w:hAnsi="Arial" w:cs="Arial"/>
              </w:rPr>
              <w:t>S</w:t>
            </w:r>
            <w:r w:rsidRPr="007B23F0">
              <w:rPr>
                <w:rFonts w:ascii="Arial" w:hAnsi="Arial" w:cs="Arial"/>
              </w:rPr>
              <w:t>ervice for common MSK podiatric needs</w:t>
            </w:r>
            <w:r w:rsidR="00D6219B">
              <w:rPr>
                <w:rFonts w:ascii="Arial" w:hAnsi="Arial" w:cs="Arial"/>
              </w:rPr>
              <w:t xml:space="preserve"> (dependent on contract value). </w:t>
            </w:r>
            <w:r w:rsidRPr="007B23F0">
              <w:rPr>
                <w:rFonts w:ascii="Arial" w:hAnsi="Arial" w:cs="Arial"/>
              </w:rPr>
              <w:t xml:space="preserve">NWL does not routinely commission the use of more advanced orthoses. </w:t>
            </w:r>
          </w:p>
          <w:p w14:paraId="7A823932" w14:textId="77777777" w:rsidR="007B23F0" w:rsidRPr="007B23F0" w:rsidRDefault="007B23F0" w:rsidP="007B23F0">
            <w:pPr>
              <w:rPr>
                <w:rFonts w:ascii="Arial" w:hAnsi="Arial" w:cs="Arial"/>
                <w:sz w:val="20"/>
                <w:szCs w:val="20"/>
              </w:rPr>
            </w:pPr>
          </w:p>
          <w:p w14:paraId="0DCAD479" w14:textId="7FFBA7FF" w:rsidR="00CA531E" w:rsidRPr="00C207F0" w:rsidRDefault="007B23F0" w:rsidP="00CA531E">
            <w:pPr>
              <w:rPr>
                <w:rFonts w:ascii="Arial" w:hAnsi="Arial" w:cs="Arial"/>
                <w:strike/>
                <w:color w:val="FF0000"/>
                <w:sz w:val="20"/>
                <w:szCs w:val="20"/>
              </w:rPr>
            </w:pPr>
            <w:r w:rsidRPr="007B23F0">
              <w:rPr>
                <w:rFonts w:ascii="Arial" w:hAnsi="Arial" w:cs="Arial"/>
                <w:sz w:val="20"/>
                <w:szCs w:val="20"/>
              </w:rPr>
              <w:t>Manual therapy may be provided, as an adjunct to other evidence-based treatments.</w:t>
            </w:r>
            <w:r w:rsidR="00CA531E">
              <w:rPr>
                <w:rFonts w:ascii="Arial" w:hAnsi="Arial" w:cs="Arial"/>
                <w:sz w:val="20"/>
                <w:szCs w:val="20"/>
              </w:rPr>
              <w:t xml:space="preserve"> </w:t>
            </w:r>
          </w:p>
          <w:p w14:paraId="6351F090" w14:textId="77777777" w:rsidR="00CA531E" w:rsidRDefault="00CA531E" w:rsidP="007B23F0">
            <w:pPr>
              <w:rPr>
                <w:rFonts w:ascii="Arial" w:hAnsi="Arial" w:cs="Arial"/>
                <w:sz w:val="20"/>
                <w:szCs w:val="20"/>
              </w:rPr>
            </w:pPr>
          </w:p>
          <w:p w14:paraId="4164A3B4" w14:textId="21E18256" w:rsidR="007B23F0" w:rsidRPr="007B23F0" w:rsidRDefault="007B23F0" w:rsidP="007B23F0">
            <w:pPr>
              <w:rPr>
                <w:rFonts w:ascii="Arial" w:hAnsi="Arial" w:cs="Arial"/>
                <w:sz w:val="20"/>
                <w:szCs w:val="20"/>
              </w:rPr>
            </w:pPr>
            <w:r w:rsidRPr="007B23F0">
              <w:rPr>
                <w:rFonts w:ascii="Arial" w:hAnsi="Arial" w:cs="Arial"/>
                <w:sz w:val="20"/>
                <w:szCs w:val="20"/>
              </w:rPr>
              <w:t xml:space="preserve">Where necessary, vocational / employment support services should be partnered with in order to plan and facilitate optimum return to work for patients. </w:t>
            </w:r>
          </w:p>
          <w:p w14:paraId="4CE909DB" w14:textId="77777777" w:rsidR="007B23F0" w:rsidRPr="007B23F0" w:rsidRDefault="007B23F0" w:rsidP="007B23F0">
            <w:pPr>
              <w:rPr>
                <w:rFonts w:ascii="Arial" w:hAnsi="Arial" w:cs="Arial"/>
                <w:sz w:val="20"/>
                <w:szCs w:val="20"/>
              </w:rPr>
            </w:pPr>
          </w:p>
          <w:p w14:paraId="232BEBC1" w14:textId="1EEC014F" w:rsidR="007B23F0" w:rsidRDefault="007B23F0" w:rsidP="007B23F0">
            <w:pPr>
              <w:rPr>
                <w:rFonts w:ascii="Arial" w:hAnsi="Arial" w:cs="Arial"/>
                <w:sz w:val="20"/>
                <w:szCs w:val="20"/>
              </w:rPr>
            </w:pPr>
            <w:r w:rsidRPr="007B23F0">
              <w:rPr>
                <w:rFonts w:ascii="Arial" w:hAnsi="Arial" w:cs="Arial"/>
                <w:sz w:val="20"/>
                <w:szCs w:val="20"/>
              </w:rPr>
              <w:lastRenderedPageBreak/>
              <w:t>The provider should work with existing community-based assets, such as local authority resources, leisure centres, community exercise classes and gyms</w:t>
            </w:r>
            <w:r w:rsidR="005E1092">
              <w:rPr>
                <w:rFonts w:ascii="Arial" w:hAnsi="Arial" w:cs="Arial"/>
                <w:sz w:val="20"/>
                <w:szCs w:val="20"/>
              </w:rPr>
              <w:t>, to inc</w:t>
            </w:r>
            <w:r w:rsidR="00753D14">
              <w:rPr>
                <w:rFonts w:ascii="Arial" w:hAnsi="Arial" w:cs="Arial"/>
                <w:sz w:val="20"/>
                <w:szCs w:val="20"/>
              </w:rPr>
              <w:t>orporate them into clin</w:t>
            </w:r>
            <w:r w:rsidR="005E1092">
              <w:rPr>
                <w:rFonts w:ascii="Arial" w:hAnsi="Arial" w:cs="Arial"/>
                <w:sz w:val="20"/>
                <w:szCs w:val="20"/>
              </w:rPr>
              <w:t>ica</w:t>
            </w:r>
            <w:r w:rsidR="00753D14">
              <w:rPr>
                <w:rFonts w:ascii="Arial" w:hAnsi="Arial" w:cs="Arial"/>
                <w:sz w:val="20"/>
                <w:szCs w:val="20"/>
              </w:rPr>
              <w:t>l path</w:t>
            </w:r>
            <w:r w:rsidR="005E1092">
              <w:rPr>
                <w:rFonts w:ascii="Arial" w:hAnsi="Arial" w:cs="Arial"/>
                <w:sz w:val="20"/>
                <w:szCs w:val="20"/>
              </w:rPr>
              <w:t>ways</w:t>
            </w:r>
            <w:r w:rsidRPr="007B23F0">
              <w:rPr>
                <w:rFonts w:ascii="Arial" w:hAnsi="Arial" w:cs="Arial"/>
                <w:sz w:val="20"/>
                <w:szCs w:val="20"/>
              </w:rPr>
              <w:t xml:space="preserve">. </w:t>
            </w:r>
          </w:p>
          <w:p w14:paraId="670012BE" w14:textId="77777777" w:rsidR="007B23F0" w:rsidRPr="007B23F0" w:rsidRDefault="007B23F0" w:rsidP="007B23F0">
            <w:pPr>
              <w:rPr>
                <w:rFonts w:ascii="Arial" w:hAnsi="Arial" w:cs="Arial"/>
                <w:sz w:val="20"/>
                <w:szCs w:val="20"/>
              </w:rPr>
            </w:pPr>
          </w:p>
          <w:p w14:paraId="0E7A9A8F" w14:textId="2DCF3C92" w:rsidR="008B20D5" w:rsidRPr="00DA02B5" w:rsidRDefault="007B23F0" w:rsidP="008B20D5">
            <w:pPr>
              <w:pStyle w:val="CommentText"/>
              <w:rPr>
                <w:rFonts w:ascii="Arial" w:hAnsi="Arial" w:cs="Arial"/>
              </w:rPr>
            </w:pPr>
            <w:r w:rsidRPr="007B23F0">
              <w:rPr>
                <w:rFonts w:ascii="Arial" w:hAnsi="Arial" w:cs="Arial"/>
              </w:rPr>
              <w:t xml:space="preserve">Whilst sports and exercise therapists and fitness instructors play a crucial role in the treatment of patients, where a physiotherapy assessment is being commissioned, this should be provided by appropriately qualified </w:t>
            </w:r>
            <w:r w:rsidRPr="00DA02B5">
              <w:rPr>
                <w:rFonts w:ascii="Arial" w:hAnsi="Arial" w:cs="Arial"/>
              </w:rPr>
              <w:t>physiotherapists</w:t>
            </w:r>
            <w:r w:rsidR="00753D14" w:rsidRPr="00DA02B5">
              <w:rPr>
                <w:rFonts w:ascii="Arial" w:hAnsi="Arial" w:cs="Arial"/>
              </w:rPr>
              <w:t xml:space="preserve"> or osteopaths.</w:t>
            </w:r>
          </w:p>
          <w:p w14:paraId="36F84FF3" w14:textId="77777777" w:rsidR="000910F9" w:rsidRPr="00DA02B5" w:rsidRDefault="000910F9" w:rsidP="007B23F0">
            <w:pPr>
              <w:rPr>
                <w:rFonts w:ascii="Arial" w:hAnsi="Arial" w:cs="Arial"/>
                <w:sz w:val="20"/>
                <w:szCs w:val="20"/>
              </w:rPr>
            </w:pPr>
          </w:p>
          <w:p w14:paraId="39B87318" w14:textId="6EE8A6A6" w:rsidR="007B23F0" w:rsidRPr="00DA02B5" w:rsidRDefault="007B23F0" w:rsidP="007B23F0">
            <w:pPr>
              <w:rPr>
                <w:rFonts w:ascii="Arial" w:hAnsi="Arial" w:cs="Arial"/>
                <w:sz w:val="20"/>
                <w:szCs w:val="20"/>
              </w:rPr>
            </w:pPr>
            <w:r w:rsidRPr="00DA02B5">
              <w:rPr>
                <w:rFonts w:ascii="Arial" w:hAnsi="Arial" w:cs="Arial"/>
                <w:sz w:val="20"/>
                <w:szCs w:val="20"/>
              </w:rPr>
              <w:t xml:space="preserve">Hydrotherapy, whilst nice to have, is likely unfeasible to deliver at scale across NWL. Instead, the </w:t>
            </w:r>
            <w:r w:rsidR="000F06EB">
              <w:rPr>
                <w:rFonts w:ascii="Arial" w:hAnsi="Arial" w:cs="Arial"/>
                <w:sz w:val="20"/>
                <w:szCs w:val="20"/>
              </w:rPr>
              <w:t>S</w:t>
            </w:r>
            <w:r w:rsidRPr="00DA02B5">
              <w:rPr>
                <w:rFonts w:ascii="Arial" w:hAnsi="Arial" w:cs="Arial"/>
                <w:sz w:val="20"/>
                <w:szCs w:val="20"/>
              </w:rPr>
              <w:t>ervice should work with existing NHS, third-sector and private facilities to signpost patients to appropriate aqua-based activities, varying by region</w:t>
            </w:r>
            <w:r w:rsidR="00753D14" w:rsidRPr="00DA02B5">
              <w:rPr>
                <w:rFonts w:ascii="Arial" w:hAnsi="Arial" w:cs="Arial"/>
                <w:sz w:val="20"/>
                <w:szCs w:val="20"/>
              </w:rPr>
              <w:t xml:space="preserve"> and incorporate </w:t>
            </w:r>
            <w:r w:rsidR="005E1092" w:rsidRPr="00DA02B5">
              <w:rPr>
                <w:rFonts w:ascii="Arial" w:hAnsi="Arial" w:cs="Arial"/>
                <w:sz w:val="20"/>
                <w:szCs w:val="20"/>
              </w:rPr>
              <w:t>such local</w:t>
            </w:r>
            <w:r w:rsidR="00753D14" w:rsidRPr="00DA02B5">
              <w:rPr>
                <w:rFonts w:ascii="Arial" w:hAnsi="Arial" w:cs="Arial"/>
                <w:sz w:val="20"/>
                <w:szCs w:val="20"/>
              </w:rPr>
              <w:t>ly based assets in clini</w:t>
            </w:r>
            <w:r w:rsidR="005E1092" w:rsidRPr="00DA02B5">
              <w:rPr>
                <w:rFonts w:ascii="Arial" w:hAnsi="Arial" w:cs="Arial"/>
                <w:sz w:val="20"/>
                <w:szCs w:val="20"/>
              </w:rPr>
              <w:t>cal pa</w:t>
            </w:r>
            <w:r w:rsidR="00753D14" w:rsidRPr="00DA02B5">
              <w:rPr>
                <w:rFonts w:ascii="Arial" w:hAnsi="Arial" w:cs="Arial"/>
                <w:sz w:val="20"/>
                <w:szCs w:val="20"/>
              </w:rPr>
              <w:t>th</w:t>
            </w:r>
            <w:r w:rsidR="005E1092" w:rsidRPr="00DA02B5">
              <w:rPr>
                <w:rFonts w:ascii="Arial" w:hAnsi="Arial" w:cs="Arial"/>
                <w:sz w:val="20"/>
                <w:szCs w:val="20"/>
              </w:rPr>
              <w:t>ways</w:t>
            </w:r>
            <w:r w:rsidR="00753D14" w:rsidRPr="00DA02B5">
              <w:rPr>
                <w:rFonts w:ascii="Arial" w:hAnsi="Arial" w:cs="Arial"/>
                <w:sz w:val="20"/>
                <w:szCs w:val="20"/>
              </w:rPr>
              <w:t xml:space="preserve"> (for example </w:t>
            </w:r>
            <w:r w:rsidR="00085B74" w:rsidRPr="00DA02B5">
              <w:rPr>
                <w:rFonts w:ascii="Arial" w:hAnsi="Arial" w:cs="Arial"/>
                <w:sz w:val="20"/>
                <w:szCs w:val="20"/>
              </w:rPr>
              <w:t>Good Boost)</w:t>
            </w:r>
            <w:r w:rsidRPr="00DA02B5">
              <w:rPr>
                <w:rFonts w:ascii="Arial" w:hAnsi="Arial" w:cs="Arial"/>
                <w:sz w:val="20"/>
                <w:szCs w:val="20"/>
              </w:rPr>
              <w:t xml:space="preserve">. </w:t>
            </w:r>
          </w:p>
          <w:p w14:paraId="7C6ABF02" w14:textId="1D78C888" w:rsidR="00DD01D2" w:rsidRPr="007B23F0" w:rsidRDefault="00DD01D2" w:rsidP="007B23F0">
            <w:pPr>
              <w:rPr>
                <w:rFonts w:ascii="Arial" w:hAnsi="Arial" w:cs="Arial"/>
                <w:sz w:val="20"/>
                <w:szCs w:val="20"/>
              </w:rPr>
            </w:pPr>
          </w:p>
          <w:p w14:paraId="29C5AD50" w14:textId="6D3F6C4F" w:rsidR="007B23F0" w:rsidRPr="00C54BA6" w:rsidRDefault="007919F7" w:rsidP="007B23F0">
            <w:pPr>
              <w:pStyle w:val="Heading2"/>
              <w:rPr>
                <w:rFonts w:ascii="Arial" w:hAnsi="Arial" w:cs="Arial"/>
                <w:b/>
                <w:color w:val="auto"/>
                <w:sz w:val="20"/>
                <w:szCs w:val="20"/>
              </w:rPr>
            </w:pPr>
            <w:bookmarkStart w:id="15" w:name="_Toc127194676"/>
            <w:r>
              <w:rPr>
                <w:rFonts w:ascii="Arial" w:hAnsi="Arial" w:cs="Arial"/>
                <w:b/>
                <w:color w:val="auto"/>
                <w:sz w:val="20"/>
                <w:szCs w:val="20"/>
              </w:rPr>
              <w:t>3.</w:t>
            </w:r>
            <w:r w:rsidR="004F288A">
              <w:rPr>
                <w:rFonts w:ascii="Arial" w:hAnsi="Arial" w:cs="Arial"/>
                <w:b/>
                <w:color w:val="auto"/>
                <w:sz w:val="20"/>
                <w:szCs w:val="20"/>
              </w:rPr>
              <w:t>3.15</w:t>
            </w:r>
            <w:r>
              <w:rPr>
                <w:rFonts w:ascii="Arial" w:hAnsi="Arial" w:cs="Arial"/>
                <w:b/>
                <w:color w:val="auto"/>
                <w:sz w:val="20"/>
                <w:szCs w:val="20"/>
              </w:rPr>
              <w:t xml:space="preserve"> </w:t>
            </w:r>
            <w:r w:rsidR="007B23F0" w:rsidRPr="00C54BA6">
              <w:rPr>
                <w:rFonts w:ascii="Arial" w:hAnsi="Arial" w:cs="Arial"/>
                <w:b/>
                <w:color w:val="auto"/>
                <w:sz w:val="20"/>
                <w:szCs w:val="20"/>
              </w:rPr>
              <w:t>Tier 2 Sub-speciality Requirements:</w:t>
            </w:r>
            <w:bookmarkEnd w:id="15"/>
          </w:p>
          <w:p w14:paraId="1F969860" w14:textId="77777777" w:rsidR="007B23F0" w:rsidRPr="00C54BA6" w:rsidRDefault="007B23F0" w:rsidP="007B23F0">
            <w:pPr>
              <w:rPr>
                <w:rFonts w:ascii="Arial" w:hAnsi="Arial" w:cs="Arial"/>
                <w:b/>
                <w:sz w:val="20"/>
                <w:szCs w:val="20"/>
              </w:rPr>
            </w:pPr>
          </w:p>
          <w:p w14:paraId="6F606B32" w14:textId="3F1C4938" w:rsidR="007B23F0" w:rsidRPr="00C54BA6" w:rsidRDefault="004F288A" w:rsidP="007B23F0">
            <w:pPr>
              <w:pStyle w:val="Heading2"/>
              <w:rPr>
                <w:rFonts w:ascii="Arial" w:hAnsi="Arial" w:cs="Arial"/>
                <w:b/>
                <w:color w:val="auto"/>
                <w:sz w:val="20"/>
                <w:szCs w:val="20"/>
              </w:rPr>
            </w:pPr>
            <w:bookmarkStart w:id="16" w:name="_Toc127194677"/>
            <w:r>
              <w:rPr>
                <w:rFonts w:ascii="Arial" w:hAnsi="Arial" w:cs="Arial"/>
                <w:b/>
                <w:color w:val="auto"/>
                <w:sz w:val="20"/>
                <w:szCs w:val="20"/>
              </w:rPr>
              <w:t>3.3.15</w:t>
            </w:r>
            <w:r w:rsidR="005649AA">
              <w:rPr>
                <w:rFonts w:ascii="Arial" w:hAnsi="Arial" w:cs="Arial"/>
                <w:b/>
                <w:color w:val="auto"/>
                <w:sz w:val="20"/>
                <w:szCs w:val="20"/>
              </w:rPr>
              <w:t xml:space="preserve">.1 </w:t>
            </w:r>
            <w:r w:rsidR="007B23F0" w:rsidRPr="00C54BA6">
              <w:rPr>
                <w:rFonts w:ascii="Arial" w:hAnsi="Arial" w:cs="Arial"/>
                <w:b/>
                <w:color w:val="auto"/>
                <w:sz w:val="20"/>
                <w:szCs w:val="20"/>
              </w:rPr>
              <w:t>Orthopaedics</w:t>
            </w:r>
            <w:bookmarkEnd w:id="16"/>
          </w:p>
          <w:p w14:paraId="60FD5293" w14:textId="77777777" w:rsidR="007B23F0" w:rsidRPr="007B23F0" w:rsidRDefault="007B23F0" w:rsidP="007B23F0">
            <w:pPr>
              <w:rPr>
                <w:rFonts w:ascii="Arial" w:hAnsi="Arial" w:cs="Arial"/>
                <w:sz w:val="20"/>
                <w:szCs w:val="20"/>
              </w:rPr>
            </w:pPr>
          </w:p>
          <w:p w14:paraId="7155C384" w14:textId="2650A702" w:rsidR="007B23F0" w:rsidRPr="007B23F0" w:rsidRDefault="007B23F0" w:rsidP="007B23F0">
            <w:pPr>
              <w:rPr>
                <w:rFonts w:ascii="Arial" w:hAnsi="Arial" w:cs="Arial"/>
                <w:sz w:val="20"/>
                <w:szCs w:val="20"/>
              </w:rPr>
            </w:pPr>
            <w:r w:rsidRPr="007B23F0">
              <w:rPr>
                <w:rFonts w:ascii="Arial" w:hAnsi="Arial" w:cs="Arial"/>
                <w:sz w:val="20"/>
                <w:szCs w:val="20"/>
              </w:rPr>
              <w:t xml:space="preserve">Patients with </w:t>
            </w:r>
            <w:r w:rsidRPr="00DA02B5">
              <w:rPr>
                <w:rFonts w:ascii="Arial" w:hAnsi="Arial" w:cs="Arial"/>
                <w:sz w:val="20"/>
                <w:szCs w:val="20"/>
              </w:rPr>
              <w:t xml:space="preserve">osteoarthritis should be </w:t>
            </w:r>
            <w:r w:rsidR="003B204B" w:rsidRPr="00DA02B5">
              <w:rPr>
                <w:rFonts w:ascii="Arial" w:hAnsi="Arial" w:cs="Arial"/>
                <w:sz w:val="20"/>
                <w:szCs w:val="20"/>
              </w:rPr>
              <w:t>offere</w:t>
            </w:r>
            <w:r w:rsidR="00753D14" w:rsidRPr="00DA02B5">
              <w:rPr>
                <w:rFonts w:ascii="Arial" w:hAnsi="Arial" w:cs="Arial"/>
                <w:sz w:val="20"/>
                <w:szCs w:val="20"/>
              </w:rPr>
              <w:t>d a range of management options</w:t>
            </w:r>
            <w:r w:rsidR="003B204B" w:rsidRPr="00DA02B5">
              <w:rPr>
                <w:rFonts w:ascii="Arial" w:hAnsi="Arial" w:cs="Arial"/>
                <w:sz w:val="20"/>
                <w:szCs w:val="20"/>
              </w:rPr>
              <w:t xml:space="preserve"> </w:t>
            </w:r>
            <w:r w:rsidRPr="00DA02B5">
              <w:rPr>
                <w:rFonts w:ascii="Arial" w:hAnsi="Arial" w:cs="Arial"/>
                <w:sz w:val="20"/>
                <w:szCs w:val="20"/>
              </w:rPr>
              <w:t xml:space="preserve">as per the </w:t>
            </w:r>
            <w:hyperlink r:id="rId25" w:history="1">
              <w:proofErr w:type="spellStart"/>
              <w:r w:rsidRPr="00DA02B5">
                <w:rPr>
                  <w:rStyle w:val="Hyperlink"/>
                  <w:rFonts w:ascii="Arial" w:hAnsi="Arial" w:cs="Arial"/>
                  <w:color w:val="auto"/>
                  <w:sz w:val="20"/>
                  <w:szCs w:val="20"/>
                </w:rPr>
                <w:t>BestMSK</w:t>
              </w:r>
              <w:proofErr w:type="spellEnd"/>
              <w:r w:rsidRPr="00DA02B5">
                <w:rPr>
                  <w:rStyle w:val="Hyperlink"/>
                  <w:rFonts w:ascii="Arial" w:hAnsi="Arial" w:cs="Arial"/>
                  <w:color w:val="auto"/>
                  <w:sz w:val="20"/>
                  <w:szCs w:val="20"/>
                </w:rPr>
                <w:t xml:space="preserve"> Osteoarthritis Pathway</w:t>
              </w:r>
            </w:hyperlink>
            <w:r w:rsidRPr="00DA02B5">
              <w:rPr>
                <w:rFonts w:ascii="Arial" w:hAnsi="Arial" w:cs="Arial"/>
                <w:sz w:val="20"/>
                <w:szCs w:val="20"/>
              </w:rPr>
              <w:t xml:space="preserve">, with education and self-management education, non-pharmacological management (including supervised, unsupervised and group exercise), pharmacological management and injections, and appropriate onward referral </w:t>
            </w:r>
            <w:r w:rsidRPr="007B23F0">
              <w:rPr>
                <w:rFonts w:ascii="Arial" w:hAnsi="Arial" w:cs="Arial"/>
                <w:sz w:val="20"/>
                <w:szCs w:val="20"/>
              </w:rPr>
              <w:t xml:space="preserve">for surgical candidates. </w:t>
            </w:r>
          </w:p>
          <w:p w14:paraId="023A914C" w14:textId="66F301C0" w:rsidR="007B23F0" w:rsidRPr="00DA02B5" w:rsidRDefault="007B23F0" w:rsidP="007B23F0">
            <w:pPr>
              <w:rPr>
                <w:rFonts w:ascii="Arial" w:hAnsi="Arial" w:cs="Arial"/>
                <w:sz w:val="20"/>
                <w:szCs w:val="20"/>
              </w:rPr>
            </w:pPr>
          </w:p>
          <w:p w14:paraId="1BE4CB48" w14:textId="77777777" w:rsidR="007B23F0" w:rsidRPr="007B23F0" w:rsidRDefault="007B23F0" w:rsidP="007B23F0">
            <w:pPr>
              <w:rPr>
                <w:rFonts w:ascii="Arial" w:hAnsi="Arial" w:cs="Arial"/>
                <w:sz w:val="20"/>
                <w:szCs w:val="20"/>
              </w:rPr>
            </w:pPr>
            <w:r w:rsidRPr="00DA02B5">
              <w:rPr>
                <w:rFonts w:ascii="Arial" w:hAnsi="Arial" w:cs="Arial"/>
                <w:sz w:val="20"/>
                <w:szCs w:val="20"/>
              </w:rPr>
              <w:t xml:space="preserve">Patients referred for further surgical procedures should align to best evidence, including the </w:t>
            </w:r>
            <w:hyperlink r:id="rId26" w:history="1">
              <w:r w:rsidRPr="00DA02B5">
                <w:rPr>
                  <w:rStyle w:val="Hyperlink"/>
                  <w:rFonts w:ascii="Arial" w:hAnsi="Arial" w:cs="Arial"/>
                  <w:color w:val="auto"/>
                  <w:sz w:val="20"/>
                  <w:szCs w:val="20"/>
                </w:rPr>
                <w:t>NHS Evidence Based Interventions</w:t>
              </w:r>
            </w:hyperlink>
            <w:r w:rsidRPr="00DA02B5">
              <w:rPr>
                <w:rFonts w:ascii="Arial" w:hAnsi="Arial" w:cs="Arial"/>
                <w:sz w:val="20"/>
                <w:szCs w:val="20"/>
              </w:rPr>
              <w:t xml:space="preserve"> recommendations</w:t>
            </w:r>
            <w:r w:rsidRPr="007B23F0">
              <w:rPr>
                <w:rFonts w:ascii="Arial" w:hAnsi="Arial" w:cs="Arial"/>
                <w:sz w:val="20"/>
                <w:szCs w:val="20"/>
              </w:rPr>
              <w:t xml:space="preserve">. </w:t>
            </w:r>
          </w:p>
          <w:p w14:paraId="33574541" w14:textId="77777777" w:rsidR="007B23F0" w:rsidRPr="007B23F0" w:rsidRDefault="007B23F0" w:rsidP="007B23F0">
            <w:pPr>
              <w:rPr>
                <w:rFonts w:ascii="Arial" w:hAnsi="Arial" w:cs="Arial"/>
                <w:sz w:val="20"/>
                <w:szCs w:val="20"/>
              </w:rPr>
            </w:pPr>
          </w:p>
          <w:p w14:paraId="36088CA8" w14:textId="20F0B30C" w:rsidR="007B23F0" w:rsidRPr="007B23F0" w:rsidRDefault="007B23F0" w:rsidP="007B23F0">
            <w:pPr>
              <w:rPr>
                <w:rFonts w:ascii="Arial" w:hAnsi="Arial" w:cs="Arial"/>
                <w:sz w:val="20"/>
                <w:szCs w:val="20"/>
              </w:rPr>
            </w:pPr>
            <w:r w:rsidRPr="007B23F0">
              <w:rPr>
                <w:rFonts w:ascii="Arial" w:hAnsi="Arial" w:cs="Arial"/>
                <w:sz w:val="20"/>
                <w:szCs w:val="20"/>
              </w:rPr>
              <w:t xml:space="preserve">When onward referred to surgical specialities, detailed shared decision making should be undertaken in the community </w:t>
            </w:r>
            <w:r w:rsidR="000F06EB">
              <w:rPr>
                <w:rFonts w:ascii="Arial" w:hAnsi="Arial" w:cs="Arial"/>
                <w:sz w:val="20"/>
                <w:szCs w:val="20"/>
              </w:rPr>
              <w:t>S</w:t>
            </w:r>
            <w:r w:rsidRPr="007B23F0">
              <w:rPr>
                <w:rFonts w:ascii="Arial" w:hAnsi="Arial" w:cs="Arial"/>
                <w:sz w:val="20"/>
                <w:szCs w:val="20"/>
              </w:rPr>
              <w:t xml:space="preserve">ervice for the patient to understand their options, likely benefits and risks and be at a clearly informed state with regards to preferences when reaching secondary care. </w:t>
            </w:r>
          </w:p>
          <w:p w14:paraId="2824BC50" w14:textId="77777777" w:rsidR="0072161A" w:rsidRPr="007B23F0" w:rsidRDefault="0072161A" w:rsidP="007B23F0">
            <w:pPr>
              <w:rPr>
                <w:rFonts w:ascii="Arial" w:hAnsi="Arial" w:cs="Arial"/>
                <w:sz w:val="20"/>
                <w:szCs w:val="20"/>
              </w:rPr>
            </w:pPr>
          </w:p>
          <w:p w14:paraId="5B49C95C" w14:textId="77777777" w:rsidR="0072161A" w:rsidRDefault="007B23F0" w:rsidP="007B23F0">
            <w:pPr>
              <w:rPr>
                <w:rFonts w:ascii="Arial" w:hAnsi="Arial" w:cs="Arial"/>
                <w:sz w:val="20"/>
                <w:szCs w:val="20"/>
              </w:rPr>
            </w:pPr>
            <w:r w:rsidRPr="007B23F0">
              <w:rPr>
                <w:rFonts w:ascii="Arial" w:hAnsi="Arial" w:cs="Arial"/>
                <w:sz w:val="20"/>
                <w:szCs w:val="20"/>
              </w:rPr>
              <w:t>The appropriate diagnostics that would be required for decision-making in a secondary care setting should be organised prior to the patient reaching orthopaedic outpatients</w:t>
            </w:r>
            <w:r w:rsidR="0072161A">
              <w:rPr>
                <w:rFonts w:ascii="Arial" w:hAnsi="Arial" w:cs="Arial"/>
                <w:sz w:val="20"/>
                <w:szCs w:val="20"/>
              </w:rPr>
              <w:t>.</w:t>
            </w:r>
          </w:p>
          <w:p w14:paraId="0885BEC5" w14:textId="77777777" w:rsidR="0072161A" w:rsidRDefault="0072161A" w:rsidP="007B23F0">
            <w:pPr>
              <w:rPr>
                <w:rFonts w:ascii="Arial" w:hAnsi="Arial" w:cs="Arial"/>
                <w:sz w:val="20"/>
                <w:szCs w:val="20"/>
              </w:rPr>
            </w:pPr>
          </w:p>
          <w:p w14:paraId="6C508AA3" w14:textId="70C94FB9" w:rsidR="00C5494E" w:rsidRPr="00C5494E" w:rsidRDefault="00C5494E" w:rsidP="00C5494E">
            <w:pPr>
              <w:rPr>
                <w:rFonts w:ascii="Arial" w:hAnsi="Arial" w:cs="Arial"/>
                <w:sz w:val="20"/>
                <w:szCs w:val="20"/>
              </w:rPr>
            </w:pPr>
            <w:r w:rsidRPr="00C5494E">
              <w:rPr>
                <w:rFonts w:ascii="Arial" w:hAnsi="Arial" w:cs="Arial"/>
                <w:sz w:val="20"/>
                <w:szCs w:val="20"/>
              </w:rPr>
              <w:t>A public consultation is currently underway in North West London ICB for the development of an Elective Orthopaedic Centre (</w:t>
            </w:r>
            <w:proofErr w:type="spellStart"/>
            <w:r w:rsidRPr="00C5494E">
              <w:rPr>
                <w:rFonts w:ascii="Arial" w:hAnsi="Arial" w:cs="Arial"/>
                <w:sz w:val="20"/>
                <w:szCs w:val="20"/>
              </w:rPr>
              <w:t>EoC</w:t>
            </w:r>
            <w:proofErr w:type="spellEnd"/>
            <w:r w:rsidRPr="00C5494E">
              <w:rPr>
                <w:rFonts w:ascii="Arial" w:hAnsi="Arial" w:cs="Arial"/>
                <w:sz w:val="20"/>
                <w:szCs w:val="20"/>
              </w:rPr>
              <w:t>) to improve quality and efficiency for specific elective surgical pathways.</w:t>
            </w:r>
          </w:p>
          <w:p w14:paraId="68E3927D" w14:textId="77777777" w:rsidR="00C5494E" w:rsidRPr="00C5494E" w:rsidRDefault="00C5494E" w:rsidP="00C5494E">
            <w:pPr>
              <w:numPr>
                <w:ilvl w:val="0"/>
                <w:numId w:val="29"/>
              </w:numPr>
              <w:rPr>
                <w:rFonts w:ascii="Arial" w:hAnsi="Arial" w:cs="Arial"/>
                <w:sz w:val="20"/>
                <w:szCs w:val="20"/>
              </w:rPr>
            </w:pPr>
            <w:r w:rsidRPr="00C5494E">
              <w:rPr>
                <w:rFonts w:ascii="Arial" w:hAnsi="Arial" w:cs="Arial"/>
                <w:sz w:val="20"/>
                <w:szCs w:val="20"/>
              </w:rPr>
              <w:t>The community MSK Service provider would be expected to work collaboratively with such orthopaedic pathways in NWL, to ensure elements of the patient journey, for example shared-decision making around treatment, physiotherapist-lead therapy, both pre-operatively and post-operatively, as well as the collection of key PROMS, may be offered through the community Service, where appropriate.</w:t>
            </w:r>
          </w:p>
          <w:p w14:paraId="7D77A83D" w14:textId="77777777" w:rsidR="00C5494E" w:rsidRPr="00C5494E" w:rsidRDefault="00C5494E" w:rsidP="00C5494E">
            <w:pPr>
              <w:numPr>
                <w:ilvl w:val="0"/>
                <w:numId w:val="29"/>
              </w:numPr>
              <w:rPr>
                <w:rFonts w:ascii="Arial" w:hAnsi="Arial" w:cs="Arial"/>
                <w:sz w:val="20"/>
                <w:szCs w:val="20"/>
              </w:rPr>
            </w:pPr>
            <w:r w:rsidRPr="00C5494E">
              <w:rPr>
                <w:rFonts w:ascii="Arial" w:hAnsi="Arial" w:cs="Arial"/>
                <w:sz w:val="20"/>
                <w:szCs w:val="20"/>
              </w:rPr>
              <w:t>Partnership working and clinical integration with secondary-care based clinical teams will ensure delivery of a robust clinical pathway, as well as workforce development.</w:t>
            </w:r>
          </w:p>
          <w:p w14:paraId="727E1C66" w14:textId="4A6DC91E" w:rsidR="00C5494E" w:rsidRPr="00C5494E" w:rsidRDefault="00C5494E" w:rsidP="00C5494E">
            <w:pPr>
              <w:numPr>
                <w:ilvl w:val="0"/>
                <w:numId w:val="29"/>
              </w:numPr>
              <w:rPr>
                <w:rFonts w:ascii="Arial" w:hAnsi="Arial" w:cs="Arial"/>
                <w:sz w:val="20"/>
                <w:szCs w:val="20"/>
              </w:rPr>
            </w:pPr>
            <w:r w:rsidRPr="00C5494E">
              <w:rPr>
                <w:rFonts w:ascii="Arial" w:hAnsi="Arial" w:cs="Arial"/>
                <w:sz w:val="20"/>
                <w:szCs w:val="20"/>
              </w:rPr>
              <w:t>Ongoing alignment with ICS partners will need to take place during the duration of the contract to enable and continually develop this pathway.</w:t>
            </w:r>
          </w:p>
          <w:p w14:paraId="72618DC9" w14:textId="20276EBB" w:rsidR="001D400A" w:rsidRPr="00A053D7" w:rsidRDefault="007B23F0" w:rsidP="007B23F0">
            <w:pPr>
              <w:rPr>
                <w:rFonts w:ascii="Arial" w:hAnsi="Arial" w:cs="Arial"/>
                <w:color w:val="FF0000"/>
                <w:sz w:val="20"/>
                <w:szCs w:val="20"/>
              </w:rPr>
            </w:pPr>
            <w:r w:rsidRPr="008B20D5">
              <w:rPr>
                <w:rFonts w:ascii="Arial" w:hAnsi="Arial" w:cs="Arial"/>
                <w:color w:val="FF0000"/>
                <w:sz w:val="20"/>
                <w:szCs w:val="20"/>
              </w:rPr>
              <w:t xml:space="preserve"> </w:t>
            </w:r>
          </w:p>
          <w:p w14:paraId="4771EE52" w14:textId="61EA07D7" w:rsidR="007B23F0" w:rsidRPr="00C54BA6" w:rsidRDefault="004F288A" w:rsidP="007B23F0">
            <w:pPr>
              <w:pStyle w:val="Heading2"/>
              <w:rPr>
                <w:rFonts w:ascii="Arial" w:hAnsi="Arial" w:cs="Arial"/>
                <w:b/>
                <w:color w:val="auto"/>
                <w:sz w:val="20"/>
                <w:szCs w:val="20"/>
              </w:rPr>
            </w:pPr>
            <w:bookmarkStart w:id="17" w:name="_Toc127194678"/>
            <w:r>
              <w:rPr>
                <w:rFonts w:ascii="Arial" w:hAnsi="Arial" w:cs="Arial"/>
                <w:b/>
                <w:color w:val="auto"/>
                <w:sz w:val="20"/>
                <w:szCs w:val="20"/>
              </w:rPr>
              <w:t>3.3.15</w:t>
            </w:r>
            <w:r w:rsidR="005649AA">
              <w:rPr>
                <w:rFonts w:ascii="Arial" w:hAnsi="Arial" w:cs="Arial"/>
                <w:b/>
                <w:color w:val="auto"/>
                <w:sz w:val="20"/>
                <w:szCs w:val="20"/>
              </w:rPr>
              <w:t xml:space="preserve">.2 </w:t>
            </w:r>
            <w:r w:rsidR="007B23F0" w:rsidRPr="00C54BA6">
              <w:rPr>
                <w:rFonts w:ascii="Arial" w:hAnsi="Arial" w:cs="Arial"/>
                <w:b/>
                <w:color w:val="auto"/>
                <w:sz w:val="20"/>
                <w:szCs w:val="20"/>
              </w:rPr>
              <w:t>Rheumatology</w:t>
            </w:r>
            <w:bookmarkEnd w:id="17"/>
            <w:r w:rsidR="007B23F0" w:rsidRPr="00C54BA6">
              <w:rPr>
                <w:rFonts w:ascii="Arial" w:hAnsi="Arial" w:cs="Arial"/>
                <w:b/>
                <w:color w:val="auto"/>
                <w:sz w:val="20"/>
                <w:szCs w:val="20"/>
              </w:rPr>
              <w:t xml:space="preserve"> </w:t>
            </w:r>
          </w:p>
          <w:p w14:paraId="78D08B8A" w14:textId="77777777" w:rsidR="007B23F0" w:rsidRPr="007B23F0" w:rsidRDefault="007B23F0" w:rsidP="007B23F0">
            <w:pPr>
              <w:rPr>
                <w:rFonts w:ascii="Arial" w:hAnsi="Arial" w:cs="Arial"/>
                <w:sz w:val="20"/>
                <w:szCs w:val="20"/>
              </w:rPr>
            </w:pPr>
          </w:p>
          <w:p w14:paraId="7C13205E" w14:textId="3F78A55B" w:rsidR="0067252D" w:rsidRDefault="007B23F0" w:rsidP="007B23F0">
            <w:pPr>
              <w:rPr>
                <w:rFonts w:ascii="Arial" w:hAnsi="Arial" w:cs="Arial"/>
                <w:sz w:val="20"/>
                <w:szCs w:val="20"/>
              </w:rPr>
            </w:pPr>
            <w:r w:rsidRPr="007B23F0">
              <w:rPr>
                <w:rFonts w:ascii="Arial" w:hAnsi="Arial" w:cs="Arial"/>
                <w:sz w:val="20"/>
                <w:szCs w:val="20"/>
              </w:rPr>
              <w:t xml:space="preserve">The </w:t>
            </w:r>
            <w:r w:rsidR="000F06EB">
              <w:rPr>
                <w:rFonts w:ascii="Arial" w:hAnsi="Arial" w:cs="Arial"/>
                <w:sz w:val="20"/>
                <w:szCs w:val="20"/>
              </w:rPr>
              <w:t>S</w:t>
            </w:r>
            <w:r w:rsidRPr="007B23F0">
              <w:rPr>
                <w:rFonts w:ascii="Arial" w:hAnsi="Arial" w:cs="Arial"/>
                <w:sz w:val="20"/>
                <w:szCs w:val="20"/>
              </w:rPr>
              <w:t xml:space="preserve">ervice should aim to support demand on secondary care rheumatology services; ensuring patients with inflammatory disease are expediently seen within such specialist services, whilst managing non-inflammatory conditions (such as fibromyalgia) in primary and community settings (in line with GIRFT recommendations). </w:t>
            </w:r>
          </w:p>
          <w:p w14:paraId="4D8FCBCD" w14:textId="34F02118" w:rsidR="0000399A" w:rsidRDefault="0000399A" w:rsidP="007B23F0">
            <w:pPr>
              <w:rPr>
                <w:rFonts w:ascii="Arial" w:hAnsi="Arial" w:cs="Arial"/>
                <w:sz w:val="20"/>
                <w:szCs w:val="20"/>
              </w:rPr>
            </w:pPr>
          </w:p>
          <w:p w14:paraId="7B32673D" w14:textId="66113318" w:rsidR="0000399A" w:rsidRPr="007B23F0" w:rsidRDefault="0000399A" w:rsidP="007B23F0">
            <w:pPr>
              <w:rPr>
                <w:rFonts w:ascii="Arial" w:hAnsi="Arial" w:cs="Arial"/>
                <w:sz w:val="20"/>
                <w:szCs w:val="20"/>
              </w:rPr>
            </w:pPr>
            <w:r>
              <w:rPr>
                <w:rFonts w:ascii="Arial" w:hAnsi="Arial" w:cs="Arial"/>
                <w:sz w:val="20"/>
                <w:szCs w:val="20"/>
              </w:rPr>
              <w:t xml:space="preserve">The </w:t>
            </w:r>
            <w:r w:rsidR="000F06EB">
              <w:rPr>
                <w:rFonts w:ascii="Arial" w:hAnsi="Arial" w:cs="Arial"/>
                <w:sz w:val="20"/>
                <w:szCs w:val="20"/>
              </w:rPr>
              <w:t>S</w:t>
            </w:r>
            <w:r>
              <w:rPr>
                <w:rFonts w:ascii="Arial" w:hAnsi="Arial" w:cs="Arial"/>
                <w:sz w:val="20"/>
                <w:szCs w:val="20"/>
              </w:rPr>
              <w:t>ervice should ensure there is appropriate screening and clinician expertise in other service lines (for example Tier 1 physical therapists) to identify patients with potential autoimmune inflammatory or connective tissue disorders that should be onward referred to Tier 2 rheumatological assessment</w:t>
            </w:r>
            <w:r w:rsidR="000B5CD9">
              <w:rPr>
                <w:rFonts w:ascii="Arial" w:hAnsi="Arial" w:cs="Arial"/>
                <w:sz w:val="20"/>
                <w:szCs w:val="20"/>
              </w:rPr>
              <w:t xml:space="preserve">, in order to address the typically delayed diagnosis for many such conditions. </w:t>
            </w:r>
          </w:p>
          <w:p w14:paraId="7B7245FC" w14:textId="77777777" w:rsidR="007B23F0" w:rsidRPr="007B23F0" w:rsidRDefault="007B23F0" w:rsidP="007B23F0">
            <w:pPr>
              <w:rPr>
                <w:rFonts w:ascii="Arial" w:hAnsi="Arial" w:cs="Arial"/>
                <w:sz w:val="20"/>
                <w:szCs w:val="20"/>
              </w:rPr>
            </w:pPr>
          </w:p>
          <w:p w14:paraId="69F3DD70" w14:textId="78C36ECB" w:rsidR="007B23F0" w:rsidRPr="007B23F0" w:rsidRDefault="007B23F0" w:rsidP="007B23F0">
            <w:pPr>
              <w:rPr>
                <w:rFonts w:ascii="Arial" w:hAnsi="Arial" w:cs="Arial"/>
                <w:sz w:val="20"/>
                <w:szCs w:val="20"/>
              </w:rPr>
            </w:pPr>
            <w:r w:rsidRPr="007B23F0">
              <w:rPr>
                <w:rFonts w:ascii="Arial" w:hAnsi="Arial" w:cs="Arial"/>
                <w:sz w:val="20"/>
                <w:szCs w:val="20"/>
              </w:rPr>
              <w:t xml:space="preserve">Onward referrals to secondary care rheumatology may be monitored through the proposed benchmark of proportion of patients commenced </w:t>
            </w:r>
            <w:r w:rsidR="0000399A">
              <w:rPr>
                <w:rFonts w:ascii="Arial" w:hAnsi="Arial" w:cs="Arial"/>
                <w:sz w:val="20"/>
                <w:szCs w:val="20"/>
              </w:rPr>
              <w:t>on secondary care-based treatment (</w:t>
            </w:r>
            <w:proofErr w:type="spellStart"/>
            <w:r w:rsidR="0000399A">
              <w:rPr>
                <w:rFonts w:ascii="Arial" w:hAnsi="Arial" w:cs="Arial"/>
                <w:sz w:val="20"/>
                <w:szCs w:val="20"/>
              </w:rPr>
              <w:t>ie</w:t>
            </w:r>
            <w:proofErr w:type="spellEnd"/>
            <w:r w:rsidR="0000399A" w:rsidRPr="007B23F0">
              <w:rPr>
                <w:rFonts w:ascii="Arial" w:hAnsi="Arial" w:cs="Arial"/>
                <w:sz w:val="20"/>
                <w:szCs w:val="20"/>
              </w:rPr>
              <w:t xml:space="preserve"> </w:t>
            </w:r>
            <w:r w:rsidRPr="007B23F0">
              <w:rPr>
                <w:rFonts w:ascii="Arial" w:hAnsi="Arial" w:cs="Arial"/>
                <w:sz w:val="20"/>
                <w:szCs w:val="20"/>
              </w:rPr>
              <w:t>DMARD/biologic</w:t>
            </w:r>
            <w:r w:rsidR="0000399A">
              <w:rPr>
                <w:rFonts w:ascii="Arial" w:hAnsi="Arial" w:cs="Arial"/>
                <w:sz w:val="20"/>
                <w:szCs w:val="20"/>
              </w:rPr>
              <w:t>s or secondary-care based osteoporosis treatment)</w:t>
            </w:r>
            <w:r w:rsidRPr="007B23F0">
              <w:rPr>
                <w:rFonts w:ascii="Arial" w:hAnsi="Arial" w:cs="Arial"/>
                <w:sz w:val="20"/>
                <w:szCs w:val="20"/>
              </w:rPr>
              <w:t>.</w:t>
            </w:r>
          </w:p>
          <w:p w14:paraId="4B830C7F" w14:textId="77777777" w:rsidR="007B23F0" w:rsidRPr="007B23F0" w:rsidRDefault="007B23F0" w:rsidP="007B23F0">
            <w:pPr>
              <w:rPr>
                <w:rFonts w:ascii="Arial" w:hAnsi="Arial" w:cs="Arial"/>
                <w:sz w:val="20"/>
                <w:szCs w:val="20"/>
              </w:rPr>
            </w:pPr>
          </w:p>
          <w:p w14:paraId="7D8332CF" w14:textId="6DA444E5" w:rsidR="007B23F0" w:rsidRPr="007B23F0" w:rsidRDefault="007B23F0" w:rsidP="007B23F0">
            <w:pPr>
              <w:rPr>
                <w:rFonts w:ascii="Arial" w:hAnsi="Arial" w:cs="Arial"/>
                <w:sz w:val="20"/>
                <w:szCs w:val="20"/>
              </w:rPr>
            </w:pPr>
            <w:r w:rsidRPr="007B23F0">
              <w:rPr>
                <w:rFonts w:ascii="Arial" w:hAnsi="Arial" w:cs="Arial"/>
                <w:sz w:val="20"/>
                <w:szCs w:val="20"/>
              </w:rPr>
              <w:lastRenderedPageBreak/>
              <w:t>Same-day point-of-care ultrasound play</w:t>
            </w:r>
            <w:r w:rsidR="0000399A">
              <w:rPr>
                <w:rFonts w:ascii="Arial" w:hAnsi="Arial" w:cs="Arial"/>
                <w:sz w:val="20"/>
                <w:szCs w:val="20"/>
              </w:rPr>
              <w:t>s</w:t>
            </w:r>
            <w:r w:rsidRPr="007B23F0">
              <w:rPr>
                <w:rFonts w:ascii="Arial" w:hAnsi="Arial" w:cs="Arial"/>
                <w:sz w:val="20"/>
                <w:szCs w:val="20"/>
              </w:rPr>
              <w:t xml:space="preserve"> an essential role in the efficiency of any rheumatology assessment services </w:t>
            </w:r>
            <w:r w:rsidR="004D26E4">
              <w:rPr>
                <w:rFonts w:ascii="Arial" w:hAnsi="Arial" w:cs="Arial"/>
                <w:sz w:val="20"/>
                <w:szCs w:val="20"/>
              </w:rPr>
              <w:t xml:space="preserve">and an adequate number of trained practitioners </w:t>
            </w:r>
            <w:r w:rsidR="00BD7AF0">
              <w:rPr>
                <w:rFonts w:ascii="Arial" w:hAnsi="Arial" w:cs="Arial"/>
                <w:sz w:val="20"/>
                <w:szCs w:val="20"/>
              </w:rPr>
              <w:t xml:space="preserve">delivering this </w:t>
            </w:r>
            <w:r w:rsidR="004D26E4">
              <w:rPr>
                <w:rFonts w:ascii="Arial" w:hAnsi="Arial" w:cs="Arial"/>
                <w:sz w:val="20"/>
                <w:szCs w:val="20"/>
              </w:rPr>
              <w:t>will be essential for effective service delivery.</w:t>
            </w:r>
          </w:p>
          <w:p w14:paraId="2D4124C3" w14:textId="77777777" w:rsidR="007B23F0" w:rsidRPr="007B23F0" w:rsidRDefault="007B23F0" w:rsidP="007B23F0">
            <w:pPr>
              <w:rPr>
                <w:rFonts w:ascii="Arial" w:hAnsi="Arial" w:cs="Arial"/>
                <w:sz w:val="20"/>
                <w:szCs w:val="20"/>
              </w:rPr>
            </w:pPr>
          </w:p>
          <w:p w14:paraId="372C2688" w14:textId="3B832EFD" w:rsidR="007B23F0" w:rsidRPr="00DA02B5" w:rsidRDefault="007B23F0" w:rsidP="007B23F0">
            <w:pPr>
              <w:rPr>
                <w:rFonts w:ascii="Arial" w:hAnsi="Arial" w:cs="Arial"/>
                <w:sz w:val="20"/>
                <w:szCs w:val="20"/>
              </w:rPr>
            </w:pPr>
            <w:r w:rsidRPr="007B23F0">
              <w:rPr>
                <w:rFonts w:ascii="Arial" w:hAnsi="Arial" w:cs="Arial"/>
                <w:sz w:val="20"/>
                <w:szCs w:val="20"/>
              </w:rPr>
              <w:t xml:space="preserve">The </w:t>
            </w:r>
            <w:r w:rsidR="000F06EB">
              <w:rPr>
                <w:rFonts w:ascii="Arial" w:hAnsi="Arial" w:cs="Arial"/>
                <w:sz w:val="20"/>
                <w:szCs w:val="20"/>
              </w:rPr>
              <w:t>S</w:t>
            </w:r>
            <w:r w:rsidRPr="007B23F0">
              <w:rPr>
                <w:rFonts w:ascii="Arial" w:hAnsi="Arial" w:cs="Arial"/>
                <w:sz w:val="20"/>
                <w:szCs w:val="20"/>
              </w:rPr>
              <w:t>ervice will require timely access to further imaging, such as MRI, with appropriate rheumatology protocols.</w:t>
            </w:r>
            <w:r w:rsidR="004D26E4">
              <w:rPr>
                <w:rFonts w:ascii="Arial" w:hAnsi="Arial" w:cs="Arial"/>
                <w:sz w:val="20"/>
                <w:szCs w:val="20"/>
              </w:rPr>
              <w:t xml:space="preserve"> The </w:t>
            </w:r>
            <w:r w:rsidR="000F06EB">
              <w:rPr>
                <w:rFonts w:ascii="Arial" w:hAnsi="Arial" w:cs="Arial"/>
                <w:sz w:val="20"/>
                <w:szCs w:val="20"/>
              </w:rPr>
              <w:t>S</w:t>
            </w:r>
            <w:r w:rsidR="004D26E4">
              <w:rPr>
                <w:rFonts w:ascii="Arial" w:hAnsi="Arial" w:cs="Arial"/>
                <w:sz w:val="20"/>
                <w:szCs w:val="20"/>
              </w:rPr>
              <w:t xml:space="preserve">ervice will also require access to </w:t>
            </w:r>
            <w:r w:rsidR="004D26E4" w:rsidRPr="00DA02B5">
              <w:rPr>
                <w:rFonts w:ascii="Arial" w:hAnsi="Arial" w:cs="Arial"/>
                <w:sz w:val="20"/>
                <w:szCs w:val="20"/>
              </w:rPr>
              <w:t>specialist rheumatology radiologist MDT input for case discussion.</w:t>
            </w:r>
          </w:p>
          <w:p w14:paraId="4EFCF818" w14:textId="77777777" w:rsidR="005F633B" w:rsidRPr="00DA02B5" w:rsidRDefault="005F633B" w:rsidP="007B23F0">
            <w:pPr>
              <w:rPr>
                <w:rFonts w:ascii="Arial" w:hAnsi="Arial" w:cs="Arial"/>
                <w:sz w:val="20"/>
                <w:szCs w:val="20"/>
              </w:rPr>
            </w:pPr>
          </w:p>
          <w:p w14:paraId="25528DB6" w14:textId="6EAE31E5" w:rsidR="007B23F0" w:rsidRDefault="007B23F0" w:rsidP="007B23F0">
            <w:pPr>
              <w:rPr>
                <w:rFonts w:ascii="Arial" w:hAnsi="Arial" w:cs="Arial"/>
                <w:sz w:val="20"/>
                <w:szCs w:val="20"/>
              </w:rPr>
            </w:pPr>
            <w:r w:rsidRPr="00DA02B5">
              <w:rPr>
                <w:rFonts w:ascii="Arial" w:hAnsi="Arial" w:cs="Arial"/>
                <w:sz w:val="20"/>
                <w:szCs w:val="20"/>
              </w:rPr>
              <w:t xml:space="preserve">Rheumatology consultant time may be utilised in different manners, including </w:t>
            </w:r>
            <w:r w:rsidR="00FC121A" w:rsidRPr="00DA02B5">
              <w:rPr>
                <w:rFonts w:ascii="Arial" w:hAnsi="Arial" w:cs="Arial"/>
                <w:sz w:val="20"/>
                <w:szCs w:val="20"/>
              </w:rPr>
              <w:t>async</w:t>
            </w:r>
            <w:r w:rsidR="00753D14" w:rsidRPr="00DA02B5">
              <w:rPr>
                <w:rFonts w:ascii="Arial" w:hAnsi="Arial" w:cs="Arial"/>
                <w:sz w:val="20"/>
                <w:szCs w:val="20"/>
              </w:rPr>
              <w:t>hronous</w:t>
            </w:r>
            <w:r w:rsidR="00FC121A" w:rsidRPr="00DA02B5">
              <w:rPr>
                <w:rFonts w:ascii="Arial" w:hAnsi="Arial" w:cs="Arial"/>
                <w:sz w:val="20"/>
                <w:szCs w:val="20"/>
              </w:rPr>
              <w:t xml:space="preserve"> </w:t>
            </w:r>
            <w:r w:rsidRPr="00DA02B5">
              <w:rPr>
                <w:rFonts w:ascii="Arial" w:hAnsi="Arial" w:cs="Arial"/>
                <w:sz w:val="20"/>
                <w:szCs w:val="20"/>
              </w:rPr>
              <w:t>MDT</w:t>
            </w:r>
            <w:r w:rsidR="00753D14" w:rsidRPr="00DA02B5">
              <w:rPr>
                <w:rFonts w:ascii="Arial" w:hAnsi="Arial" w:cs="Arial"/>
                <w:sz w:val="20"/>
                <w:szCs w:val="20"/>
              </w:rPr>
              <w:t xml:space="preserve"> discussion</w:t>
            </w:r>
            <w:r w:rsidRPr="00DA02B5">
              <w:rPr>
                <w:rFonts w:ascii="Arial" w:hAnsi="Arial" w:cs="Arial"/>
                <w:sz w:val="20"/>
                <w:szCs w:val="20"/>
              </w:rPr>
              <w:t>. However</w:t>
            </w:r>
            <w:r w:rsidR="00753D14" w:rsidRPr="00DA02B5">
              <w:rPr>
                <w:rFonts w:ascii="Arial" w:hAnsi="Arial" w:cs="Arial"/>
                <w:sz w:val="20"/>
                <w:szCs w:val="20"/>
              </w:rPr>
              <w:t>,</w:t>
            </w:r>
            <w:r w:rsidRPr="00DA02B5">
              <w:rPr>
                <w:rFonts w:ascii="Arial" w:hAnsi="Arial" w:cs="Arial"/>
                <w:sz w:val="20"/>
                <w:szCs w:val="20"/>
              </w:rPr>
              <w:t xml:space="preserve"> mass one-stop shop clinic</w:t>
            </w:r>
            <w:r w:rsidR="000E519E">
              <w:rPr>
                <w:rFonts w:ascii="Arial" w:hAnsi="Arial" w:cs="Arial"/>
                <w:sz w:val="20"/>
                <w:szCs w:val="20"/>
              </w:rPr>
              <w:t>s</w:t>
            </w:r>
            <w:r w:rsidRPr="00DA02B5">
              <w:rPr>
                <w:rFonts w:ascii="Arial" w:hAnsi="Arial" w:cs="Arial"/>
                <w:sz w:val="20"/>
                <w:szCs w:val="20"/>
              </w:rPr>
              <w:t xml:space="preserve"> (</w:t>
            </w:r>
            <w:r w:rsidR="0000399A" w:rsidRPr="00DA02B5">
              <w:rPr>
                <w:rFonts w:ascii="Arial" w:hAnsi="Arial" w:cs="Arial"/>
                <w:sz w:val="20"/>
                <w:szCs w:val="20"/>
              </w:rPr>
              <w:t xml:space="preserve">Consultant </w:t>
            </w:r>
            <w:r w:rsidRPr="00DA02B5">
              <w:rPr>
                <w:rFonts w:ascii="Arial" w:hAnsi="Arial" w:cs="Arial"/>
                <w:sz w:val="20"/>
                <w:szCs w:val="20"/>
              </w:rPr>
              <w:t>‘Attending’ model</w:t>
            </w:r>
            <w:r w:rsidR="000E519E">
              <w:rPr>
                <w:rFonts w:ascii="Arial" w:hAnsi="Arial" w:cs="Arial"/>
                <w:sz w:val="20"/>
                <w:szCs w:val="20"/>
              </w:rPr>
              <w:t xml:space="preserve"> where a patient may receive </w:t>
            </w:r>
            <w:r w:rsidR="00B63776">
              <w:rPr>
                <w:rFonts w:ascii="Arial" w:hAnsi="Arial" w:cs="Arial"/>
                <w:sz w:val="20"/>
                <w:szCs w:val="20"/>
              </w:rPr>
              <w:t xml:space="preserve">point-of-care </w:t>
            </w:r>
            <w:r w:rsidR="000E519E">
              <w:rPr>
                <w:rFonts w:ascii="Arial" w:hAnsi="Arial" w:cs="Arial"/>
                <w:sz w:val="20"/>
                <w:szCs w:val="20"/>
              </w:rPr>
              <w:t>diagnostics, senior clinical review and physiotherapy in a single episode</w:t>
            </w:r>
            <w:r w:rsidRPr="00DA02B5">
              <w:rPr>
                <w:rFonts w:ascii="Arial" w:hAnsi="Arial" w:cs="Arial"/>
                <w:sz w:val="20"/>
                <w:szCs w:val="20"/>
              </w:rPr>
              <w:t xml:space="preserve">) may be preferable in view of the high numbers of patients that can be reviewed per consultant </w:t>
            </w:r>
            <w:r w:rsidRPr="007B23F0">
              <w:rPr>
                <w:rFonts w:ascii="Arial" w:hAnsi="Arial" w:cs="Arial"/>
                <w:sz w:val="20"/>
                <w:szCs w:val="20"/>
              </w:rPr>
              <w:t>session, in order to support the fragile secondary care rheumatology waiting lists</w:t>
            </w:r>
            <w:r w:rsidR="0000399A">
              <w:rPr>
                <w:rFonts w:ascii="Arial" w:hAnsi="Arial" w:cs="Arial"/>
                <w:sz w:val="20"/>
                <w:szCs w:val="20"/>
              </w:rPr>
              <w:t xml:space="preserve"> and high demand</w:t>
            </w:r>
            <w:r w:rsidRPr="007B23F0">
              <w:rPr>
                <w:rFonts w:ascii="Arial" w:hAnsi="Arial" w:cs="Arial"/>
                <w:sz w:val="20"/>
                <w:szCs w:val="20"/>
              </w:rPr>
              <w:t xml:space="preserve"> in NWL</w:t>
            </w:r>
            <w:r w:rsidR="000E519E">
              <w:rPr>
                <w:rFonts w:ascii="Arial" w:hAnsi="Arial" w:cs="Arial"/>
                <w:sz w:val="20"/>
                <w:szCs w:val="20"/>
              </w:rPr>
              <w:t xml:space="preserve">, as well as to improve efficiency and convenience of the patient journey. </w:t>
            </w:r>
            <w:r w:rsidRPr="007B23F0">
              <w:rPr>
                <w:rFonts w:ascii="Arial" w:hAnsi="Arial" w:cs="Arial"/>
                <w:sz w:val="20"/>
                <w:szCs w:val="20"/>
              </w:rPr>
              <w:t xml:space="preserve"> </w:t>
            </w:r>
          </w:p>
          <w:p w14:paraId="2750FCD3" w14:textId="60ABE532" w:rsidR="00BD7AF0" w:rsidRDefault="00BD7AF0" w:rsidP="007B23F0">
            <w:pPr>
              <w:rPr>
                <w:rFonts w:ascii="Arial" w:hAnsi="Arial" w:cs="Arial"/>
                <w:sz w:val="20"/>
                <w:szCs w:val="20"/>
              </w:rPr>
            </w:pPr>
          </w:p>
          <w:p w14:paraId="1998C89F" w14:textId="69E93346" w:rsidR="00FC121A" w:rsidRPr="00B37799" w:rsidRDefault="00BD7AF0" w:rsidP="00FC121A">
            <w:pPr>
              <w:rPr>
                <w:rFonts w:ascii="Arial" w:hAnsi="Arial" w:cs="Arial"/>
                <w:strike/>
                <w:color w:val="00B050"/>
                <w:sz w:val="20"/>
                <w:szCs w:val="20"/>
              </w:rPr>
            </w:pPr>
            <w:r>
              <w:rPr>
                <w:rFonts w:ascii="Arial" w:hAnsi="Arial" w:cs="Arial"/>
                <w:sz w:val="20"/>
                <w:szCs w:val="20"/>
              </w:rPr>
              <w:t xml:space="preserve">Integration of rheumatology within a wider MSK </w:t>
            </w:r>
            <w:r w:rsidR="000F06EB">
              <w:rPr>
                <w:rFonts w:ascii="Arial" w:hAnsi="Arial" w:cs="Arial"/>
                <w:sz w:val="20"/>
                <w:szCs w:val="20"/>
              </w:rPr>
              <w:t>S</w:t>
            </w:r>
            <w:r>
              <w:rPr>
                <w:rFonts w:ascii="Arial" w:hAnsi="Arial" w:cs="Arial"/>
                <w:sz w:val="20"/>
                <w:szCs w:val="20"/>
              </w:rPr>
              <w:t xml:space="preserve">ervice should </w:t>
            </w:r>
            <w:r w:rsidRPr="00753D14">
              <w:rPr>
                <w:rFonts w:ascii="Arial" w:hAnsi="Arial" w:cs="Arial"/>
                <w:sz w:val="20"/>
                <w:szCs w:val="20"/>
              </w:rPr>
              <w:t xml:space="preserve">enable the large proportion of non-inflammatory musculoskeletal presentations to be treated efficiently (ideally same day) with appropriate physical therapy, injection intervention or pain </w:t>
            </w:r>
            <w:r w:rsidR="00753D14" w:rsidRPr="00DA02B5">
              <w:rPr>
                <w:rFonts w:ascii="Arial" w:hAnsi="Arial" w:cs="Arial"/>
                <w:sz w:val="20"/>
                <w:szCs w:val="20"/>
              </w:rPr>
              <w:t>and initial</w:t>
            </w:r>
            <w:r w:rsidR="00FC121A" w:rsidRPr="00DA02B5">
              <w:rPr>
                <w:rFonts w:ascii="Arial" w:hAnsi="Arial" w:cs="Arial"/>
                <w:sz w:val="20"/>
                <w:szCs w:val="20"/>
              </w:rPr>
              <w:t xml:space="preserve"> </w:t>
            </w:r>
            <w:r w:rsidRPr="00DA02B5">
              <w:rPr>
                <w:rFonts w:ascii="Arial" w:hAnsi="Arial" w:cs="Arial"/>
                <w:sz w:val="20"/>
                <w:szCs w:val="20"/>
              </w:rPr>
              <w:t xml:space="preserve">self-management </w:t>
            </w:r>
            <w:r w:rsidR="00753D14" w:rsidRPr="00DA02B5">
              <w:rPr>
                <w:rFonts w:ascii="Arial" w:hAnsi="Arial" w:cs="Arial"/>
                <w:sz w:val="20"/>
                <w:szCs w:val="20"/>
              </w:rPr>
              <w:t xml:space="preserve">support. </w:t>
            </w:r>
            <w:r w:rsidR="00FC121A" w:rsidRPr="00DA02B5">
              <w:rPr>
                <w:rFonts w:ascii="Arial" w:hAnsi="Arial" w:cs="Arial"/>
                <w:sz w:val="20"/>
                <w:szCs w:val="20"/>
              </w:rPr>
              <w:t xml:space="preserve">Where appropriate, ongoing self-management support can be facilitated by MSK service engagement with PCN-based health and wellbeing coaches and </w:t>
            </w:r>
            <w:r w:rsidR="00753D14" w:rsidRPr="00DA02B5">
              <w:rPr>
                <w:rFonts w:ascii="Arial" w:hAnsi="Arial" w:cs="Arial"/>
                <w:sz w:val="20"/>
                <w:szCs w:val="20"/>
              </w:rPr>
              <w:t>social prescribing link workers</w:t>
            </w:r>
            <w:r w:rsidR="00FC121A" w:rsidRPr="00DA02B5">
              <w:rPr>
                <w:rFonts w:ascii="Arial" w:hAnsi="Arial" w:cs="Arial"/>
                <w:sz w:val="20"/>
                <w:szCs w:val="20"/>
              </w:rPr>
              <w:t xml:space="preserve">. </w:t>
            </w:r>
          </w:p>
          <w:p w14:paraId="6B134C97" w14:textId="625D4738" w:rsidR="007B23F0" w:rsidRPr="007B23F0" w:rsidRDefault="007B23F0" w:rsidP="007B23F0">
            <w:pPr>
              <w:rPr>
                <w:rFonts w:ascii="Arial" w:hAnsi="Arial" w:cs="Arial"/>
                <w:sz w:val="20"/>
                <w:szCs w:val="20"/>
              </w:rPr>
            </w:pPr>
          </w:p>
          <w:p w14:paraId="451B065A" w14:textId="5B3B5CC6" w:rsidR="007B23F0" w:rsidRDefault="007B23F0" w:rsidP="007B23F0">
            <w:r w:rsidRPr="007B23F0">
              <w:rPr>
                <w:rFonts w:ascii="Arial" w:hAnsi="Arial" w:cs="Arial"/>
                <w:sz w:val="20"/>
                <w:szCs w:val="20"/>
              </w:rPr>
              <w:t xml:space="preserve">Future scope would include providing assessment of bone metabolic health and both primary and secondary prevention of fractures through a community setting. Such a service should incorporate principles of </w:t>
            </w:r>
            <w:r w:rsidR="004B4460">
              <w:rPr>
                <w:rFonts w:ascii="Arial" w:hAnsi="Arial" w:cs="Arial"/>
                <w:sz w:val="20"/>
                <w:szCs w:val="20"/>
              </w:rPr>
              <w:t>shared decision making</w:t>
            </w:r>
            <w:r w:rsidRPr="007B23F0">
              <w:rPr>
                <w:rFonts w:ascii="Arial" w:hAnsi="Arial" w:cs="Arial"/>
                <w:sz w:val="20"/>
                <w:szCs w:val="20"/>
              </w:rPr>
              <w:t>.</w:t>
            </w:r>
            <w:r w:rsidR="008B20D5">
              <w:t xml:space="preserve"> </w:t>
            </w:r>
          </w:p>
          <w:p w14:paraId="1ED7FCBA" w14:textId="77777777" w:rsidR="004D26E4" w:rsidRDefault="004D26E4" w:rsidP="007B23F0">
            <w:pPr>
              <w:pStyle w:val="Heading2"/>
              <w:rPr>
                <w:rFonts w:ascii="Arial" w:hAnsi="Arial" w:cs="Arial"/>
                <w:b/>
                <w:color w:val="auto"/>
                <w:sz w:val="20"/>
                <w:szCs w:val="20"/>
              </w:rPr>
            </w:pPr>
          </w:p>
          <w:p w14:paraId="38CF8ECD" w14:textId="7547691D" w:rsidR="007B23F0" w:rsidRPr="00C54BA6" w:rsidRDefault="004F288A" w:rsidP="007B23F0">
            <w:pPr>
              <w:pStyle w:val="Heading2"/>
              <w:rPr>
                <w:rFonts w:ascii="Arial" w:hAnsi="Arial" w:cs="Arial"/>
                <w:b/>
                <w:color w:val="auto"/>
                <w:sz w:val="20"/>
                <w:szCs w:val="20"/>
              </w:rPr>
            </w:pPr>
            <w:bookmarkStart w:id="18" w:name="_Toc127194679"/>
            <w:r>
              <w:rPr>
                <w:rFonts w:ascii="Arial" w:hAnsi="Arial" w:cs="Arial"/>
                <w:b/>
                <w:color w:val="auto"/>
                <w:sz w:val="20"/>
                <w:szCs w:val="20"/>
              </w:rPr>
              <w:t>3.3.15</w:t>
            </w:r>
            <w:r w:rsidR="005649AA">
              <w:rPr>
                <w:rFonts w:ascii="Arial" w:hAnsi="Arial" w:cs="Arial"/>
                <w:b/>
                <w:color w:val="auto"/>
                <w:sz w:val="20"/>
                <w:szCs w:val="20"/>
              </w:rPr>
              <w:t xml:space="preserve">.3 </w:t>
            </w:r>
            <w:r w:rsidR="007B23F0" w:rsidRPr="00C54BA6">
              <w:rPr>
                <w:rFonts w:ascii="Arial" w:hAnsi="Arial" w:cs="Arial"/>
                <w:b/>
                <w:color w:val="auto"/>
                <w:sz w:val="20"/>
                <w:szCs w:val="20"/>
              </w:rPr>
              <w:t>Pain</w:t>
            </w:r>
            <w:r w:rsidR="00DC283F">
              <w:rPr>
                <w:rFonts w:ascii="Arial" w:hAnsi="Arial" w:cs="Arial"/>
                <w:b/>
                <w:color w:val="auto"/>
                <w:sz w:val="20"/>
                <w:szCs w:val="20"/>
              </w:rPr>
              <w:t xml:space="preserve"> Services</w:t>
            </w:r>
            <w:bookmarkEnd w:id="18"/>
          </w:p>
          <w:p w14:paraId="0DA61BBA" w14:textId="77777777" w:rsidR="007B23F0" w:rsidRPr="007B23F0" w:rsidRDefault="007B23F0" w:rsidP="007B23F0">
            <w:pPr>
              <w:rPr>
                <w:rFonts w:ascii="Arial" w:hAnsi="Arial" w:cs="Arial"/>
                <w:sz w:val="20"/>
                <w:szCs w:val="20"/>
              </w:rPr>
            </w:pPr>
          </w:p>
          <w:p w14:paraId="38826C76" w14:textId="7EFF2257" w:rsidR="007B23F0" w:rsidRPr="00DA02B5" w:rsidRDefault="004B4460" w:rsidP="007B23F0">
            <w:pPr>
              <w:rPr>
                <w:rFonts w:ascii="Arial" w:hAnsi="Arial" w:cs="Arial"/>
                <w:sz w:val="20"/>
                <w:szCs w:val="20"/>
              </w:rPr>
            </w:pPr>
            <w:r w:rsidRPr="00DA02B5">
              <w:rPr>
                <w:rFonts w:ascii="Arial" w:hAnsi="Arial" w:cs="Arial"/>
                <w:sz w:val="20"/>
                <w:szCs w:val="20"/>
              </w:rPr>
              <w:t>The S</w:t>
            </w:r>
            <w:r w:rsidR="007B23F0" w:rsidRPr="00DA02B5">
              <w:rPr>
                <w:rFonts w:ascii="Arial" w:hAnsi="Arial" w:cs="Arial"/>
                <w:sz w:val="20"/>
                <w:szCs w:val="20"/>
              </w:rPr>
              <w:t>ervice should provide</w:t>
            </w:r>
            <w:r w:rsidR="00FC121A" w:rsidRPr="00DA02B5">
              <w:rPr>
                <w:rFonts w:ascii="Arial" w:hAnsi="Arial" w:cs="Arial"/>
                <w:sz w:val="20"/>
                <w:szCs w:val="20"/>
              </w:rPr>
              <w:t xml:space="preserve"> care in line with NICE Cli</w:t>
            </w:r>
            <w:r w:rsidR="00753D14" w:rsidRPr="00DA02B5">
              <w:rPr>
                <w:rFonts w:ascii="Arial" w:hAnsi="Arial" w:cs="Arial"/>
                <w:sz w:val="20"/>
                <w:szCs w:val="20"/>
              </w:rPr>
              <w:t>nical Guideline NG193 including</w:t>
            </w:r>
            <w:r w:rsidR="007B23F0" w:rsidRPr="00DA02B5">
              <w:rPr>
                <w:rFonts w:ascii="Arial" w:hAnsi="Arial" w:cs="Arial"/>
                <w:sz w:val="20"/>
                <w:szCs w:val="20"/>
              </w:rPr>
              <w:t>:</w:t>
            </w:r>
          </w:p>
          <w:p w14:paraId="7E87C60D" w14:textId="65E99722" w:rsidR="007B23F0" w:rsidRPr="00DA02B5" w:rsidRDefault="007B23F0" w:rsidP="002528C9">
            <w:pPr>
              <w:pStyle w:val="ListParagraph"/>
              <w:numPr>
                <w:ilvl w:val="0"/>
                <w:numId w:val="22"/>
              </w:numPr>
              <w:rPr>
                <w:rFonts w:ascii="Arial" w:hAnsi="Arial" w:cs="Arial"/>
                <w:sz w:val="20"/>
                <w:szCs w:val="20"/>
              </w:rPr>
            </w:pPr>
            <w:r w:rsidRPr="00DA02B5">
              <w:rPr>
                <w:rFonts w:ascii="Arial" w:hAnsi="Arial" w:cs="Arial"/>
                <w:sz w:val="20"/>
                <w:szCs w:val="20"/>
              </w:rPr>
              <w:t xml:space="preserve">A clear diagnosis </w:t>
            </w:r>
            <w:r w:rsidR="009968EB" w:rsidRPr="00DA02B5">
              <w:rPr>
                <w:rFonts w:ascii="Arial" w:hAnsi="Arial" w:cs="Arial"/>
                <w:sz w:val="20"/>
                <w:szCs w:val="20"/>
              </w:rPr>
              <w:t xml:space="preserve">where possible </w:t>
            </w:r>
            <w:r w:rsidR="00FC121A" w:rsidRPr="00DA02B5">
              <w:rPr>
                <w:rFonts w:ascii="Arial" w:hAnsi="Arial" w:cs="Arial"/>
                <w:sz w:val="20"/>
                <w:szCs w:val="20"/>
              </w:rPr>
              <w:t>for patients with chronic pain, including chronic primary pain</w:t>
            </w:r>
            <w:r w:rsidR="00753D14" w:rsidRPr="00DA02B5">
              <w:rPr>
                <w:rFonts w:ascii="Arial" w:hAnsi="Arial" w:cs="Arial"/>
                <w:sz w:val="20"/>
                <w:szCs w:val="20"/>
              </w:rPr>
              <w:t xml:space="preserve"> diagnoses such as fibromyalgia</w:t>
            </w:r>
            <w:r w:rsidR="00FC121A" w:rsidRPr="00DA02B5">
              <w:rPr>
                <w:rFonts w:ascii="Arial" w:hAnsi="Arial" w:cs="Arial"/>
                <w:sz w:val="20"/>
                <w:szCs w:val="20"/>
              </w:rPr>
              <w:t xml:space="preserve">. </w:t>
            </w:r>
          </w:p>
          <w:p w14:paraId="7CF36D04" w14:textId="77777777" w:rsidR="000E519E" w:rsidRDefault="006F56A6" w:rsidP="000E519E">
            <w:pPr>
              <w:pStyle w:val="ListParagraph"/>
              <w:numPr>
                <w:ilvl w:val="0"/>
                <w:numId w:val="22"/>
              </w:numPr>
              <w:rPr>
                <w:rFonts w:ascii="Arial" w:hAnsi="Arial" w:cs="Arial"/>
                <w:sz w:val="20"/>
                <w:szCs w:val="20"/>
              </w:rPr>
            </w:pPr>
            <w:r w:rsidRPr="000E519E">
              <w:rPr>
                <w:rFonts w:ascii="Arial" w:hAnsi="Arial" w:cs="Arial"/>
                <w:sz w:val="20"/>
                <w:szCs w:val="20"/>
              </w:rPr>
              <w:t>De-medicalise treatment plans</w:t>
            </w:r>
            <w:r w:rsidR="007B23F0" w:rsidRPr="000E519E">
              <w:rPr>
                <w:rFonts w:ascii="Arial" w:hAnsi="Arial" w:cs="Arial"/>
                <w:sz w:val="20"/>
                <w:szCs w:val="20"/>
              </w:rPr>
              <w:t xml:space="preserve"> (where appropriate).</w:t>
            </w:r>
            <w:r w:rsidR="00E5251D" w:rsidRPr="000E519E">
              <w:rPr>
                <w:rFonts w:ascii="Arial" w:hAnsi="Arial" w:cs="Arial"/>
                <w:sz w:val="20"/>
                <w:szCs w:val="20"/>
              </w:rPr>
              <w:t xml:space="preserve"> </w:t>
            </w:r>
          </w:p>
          <w:p w14:paraId="77A61204" w14:textId="2C5C4916" w:rsidR="007B23F0" w:rsidRPr="000E519E" w:rsidRDefault="007B23F0" w:rsidP="000E519E">
            <w:pPr>
              <w:pStyle w:val="ListParagraph"/>
              <w:numPr>
                <w:ilvl w:val="0"/>
                <w:numId w:val="22"/>
              </w:numPr>
              <w:rPr>
                <w:rFonts w:ascii="Arial" w:hAnsi="Arial" w:cs="Arial"/>
                <w:sz w:val="20"/>
                <w:szCs w:val="20"/>
              </w:rPr>
            </w:pPr>
            <w:r w:rsidRPr="000E519E">
              <w:rPr>
                <w:rFonts w:ascii="Arial" w:hAnsi="Arial" w:cs="Arial"/>
                <w:sz w:val="20"/>
                <w:szCs w:val="20"/>
              </w:rPr>
              <w:t>Provide share</w:t>
            </w:r>
            <w:r w:rsidR="000E519E">
              <w:rPr>
                <w:rFonts w:ascii="Arial" w:hAnsi="Arial" w:cs="Arial"/>
                <w:sz w:val="20"/>
                <w:szCs w:val="20"/>
              </w:rPr>
              <w:t>d,</w:t>
            </w:r>
            <w:r w:rsidRPr="000E519E">
              <w:rPr>
                <w:rFonts w:ascii="Arial" w:hAnsi="Arial" w:cs="Arial"/>
                <w:sz w:val="20"/>
                <w:szCs w:val="20"/>
              </w:rPr>
              <w:t xml:space="preserve"> individualised, personalised care planning aligned to the patient’s individual values and with a focus on health coaching and access to physical activity and mental health support outside of hospital, predominantly at primary care level.</w:t>
            </w:r>
            <w:r w:rsidR="002528C9" w:rsidRPr="00DA02B5">
              <w:t xml:space="preserve"> </w:t>
            </w:r>
          </w:p>
          <w:p w14:paraId="390E1EC9" w14:textId="56D2D74C" w:rsidR="007B23F0" w:rsidRPr="00DA02B5" w:rsidRDefault="007B23F0" w:rsidP="009968EB">
            <w:pPr>
              <w:pStyle w:val="ListParagraph"/>
              <w:numPr>
                <w:ilvl w:val="0"/>
                <w:numId w:val="22"/>
              </w:numPr>
              <w:rPr>
                <w:rFonts w:ascii="Arial" w:hAnsi="Arial" w:cs="Arial"/>
                <w:strike/>
                <w:sz w:val="20"/>
                <w:szCs w:val="20"/>
              </w:rPr>
            </w:pPr>
            <w:r w:rsidRPr="00DA02B5">
              <w:rPr>
                <w:rFonts w:ascii="Arial" w:hAnsi="Arial" w:cs="Arial"/>
                <w:sz w:val="20"/>
                <w:szCs w:val="20"/>
              </w:rPr>
              <w:t xml:space="preserve">Robust triage and expedient onward referral for </w:t>
            </w:r>
            <w:r w:rsidR="00C207F0" w:rsidRPr="00DA02B5">
              <w:rPr>
                <w:rFonts w:ascii="Arial" w:hAnsi="Arial" w:cs="Arial"/>
                <w:sz w:val="20"/>
                <w:szCs w:val="20"/>
              </w:rPr>
              <w:t xml:space="preserve">appropriate </w:t>
            </w:r>
            <w:r w:rsidRPr="00DA02B5">
              <w:rPr>
                <w:rFonts w:ascii="Arial" w:hAnsi="Arial" w:cs="Arial"/>
                <w:sz w:val="20"/>
                <w:szCs w:val="20"/>
              </w:rPr>
              <w:t>candidates for interventional pain procedures.</w:t>
            </w:r>
            <w:r w:rsidR="009968EB" w:rsidRPr="00DA02B5">
              <w:rPr>
                <w:rFonts w:ascii="Arial" w:hAnsi="Arial" w:cs="Arial"/>
                <w:sz w:val="20"/>
                <w:szCs w:val="20"/>
              </w:rPr>
              <w:t xml:space="preserve"> </w:t>
            </w:r>
          </w:p>
          <w:p w14:paraId="6DBFDE42" w14:textId="7C1FE36B" w:rsidR="007B23F0" w:rsidRPr="00DA02B5" w:rsidRDefault="007B23F0" w:rsidP="00DC3DDC">
            <w:pPr>
              <w:pStyle w:val="ListParagraph"/>
              <w:numPr>
                <w:ilvl w:val="0"/>
                <w:numId w:val="22"/>
              </w:numPr>
              <w:rPr>
                <w:rFonts w:ascii="Arial" w:hAnsi="Arial" w:cs="Arial"/>
                <w:sz w:val="20"/>
                <w:szCs w:val="20"/>
              </w:rPr>
            </w:pPr>
            <w:r w:rsidRPr="00DA02B5">
              <w:rPr>
                <w:rFonts w:ascii="Arial" w:hAnsi="Arial" w:cs="Arial"/>
                <w:sz w:val="20"/>
                <w:szCs w:val="20"/>
              </w:rPr>
              <w:t xml:space="preserve">Support medicine optimisation (particularly drugs associated with dependency) for those </w:t>
            </w:r>
            <w:r w:rsidR="00753D14" w:rsidRPr="00DA02B5">
              <w:rPr>
                <w:rFonts w:ascii="Arial" w:hAnsi="Arial" w:cs="Arial"/>
                <w:sz w:val="20"/>
                <w:szCs w:val="20"/>
              </w:rPr>
              <w:t>who have</w:t>
            </w:r>
            <w:r w:rsidR="002528C9" w:rsidRPr="00DA02B5">
              <w:rPr>
                <w:rFonts w:ascii="Arial" w:hAnsi="Arial" w:cs="Arial"/>
                <w:sz w:val="20"/>
                <w:szCs w:val="20"/>
              </w:rPr>
              <w:t xml:space="preserve"> </w:t>
            </w:r>
            <w:r w:rsidRPr="00DA02B5">
              <w:rPr>
                <w:rFonts w:ascii="Arial" w:hAnsi="Arial" w:cs="Arial"/>
                <w:sz w:val="20"/>
                <w:szCs w:val="20"/>
              </w:rPr>
              <w:t>long-term pain.</w:t>
            </w:r>
          </w:p>
          <w:p w14:paraId="48F3A4A2" w14:textId="5D0AF44A" w:rsidR="007B23F0" w:rsidRPr="00DA02B5" w:rsidRDefault="007B23F0" w:rsidP="007B23F0">
            <w:pPr>
              <w:rPr>
                <w:rFonts w:ascii="Arial" w:hAnsi="Arial" w:cs="Arial"/>
                <w:sz w:val="20"/>
                <w:szCs w:val="20"/>
              </w:rPr>
            </w:pPr>
          </w:p>
          <w:p w14:paraId="084AB3D2" w14:textId="2DA4F001" w:rsidR="000F3C64" w:rsidRPr="00DA02B5" w:rsidRDefault="000F3C64" w:rsidP="007B23F0">
            <w:pPr>
              <w:rPr>
                <w:rFonts w:ascii="Arial" w:hAnsi="Arial" w:cs="Arial"/>
                <w:sz w:val="20"/>
                <w:szCs w:val="20"/>
              </w:rPr>
            </w:pPr>
            <w:r w:rsidRPr="00DA02B5">
              <w:rPr>
                <w:rFonts w:ascii="Arial" w:hAnsi="Arial" w:cs="Arial"/>
                <w:sz w:val="20"/>
                <w:szCs w:val="20"/>
              </w:rPr>
              <w:t>This would be achieved through a biopsychosocial assessment by an appropriate interdisciplinary competency-based team of specialist pain clinicians, with regular MDT case discussion</w:t>
            </w:r>
          </w:p>
          <w:p w14:paraId="06F0C039" w14:textId="77777777" w:rsidR="000F3C64" w:rsidRPr="00DA02B5" w:rsidRDefault="000F3C64" w:rsidP="007B23F0">
            <w:pPr>
              <w:rPr>
                <w:rFonts w:ascii="Arial" w:hAnsi="Arial" w:cs="Arial"/>
                <w:sz w:val="20"/>
                <w:szCs w:val="20"/>
              </w:rPr>
            </w:pPr>
          </w:p>
          <w:p w14:paraId="45FFB417" w14:textId="0B1296E7" w:rsidR="007B23F0" w:rsidRDefault="007B23F0" w:rsidP="007B23F0">
            <w:pPr>
              <w:rPr>
                <w:rFonts w:ascii="Arial" w:hAnsi="Arial" w:cs="Arial"/>
                <w:sz w:val="20"/>
                <w:szCs w:val="20"/>
              </w:rPr>
            </w:pPr>
            <w:r w:rsidRPr="00DA02B5">
              <w:rPr>
                <w:rFonts w:ascii="Arial" w:hAnsi="Arial" w:cs="Arial"/>
                <w:sz w:val="20"/>
                <w:szCs w:val="20"/>
              </w:rPr>
              <w:t xml:space="preserve">In line with the NICE guideline on primary chronic pain and the RCP guidelines on fibromyalgia, patients with primary widespread pain conditions should be </w:t>
            </w:r>
            <w:r w:rsidR="002528C9" w:rsidRPr="00DA02B5">
              <w:rPr>
                <w:rFonts w:ascii="Arial" w:hAnsi="Arial" w:cs="Arial"/>
                <w:sz w:val="20"/>
                <w:szCs w:val="20"/>
              </w:rPr>
              <w:t>offered treatment and support</w:t>
            </w:r>
            <w:r w:rsidR="00753D14" w:rsidRPr="00DA02B5">
              <w:rPr>
                <w:rFonts w:ascii="Arial" w:hAnsi="Arial" w:cs="Arial"/>
                <w:sz w:val="20"/>
                <w:szCs w:val="20"/>
              </w:rPr>
              <w:t xml:space="preserve"> </w:t>
            </w:r>
            <w:r w:rsidRPr="00DA02B5">
              <w:rPr>
                <w:rFonts w:ascii="Arial" w:hAnsi="Arial" w:cs="Arial"/>
                <w:sz w:val="20"/>
                <w:szCs w:val="20"/>
              </w:rPr>
              <w:t>in primary and community services</w:t>
            </w:r>
            <w:r w:rsidR="002528C9" w:rsidRPr="00DA02B5">
              <w:rPr>
                <w:rFonts w:ascii="Arial" w:hAnsi="Arial" w:cs="Arial"/>
                <w:sz w:val="20"/>
                <w:szCs w:val="20"/>
              </w:rPr>
              <w:t>, with development and support to PCN te</w:t>
            </w:r>
            <w:r w:rsidR="00753D14" w:rsidRPr="00DA02B5">
              <w:rPr>
                <w:rFonts w:ascii="Arial" w:hAnsi="Arial" w:cs="Arial"/>
                <w:sz w:val="20"/>
                <w:szCs w:val="20"/>
              </w:rPr>
              <w:t xml:space="preserve">ams provided by the MSK </w:t>
            </w:r>
            <w:r w:rsidR="000F06EB">
              <w:rPr>
                <w:rFonts w:ascii="Arial" w:hAnsi="Arial" w:cs="Arial"/>
                <w:sz w:val="20"/>
                <w:szCs w:val="20"/>
              </w:rPr>
              <w:t>S</w:t>
            </w:r>
            <w:r w:rsidR="00753D14" w:rsidRPr="00DA02B5">
              <w:rPr>
                <w:rFonts w:ascii="Arial" w:hAnsi="Arial" w:cs="Arial"/>
                <w:sz w:val="20"/>
                <w:szCs w:val="20"/>
              </w:rPr>
              <w:t>ervice</w:t>
            </w:r>
            <w:r w:rsidRPr="00DA02B5">
              <w:rPr>
                <w:rFonts w:ascii="Arial" w:hAnsi="Arial" w:cs="Arial"/>
                <w:sz w:val="20"/>
                <w:szCs w:val="20"/>
              </w:rPr>
              <w:t xml:space="preserve">. </w:t>
            </w:r>
          </w:p>
          <w:p w14:paraId="6333DF6D" w14:textId="580F4BB0" w:rsidR="00DC283F" w:rsidRDefault="00DC283F" w:rsidP="007B23F0">
            <w:pPr>
              <w:rPr>
                <w:rFonts w:ascii="Arial" w:hAnsi="Arial" w:cs="Arial"/>
                <w:sz w:val="20"/>
                <w:szCs w:val="20"/>
              </w:rPr>
            </w:pPr>
          </w:p>
          <w:p w14:paraId="5DD778C6" w14:textId="72FC974F" w:rsidR="00DC283F" w:rsidRPr="00DA02B5" w:rsidRDefault="00DC283F" w:rsidP="007B23F0">
            <w:pPr>
              <w:rPr>
                <w:rFonts w:ascii="Arial" w:hAnsi="Arial" w:cs="Arial"/>
                <w:sz w:val="20"/>
                <w:szCs w:val="20"/>
              </w:rPr>
            </w:pPr>
            <w:r>
              <w:rPr>
                <w:rFonts w:ascii="Arial" w:hAnsi="Arial" w:cs="Arial"/>
                <w:sz w:val="20"/>
                <w:szCs w:val="20"/>
              </w:rPr>
              <w:t xml:space="preserve">In keeping with locally agreed pathways, patients appropriate for interventional treatment should be appropriately identified and referred for such treatment from specialist pain teams. </w:t>
            </w:r>
          </w:p>
          <w:p w14:paraId="7DACBD01" w14:textId="64465A5F" w:rsidR="007B23F0" w:rsidRPr="00DA02B5" w:rsidRDefault="007B23F0" w:rsidP="007B23F0">
            <w:pPr>
              <w:rPr>
                <w:rFonts w:ascii="Arial" w:hAnsi="Arial" w:cs="Arial"/>
                <w:sz w:val="20"/>
                <w:szCs w:val="20"/>
              </w:rPr>
            </w:pPr>
          </w:p>
          <w:p w14:paraId="142F9227" w14:textId="6D8FFC5E" w:rsidR="00DF66E2" w:rsidRPr="00DA02B5" w:rsidRDefault="004B4460" w:rsidP="00DF66E2">
            <w:pPr>
              <w:rPr>
                <w:rFonts w:ascii="Arial" w:hAnsi="Arial" w:cs="Arial"/>
                <w:sz w:val="20"/>
                <w:szCs w:val="20"/>
              </w:rPr>
            </w:pPr>
            <w:r w:rsidRPr="00DA02B5">
              <w:rPr>
                <w:rFonts w:ascii="Arial" w:hAnsi="Arial" w:cs="Arial"/>
                <w:sz w:val="20"/>
                <w:szCs w:val="20"/>
              </w:rPr>
              <w:t>We do not expect the S</w:t>
            </w:r>
            <w:r w:rsidR="007B23F0" w:rsidRPr="00DA02B5">
              <w:rPr>
                <w:rFonts w:ascii="Arial" w:hAnsi="Arial" w:cs="Arial"/>
                <w:sz w:val="20"/>
                <w:szCs w:val="20"/>
              </w:rPr>
              <w:t>ervice to deliver full pain management programmes in view of mixed evidence rather clinical and cost-effectivene</w:t>
            </w:r>
            <w:r w:rsidRPr="00DA02B5">
              <w:rPr>
                <w:rFonts w:ascii="Arial" w:hAnsi="Arial" w:cs="Arial"/>
                <w:sz w:val="20"/>
                <w:szCs w:val="20"/>
              </w:rPr>
              <w:t>ss. Instead the S</w:t>
            </w:r>
            <w:r w:rsidR="007B23F0" w:rsidRPr="00DA02B5">
              <w:rPr>
                <w:rFonts w:ascii="Arial" w:hAnsi="Arial" w:cs="Arial"/>
                <w:sz w:val="20"/>
                <w:szCs w:val="20"/>
              </w:rPr>
              <w:t>ervice should provide brief pain education, including through digital means, with a greater focus on individual personalised care planning</w:t>
            </w:r>
            <w:r w:rsidR="00753D14" w:rsidRPr="00DA02B5">
              <w:rPr>
                <w:rFonts w:ascii="Arial" w:hAnsi="Arial" w:cs="Arial"/>
                <w:sz w:val="20"/>
                <w:szCs w:val="20"/>
              </w:rPr>
              <w:t>,</w:t>
            </w:r>
            <w:r w:rsidR="00DF66E2" w:rsidRPr="00DA02B5">
              <w:rPr>
                <w:rFonts w:ascii="Arial" w:hAnsi="Arial" w:cs="Arial"/>
                <w:sz w:val="20"/>
                <w:szCs w:val="20"/>
              </w:rPr>
              <w:t xml:space="preserve"> and supporting PCNs to provide ongoing sup</w:t>
            </w:r>
            <w:r w:rsidR="00753D14" w:rsidRPr="00DA02B5">
              <w:rPr>
                <w:rFonts w:ascii="Arial" w:hAnsi="Arial" w:cs="Arial"/>
                <w:sz w:val="20"/>
                <w:szCs w:val="20"/>
              </w:rPr>
              <w:t>port for this group of patients</w:t>
            </w:r>
            <w:r w:rsidR="00DF66E2" w:rsidRPr="00DA02B5">
              <w:rPr>
                <w:rFonts w:ascii="Arial" w:hAnsi="Arial" w:cs="Arial"/>
                <w:sz w:val="20"/>
                <w:szCs w:val="20"/>
              </w:rPr>
              <w:t xml:space="preserve">. </w:t>
            </w:r>
          </w:p>
          <w:p w14:paraId="7A66E488" w14:textId="37A4D93E" w:rsidR="000F3C64" w:rsidRPr="00B37799" w:rsidRDefault="000F3C64" w:rsidP="007B23F0">
            <w:pPr>
              <w:rPr>
                <w:rFonts w:ascii="Arial" w:hAnsi="Arial" w:cs="Arial"/>
                <w:color w:val="00B050"/>
                <w:sz w:val="20"/>
                <w:szCs w:val="20"/>
              </w:rPr>
            </w:pPr>
          </w:p>
          <w:p w14:paraId="15FE67E9" w14:textId="5ADF3347" w:rsidR="000F3C64" w:rsidRDefault="000F3C64" w:rsidP="007B23F0">
            <w:pPr>
              <w:rPr>
                <w:rFonts w:ascii="Arial" w:hAnsi="Arial" w:cs="Arial"/>
                <w:sz w:val="20"/>
                <w:szCs w:val="20"/>
              </w:rPr>
            </w:pPr>
            <w:r>
              <w:rPr>
                <w:rFonts w:ascii="Arial" w:hAnsi="Arial" w:cs="Arial"/>
                <w:sz w:val="20"/>
                <w:szCs w:val="20"/>
              </w:rPr>
              <w:t xml:space="preserve">Individual and group based physical and psychological approaches should aim to reduce pain (where possible), pain-related physical disability and emotional distress, improve quality of life, support active self-management and reliance on healthcare resource. </w:t>
            </w:r>
          </w:p>
          <w:p w14:paraId="3FBF1CE9" w14:textId="21C4E2A0" w:rsidR="000F3C64" w:rsidRDefault="000F3C64" w:rsidP="007B23F0">
            <w:pPr>
              <w:rPr>
                <w:rFonts w:ascii="Arial" w:hAnsi="Arial" w:cs="Arial"/>
                <w:sz w:val="20"/>
                <w:szCs w:val="20"/>
              </w:rPr>
            </w:pPr>
          </w:p>
          <w:p w14:paraId="1936CEA6" w14:textId="15F2120E" w:rsidR="000F3C64" w:rsidRDefault="000F3C64" w:rsidP="007B23F0">
            <w:pPr>
              <w:rPr>
                <w:rFonts w:ascii="Arial" w:hAnsi="Arial" w:cs="Arial"/>
                <w:sz w:val="20"/>
                <w:szCs w:val="20"/>
              </w:rPr>
            </w:pPr>
            <w:r>
              <w:rPr>
                <w:rFonts w:ascii="Arial" w:hAnsi="Arial" w:cs="Arial"/>
                <w:sz w:val="20"/>
                <w:szCs w:val="20"/>
              </w:rPr>
              <w:t>This may be achieved through acceptance and commitment therapy (ACT) and/or cognitive behavioural therapy (CBT) techniques to:</w:t>
            </w:r>
          </w:p>
          <w:p w14:paraId="02AB6268" w14:textId="77777777" w:rsidR="00F03108" w:rsidRDefault="00F03108" w:rsidP="007B23F0">
            <w:pPr>
              <w:rPr>
                <w:rFonts w:ascii="Arial" w:hAnsi="Arial" w:cs="Arial"/>
                <w:sz w:val="20"/>
                <w:szCs w:val="20"/>
              </w:rPr>
            </w:pPr>
          </w:p>
          <w:p w14:paraId="274FF715" w14:textId="0FB334D9" w:rsidR="000F3C64" w:rsidRDefault="000F3C64" w:rsidP="000F3C64">
            <w:pPr>
              <w:pStyle w:val="ListParagraph"/>
              <w:numPr>
                <w:ilvl w:val="0"/>
                <w:numId w:val="19"/>
              </w:numPr>
              <w:rPr>
                <w:rFonts w:ascii="Arial" w:hAnsi="Arial" w:cs="Arial"/>
                <w:sz w:val="20"/>
                <w:szCs w:val="20"/>
              </w:rPr>
            </w:pPr>
            <w:r>
              <w:rPr>
                <w:rFonts w:ascii="Arial" w:hAnsi="Arial" w:cs="Arial"/>
                <w:sz w:val="20"/>
                <w:szCs w:val="20"/>
              </w:rPr>
              <w:t xml:space="preserve">Enhance acceptance, mindfulness and psychological flexibility </w:t>
            </w:r>
          </w:p>
          <w:p w14:paraId="68FF1ACF" w14:textId="5F1776D9" w:rsidR="000F3C64" w:rsidRDefault="000F3C64" w:rsidP="000F3C64">
            <w:pPr>
              <w:pStyle w:val="ListParagraph"/>
              <w:numPr>
                <w:ilvl w:val="0"/>
                <w:numId w:val="19"/>
              </w:numPr>
              <w:rPr>
                <w:rFonts w:ascii="Arial" w:hAnsi="Arial" w:cs="Arial"/>
                <w:sz w:val="20"/>
                <w:szCs w:val="20"/>
              </w:rPr>
            </w:pPr>
            <w:r>
              <w:rPr>
                <w:rFonts w:ascii="Arial" w:hAnsi="Arial" w:cs="Arial"/>
                <w:sz w:val="20"/>
                <w:szCs w:val="20"/>
              </w:rPr>
              <w:t>Facilitate learning and pain reconceptualization</w:t>
            </w:r>
          </w:p>
          <w:p w14:paraId="7662E8DC" w14:textId="7DA061AA" w:rsidR="000F3C64" w:rsidRDefault="000F3C64" w:rsidP="000F3C64">
            <w:pPr>
              <w:pStyle w:val="ListParagraph"/>
              <w:numPr>
                <w:ilvl w:val="0"/>
                <w:numId w:val="19"/>
              </w:numPr>
              <w:rPr>
                <w:rFonts w:ascii="Arial" w:hAnsi="Arial" w:cs="Arial"/>
                <w:sz w:val="20"/>
                <w:szCs w:val="20"/>
              </w:rPr>
            </w:pPr>
            <w:r>
              <w:rPr>
                <w:rFonts w:ascii="Arial" w:hAnsi="Arial" w:cs="Arial"/>
                <w:sz w:val="20"/>
                <w:szCs w:val="20"/>
              </w:rPr>
              <w:t>Identify and clarify values-based goals</w:t>
            </w:r>
          </w:p>
          <w:p w14:paraId="0CCFC340" w14:textId="15BD0E3C" w:rsidR="000F3C64" w:rsidRDefault="000F3C64" w:rsidP="000F3C64">
            <w:pPr>
              <w:pStyle w:val="ListParagraph"/>
              <w:numPr>
                <w:ilvl w:val="0"/>
                <w:numId w:val="19"/>
              </w:numPr>
              <w:rPr>
                <w:rFonts w:ascii="Arial" w:hAnsi="Arial" w:cs="Arial"/>
                <w:sz w:val="20"/>
                <w:szCs w:val="20"/>
              </w:rPr>
            </w:pPr>
            <w:r>
              <w:rPr>
                <w:rFonts w:ascii="Arial" w:hAnsi="Arial" w:cs="Arial"/>
                <w:sz w:val="20"/>
                <w:szCs w:val="20"/>
              </w:rPr>
              <w:t xml:space="preserve">Promote behaviour change and </w:t>
            </w:r>
            <w:proofErr w:type="spellStart"/>
            <w:r>
              <w:rPr>
                <w:rFonts w:ascii="Arial" w:hAnsi="Arial" w:cs="Arial"/>
                <w:sz w:val="20"/>
                <w:szCs w:val="20"/>
              </w:rPr>
              <w:t>enchanged</w:t>
            </w:r>
            <w:proofErr w:type="spellEnd"/>
            <w:r>
              <w:rPr>
                <w:rFonts w:ascii="Arial" w:hAnsi="Arial" w:cs="Arial"/>
                <w:sz w:val="20"/>
                <w:szCs w:val="20"/>
              </w:rPr>
              <w:t xml:space="preserve"> well-being, including methods based on learning and conditioning processes</w:t>
            </w:r>
          </w:p>
          <w:p w14:paraId="10D7D80F" w14:textId="44E1AB4D" w:rsidR="000F3C64" w:rsidRDefault="000F3C64" w:rsidP="000F3C64">
            <w:pPr>
              <w:pStyle w:val="ListParagraph"/>
              <w:numPr>
                <w:ilvl w:val="0"/>
                <w:numId w:val="19"/>
              </w:numPr>
              <w:rPr>
                <w:rFonts w:ascii="Arial" w:hAnsi="Arial" w:cs="Arial"/>
                <w:sz w:val="20"/>
                <w:szCs w:val="20"/>
              </w:rPr>
            </w:pPr>
            <w:r>
              <w:rPr>
                <w:rFonts w:ascii="Arial" w:hAnsi="Arial" w:cs="Arial"/>
                <w:sz w:val="20"/>
                <w:szCs w:val="20"/>
              </w:rPr>
              <w:t>Facilitate skills training, physical exercise and exposure</w:t>
            </w:r>
          </w:p>
          <w:p w14:paraId="20757015" w14:textId="39F3F998" w:rsidR="000F3C64" w:rsidRPr="00DA02B5" w:rsidRDefault="000F3C64" w:rsidP="000F3C64">
            <w:pPr>
              <w:pStyle w:val="ListParagraph"/>
              <w:numPr>
                <w:ilvl w:val="0"/>
                <w:numId w:val="19"/>
              </w:numPr>
              <w:rPr>
                <w:rFonts w:ascii="Arial" w:hAnsi="Arial" w:cs="Arial"/>
                <w:sz w:val="20"/>
                <w:szCs w:val="20"/>
              </w:rPr>
            </w:pPr>
            <w:r w:rsidRPr="00DA02B5">
              <w:rPr>
                <w:rFonts w:ascii="Arial" w:hAnsi="Arial" w:cs="Arial"/>
                <w:sz w:val="20"/>
                <w:szCs w:val="20"/>
              </w:rPr>
              <w:t>Support patients to remain in or return to education and work</w:t>
            </w:r>
          </w:p>
          <w:p w14:paraId="5FBB1B9A" w14:textId="5D102CA5" w:rsidR="000F3C64" w:rsidRPr="00DA02B5" w:rsidRDefault="000F3C64" w:rsidP="000F3C64">
            <w:pPr>
              <w:pStyle w:val="ListParagraph"/>
              <w:numPr>
                <w:ilvl w:val="0"/>
                <w:numId w:val="19"/>
              </w:numPr>
              <w:rPr>
                <w:rFonts w:ascii="Arial" w:hAnsi="Arial" w:cs="Arial"/>
                <w:sz w:val="20"/>
                <w:szCs w:val="20"/>
              </w:rPr>
            </w:pPr>
            <w:r w:rsidRPr="00DA02B5">
              <w:rPr>
                <w:rFonts w:ascii="Arial" w:hAnsi="Arial" w:cs="Arial"/>
                <w:sz w:val="20"/>
                <w:szCs w:val="20"/>
              </w:rPr>
              <w:t xml:space="preserve">Improve sleep quality, quantity and pattern. </w:t>
            </w:r>
          </w:p>
          <w:p w14:paraId="18D68983" w14:textId="77777777" w:rsidR="007B23F0" w:rsidRPr="00DA02B5" w:rsidRDefault="007B23F0" w:rsidP="007B23F0">
            <w:pPr>
              <w:rPr>
                <w:rFonts w:ascii="Arial" w:hAnsi="Arial" w:cs="Arial"/>
                <w:sz w:val="20"/>
                <w:szCs w:val="20"/>
              </w:rPr>
            </w:pPr>
          </w:p>
          <w:p w14:paraId="79662F1E" w14:textId="487E7F01" w:rsidR="007B23F0" w:rsidRPr="007B23F0" w:rsidRDefault="007B23F0" w:rsidP="007B23F0">
            <w:pPr>
              <w:rPr>
                <w:rFonts w:ascii="Arial" w:hAnsi="Arial" w:cs="Arial"/>
                <w:sz w:val="20"/>
                <w:szCs w:val="20"/>
              </w:rPr>
            </w:pPr>
            <w:r w:rsidRPr="00DA02B5">
              <w:rPr>
                <w:rFonts w:ascii="Arial" w:hAnsi="Arial" w:cs="Arial"/>
                <w:sz w:val="20"/>
                <w:szCs w:val="20"/>
              </w:rPr>
              <w:t xml:space="preserve">All patients </w:t>
            </w:r>
            <w:r w:rsidR="00753D14" w:rsidRPr="00DA02B5">
              <w:rPr>
                <w:rFonts w:ascii="Arial" w:hAnsi="Arial" w:cs="Arial"/>
                <w:sz w:val="20"/>
                <w:szCs w:val="20"/>
              </w:rPr>
              <w:t>with persistent pain</w:t>
            </w:r>
            <w:r w:rsidR="00DF66E2" w:rsidRPr="00DA02B5">
              <w:rPr>
                <w:rFonts w:ascii="Arial" w:hAnsi="Arial" w:cs="Arial"/>
                <w:sz w:val="20"/>
                <w:szCs w:val="20"/>
              </w:rPr>
              <w:t xml:space="preserve"> </w:t>
            </w:r>
            <w:r w:rsidRPr="00DA02B5">
              <w:rPr>
                <w:rFonts w:ascii="Arial" w:hAnsi="Arial" w:cs="Arial"/>
                <w:sz w:val="20"/>
                <w:szCs w:val="20"/>
              </w:rPr>
              <w:t xml:space="preserve">should have a single ongoing care plans, </w:t>
            </w:r>
            <w:r w:rsidR="00085B74" w:rsidRPr="00DA02B5">
              <w:rPr>
                <w:rFonts w:ascii="Arial" w:hAnsi="Arial" w:cs="Arial"/>
                <w:sz w:val="20"/>
                <w:szCs w:val="20"/>
              </w:rPr>
              <w:t xml:space="preserve">co-developed and </w:t>
            </w:r>
            <w:r w:rsidRPr="00DA02B5">
              <w:rPr>
                <w:rFonts w:ascii="Arial" w:hAnsi="Arial" w:cs="Arial"/>
                <w:sz w:val="20"/>
                <w:szCs w:val="20"/>
              </w:rPr>
              <w:t xml:space="preserve">accessible by all practitioners, including primary </w:t>
            </w:r>
            <w:r w:rsidRPr="00753D14">
              <w:rPr>
                <w:rFonts w:ascii="Arial" w:hAnsi="Arial" w:cs="Arial"/>
                <w:sz w:val="20"/>
                <w:szCs w:val="20"/>
              </w:rPr>
              <w:t>care</w:t>
            </w:r>
            <w:r w:rsidR="00753D14" w:rsidRPr="00753D14">
              <w:rPr>
                <w:rFonts w:ascii="Arial" w:hAnsi="Arial" w:cs="Arial"/>
                <w:sz w:val="20"/>
                <w:szCs w:val="20"/>
              </w:rPr>
              <w:t xml:space="preserve">, </w:t>
            </w:r>
            <w:r w:rsidRPr="00753D14">
              <w:rPr>
                <w:rFonts w:ascii="Arial" w:hAnsi="Arial" w:cs="Arial"/>
                <w:sz w:val="20"/>
                <w:szCs w:val="20"/>
              </w:rPr>
              <w:t xml:space="preserve">which should include details of previous treatments </w:t>
            </w:r>
            <w:r w:rsidRPr="007B23F0">
              <w:rPr>
                <w:rFonts w:ascii="Arial" w:hAnsi="Arial" w:cs="Arial"/>
                <w:sz w:val="20"/>
                <w:szCs w:val="20"/>
              </w:rPr>
              <w:t xml:space="preserve">trialled and agreed management approaches for ongoing and flare management.  </w:t>
            </w:r>
          </w:p>
          <w:p w14:paraId="602A8B81" w14:textId="77777777" w:rsidR="007B23F0" w:rsidRPr="007B23F0" w:rsidRDefault="007B23F0" w:rsidP="007B23F0">
            <w:pPr>
              <w:rPr>
                <w:rFonts w:ascii="Arial" w:hAnsi="Arial" w:cs="Arial"/>
                <w:sz w:val="20"/>
                <w:szCs w:val="20"/>
              </w:rPr>
            </w:pPr>
          </w:p>
          <w:p w14:paraId="5B36CC92" w14:textId="151CF576" w:rsidR="007B23F0" w:rsidRDefault="007B23F0" w:rsidP="007B23F0">
            <w:pPr>
              <w:rPr>
                <w:rFonts w:ascii="Arial" w:hAnsi="Arial" w:cs="Arial"/>
                <w:sz w:val="20"/>
                <w:szCs w:val="20"/>
              </w:rPr>
            </w:pPr>
            <w:r w:rsidRPr="007B23F0">
              <w:rPr>
                <w:rFonts w:ascii="Arial" w:hAnsi="Arial" w:cs="Arial"/>
                <w:sz w:val="20"/>
                <w:szCs w:val="20"/>
              </w:rPr>
              <w:t xml:space="preserve">Patient-initiated follow-up for a period of up to 6 months from initial discharge for all patients with persistent pain may help </w:t>
            </w:r>
            <w:r w:rsidR="00EF516A">
              <w:rPr>
                <w:rFonts w:ascii="Arial" w:hAnsi="Arial" w:cs="Arial"/>
                <w:sz w:val="20"/>
                <w:szCs w:val="20"/>
              </w:rPr>
              <w:t>to provide ongoing support and rationalise utilisation based on need</w:t>
            </w:r>
            <w:r w:rsidRPr="007B23F0">
              <w:rPr>
                <w:rFonts w:ascii="Arial" w:hAnsi="Arial" w:cs="Arial"/>
                <w:sz w:val="20"/>
                <w:szCs w:val="20"/>
              </w:rPr>
              <w:t>.</w:t>
            </w:r>
          </w:p>
          <w:p w14:paraId="6052EEC7" w14:textId="77777777" w:rsidR="007B23F0" w:rsidRPr="007B23F0" w:rsidRDefault="007B23F0" w:rsidP="007B23F0">
            <w:pPr>
              <w:rPr>
                <w:rFonts w:ascii="Arial" w:hAnsi="Arial" w:cs="Arial"/>
                <w:sz w:val="20"/>
                <w:szCs w:val="20"/>
              </w:rPr>
            </w:pPr>
          </w:p>
          <w:p w14:paraId="689F3E27" w14:textId="06887F3B" w:rsidR="007B23F0" w:rsidRPr="007B23F0" w:rsidRDefault="007B23F0" w:rsidP="007B23F0">
            <w:pPr>
              <w:rPr>
                <w:rFonts w:ascii="Arial" w:hAnsi="Arial" w:cs="Arial"/>
                <w:sz w:val="20"/>
                <w:szCs w:val="20"/>
              </w:rPr>
            </w:pPr>
            <w:r w:rsidRPr="007B23F0">
              <w:rPr>
                <w:rFonts w:ascii="Arial" w:hAnsi="Arial" w:cs="Arial"/>
                <w:sz w:val="20"/>
                <w:szCs w:val="20"/>
              </w:rPr>
              <w:t>Borough-based drop-in peer support groups may provide education, social equity and peer support for chronic pain patients. These could be coordinated by the Service</w:t>
            </w:r>
            <w:r w:rsidR="0007549A">
              <w:rPr>
                <w:rFonts w:ascii="Arial" w:hAnsi="Arial" w:cs="Arial"/>
                <w:sz w:val="20"/>
                <w:szCs w:val="20"/>
              </w:rPr>
              <w:t xml:space="preserve"> on a rolling basis</w:t>
            </w:r>
            <w:r w:rsidRPr="007B23F0">
              <w:rPr>
                <w:rFonts w:ascii="Arial" w:hAnsi="Arial" w:cs="Arial"/>
                <w:sz w:val="20"/>
                <w:szCs w:val="20"/>
              </w:rPr>
              <w:t xml:space="preserve">, with non-medical health coaching / social prescriber / FCP facilitation. </w:t>
            </w:r>
          </w:p>
          <w:p w14:paraId="402053A8" w14:textId="69C46408" w:rsidR="007B23F0" w:rsidRDefault="007B23F0" w:rsidP="007B23F0">
            <w:pPr>
              <w:rPr>
                <w:rFonts w:ascii="Arial" w:hAnsi="Arial" w:cs="Arial"/>
                <w:sz w:val="20"/>
                <w:szCs w:val="20"/>
              </w:rPr>
            </w:pPr>
          </w:p>
          <w:p w14:paraId="2E3E7B59" w14:textId="6D9FD1B6" w:rsidR="004D26E4" w:rsidRPr="00DA02B5" w:rsidRDefault="004D26E4" w:rsidP="007B23F0">
            <w:pPr>
              <w:rPr>
                <w:rFonts w:ascii="Arial" w:hAnsi="Arial" w:cs="Arial"/>
                <w:sz w:val="20"/>
                <w:szCs w:val="20"/>
              </w:rPr>
            </w:pPr>
            <w:r>
              <w:rPr>
                <w:rFonts w:ascii="Arial" w:hAnsi="Arial" w:cs="Arial"/>
                <w:sz w:val="20"/>
                <w:szCs w:val="20"/>
              </w:rPr>
              <w:t xml:space="preserve">The </w:t>
            </w:r>
            <w:r w:rsidR="000F06EB">
              <w:rPr>
                <w:rFonts w:ascii="Arial" w:hAnsi="Arial" w:cs="Arial"/>
                <w:sz w:val="20"/>
                <w:szCs w:val="20"/>
              </w:rPr>
              <w:t>S</w:t>
            </w:r>
            <w:r>
              <w:rPr>
                <w:rFonts w:ascii="Arial" w:hAnsi="Arial" w:cs="Arial"/>
                <w:sz w:val="20"/>
                <w:szCs w:val="20"/>
              </w:rPr>
              <w:t xml:space="preserve">ervice should work in partnership with </w:t>
            </w:r>
            <w:r w:rsidRPr="00753D14">
              <w:rPr>
                <w:rFonts w:ascii="Arial" w:hAnsi="Arial" w:cs="Arial"/>
                <w:sz w:val="20"/>
                <w:szCs w:val="20"/>
              </w:rPr>
              <w:t xml:space="preserve">the North West London personalisation workstreams, particularly in developing a network of primary care-based medical and non-medical practitioners who can provide adequate health coaching </w:t>
            </w:r>
            <w:r w:rsidRPr="00DA02B5">
              <w:rPr>
                <w:rFonts w:ascii="Arial" w:hAnsi="Arial" w:cs="Arial"/>
                <w:sz w:val="20"/>
                <w:szCs w:val="20"/>
              </w:rPr>
              <w:t>for patients</w:t>
            </w:r>
            <w:r w:rsidR="00DF66E2" w:rsidRPr="00DA02B5">
              <w:t xml:space="preserve"> </w:t>
            </w:r>
            <w:r w:rsidR="00753D14" w:rsidRPr="00DA02B5">
              <w:rPr>
                <w:rFonts w:ascii="Arial" w:hAnsi="Arial" w:cs="Arial"/>
                <w:sz w:val="20"/>
                <w:szCs w:val="20"/>
              </w:rPr>
              <w:t>with chronic pain, which</w:t>
            </w:r>
            <w:r w:rsidRPr="00DA02B5">
              <w:rPr>
                <w:rFonts w:ascii="Arial" w:hAnsi="Arial" w:cs="Arial"/>
                <w:sz w:val="20"/>
                <w:szCs w:val="20"/>
              </w:rPr>
              <w:t xml:space="preserve"> will be key for assessment and optimisation of the common medical co-morbidity faced by patients</w:t>
            </w:r>
            <w:r w:rsidR="00DF66E2" w:rsidRPr="00DA02B5">
              <w:rPr>
                <w:rFonts w:ascii="Arial" w:hAnsi="Arial" w:cs="Arial"/>
                <w:sz w:val="20"/>
                <w:szCs w:val="20"/>
              </w:rPr>
              <w:t xml:space="preserve"> </w:t>
            </w:r>
            <w:r w:rsidR="00753D14" w:rsidRPr="00DA02B5">
              <w:rPr>
                <w:rFonts w:ascii="Arial" w:hAnsi="Arial" w:cs="Arial"/>
                <w:sz w:val="20"/>
                <w:szCs w:val="20"/>
              </w:rPr>
              <w:t>with chronic pain</w:t>
            </w:r>
            <w:r w:rsidRPr="00DA02B5">
              <w:rPr>
                <w:rFonts w:ascii="Arial" w:hAnsi="Arial" w:cs="Arial"/>
                <w:sz w:val="20"/>
                <w:szCs w:val="20"/>
              </w:rPr>
              <w:t>.</w:t>
            </w:r>
            <w:r w:rsidR="00532683" w:rsidRPr="00DA02B5">
              <w:rPr>
                <w:rFonts w:ascii="Arial" w:hAnsi="Arial" w:cs="Arial"/>
                <w:sz w:val="20"/>
                <w:szCs w:val="20"/>
              </w:rPr>
              <w:t xml:space="preserve"> Ad-hoc virtual MDT support to primary care for case discussion will enable upskilling. </w:t>
            </w:r>
          </w:p>
          <w:p w14:paraId="42299F87" w14:textId="77777777" w:rsidR="004D26E4" w:rsidRPr="00DA02B5" w:rsidRDefault="004D26E4" w:rsidP="007B23F0">
            <w:pPr>
              <w:rPr>
                <w:rFonts w:ascii="Arial" w:hAnsi="Arial" w:cs="Arial"/>
                <w:sz w:val="20"/>
                <w:szCs w:val="20"/>
              </w:rPr>
            </w:pPr>
          </w:p>
          <w:p w14:paraId="333626AE" w14:textId="6F967D2D" w:rsidR="007B23F0" w:rsidRPr="007B23F0" w:rsidRDefault="004B4460" w:rsidP="007B23F0">
            <w:pPr>
              <w:rPr>
                <w:rFonts w:ascii="Arial" w:hAnsi="Arial" w:cs="Arial"/>
                <w:sz w:val="20"/>
                <w:szCs w:val="20"/>
              </w:rPr>
            </w:pPr>
            <w:r w:rsidRPr="00DA02B5">
              <w:rPr>
                <w:rFonts w:ascii="Arial" w:hAnsi="Arial" w:cs="Arial"/>
                <w:sz w:val="20"/>
                <w:szCs w:val="20"/>
              </w:rPr>
              <w:t>The S</w:t>
            </w:r>
            <w:r w:rsidR="007B23F0" w:rsidRPr="00DA02B5">
              <w:rPr>
                <w:rFonts w:ascii="Arial" w:hAnsi="Arial" w:cs="Arial"/>
                <w:sz w:val="20"/>
                <w:szCs w:val="20"/>
              </w:rPr>
              <w:t xml:space="preserve">ervice may work with health coaches employed in ARRS roles by primary care networks, but we would also expect health coaching and social prescribing to be directly available within the </w:t>
            </w:r>
            <w:r w:rsidR="000F06EB">
              <w:rPr>
                <w:rFonts w:ascii="Arial" w:hAnsi="Arial" w:cs="Arial"/>
                <w:sz w:val="20"/>
                <w:szCs w:val="20"/>
              </w:rPr>
              <w:t>S</w:t>
            </w:r>
            <w:r w:rsidR="007B23F0" w:rsidRPr="00DA02B5">
              <w:rPr>
                <w:rFonts w:ascii="Arial" w:hAnsi="Arial" w:cs="Arial"/>
                <w:sz w:val="20"/>
                <w:szCs w:val="20"/>
              </w:rPr>
              <w:t xml:space="preserve">ervice in view of neighbourhoods where no such support may be </w:t>
            </w:r>
            <w:r w:rsidR="007B23F0" w:rsidRPr="007B23F0">
              <w:rPr>
                <w:rFonts w:ascii="Arial" w:hAnsi="Arial" w:cs="Arial"/>
                <w:sz w:val="20"/>
                <w:szCs w:val="20"/>
              </w:rPr>
              <w:t xml:space="preserve">available within primary care. </w:t>
            </w:r>
          </w:p>
          <w:p w14:paraId="3F76A219" w14:textId="77777777" w:rsidR="007B23F0" w:rsidRPr="007B23F0" w:rsidRDefault="007B23F0" w:rsidP="007B23F0">
            <w:pPr>
              <w:rPr>
                <w:rFonts w:ascii="Arial" w:hAnsi="Arial" w:cs="Arial"/>
                <w:sz w:val="20"/>
                <w:szCs w:val="20"/>
              </w:rPr>
            </w:pPr>
          </w:p>
          <w:p w14:paraId="45357E76" w14:textId="2EFD33C9" w:rsidR="007B23F0" w:rsidRPr="00F90610" w:rsidRDefault="007B23F0" w:rsidP="008B20D5">
            <w:pPr>
              <w:pStyle w:val="CommentText"/>
              <w:rPr>
                <w:rFonts w:ascii="Arial" w:hAnsi="Arial" w:cs="Arial"/>
              </w:rPr>
            </w:pPr>
            <w:r w:rsidRPr="00F90610">
              <w:rPr>
                <w:rFonts w:ascii="Arial" w:hAnsi="Arial" w:cs="Arial"/>
              </w:rPr>
              <w:t>Direct employment of h</w:t>
            </w:r>
            <w:r w:rsidR="004B4460" w:rsidRPr="00F90610">
              <w:rPr>
                <w:rFonts w:ascii="Arial" w:hAnsi="Arial" w:cs="Arial"/>
              </w:rPr>
              <w:t>ealth psychologists within the S</w:t>
            </w:r>
            <w:r w:rsidR="006F56A6" w:rsidRPr="00F90610">
              <w:rPr>
                <w:rFonts w:ascii="Arial" w:hAnsi="Arial" w:cs="Arial"/>
              </w:rPr>
              <w:t>ervice can be challenging. A</w:t>
            </w:r>
            <w:r w:rsidR="00C207F0" w:rsidRPr="00F90610">
              <w:rPr>
                <w:rFonts w:ascii="Arial" w:hAnsi="Arial" w:cs="Arial"/>
              </w:rPr>
              <w:t>n alternative could be employment of health coaches or social prescribers</w:t>
            </w:r>
            <w:r w:rsidR="006F56A6" w:rsidRPr="00F90610">
              <w:rPr>
                <w:rFonts w:ascii="Arial" w:hAnsi="Arial" w:cs="Arial"/>
              </w:rPr>
              <w:t>,</w:t>
            </w:r>
            <w:r w:rsidR="00C207F0" w:rsidRPr="00F90610">
              <w:rPr>
                <w:rFonts w:ascii="Arial" w:hAnsi="Arial" w:cs="Arial"/>
              </w:rPr>
              <w:t xml:space="preserve"> along with </w:t>
            </w:r>
            <w:r w:rsidRPr="00F90610">
              <w:rPr>
                <w:rFonts w:ascii="Arial" w:hAnsi="Arial" w:cs="Arial"/>
              </w:rPr>
              <w:t xml:space="preserve">partnership working with other community psychology services </w:t>
            </w:r>
            <w:r w:rsidR="006F56A6" w:rsidRPr="00F90610">
              <w:rPr>
                <w:rFonts w:ascii="Arial" w:hAnsi="Arial" w:cs="Arial"/>
              </w:rPr>
              <w:t xml:space="preserve">which </w:t>
            </w:r>
            <w:r w:rsidRPr="00F90610">
              <w:rPr>
                <w:rFonts w:ascii="Arial" w:hAnsi="Arial" w:cs="Arial"/>
              </w:rPr>
              <w:t>will be key to enabling certain patients to receive the psychological support required. As highlighted in workforce development, we would expect a large proportion of the practitioner workforce to be trained in psychology-informed practice, with some practitioners holding more advanced psychological training. As per NICE Guideline on Chronic Pain NG193, psychological approaches such as acceptance commitment therapy (ACT) or cognitive behavioural therapy (CBT) can be considered for appropriate patients interested i</w:t>
            </w:r>
            <w:r w:rsidR="006F56A6" w:rsidRPr="00F90610">
              <w:rPr>
                <w:rFonts w:ascii="Arial" w:hAnsi="Arial" w:cs="Arial"/>
              </w:rPr>
              <w:t xml:space="preserve">n engaging in such approaches. </w:t>
            </w:r>
            <w:r w:rsidR="009968EB" w:rsidRPr="00F90610">
              <w:rPr>
                <w:rFonts w:ascii="Arial" w:hAnsi="Arial" w:cs="Arial"/>
              </w:rPr>
              <w:t>Links should be established with specialist pain psychologists for support, training and development.</w:t>
            </w:r>
          </w:p>
          <w:p w14:paraId="3041457E" w14:textId="77777777" w:rsidR="007B23F0" w:rsidRPr="00F90610" w:rsidRDefault="007B23F0" w:rsidP="007B23F0">
            <w:pPr>
              <w:rPr>
                <w:rFonts w:ascii="Arial" w:hAnsi="Arial" w:cs="Arial"/>
                <w:sz w:val="20"/>
                <w:szCs w:val="20"/>
              </w:rPr>
            </w:pPr>
          </w:p>
          <w:p w14:paraId="5313B755" w14:textId="77777777" w:rsidR="007B23F0" w:rsidRPr="00F90610" w:rsidRDefault="007B23F0" w:rsidP="007B23F0">
            <w:pPr>
              <w:rPr>
                <w:rFonts w:ascii="Arial" w:hAnsi="Arial" w:cs="Arial"/>
                <w:sz w:val="20"/>
                <w:szCs w:val="20"/>
              </w:rPr>
            </w:pPr>
            <w:r w:rsidRPr="00F90610">
              <w:rPr>
                <w:rFonts w:ascii="Arial" w:hAnsi="Arial" w:cs="Arial"/>
                <w:sz w:val="20"/>
                <w:szCs w:val="20"/>
              </w:rPr>
              <w:t xml:space="preserve">Appropriate medical input will be useful, for example, GPs with extended roles, in order to address relevant medical co-morbidity often present alongside long-term pain presentations. </w:t>
            </w:r>
          </w:p>
          <w:p w14:paraId="366D1970" w14:textId="77777777" w:rsidR="007B23F0" w:rsidRPr="00F90610" w:rsidRDefault="007B23F0" w:rsidP="007B23F0">
            <w:pPr>
              <w:rPr>
                <w:rFonts w:ascii="Arial" w:hAnsi="Arial" w:cs="Arial"/>
                <w:sz w:val="20"/>
                <w:szCs w:val="20"/>
              </w:rPr>
            </w:pPr>
          </w:p>
          <w:p w14:paraId="773D00DB" w14:textId="0D2B42EC" w:rsidR="006F56A6" w:rsidRPr="00F90610" w:rsidRDefault="007B23F0" w:rsidP="00E5251D">
            <w:pPr>
              <w:pStyle w:val="CommentText"/>
              <w:rPr>
                <w:rFonts w:ascii="Arial" w:hAnsi="Arial" w:cs="Arial"/>
              </w:rPr>
            </w:pPr>
            <w:r w:rsidRPr="00F90610">
              <w:rPr>
                <w:rFonts w:ascii="Arial" w:hAnsi="Arial" w:cs="Arial"/>
              </w:rPr>
              <w:t>In view of pressures in secondary care services, rotation of clinical staff through secondary care departments will enable integrated working and professional development. For example, advanced practitioners could support pain consultants in outpatient post-procedure follow up, to al</w:t>
            </w:r>
            <w:r w:rsidR="006F56A6" w:rsidRPr="00F90610">
              <w:rPr>
                <w:rFonts w:ascii="Arial" w:hAnsi="Arial" w:cs="Arial"/>
              </w:rPr>
              <w:t>leviate waiting time pressures (W</w:t>
            </w:r>
            <w:r w:rsidR="00C207F0" w:rsidRPr="00F90610">
              <w:rPr>
                <w:rFonts w:ascii="Arial" w:hAnsi="Arial" w:cs="Arial"/>
              </w:rPr>
              <w:t>hi</w:t>
            </w:r>
            <w:r w:rsidR="006F56A6" w:rsidRPr="00F90610">
              <w:rPr>
                <w:rFonts w:ascii="Arial" w:hAnsi="Arial" w:cs="Arial"/>
              </w:rPr>
              <w:t xml:space="preserve">lst mindful </w:t>
            </w:r>
            <w:r w:rsidR="00C207F0" w:rsidRPr="00F90610">
              <w:rPr>
                <w:rFonts w:ascii="Arial" w:hAnsi="Arial" w:cs="Arial"/>
              </w:rPr>
              <w:t>of practitioner tim</w:t>
            </w:r>
            <w:r w:rsidR="006F56A6" w:rsidRPr="00F90610">
              <w:rPr>
                <w:rFonts w:ascii="Arial" w:hAnsi="Arial" w:cs="Arial"/>
              </w:rPr>
              <w:t>e).</w:t>
            </w:r>
          </w:p>
          <w:p w14:paraId="4628E915" w14:textId="77777777" w:rsidR="007B23F0" w:rsidRPr="00753D14" w:rsidRDefault="007B23F0" w:rsidP="007B23F0">
            <w:pPr>
              <w:rPr>
                <w:rFonts w:ascii="Arial" w:hAnsi="Arial" w:cs="Arial"/>
                <w:sz w:val="20"/>
                <w:szCs w:val="20"/>
              </w:rPr>
            </w:pPr>
          </w:p>
          <w:p w14:paraId="2A829915" w14:textId="5D82F8DD" w:rsidR="007B23F0" w:rsidRPr="00B37799" w:rsidRDefault="007B23F0" w:rsidP="007B23F0">
            <w:pPr>
              <w:rPr>
                <w:rFonts w:ascii="Arial" w:hAnsi="Arial" w:cs="Arial"/>
                <w:color w:val="00B050"/>
                <w:sz w:val="20"/>
                <w:szCs w:val="20"/>
              </w:rPr>
            </w:pPr>
            <w:r w:rsidRPr="00753D14">
              <w:rPr>
                <w:rFonts w:ascii="Arial" w:hAnsi="Arial" w:cs="Arial"/>
                <w:sz w:val="20"/>
                <w:szCs w:val="20"/>
              </w:rPr>
              <w:t xml:space="preserve">Additional indicators may be </w:t>
            </w:r>
            <w:r w:rsidRPr="00DA02B5">
              <w:rPr>
                <w:rFonts w:ascii="Arial" w:hAnsi="Arial" w:cs="Arial"/>
                <w:sz w:val="20"/>
                <w:szCs w:val="20"/>
              </w:rPr>
              <w:t>useful for patients</w:t>
            </w:r>
            <w:r w:rsidR="00753D14" w:rsidRPr="00DA02B5">
              <w:rPr>
                <w:rFonts w:ascii="Arial" w:hAnsi="Arial" w:cs="Arial"/>
                <w:sz w:val="20"/>
                <w:szCs w:val="20"/>
              </w:rPr>
              <w:t xml:space="preserve"> with persistent pain</w:t>
            </w:r>
            <w:r w:rsidRPr="00DA02B5">
              <w:rPr>
                <w:rFonts w:ascii="Arial" w:hAnsi="Arial" w:cs="Arial"/>
                <w:sz w:val="20"/>
                <w:szCs w:val="20"/>
              </w:rPr>
              <w:t xml:space="preserve">, such as QoL questions, PSEQ (pain self </w:t>
            </w:r>
            <w:r w:rsidR="004B4460" w:rsidRPr="00DA02B5">
              <w:rPr>
                <w:rFonts w:ascii="Arial" w:hAnsi="Arial" w:cs="Arial"/>
                <w:sz w:val="20"/>
                <w:szCs w:val="20"/>
              </w:rPr>
              <w:t>-</w:t>
            </w:r>
            <w:r w:rsidRPr="00DA02B5">
              <w:rPr>
                <w:rFonts w:ascii="Arial" w:hAnsi="Arial" w:cs="Arial"/>
                <w:sz w:val="20"/>
                <w:szCs w:val="20"/>
              </w:rPr>
              <w:t>efficacy questionnaire)</w:t>
            </w:r>
            <w:r w:rsidR="00753D14" w:rsidRPr="00DA02B5">
              <w:t xml:space="preserve">, </w:t>
            </w:r>
            <w:r w:rsidRPr="00DA02B5">
              <w:rPr>
                <w:rFonts w:ascii="Arial" w:hAnsi="Arial" w:cs="Arial"/>
                <w:sz w:val="20"/>
                <w:szCs w:val="20"/>
              </w:rPr>
              <w:t>activation measures, health confidence scores</w:t>
            </w:r>
            <w:r w:rsidR="004B4460" w:rsidRPr="00DA02B5">
              <w:rPr>
                <w:rFonts w:ascii="Arial" w:hAnsi="Arial" w:cs="Arial"/>
                <w:sz w:val="20"/>
                <w:szCs w:val="20"/>
              </w:rPr>
              <w:t>,</w:t>
            </w:r>
            <w:r w:rsidRPr="00DA02B5">
              <w:rPr>
                <w:rFonts w:ascii="Arial" w:hAnsi="Arial" w:cs="Arial"/>
                <w:sz w:val="20"/>
                <w:szCs w:val="20"/>
              </w:rPr>
              <w:t xml:space="preserve"> etc. </w:t>
            </w:r>
            <w:r w:rsidR="006F56A6" w:rsidRPr="00DA02B5">
              <w:rPr>
                <w:rFonts w:ascii="Arial" w:hAnsi="Arial" w:cs="Arial"/>
                <w:sz w:val="20"/>
                <w:szCs w:val="20"/>
              </w:rPr>
              <w:t>For example,</w:t>
            </w:r>
            <w:r w:rsidR="00C207F0" w:rsidRPr="00DA02B5">
              <w:rPr>
                <w:rFonts w:ascii="Arial" w:hAnsi="Arial" w:cs="Arial"/>
                <w:sz w:val="20"/>
                <w:szCs w:val="20"/>
              </w:rPr>
              <w:t xml:space="preserve"> </w:t>
            </w:r>
            <w:r w:rsidR="006F56A6" w:rsidRPr="00DA02B5">
              <w:rPr>
                <w:rFonts w:ascii="Arial" w:hAnsi="Arial" w:cs="Arial"/>
                <w:sz w:val="20"/>
                <w:szCs w:val="20"/>
              </w:rPr>
              <w:t>p</w:t>
            </w:r>
            <w:r w:rsidR="002B0573" w:rsidRPr="00DA02B5">
              <w:rPr>
                <w:rFonts w:ascii="Arial" w:hAnsi="Arial" w:cs="Arial"/>
                <w:sz w:val="20"/>
                <w:szCs w:val="20"/>
              </w:rPr>
              <w:t>ositiv</w:t>
            </w:r>
            <w:r w:rsidR="005C7181" w:rsidRPr="00DA02B5">
              <w:rPr>
                <w:rFonts w:ascii="Arial" w:hAnsi="Arial" w:cs="Arial"/>
                <w:sz w:val="20"/>
                <w:szCs w:val="20"/>
              </w:rPr>
              <w:t xml:space="preserve">e </w:t>
            </w:r>
            <w:r w:rsidR="002B0573" w:rsidRPr="00DA02B5">
              <w:rPr>
                <w:rFonts w:ascii="Arial" w:hAnsi="Arial" w:cs="Arial"/>
                <w:sz w:val="20"/>
                <w:szCs w:val="20"/>
              </w:rPr>
              <w:t>clinical outcomes could include: pain intensity; disability/physical activity; emotional wellbeing; health related quality of life; productivity; medication and health care utilisation</w:t>
            </w:r>
            <w:r w:rsidR="006F56A6" w:rsidRPr="00DA02B5">
              <w:rPr>
                <w:rFonts w:ascii="Arial" w:hAnsi="Arial" w:cs="Arial"/>
                <w:sz w:val="20"/>
                <w:szCs w:val="20"/>
              </w:rPr>
              <w:t>.</w:t>
            </w:r>
            <w:r w:rsidR="00085B74" w:rsidRPr="00DA02B5">
              <w:rPr>
                <w:rFonts w:ascii="Arial" w:hAnsi="Arial" w:cs="Arial"/>
                <w:sz w:val="20"/>
                <w:szCs w:val="20"/>
              </w:rPr>
              <w:t xml:space="preserve"> Such </w:t>
            </w:r>
            <w:r w:rsidR="00753D14" w:rsidRPr="00DA02B5">
              <w:rPr>
                <w:rFonts w:ascii="Arial" w:hAnsi="Arial" w:cs="Arial"/>
                <w:sz w:val="20"/>
                <w:szCs w:val="20"/>
              </w:rPr>
              <w:t xml:space="preserve">indicators will be made available in the patient’s shared record and care plan. </w:t>
            </w:r>
          </w:p>
          <w:p w14:paraId="6F3774EC"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 </w:t>
            </w:r>
          </w:p>
          <w:p w14:paraId="74D09332" w14:textId="27DA00EA" w:rsidR="007B23F0" w:rsidRDefault="007B23F0" w:rsidP="006F56A6">
            <w:pPr>
              <w:pStyle w:val="CommentText"/>
              <w:rPr>
                <w:rFonts w:ascii="Arial" w:hAnsi="Arial" w:cs="Arial"/>
                <w:strike/>
                <w:color w:val="FF0000"/>
              </w:rPr>
            </w:pPr>
            <w:r w:rsidRPr="007B23F0">
              <w:rPr>
                <w:rFonts w:ascii="Arial" w:hAnsi="Arial" w:cs="Arial"/>
              </w:rPr>
              <w:t xml:space="preserve">Future scope of the pathway may include expanding pain self-management care to patients with non-pain chronic fatigue syndrome as this has been identified as a current unmet need across most boroughs in NWL, involving largely overlapping principles of health coaching. </w:t>
            </w:r>
          </w:p>
          <w:p w14:paraId="7161D20B" w14:textId="77777777" w:rsidR="006F56A6" w:rsidRPr="007B23F0" w:rsidRDefault="006F56A6" w:rsidP="006F56A6">
            <w:pPr>
              <w:pStyle w:val="CommentText"/>
              <w:rPr>
                <w:rFonts w:ascii="Arial" w:hAnsi="Arial" w:cs="Arial"/>
              </w:rPr>
            </w:pPr>
          </w:p>
          <w:p w14:paraId="00ABDC74" w14:textId="50C3E34F" w:rsidR="007B23F0" w:rsidRPr="002B0573" w:rsidRDefault="007B23F0" w:rsidP="002B0573">
            <w:pPr>
              <w:pStyle w:val="CommentText"/>
            </w:pPr>
            <w:r w:rsidRPr="007B23F0">
              <w:rPr>
                <w:rFonts w:ascii="Arial" w:hAnsi="Arial" w:cs="Arial"/>
              </w:rPr>
              <w:lastRenderedPageBreak/>
              <w:t xml:space="preserve">Appropriate candidates for interventional procedures should be accurately identified (an acute radicular pathway; seen Spinal section below) with an expedient pathway for these patients to receive intervention in secondary care services in a timely manner. </w:t>
            </w:r>
          </w:p>
          <w:p w14:paraId="6DA711E4" w14:textId="750472F9" w:rsidR="007B23F0" w:rsidRPr="007B23F0" w:rsidRDefault="007B23F0" w:rsidP="007B23F0">
            <w:pPr>
              <w:rPr>
                <w:rFonts w:ascii="Arial" w:hAnsi="Arial" w:cs="Arial"/>
                <w:sz w:val="20"/>
                <w:szCs w:val="20"/>
              </w:rPr>
            </w:pPr>
          </w:p>
          <w:p w14:paraId="3D66442D" w14:textId="37D5C1FF" w:rsidR="007B23F0" w:rsidRPr="00C54BA6" w:rsidRDefault="004F288A" w:rsidP="007B23F0">
            <w:pPr>
              <w:pStyle w:val="Heading2"/>
              <w:rPr>
                <w:rFonts w:ascii="Arial" w:hAnsi="Arial" w:cs="Arial"/>
                <w:b/>
                <w:color w:val="auto"/>
                <w:sz w:val="20"/>
                <w:szCs w:val="20"/>
              </w:rPr>
            </w:pPr>
            <w:bookmarkStart w:id="19" w:name="_Toc127194680"/>
            <w:r>
              <w:rPr>
                <w:rFonts w:ascii="Arial" w:hAnsi="Arial" w:cs="Arial"/>
                <w:b/>
                <w:color w:val="auto"/>
                <w:sz w:val="20"/>
                <w:szCs w:val="20"/>
              </w:rPr>
              <w:t>3.3.15</w:t>
            </w:r>
            <w:r w:rsidR="005649AA">
              <w:rPr>
                <w:rFonts w:ascii="Arial" w:hAnsi="Arial" w:cs="Arial"/>
                <w:b/>
                <w:color w:val="auto"/>
                <w:sz w:val="20"/>
                <w:szCs w:val="20"/>
              </w:rPr>
              <w:t xml:space="preserve">.4 </w:t>
            </w:r>
            <w:r w:rsidR="007B23F0" w:rsidRPr="00C54BA6">
              <w:rPr>
                <w:rFonts w:ascii="Arial" w:hAnsi="Arial" w:cs="Arial"/>
                <w:b/>
                <w:color w:val="auto"/>
                <w:sz w:val="20"/>
                <w:szCs w:val="20"/>
              </w:rPr>
              <w:t>Spinal &amp; Radicular Pain</w:t>
            </w:r>
            <w:bookmarkEnd w:id="19"/>
          </w:p>
          <w:p w14:paraId="17523F01" w14:textId="77777777" w:rsidR="007B23F0" w:rsidRPr="007B23F0" w:rsidRDefault="007B23F0" w:rsidP="007B23F0">
            <w:pPr>
              <w:rPr>
                <w:rFonts w:ascii="Arial" w:hAnsi="Arial" w:cs="Arial"/>
                <w:sz w:val="20"/>
                <w:szCs w:val="20"/>
              </w:rPr>
            </w:pPr>
          </w:p>
          <w:p w14:paraId="4947B5DF" w14:textId="55EB2C52" w:rsidR="007B23F0" w:rsidRPr="007B23F0" w:rsidRDefault="007B23F0" w:rsidP="007B23F0">
            <w:pPr>
              <w:rPr>
                <w:rFonts w:ascii="Arial" w:hAnsi="Arial" w:cs="Arial"/>
                <w:sz w:val="20"/>
                <w:szCs w:val="20"/>
              </w:rPr>
            </w:pPr>
            <w:r w:rsidRPr="007B23F0">
              <w:rPr>
                <w:rFonts w:ascii="Arial" w:hAnsi="Arial" w:cs="Arial"/>
                <w:sz w:val="20"/>
                <w:szCs w:val="20"/>
              </w:rPr>
              <w:t>A spinal and radicular pathway should be in place, in keeping with national and locally agreed guidelines</w:t>
            </w:r>
            <w:r w:rsidR="00981996">
              <w:rPr>
                <w:rFonts w:ascii="Arial" w:hAnsi="Arial" w:cs="Arial"/>
                <w:sz w:val="20"/>
                <w:szCs w:val="20"/>
              </w:rPr>
              <w:t xml:space="preserve"> and policies</w:t>
            </w:r>
            <w:r w:rsidRPr="007B23F0">
              <w:rPr>
                <w:rFonts w:ascii="Arial" w:hAnsi="Arial" w:cs="Arial"/>
                <w:sz w:val="20"/>
                <w:szCs w:val="20"/>
              </w:rPr>
              <w:t xml:space="preserve">. Such pathway should be adopted by all practitioners across the </w:t>
            </w:r>
            <w:r w:rsidR="000F06EB">
              <w:rPr>
                <w:rFonts w:ascii="Arial" w:hAnsi="Arial" w:cs="Arial"/>
                <w:sz w:val="20"/>
                <w:szCs w:val="20"/>
              </w:rPr>
              <w:t>S</w:t>
            </w:r>
            <w:r w:rsidRPr="007B23F0">
              <w:rPr>
                <w:rFonts w:ascii="Arial" w:hAnsi="Arial" w:cs="Arial"/>
                <w:sz w:val="20"/>
                <w:szCs w:val="20"/>
              </w:rPr>
              <w:t xml:space="preserve">ervice. </w:t>
            </w:r>
          </w:p>
          <w:p w14:paraId="5F1901CE" w14:textId="77777777" w:rsidR="007B23F0" w:rsidRPr="007B23F0" w:rsidRDefault="007B23F0" w:rsidP="007B23F0">
            <w:pPr>
              <w:rPr>
                <w:rFonts w:ascii="Arial" w:hAnsi="Arial" w:cs="Arial"/>
                <w:sz w:val="20"/>
                <w:szCs w:val="20"/>
              </w:rPr>
            </w:pPr>
          </w:p>
          <w:p w14:paraId="29018877" w14:textId="0E03CE5F" w:rsidR="009968EB" w:rsidRPr="00F90610" w:rsidRDefault="007B23F0" w:rsidP="009968EB">
            <w:pPr>
              <w:rPr>
                <w:rFonts w:ascii="Arial" w:hAnsi="Arial" w:cs="Arial"/>
                <w:sz w:val="20"/>
                <w:szCs w:val="20"/>
              </w:rPr>
            </w:pPr>
            <w:r w:rsidRPr="00F90610">
              <w:rPr>
                <w:rFonts w:ascii="Arial" w:hAnsi="Arial" w:cs="Arial"/>
                <w:sz w:val="20"/>
                <w:szCs w:val="20"/>
              </w:rPr>
              <w:t xml:space="preserve">Engagement with local neurosurgical teams </w:t>
            </w:r>
            <w:r w:rsidR="009968EB" w:rsidRPr="00F90610">
              <w:rPr>
                <w:rFonts w:ascii="Arial" w:hAnsi="Arial" w:cs="Arial"/>
                <w:sz w:val="20"/>
                <w:szCs w:val="20"/>
              </w:rPr>
              <w:t xml:space="preserve">and </w:t>
            </w:r>
            <w:r w:rsidR="00C51F28" w:rsidRPr="00F90610">
              <w:rPr>
                <w:rFonts w:ascii="Arial" w:hAnsi="Arial" w:cs="Arial"/>
                <w:sz w:val="20"/>
                <w:szCs w:val="20"/>
              </w:rPr>
              <w:t>p</w:t>
            </w:r>
            <w:r w:rsidR="009968EB" w:rsidRPr="00F90610">
              <w:rPr>
                <w:rFonts w:ascii="Arial" w:hAnsi="Arial" w:cs="Arial"/>
                <w:sz w:val="20"/>
                <w:szCs w:val="20"/>
              </w:rPr>
              <w:t xml:space="preserve">ain </w:t>
            </w:r>
            <w:r w:rsidR="00981996">
              <w:rPr>
                <w:rFonts w:ascii="Arial" w:hAnsi="Arial" w:cs="Arial"/>
                <w:sz w:val="20"/>
                <w:szCs w:val="20"/>
              </w:rPr>
              <w:t>specialists</w:t>
            </w:r>
            <w:r w:rsidR="00981996" w:rsidRPr="00F90610">
              <w:rPr>
                <w:rFonts w:ascii="Arial" w:hAnsi="Arial" w:cs="Arial"/>
                <w:sz w:val="20"/>
                <w:szCs w:val="20"/>
              </w:rPr>
              <w:t xml:space="preserve"> </w:t>
            </w:r>
            <w:r w:rsidRPr="00F90610">
              <w:rPr>
                <w:rFonts w:ascii="Arial" w:hAnsi="Arial" w:cs="Arial"/>
                <w:sz w:val="20"/>
                <w:szCs w:val="20"/>
              </w:rPr>
              <w:t>will be key, ideally with rotation of staff through lo</w:t>
            </w:r>
            <w:r w:rsidR="009968EB" w:rsidRPr="00F90610">
              <w:rPr>
                <w:rFonts w:ascii="Arial" w:hAnsi="Arial" w:cs="Arial"/>
                <w:sz w:val="20"/>
                <w:szCs w:val="20"/>
              </w:rPr>
              <w:t>cal secondary care spinal MDTs to improve delivery of both surgi</w:t>
            </w:r>
            <w:r w:rsidR="006F56A6" w:rsidRPr="00F90610">
              <w:rPr>
                <w:rFonts w:ascii="Arial" w:hAnsi="Arial" w:cs="Arial"/>
                <w:sz w:val="20"/>
                <w:szCs w:val="20"/>
              </w:rPr>
              <w:t>cal and non-surgical management</w:t>
            </w:r>
            <w:r w:rsidR="009968EB" w:rsidRPr="00F90610">
              <w:rPr>
                <w:rFonts w:ascii="Arial" w:hAnsi="Arial" w:cs="Arial"/>
                <w:sz w:val="20"/>
                <w:szCs w:val="20"/>
              </w:rPr>
              <w:t>.</w:t>
            </w:r>
          </w:p>
          <w:p w14:paraId="43F4A325" w14:textId="77777777" w:rsidR="009968EB" w:rsidRDefault="009968EB" w:rsidP="007B23F0">
            <w:pPr>
              <w:spacing w:line="276" w:lineRule="auto"/>
              <w:jc w:val="both"/>
              <w:rPr>
                <w:rFonts w:ascii="Arial" w:eastAsia="MS Mincho" w:hAnsi="Arial" w:cs="Arial"/>
                <w:bCs/>
                <w:sz w:val="20"/>
                <w:szCs w:val="20"/>
                <w:lang w:eastAsia="ja-JP"/>
              </w:rPr>
            </w:pPr>
          </w:p>
          <w:p w14:paraId="16D1BDE9" w14:textId="10CC7A17" w:rsid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The Service should offer an appropriate acute pathway to manage patients in accordance with locally agreed criteria and NICE NG59, with appropriate assessment, imaging and intervention (where appropriate) in a timely and cost-effective manner for patients with new onset severe radicular pain. This requires highly trained appropriate clinical triage to identify the very small percentage of patients with sciatica who would be candidates for epidural injection. It will also require direct-listing ability with either radiology or pain services in secondary care. </w:t>
            </w:r>
          </w:p>
          <w:p w14:paraId="0F746F38" w14:textId="00DB66ED" w:rsidR="0081548E" w:rsidRDefault="0081548E" w:rsidP="007B23F0">
            <w:pPr>
              <w:spacing w:line="276" w:lineRule="auto"/>
              <w:jc w:val="both"/>
              <w:rPr>
                <w:rFonts w:ascii="Arial" w:eastAsia="MS Mincho" w:hAnsi="Arial" w:cs="Arial"/>
                <w:bCs/>
                <w:sz w:val="20"/>
                <w:szCs w:val="20"/>
                <w:lang w:eastAsia="ja-JP"/>
              </w:rPr>
            </w:pPr>
          </w:p>
          <w:p w14:paraId="6658F371" w14:textId="1ACA906F" w:rsidR="0081548E" w:rsidRPr="007B23F0" w:rsidRDefault="0081548E" w:rsidP="0081548E">
            <w:pPr>
              <w:rPr>
                <w:rFonts w:ascii="Arial" w:hAnsi="Arial" w:cs="Arial"/>
                <w:sz w:val="20"/>
                <w:szCs w:val="20"/>
              </w:rPr>
            </w:pPr>
            <w:r w:rsidRPr="007B23F0">
              <w:rPr>
                <w:rFonts w:ascii="Arial" w:hAnsi="Arial" w:cs="Arial"/>
                <w:sz w:val="20"/>
                <w:szCs w:val="20"/>
              </w:rPr>
              <w:t xml:space="preserve">Future scope of the </w:t>
            </w:r>
            <w:r w:rsidR="000F06EB">
              <w:rPr>
                <w:rFonts w:ascii="Arial" w:hAnsi="Arial" w:cs="Arial"/>
                <w:sz w:val="20"/>
                <w:szCs w:val="20"/>
              </w:rPr>
              <w:t>S</w:t>
            </w:r>
            <w:r w:rsidRPr="007B23F0">
              <w:rPr>
                <w:rFonts w:ascii="Arial" w:hAnsi="Arial" w:cs="Arial"/>
                <w:sz w:val="20"/>
                <w:szCs w:val="20"/>
              </w:rPr>
              <w:t xml:space="preserve">ervice could include routine ultrasound-guided caudal epidural provision delivered by advanced practitioners within the community, for appropriate patients and with suitable clinical oversight. </w:t>
            </w:r>
          </w:p>
          <w:p w14:paraId="566C5AE0" w14:textId="23288397" w:rsidR="007B23F0" w:rsidRPr="007B23F0" w:rsidRDefault="007B23F0" w:rsidP="007B23F0">
            <w:pPr>
              <w:rPr>
                <w:rFonts w:ascii="Arial" w:hAnsi="Arial" w:cs="Arial"/>
                <w:sz w:val="20"/>
                <w:szCs w:val="20"/>
              </w:rPr>
            </w:pPr>
          </w:p>
          <w:p w14:paraId="15E73232" w14:textId="17F9DF60" w:rsidR="007B23F0" w:rsidRPr="00C54BA6" w:rsidRDefault="004F288A" w:rsidP="007B23F0">
            <w:pPr>
              <w:pStyle w:val="Heading2"/>
              <w:rPr>
                <w:rFonts w:ascii="Arial" w:hAnsi="Arial" w:cs="Arial"/>
                <w:b/>
                <w:color w:val="auto"/>
                <w:sz w:val="20"/>
                <w:szCs w:val="20"/>
              </w:rPr>
            </w:pPr>
            <w:bookmarkStart w:id="20" w:name="_Toc127194681"/>
            <w:r>
              <w:rPr>
                <w:rFonts w:ascii="Arial" w:hAnsi="Arial" w:cs="Arial"/>
                <w:b/>
                <w:color w:val="auto"/>
                <w:sz w:val="20"/>
                <w:szCs w:val="20"/>
              </w:rPr>
              <w:t>3.3.16</w:t>
            </w:r>
            <w:r w:rsidR="007919F7">
              <w:rPr>
                <w:rFonts w:ascii="Arial" w:hAnsi="Arial" w:cs="Arial"/>
                <w:b/>
                <w:color w:val="auto"/>
                <w:sz w:val="20"/>
                <w:szCs w:val="20"/>
              </w:rPr>
              <w:t xml:space="preserve"> </w:t>
            </w:r>
            <w:r w:rsidR="007B23F0" w:rsidRPr="00C54BA6">
              <w:rPr>
                <w:rFonts w:ascii="Arial" w:hAnsi="Arial" w:cs="Arial"/>
                <w:b/>
                <w:color w:val="auto"/>
                <w:sz w:val="20"/>
                <w:szCs w:val="20"/>
              </w:rPr>
              <w:t>Medicines Optimisation</w:t>
            </w:r>
            <w:bookmarkEnd w:id="20"/>
          </w:p>
          <w:p w14:paraId="617D7470" w14:textId="77777777" w:rsidR="007B23F0" w:rsidRPr="00C54BA6" w:rsidRDefault="007B23F0" w:rsidP="007B23F0">
            <w:pPr>
              <w:rPr>
                <w:rFonts w:ascii="Arial" w:hAnsi="Arial" w:cs="Arial"/>
                <w:b/>
                <w:sz w:val="20"/>
                <w:szCs w:val="20"/>
              </w:rPr>
            </w:pPr>
          </w:p>
          <w:p w14:paraId="24E8E972" w14:textId="7E004496" w:rsidR="007B23F0" w:rsidRPr="00C54BA6" w:rsidRDefault="004F288A" w:rsidP="007B23F0">
            <w:pPr>
              <w:pStyle w:val="Heading3"/>
              <w:rPr>
                <w:rFonts w:ascii="Arial" w:hAnsi="Arial" w:cs="Arial"/>
                <w:b/>
                <w:color w:val="auto"/>
                <w:sz w:val="20"/>
                <w:szCs w:val="20"/>
              </w:rPr>
            </w:pPr>
            <w:bookmarkStart w:id="21" w:name="_Toc127194682"/>
            <w:r>
              <w:rPr>
                <w:rFonts w:ascii="Arial" w:hAnsi="Arial" w:cs="Arial"/>
                <w:b/>
                <w:color w:val="auto"/>
                <w:sz w:val="20"/>
                <w:szCs w:val="20"/>
              </w:rPr>
              <w:t>3.3.16</w:t>
            </w:r>
            <w:r w:rsidR="005649AA">
              <w:rPr>
                <w:rFonts w:ascii="Arial" w:hAnsi="Arial" w:cs="Arial"/>
                <w:b/>
                <w:color w:val="auto"/>
                <w:sz w:val="20"/>
                <w:szCs w:val="20"/>
              </w:rPr>
              <w:t xml:space="preserve">.1 </w:t>
            </w:r>
            <w:r w:rsidR="007B23F0" w:rsidRPr="00C54BA6">
              <w:rPr>
                <w:rFonts w:ascii="Arial" w:hAnsi="Arial" w:cs="Arial"/>
                <w:b/>
                <w:color w:val="auto"/>
                <w:sz w:val="20"/>
                <w:szCs w:val="20"/>
              </w:rPr>
              <w:t>Medication Reviews and De-prescribing</w:t>
            </w:r>
            <w:bookmarkEnd w:id="21"/>
          </w:p>
          <w:p w14:paraId="16507E74" w14:textId="77777777" w:rsidR="007B23F0" w:rsidRPr="007B23F0" w:rsidRDefault="007B23F0" w:rsidP="007B23F0">
            <w:pPr>
              <w:rPr>
                <w:rFonts w:ascii="Arial" w:hAnsi="Arial" w:cs="Arial"/>
                <w:sz w:val="20"/>
                <w:szCs w:val="20"/>
              </w:rPr>
            </w:pPr>
          </w:p>
          <w:p w14:paraId="290FD8EC" w14:textId="290E1969" w:rsidR="007B23F0" w:rsidRP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 xml:space="preserve">ervice should support appropriate prescribing. This is particularly important in the context of patients with long-term MSK conditions. Opportunities for appropriate de-prescribing of low-value (i.e. ineffective, cost-ineffective, or harmful) pharmacological management should regularly be undertaken. This is particularly important in the context of opioid, </w:t>
            </w:r>
            <w:proofErr w:type="spellStart"/>
            <w:r w:rsidR="007B23F0" w:rsidRPr="007B23F0">
              <w:rPr>
                <w:rFonts w:ascii="Arial" w:hAnsi="Arial" w:cs="Arial"/>
                <w:sz w:val="20"/>
                <w:szCs w:val="20"/>
              </w:rPr>
              <w:t>gabapentinoids</w:t>
            </w:r>
            <w:proofErr w:type="spellEnd"/>
            <w:r w:rsidR="007B23F0" w:rsidRPr="007B23F0">
              <w:rPr>
                <w:rFonts w:ascii="Arial" w:hAnsi="Arial" w:cs="Arial"/>
                <w:sz w:val="20"/>
                <w:szCs w:val="20"/>
              </w:rPr>
              <w:t xml:space="preserve">, sedatives, as well as cost-ineffective treatments such as lidocaine patches which may be commonly over-used in this patient population.  </w:t>
            </w:r>
          </w:p>
          <w:p w14:paraId="600192B9" w14:textId="77777777" w:rsidR="007B23F0" w:rsidRPr="007B23F0" w:rsidRDefault="007B23F0" w:rsidP="007B23F0">
            <w:pPr>
              <w:rPr>
                <w:rFonts w:ascii="Arial" w:hAnsi="Arial" w:cs="Arial"/>
                <w:sz w:val="20"/>
                <w:szCs w:val="20"/>
              </w:rPr>
            </w:pPr>
          </w:p>
          <w:p w14:paraId="3766BDDE" w14:textId="482F8D2D" w:rsidR="007B23F0" w:rsidRPr="00DA02B5" w:rsidRDefault="007B23F0" w:rsidP="007B23F0">
            <w:pPr>
              <w:rPr>
                <w:rFonts w:ascii="Arial" w:hAnsi="Arial" w:cs="Arial"/>
                <w:sz w:val="20"/>
                <w:szCs w:val="20"/>
              </w:rPr>
            </w:pPr>
            <w:r w:rsidRPr="007B23F0">
              <w:rPr>
                <w:rFonts w:ascii="Arial" w:hAnsi="Arial" w:cs="Arial"/>
                <w:sz w:val="20"/>
                <w:szCs w:val="20"/>
              </w:rPr>
              <w:t xml:space="preserve">Specialist </w:t>
            </w:r>
            <w:r w:rsidRPr="00DA02B5">
              <w:rPr>
                <w:rFonts w:ascii="Arial" w:hAnsi="Arial" w:cs="Arial"/>
                <w:sz w:val="20"/>
                <w:szCs w:val="20"/>
              </w:rPr>
              <w:t xml:space="preserve">prescriber </w:t>
            </w:r>
            <w:r w:rsidR="004B4460" w:rsidRPr="00DA02B5">
              <w:rPr>
                <w:rFonts w:ascii="Arial" w:hAnsi="Arial" w:cs="Arial"/>
                <w:sz w:val="20"/>
                <w:szCs w:val="20"/>
              </w:rPr>
              <w:t>or pharmacist input within the S</w:t>
            </w:r>
            <w:r w:rsidRPr="00DA02B5">
              <w:rPr>
                <w:rFonts w:ascii="Arial" w:hAnsi="Arial" w:cs="Arial"/>
                <w:sz w:val="20"/>
                <w:szCs w:val="20"/>
              </w:rPr>
              <w:t xml:space="preserve">ervice will be useful to provide appropriate medication reviews, in line with </w:t>
            </w:r>
            <w:hyperlink r:id="rId27" w:history="1">
              <w:r w:rsidRPr="00DA02B5">
                <w:rPr>
                  <w:rStyle w:val="Hyperlink"/>
                  <w:rFonts w:ascii="Arial" w:hAnsi="Arial" w:cs="Arial"/>
                  <w:color w:val="auto"/>
                  <w:sz w:val="20"/>
                  <w:szCs w:val="20"/>
                </w:rPr>
                <w:t>NICE guideline NG215 Medicines associated with dependence or withdrawal symptoms: safe prescribing and withdrawal management for adults</w:t>
              </w:r>
            </w:hyperlink>
            <w:r w:rsidRPr="00DA02B5">
              <w:rPr>
                <w:rFonts w:ascii="Arial" w:hAnsi="Arial" w:cs="Arial"/>
                <w:sz w:val="20"/>
                <w:szCs w:val="20"/>
              </w:rPr>
              <w:t xml:space="preserve">. Shared decision processes should be employed at all stages of such prescribing or de-prescribing. </w:t>
            </w:r>
          </w:p>
          <w:p w14:paraId="7B8EAE62" w14:textId="77777777" w:rsidR="007B23F0" w:rsidRPr="00DA02B5" w:rsidRDefault="007B23F0" w:rsidP="007B23F0">
            <w:pPr>
              <w:rPr>
                <w:rFonts w:ascii="Arial" w:hAnsi="Arial" w:cs="Arial"/>
                <w:sz w:val="20"/>
                <w:szCs w:val="20"/>
              </w:rPr>
            </w:pPr>
          </w:p>
          <w:p w14:paraId="2BC4E368" w14:textId="578F9B54" w:rsidR="007B23F0" w:rsidRPr="007B23F0" w:rsidRDefault="007B23F0" w:rsidP="007B23F0">
            <w:pPr>
              <w:rPr>
                <w:rFonts w:ascii="Arial" w:hAnsi="Arial" w:cs="Arial"/>
                <w:sz w:val="20"/>
                <w:szCs w:val="20"/>
              </w:rPr>
            </w:pPr>
            <w:r w:rsidRPr="007B23F0">
              <w:rPr>
                <w:rFonts w:ascii="Arial" w:hAnsi="Arial" w:cs="Arial"/>
                <w:sz w:val="20"/>
                <w:szCs w:val="20"/>
              </w:rPr>
              <w:t xml:space="preserve">The </w:t>
            </w:r>
            <w:r w:rsidR="000F06EB">
              <w:rPr>
                <w:rFonts w:ascii="Arial" w:hAnsi="Arial" w:cs="Arial"/>
                <w:sz w:val="20"/>
                <w:szCs w:val="20"/>
              </w:rPr>
              <w:t>S</w:t>
            </w:r>
            <w:r w:rsidRPr="007B23F0">
              <w:rPr>
                <w:rFonts w:ascii="Arial" w:hAnsi="Arial" w:cs="Arial"/>
                <w:sz w:val="20"/>
                <w:szCs w:val="20"/>
              </w:rPr>
              <w:t xml:space="preserve">ervice should support PCN based pharmacists in identifying and supporting patients on low-value dependency-forming medications, to de-prescribe and provide alternative holistic support. This may be achieved through drop-in virtual MDT support (from a combination of specialist pharmacist, nurse or pain consultant input), following standardised titration protocols. </w:t>
            </w:r>
          </w:p>
          <w:p w14:paraId="3B54E5B9" w14:textId="77777777" w:rsidR="007B23F0" w:rsidRPr="007B23F0" w:rsidRDefault="007B23F0" w:rsidP="007B23F0">
            <w:pPr>
              <w:rPr>
                <w:rFonts w:ascii="Arial" w:hAnsi="Arial" w:cs="Arial"/>
                <w:sz w:val="20"/>
                <w:szCs w:val="20"/>
              </w:rPr>
            </w:pPr>
          </w:p>
          <w:p w14:paraId="42FDB4FC" w14:textId="5EFEEB91" w:rsidR="007B23F0" w:rsidRPr="00C54BA6" w:rsidRDefault="004F288A" w:rsidP="007B23F0">
            <w:pPr>
              <w:pStyle w:val="Heading3"/>
              <w:rPr>
                <w:rFonts w:ascii="Arial" w:hAnsi="Arial" w:cs="Arial"/>
                <w:b/>
                <w:color w:val="auto"/>
                <w:sz w:val="20"/>
                <w:szCs w:val="20"/>
              </w:rPr>
            </w:pPr>
            <w:bookmarkStart w:id="22" w:name="_Toc127194683"/>
            <w:r>
              <w:rPr>
                <w:rFonts w:ascii="Arial" w:hAnsi="Arial" w:cs="Arial"/>
                <w:b/>
                <w:color w:val="auto"/>
                <w:sz w:val="20"/>
                <w:szCs w:val="20"/>
              </w:rPr>
              <w:t>3.3.16</w:t>
            </w:r>
            <w:r w:rsidR="005649AA">
              <w:rPr>
                <w:rFonts w:ascii="Arial" w:hAnsi="Arial" w:cs="Arial"/>
                <w:b/>
                <w:color w:val="auto"/>
                <w:sz w:val="20"/>
                <w:szCs w:val="20"/>
              </w:rPr>
              <w:t xml:space="preserve">.2 </w:t>
            </w:r>
            <w:r w:rsidR="007B23F0" w:rsidRPr="00C54BA6">
              <w:rPr>
                <w:rFonts w:ascii="Arial" w:hAnsi="Arial" w:cs="Arial"/>
                <w:b/>
                <w:color w:val="auto"/>
                <w:sz w:val="20"/>
                <w:szCs w:val="20"/>
              </w:rPr>
              <w:t>Prescribing</w:t>
            </w:r>
            <w:bookmarkEnd w:id="22"/>
          </w:p>
          <w:p w14:paraId="1A150C07" w14:textId="77777777" w:rsidR="007B23F0" w:rsidRPr="007B23F0" w:rsidRDefault="007B23F0" w:rsidP="007B23F0">
            <w:pPr>
              <w:rPr>
                <w:rFonts w:ascii="Arial" w:hAnsi="Arial" w:cs="Arial"/>
                <w:sz w:val="20"/>
                <w:szCs w:val="20"/>
              </w:rPr>
            </w:pPr>
          </w:p>
          <w:p w14:paraId="347B3246" w14:textId="1CA8D08E" w:rsidR="007B23F0" w:rsidRPr="007B23F0" w:rsidRDefault="007B23F0" w:rsidP="007B23F0">
            <w:pPr>
              <w:rPr>
                <w:rFonts w:ascii="Arial" w:hAnsi="Arial" w:cs="Arial"/>
                <w:sz w:val="20"/>
                <w:szCs w:val="20"/>
              </w:rPr>
            </w:pPr>
            <w:r w:rsidRPr="007B23F0">
              <w:rPr>
                <w:rFonts w:ascii="Arial" w:hAnsi="Arial" w:cs="Arial"/>
                <w:sz w:val="20"/>
                <w:szCs w:val="20"/>
              </w:rPr>
              <w:t>When issuing prescri</w:t>
            </w:r>
            <w:r w:rsidR="004B4460">
              <w:rPr>
                <w:rFonts w:ascii="Arial" w:hAnsi="Arial" w:cs="Arial"/>
                <w:sz w:val="20"/>
                <w:szCs w:val="20"/>
              </w:rPr>
              <w:t>ptions or recommendations, the P</w:t>
            </w:r>
            <w:r w:rsidRPr="007B23F0">
              <w:rPr>
                <w:rFonts w:ascii="Arial" w:hAnsi="Arial" w:cs="Arial"/>
                <w:sz w:val="20"/>
                <w:szCs w:val="20"/>
              </w:rPr>
              <w:t xml:space="preserve">rovider should use the appropriate locally agreed formulary. GPs should not be asked to prescribe non-formulary products. </w:t>
            </w:r>
          </w:p>
          <w:p w14:paraId="75447713" w14:textId="77777777" w:rsidR="007B23F0" w:rsidRPr="007B23F0" w:rsidRDefault="007B23F0" w:rsidP="007B23F0">
            <w:pPr>
              <w:rPr>
                <w:rFonts w:ascii="Arial" w:hAnsi="Arial" w:cs="Arial"/>
                <w:sz w:val="20"/>
                <w:szCs w:val="20"/>
              </w:rPr>
            </w:pPr>
          </w:p>
          <w:p w14:paraId="5E991753" w14:textId="77777777" w:rsidR="007B23F0" w:rsidRPr="007B23F0" w:rsidRDefault="007B23F0" w:rsidP="007B23F0">
            <w:pPr>
              <w:rPr>
                <w:rFonts w:ascii="Arial" w:hAnsi="Arial" w:cs="Arial"/>
                <w:sz w:val="20"/>
                <w:szCs w:val="20"/>
              </w:rPr>
            </w:pPr>
            <w:r w:rsidRPr="007B23F0">
              <w:rPr>
                <w:rFonts w:ascii="Arial" w:hAnsi="Arial" w:cs="Arial"/>
                <w:sz w:val="20"/>
                <w:szCs w:val="20"/>
              </w:rPr>
              <w:t>Prescribers should follow local prescribing guidelines and approved shared care agreements.</w:t>
            </w:r>
          </w:p>
          <w:p w14:paraId="529D19F1" w14:textId="3AC3B5ED" w:rsidR="005E27F2" w:rsidRDefault="005E27F2" w:rsidP="007B23F0">
            <w:pPr>
              <w:rPr>
                <w:rFonts w:ascii="Arial" w:hAnsi="Arial" w:cs="Arial"/>
                <w:sz w:val="20"/>
                <w:szCs w:val="20"/>
              </w:rPr>
            </w:pPr>
          </w:p>
          <w:p w14:paraId="01270AEF" w14:textId="58028A1E" w:rsidR="00426B54" w:rsidRPr="007B23F0" w:rsidRDefault="00426B54" w:rsidP="007B23F0">
            <w:pPr>
              <w:rPr>
                <w:rFonts w:ascii="Arial" w:hAnsi="Arial" w:cs="Arial"/>
                <w:sz w:val="20"/>
                <w:szCs w:val="20"/>
              </w:rPr>
            </w:pPr>
            <w:r>
              <w:rPr>
                <w:rFonts w:ascii="Arial" w:hAnsi="Arial" w:cs="Arial"/>
                <w:sz w:val="20"/>
                <w:szCs w:val="20"/>
              </w:rPr>
              <w:t xml:space="preserve">The provider should be enabled on the NHS Digital Electronic Prescription Service (EPS) in order to send prescriptions electronically to a dispenser of the patient’s choice, increasing efficiency and convenience for patients and staff. The provider should work with the appropriate North West London Medicines Management Team to incorporate appropriate governance for prescribers, including audit and monitoring as well as prescribing budget management. </w:t>
            </w:r>
          </w:p>
          <w:p w14:paraId="1372EB90" w14:textId="77777777" w:rsidR="00426B54" w:rsidRDefault="00426B54" w:rsidP="007B23F0">
            <w:pPr>
              <w:rPr>
                <w:rFonts w:ascii="Arial" w:hAnsi="Arial" w:cs="Arial"/>
                <w:sz w:val="20"/>
                <w:szCs w:val="20"/>
              </w:rPr>
            </w:pPr>
          </w:p>
          <w:p w14:paraId="2CDBCE1D" w14:textId="49A67F6A" w:rsidR="007B23F0" w:rsidRDefault="007B23F0" w:rsidP="007B23F0">
            <w:pPr>
              <w:rPr>
                <w:rFonts w:ascii="Arial" w:hAnsi="Arial" w:cs="Arial"/>
                <w:sz w:val="20"/>
                <w:szCs w:val="20"/>
              </w:rPr>
            </w:pPr>
            <w:r w:rsidRPr="007B23F0">
              <w:rPr>
                <w:rFonts w:ascii="Arial" w:hAnsi="Arial" w:cs="Arial"/>
                <w:sz w:val="20"/>
                <w:szCs w:val="20"/>
              </w:rPr>
              <w:t>For non-urgent prescriptions, or those that can start after 14-days, a letter should be sent to the GP within 7 days, with fully details of the medicine to be prescribed. For treatment to be started within 14 days, a 28-</w:t>
            </w:r>
            <w:r w:rsidRPr="007B23F0">
              <w:rPr>
                <w:rFonts w:ascii="Arial" w:hAnsi="Arial" w:cs="Arial"/>
                <w:sz w:val="20"/>
                <w:szCs w:val="20"/>
              </w:rPr>
              <w:lastRenderedPageBreak/>
              <w:t>day supply of medication (or complete course, if shorter) should be issued</w:t>
            </w:r>
            <w:r w:rsidR="00426B54">
              <w:rPr>
                <w:rFonts w:ascii="Arial" w:hAnsi="Arial" w:cs="Arial"/>
                <w:sz w:val="20"/>
                <w:szCs w:val="20"/>
              </w:rPr>
              <w:t xml:space="preserve"> (via EPS)</w:t>
            </w:r>
            <w:r w:rsidRPr="007B23F0">
              <w:rPr>
                <w:rFonts w:ascii="Arial" w:hAnsi="Arial" w:cs="Arial"/>
                <w:sz w:val="20"/>
                <w:szCs w:val="20"/>
              </w:rPr>
              <w:t xml:space="preserve"> and a letter sent to the patient’s GP with details of the prescribed medicine. </w:t>
            </w:r>
          </w:p>
          <w:p w14:paraId="077F04A2" w14:textId="77777777" w:rsidR="007B23F0" w:rsidRPr="007B23F0" w:rsidRDefault="007B23F0" w:rsidP="007B23F0">
            <w:pPr>
              <w:rPr>
                <w:rFonts w:ascii="Arial" w:hAnsi="Arial" w:cs="Arial"/>
                <w:sz w:val="20"/>
                <w:szCs w:val="20"/>
              </w:rPr>
            </w:pPr>
          </w:p>
          <w:p w14:paraId="2EE16304" w14:textId="562D5847" w:rsidR="007B23F0" w:rsidRPr="007B23F0" w:rsidRDefault="004B4460" w:rsidP="007B23F0">
            <w:pPr>
              <w:rPr>
                <w:rFonts w:ascii="Arial" w:hAnsi="Arial" w:cs="Arial"/>
                <w:sz w:val="20"/>
                <w:szCs w:val="20"/>
              </w:rPr>
            </w:pPr>
            <w:r>
              <w:rPr>
                <w:rFonts w:ascii="Arial" w:hAnsi="Arial" w:cs="Arial"/>
                <w:sz w:val="20"/>
                <w:szCs w:val="20"/>
              </w:rPr>
              <w:t xml:space="preserve">The </w:t>
            </w:r>
            <w:r w:rsidR="007B23F0" w:rsidRPr="007B23F0">
              <w:rPr>
                <w:rFonts w:ascii="Arial" w:hAnsi="Arial" w:cs="Arial"/>
                <w:sz w:val="20"/>
                <w:szCs w:val="20"/>
              </w:rPr>
              <w:t xml:space="preserve">Provider should demonstrate compliance with any relevant recommendations in local and national safety alerts, noticed and good practice guidance. </w:t>
            </w:r>
          </w:p>
          <w:p w14:paraId="6687E192" w14:textId="7DFB9C55" w:rsidR="00DD01D2" w:rsidRPr="007B23F0" w:rsidRDefault="00DD01D2" w:rsidP="007B23F0">
            <w:pPr>
              <w:rPr>
                <w:rFonts w:ascii="Arial" w:hAnsi="Arial" w:cs="Arial"/>
                <w:sz w:val="20"/>
                <w:szCs w:val="20"/>
              </w:rPr>
            </w:pPr>
          </w:p>
          <w:p w14:paraId="7C6BBB55" w14:textId="503776AC" w:rsidR="007B23F0" w:rsidRPr="00C54BA6" w:rsidRDefault="004F288A" w:rsidP="007B23F0">
            <w:pPr>
              <w:pStyle w:val="Heading2"/>
              <w:rPr>
                <w:rFonts w:ascii="Arial" w:hAnsi="Arial" w:cs="Arial"/>
                <w:b/>
                <w:color w:val="auto"/>
                <w:sz w:val="20"/>
                <w:szCs w:val="20"/>
              </w:rPr>
            </w:pPr>
            <w:bookmarkStart w:id="23" w:name="_Toc127194684"/>
            <w:r>
              <w:rPr>
                <w:rFonts w:ascii="Arial" w:hAnsi="Arial" w:cs="Arial"/>
                <w:b/>
                <w:color w:val="auto"/>
                <w:sz w:val="20"/>
                <w:szCs w:val="20"/>
              </w:rPr>
              <w:t>3.3.17</w:t>
            </w:r>
            <w:r w:rsidR="007919F7">
              <w:rPr>
                <w:rFonts w:ascii="Arial" w:hAnsi="Arial" w:cs="Arial"/>
                <w:b/>
                <w:color w:val="auto"/>
                <w:sz w:val="20"/>
                <w:szCs w:val="20"/>
              </w:rPr>
              <w:t xml:space="preserve"> </w:t>
            </w:r>
            <w:r w:rsidR="007B23F0" w:rsidRPr="00C54BA6">
              <w:rPr>
                <w:rFonts w:ascii="Arial" w:hAnsi="Arial" w:cs="Arial"/>
                <w:b/>
                <w:color w:val="auto"/>
                <w:sz w:val="20"/>
                <w:szCs w:val="20"/>
              </w:rPr>
              <w:t>Diagnostics</w:t>
            </w:r>
            <w:bookmarkEnd w:id="23"/>
          </w:p>
          <w:p w14:paraId="4BFEB49F" w14:textId="21D1BD48" w:rsidR="007B23F0" w:rsidRPr="00A261DD" w:rsidRDefault="007B23F0" w:rsidP="007B23F0">
            <w:pPr>
              <w:rPr>
                <w:rFonts w:ascii="Arial" w:hAnsi="Arial" w:cs="Arial"/>
                <w:i/>
                <w:color w:val="FF0000"/>
                <w:sz w:val="20"/>
                <w:szCs w:val="20"/>
                <w:u w:val="single"/>
              </w:rPr>
            </w:pPr>
          </w:p>
          <w:p w14:paraId="056424A3" w14:textId="58A5C883" w:rsidR="007B23F0" w:rsidRPr="00753D14" w:rsidRDefault="007B23F0" w:rsidP="007B23F0">
            <w:pPr>
              <w:rPr>
                <w:rFonts w:ascii="Arial" w:hAnsi="Arial" w:cs="Arial"/>
                <w:sz w:val="20"/>
                <w:szCs w:val="20"/>
              </w:rPr>
            </w:pPr>
            <w:r w:rsidRPr="007B23F0">
              <w:rPr>
                <w:rFonts w:ascii="Arial" w:hAnsi="Arial" w:cs="Arial"/>
                <w:sz w:val="20"/>
                <w:szCs w:val="20"/>
              </w:rPr>
              <w:t xml:space="preserve">Shared decision-making should again be used prior to any diagnostics, outlining the possible benefits, as well as potential risks (for example incidental findings, or </w:t>
            </w:r>
            <w:r w:rsidRPr="00753D14">
              <w:rPr>
                <w:rFonts w:ascii="Arial" w:hAnsi="Arial" w:cs="Arial"/>
                <w:sz w:val="20"/>
                <w:szCs w:val="20"/>
              </w:rPr>
              <w:t>increased worry</w:t>
            </w:r>
            <w:r w:rsidR="006D015F">
              <w:rPr>
                <w:rFonts w:ascii="Arial" w:hAnsi="Arial" w:cs="Arial"/>
                <w:sz w:val="20"/>
                <w:szCs w:val="20"/>
              </w:rPr>
              <w:t xml:space="preserve"> and over-medicalisation due to </w:t>
            </w:r>
            <w:r w:rsidR="005E27F2">
              <w:rPr>
                <w:rFonts w:ascii="Arial" w:hAnsi="Arial" w:cs="Arial"/>
                <w:sz w:val="20"/>
                <w:szCs w:val="20"/>
              </w:rPr>
              <w:t>imaging</w:t>
            </w:r>
            <w:r w:rsidRPr="00753D14">
              <w:rPr>
                <w:rFonts w:ascii="Arial" w:hAnsi="Arial" w:cs="Arial"/>
                <w:sz w:val="20"/>
                <w:szCs w:val="20"/>
              </w:rPr>
              <w:t xml:space="preserve"> findings).</w:t>
            </w:r>
          </w:p>
          <w:p w14:paraId="6DDE31C4" w14:textId="3B296635" w:rsidR="007B23F0" w:rsidRDefault="007B23F0" w:rsidP="007B23F0">
            <w:pPr>
              <w:rPr>
                <w:rFonts w:ascii="Arial" w:hAnsi="Arial" w:cs="Arial"/>
                <w:sz w:val="20"/>
                <w:szCs w:val="20"/>
              </w:rPr>
            </w:pPr>
          </w:p>
          <w:p w14:paraId="3E42DF8A" w14:textId="2763B27D" w:rsidR="0000399A" w:rsidRDefault="0000399A" w:rsidP="007B23F0">
            <w:pPr>
              <w:rPr>
                <w:rFonts w:ascii="Arial" w:hAnsi="Arial" w:cs="Arial"/>
                <w:sz w:val="20"/>
                <w:szCs w:val="20"/>
              </w:rPr>
            </w:pPr>
            <w:r>
              <w:rPr>
                <w:rFonts w:ascii="Arial" w:hAnsi="Arial" w:cs="Arial"/>
                <w:sz w:val="20"/>
                <w:szCs w:val="20"/>
              </w:rPr>
              <w:t xml:space="preserve">There should be an emphasis on appropriate guideline and evidence-based use of imaging within the </w:t>
            </w:r>
            <w:r w:rsidR="000F06EB">
              <w:rPr>
                <w:rFonts w:ascii="Arial" w:hAnsi="Arial" w:cs="Arial"/>
                <w:sz w:val="20"/>
                <w:szCs w:val="20"/>
              </w:rPr>
              <w:t>S</w:t>
            </w:r>
            <w:r>
              <w:rPr>
                <w:rFonts w:ascii="Arial" w:hAnsi="Arial" w:cs="Arial"/>
                <w:sz w:val="20"/>
                <w:szCs w:val="20"/>
              </w:rPr>
              <w:t xml:space="preserve">ervice, to ensure patients receive the most appropriate diagnostic test and to avoid unnecessary low-value diagnostic requesting. </w:t>
            </w:r>
          </w:p>
          <w:p w14:paraId="7F3D4D40" w14:textId="6DC97A1F" w:rsidR="006D015F" w:rsidRDefault="006D015F" w:rsidP="007B23F0">
            <w:pPr>
              <w:rPr>
                <w:rFonts w:ascii="Arial" w:hAnsi="Arial" w:cs="Arial"/>
                <w:sz w:val="20"/>
                <w:szCs w:val="20"/>
              </w:rPr>
            </w:pPr>
          </w:p>
          <w:p w14:paraId="655EEA6D" w14:textId="0BC23FF9" w:rsidR="006D015F" w:rsidRDefault="006D015F" w:rsidP="007B23F0">
            <w:pPr>
              <w:rPr>
                <w:rFonts w:ascii="Arial" w:hAnsi="Arial" w:cs="Arial"/>
                <w:sz w:val="20"/>
                <w:szCs w:val="20"/>
              </w:rPr>
            </w:pPr>
            <w:r>
              <w:rPr>
                <w:rFonts w:ascii="Arial" w:hAnsi="Arial" w:cs="Arial"/>
                <w:sz w:val="20"/>
                <w:szCs w:val="20"/>
              </w:rPr>
              <w:t>Whilst specific MSK imaging guidelines will be co-developed locally, broadly radiological imaging should be discouraged unless 1) Serious pathology is suspected 2) There has been an unsatisfactory response to conservative care or unexplained progression of signs and symptoms 3) It is likely to change management (</w:t>
            </w:r>
            <w:hyperlink r:id="rId28" w:anchor="boxed-text-4" w:history="1">
              <w:r w:rsidRPr="006D015F">
                <w:rPr>
                  <w:rStyle w:val="Hyperlink"/>
                  <w:rFonts w:ascii="Arial" w:hAnsi="Arial" w:cs="Arial"/>
                  <w:sz w:val="20"/>
                  <w:szCs w:val="20"/>
                </w:rPr>
                <w:t>What does best practice care for musculoskeletal pain look like? Eleven consistent recommendations from high-quality clinical practice guidelines: systematic review, British Journal of Sports Medicine 2020</w:t>
              </w:r>
            </w:hyperlink>
            <w:r>
              <w:rPr>
                <w:rFonts w:ascii="Arial" w:hAnsi="Arial" w:cs="Arial"/>
                <w:sz w:val="20"/>
                <w:szCs w:val="20"/>
              </w:rPr>
              <w:t>).</w:t>
            </w:r>
          </w:p>
          <w:p w14:paraId="2E4FE961" w14:textId="77777777" w:rsidR="0000399A" w:rsidRPr="00753D14" w:rsidRDefault="0000399A" w:rsidP="007B23F0">
            <w:pPr>
              <w:rPr>
                <w:rFonts w:ascii="Arial" w:hAnsi="Arial" w:cs="Arial"/>
                <w:sz w:val="20"/>
                <w:szCs w:val="20"/>
              </w:rPr>
            </w:pPr>
          </w:p>
          <w:p w14:paraId="61089DDA" w14:textId="376A03D7" w:rsidR="0054681B" w:rsidRDefault="007B23F0" w:rsidP="007B23F0">
            <w:pPr>
              <w:spacing w:line="276" w:lineRule="auto"/>
              <w:jc w:val="both"/>
              <w:rPr>
                <w:rFonts w:ascii="Arial" w:eastAsia="MS Mincho" w:hAnsi="Arial" w:cs="Arial"/>
                <w:bCs/>
                <w:sz w:val="20"/>
                <w:szCs w:val="20"/>
                <w:lang w:eastAsia="ja-JP"/>
              </w:rPr>
            </w:pPr>
            <w:r w:rsidRPr="00753D14">
              <w:rPr>
                <w:rFonts w:ascii="Arial" w:eastAsia="MS Mincho" w:hAnsi="Arial" w:cs="Arial"/>
                <w:bCs/>
                <w:sz w:val="20"/>
                <w:szCs w:val="20"/>
                <w:lang w:eastAsia="ja-JP"/>
              </w:rPr>
              <w:t xml:space="preserve">Locally agreed clinical pathways should be adhered to, guiding the appropriate tests in each setting of care. For example, only plain radiology, DEXA bone density scanning </w:t>
            </w:r>
            <w:r w:rsidRPr="007B23F0">
              <w:rPr>
                <w:rFonts w:ascii="Arial" w:eastAsia="MS Mincho" w:hAnsi="Arial" w:cs="Arial"/>
                <w:bCs/>
                <w:sz w:val="20"/>
                <w:szCs w:val="20"/>
                <w:lang w:eastAsia="ja-JP"/>
              </w:rPr>
              <w:t xml:space="preserve">and locally agreed blood work would be routinely expected in primary care for MSK patients. </w:t>
            </w:r>
          </w:p>
          <w:p w14:paraId="1E877730" w14:textId="77777777" w:rsidR="007B23F0" w:rsidRPr="007B23F0" w:rsidRDefault="007B23F0" w:rsidP="007B23F0">
            <w:pPr>
              <w:rPr>
                <w:rFonts w:ascii="Arial" w:hAnsi="Arial" w:cs="Arial"/>
                <w:sz w:val="20"/>
                <w:szCs w:val="20"/>
              </w:rPr>
            </w:pPr>
          </w:p>
          <w:p w14:paraId="4DF43305" w14:textId="6477211C" w:rsid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ervice should have direct access to several relevant diagnostics including, but not limited to:</w:t>
            </w:r>
          </w:p>
          <w:p w14:paraId="493E2C60" w14:textId="77777777" w:rsidR="00F03108" w:rsidRPr="007B23F0" w:rsidRDefault="00F03108" w:rsidP="007B23F0">
            <w:pPr>
              <w:rPr>
                <w:rFonts w:ascii="Arial" w:hAnsi="Arial" w:cs="Arial"/>
                <w:sz w:val="20"/>
                <w:szCs w:val="20"/>
              </w:rPr>
            </w:pPr>
          </w:p>
          <w:p w14:paraId="2C563317" w14:textId="41669FD5" w:rsidR="007B23F0" w:rsidRDefault="007B23F0" w:rsidP="00DC3DDC">
            <w:pPr>
              <w:pStyle w:val="ListParagraph"/>
              <w:numPr>
                <w:ilvl w:val="0"/>
                <w:numId w:val="16"/>
              </w:numPr>
              <w:rPr>
                <w:rFonts w:ascii="Arial" w:hAnsi="Arial" w:cs="Arial"/>
                <w:sz w:val="20"/>
                <w:szCs w:val="20"/>
              </w:rPr>
            </w:pPr>
            <w:r w:rsidRPr="007B23F0">
              <w:rPr>
                <w:rFonts w:ascii="Arial" w:hAnsi="Arial" w:cs="Arial"/>
                <w:sz w:val="20"/>
                <w:szCs w:val="20"/>
              </w:rPr>
              <w:t>Pathology Testing, particularly for suspected inflammatory rheumatology cases</w:t>
            </w:r>
          </w:p>
          <w:p w14:paraId="190E86B9" w14:textId="4310C0F8" w:rsidR="00E54BA8" w:rsidRPr="00F03108" w:rsidRDefault="00981996" w:rsidP="00DC3DDC">
            <w:pPr>
              <w:pStyle w:val="ListParagraph"/>
              <w:numPr>
                <w:ilvl w:val="0"/>
                <w:numId w:val="16"/>
              </w:numPr>
              <w:rPr>
                <w:rFonts w:ascii="Arial" w:hAnsi="Arial" w:cs="Arial"/>
                <w:sz w:val="20"/>
                <w:szCs w:val="20"/>
              </w:rPr>
            </w:pPr>
            <w:r w:rsidRPr="00F03108">
              <w:rPr>
                <w:rFonts w:ascii="Arial" w:hAnsi="Arial" w:cs="Arial"/>
                <w:sz w:val="20"/>
                <w:szCs w:val="20"/>
              </w:rPr>
              <w:t>Plain Radiographs</w:t>
            </w:r>
          </w:p>
          <w:p w14:paraId="01F2BEE5" w14:textId="77777777" w:rsidR="007B23F0" w:rsidRPr="007B23F0" w:rsidRDefault="007B23F0" w:rsidP="00DC3DDC">
            <w:pPr>
              <w:pStyle w:val="ListParagraph"/>
              <w:numPr>
                <w:ilvl w:val="0"/>
                <w:numId w:val="16"/>
              </w:numPr>
              <w:rPr>
                <w:rFonts w:ascii="Arial" w:hAnsi="Arial" w:cs="Arial"/>
                <w:sz w:val="20"/>
                <w:szCs w:val="20"/>
              </w:rPr>
            </w:pPr>
            <w:r w:rsidRPr="007B23F0">
              <w:rPr>
                <w:rFonts w:ascii="Arial" w:hAnsi="Arial" w:cs="Arial"/>
                <w:sz w:val="20"/>
                <w:szCs w:val="20"/>
              </w:rPr>
              <w:t>Musculoskeletal ultrasound</w:t>
            </w:r>
          </w:p>
          <w:p w14:paraId="5891F9E2" w14:textId="77777777" w:rsidR="007B23F0" w:rsidRPr="007B23F0" w:rsidRDefault="007B23F0" w:rsidP="00DC3DDC">
            <w:pPr>
              <w:pStyle w:val="ListParagraph"/>
              <w:numPr>
                <w:ilvl w:val="0"/>
                <w:numId w:val="16"/>
              </w:numPr>
              <w:rPr>
                <w:rFonts w:ascii="Arial" w:hAnsi="Arial" w:cs="Arial"/>
                <w:sz w:val="20"/>
                <w:szCs w:val="20"/>
              </w:rPr>
            </w:pPr>
            <w:r w:rsidRPr="007B23F0">
              <w:rPr>
                <w:rFonts w:ascii="Arial" w:hAnsi="Arial" w:cs="Arial"/>
                <w:sz w:val="20"/>
                <w:szCs w:val="20"/>
              </w:rPr>
              <w:t>Musculoskeletal MRI (with appropriate reporting protocols for inflammatory conditions)</w:t>
            </w:r>
          </w:p>
          <w:p w14:paraId="732C30C3" w14:textId="77777777" w:rsidR="007B23F0" w:rsidRPr="007B23F0" w:rsidRDefault="007B23F0" w:rsidP="00DC3DDC">
            <w:pPr>
              <w:pStyle w:val="ListParagraph"/>
              <w:numPr>
                <w:ilvl w:val="0"/>
                <w:numId w:val="16"/>
              </w:numPr>
              <w:rPr>
                <w:rFonts w:ascii="Arial" w:hAnsi="Arial" w:cs="Arial"/>
                <w:sz w:val="20"/>
                <w:szCs w:val="20"/>
              </w:rPr>
            </w:pPr>
            <w:r w:rsidRPr="007B23F0">
              <w:rPr>
                <w:rFonts w:ascii="Arial" w:hAnsi="Arial" w:cs="Arial"/>
                <w:sz w:val="20"/>
                <w:szCs w:val="20"/>
              </w:rPr>
              <w:t>Bone Density (DEXA) scanning</w:t>
            </w:r>
          </w:p>
          <w:p w14:paraId="566E5B15" w14:textId="3C269FA0" w:rsidR="007B23F0" w:rsidRPr="006F56A6" w:rsidRDefault="007B23F0" w:rsidP="00CB5BFD">
            <w:pPr>
              <w:pStyle w:val="ListParagraph"/>
              <w:numPr>
                <w:ilvl w:val="0"/>
                <w:numId w:val="16"/>
              </w:numPr>
              <w:rPr>
                <w:rFonts w:ascii="Arial" w:hAnsi="Arial" w:cs="Arial"/>
                <w:strike/>
                <w:sz w:val="20"/>
                <w:szCs w:val="20"/>
              </w:rPr>
            </w:pPr>
            <w:r w:rsidRPr="006F56A6">
              <w:rPr>
                <w:rFonts w:ascii="Arial" w:hAnsi="Arial" w:cs="Arial"/>
                <w:sz w:val="20"/>
                <w:szCs w:val="20"/>
              </w:rPr>
              <w:t>Neurophysiology (Nerve Conduction / EMG studies)</w:t>
            </w:r>
          </w:p>
          <w:p w14:paraId="40E4C2E3" w14:textId="77777777" w:rsidR="00DC3DDC" w:rsidRPr="00DC3DDC" w:rsidRDefault="00DC3DDC" w:rsidP="00DA02B5">
            <w:pPr>
              <w:pStyle w:val="ListParagraph"/>
              <w:rPr>
                <w:rFonts w:ascii="Arial" w:hAnsi="Arial" w:cs="Arial"/>
                <w:sz w:val="20"/>
                <w:szCs w:val="20"/>
              </w:rPr>
            </w:pPr>
          </w:p>
          <w:p w14:paraId="62A91805" w14:textId="3E5C2BAD" w:rsidR="007B23F0" w:rsidRDefault="007B23F0" w:rsidP="007B23F0">
            <w:pPr>
              <w:rPr>
                <w:rFonts w:ascii="Arial" w:hAnsi="Arial" w:cs="Arial"/>
                <w:sz w:val="20"/>
                <w:szCs w:val="20"/>
              </w:rPr>
            </w:pPr>
            <w:r w:rsidRPr="007B23F0">
              <w:rPr>
                <w:rFonts w:ascii="Arial" w:hAnsi="Arial" w:cs="Arial"/>
                <w:sz w:val="20"/>
                <w:szCs w:val="20"/>
              </w:rPr>
              <w:t xml:space="preserve">Arrangements should be in place for the </w:t>
            </w:r>
            <w:r w:rsidR="000F06EB">
              <w:rPr>
                <w:rFonts w:ascii="Arial" w:hAnsi="Arial" w:cs="Arial"/>
                <w:sz w:val="20"/>
                <w:szCs w:val="20"/>
              </w:rPr>
              <w:t>S</w:t>
            </w:r>
            <w:r w:rsidRPr="007B23F0">
              <w:rPr>
                <w:rFonts w:ascii="Arial" w:hAnsi="Arial" w:cs="Arial"/>
                <w:sz w:val="20"/>
                <w:szCs w:val="20"/>
              </w:rPr>
              <w:t>ervice to access diagnostics urgently (e</w:t>
            </w:r>
            <w:r w:rsidR="006F56A6">
              <w:rPr>
                <w:rFonts w:ascii="Arial" w:hAnsi="Arial" w:cs="Arial"/>
                <w:sz w:val="20"/>
                <w:szCs w:val="20"/>
              </w:rPr>
              <w:t>.</w:t>
            </w:r>
            <w:r w:rsidRPr="007B23F0">
              <w:rPr>
                <w:rFonts w:ascii="Arial" w:hAnsi="Arial" w:cs="Arial"/>
                <w:sz w:val="20"/>
                <w:szCs w:val="20"/>
              </w:rPr>
              <w:t>g</w:t>
            </w:r>
            <w:r w:rsidR="006F56A6">
              <w:rPr>
                <w:rFonts w:ascii="Arial" w:hAnsi="Arial" w:cs="Arial"/>
                <w:sz w:val="20"/>
                <w:szCs w:val="20"/>
              </w:rPr>
              <w:t>.</w:t>
            </w:r>
            <w:r w:rsidRPr="007B23F0">
              <w:rPr>
                <w:rFonts w:ascii="Arial" w:hAnsi="Arial" w:cs="Arial"/>
                <w:sz w:val="20"/>
                <w:szCs w:val="20"/>
              </w:rPr>
              <w:t xml:space="preserve"> within two weeks</w:t>
            </w:r>
            <w:r w:rsidR="0000399A">
              <w:rPr>
                <w:rFonts w:ascii="Arial" w:hAnsi="Arial" w:cs="Arial"/>
                <w:sz w:val="20"/>
                <w:szCs w:val="20"/>
              </w:rPr>
              <w:t>)</w:t>
            </w:r>
            <w:r w:rsidRPr="007B23F0">
              <w:rPr>
                <w:rFonts w:ascii="Arial" w:hAnsi="Arial" w:cs="Arial"/>
                <w:sz w:val="20"/>
                <w:szCs w:val="20"/>
              </w:rPr>
              <w:t xml:space="preserve">, where necessary for certain clinical pathways and locally agreed guidelines. </w:t>
            </w:r>
          </w:p>
          <w:p w14:paraId="0C0B62D1" w14:textId="77777777" w:rsidR="007B23F0" w:rsidRPr="007B23F0" w:rsidRDefault="007B23F0" w:rsidP="007B23F0">
            <w:pPr>
              <w:rPr>
                <w:rFonts w:ascii="Arial" w:hAnsi="Arial" w:cs="Arial"/>
                <w:sz w:val="20"/>
                <w:szCs w:val="20"/>
              </w:rPr>
            </w:pPr>
          </w:p>
          <w:p w14:paraId="2BDAAE17" w14:textId="2A734CAA" w:rsidR="007B23F0" w:rsidRDefault="007B23F0" w:rsidP="007B23F0">
            <w:pPr>
              <w:rPr>
                <w:rFonts w:ascii="Arial" w:hAnsi="Arial" w:cs="Arial"/>
                <w:sz w:val="20"/>
                <w:szCs w:val="20"/>
              </w:rPr>
            </w:pPr>
            <w:r w:rsidRPr="007B23F0">
              <w:rPr>
                <w:rFonts w:ascii="Arial" w:hAnsi="Arial" w:cs="Arial"/>
                <w:sz w:val="20"/>
                <w:szCs w:val="20"/>
              </w:rPr>
              <w:t xml:space="preserve">Routine diagnostics should be completed, reported and documented in line with national and locally agreed guidelines. </w:t>
            </w:r>
          </w:p>
          <w:p w14:paraId="7F556ABD" w14:textId="77777777" w:rsidR="007B23F0" w:rsidRPr="007B23F0" w:rsidRDefault="007B23F0" w:rsidP="007B23F0">
            <w:pPr>
              <w:rPr>
                <w:rFonts w:ascii="Arial" w:hAnsi="Arial" w:cs="Arial"/>
                <w:sz w:val="20"/>
                <w:szCs w:val="20"/>
              </w:rPr>
            </w:pPr>
          </w:p>
          <w:p w14:paraId="6C718E8B" w14:textId="50473561" w:rsidR="001B59E0" w:rsidRDefault="007B23F0" w:rsidP="005E27F2">
            <w:pPr>
              <w:rPr>
                <w:rFonts w:ascii="Arial" w:hAnsi="Arial" w:cs="Arial"/>
                <w:color w:val="FF0000"/>
                <w:sz w:val="20"/>
                <w:szCs w:val="20"/>
              </w:rPr>
            </w:pPr>
            <w:r w:rsidRPr="007B23F0">
              <w:rPr>
                <w:rFonts w:ascii="Arial" w:hAnsi="Arial" w:cs="Arial"/>
                <w:sz w:val="20"/>
                <w:szCs w:val="20"/>
              </w:rPr>
              <w:t xml:space="preserve">The North West London Radiology Board has moved in recent years to remove routine direct access musculoskeletal ultrasound and MRI access from primary care. This was based on evidence of inappropriate/un-indicated utilisation, as well as, more importantly, misinterpretation of results leading to patient harm, as well as resource implications on radiology services. There is little evidence to support improved clinical outcomes through the use of advanced musculoskeletal diagnostics in primary care. Within NWL, such imaging is shifted along the pathway to be undertaken in the more specialist settings of the community MSK interface service. This increases the pressure on the MSK </w:t>
            </w:r>
            <w:r w:rsidR="000F06EB">
              <w:rPr>
                <w:rFonts w:ascii="Arial" w:hAnsi="Arial" w:cs="Arial"/>
                <w:sz w:val="20"/>
                <w:szCs w:val="20"/>
              </w:rPr>
              <w:t>S</w:t>
            </w:r>
            <w:r w:rsidRPr="007B23F0">
              <w:rPr>
                <w:rFonts w:ascii="Arial" w:hAnsi="Arial" w:cs="Arial"/>
                <w:sz w:val="20"/>
                <w:szCs w:val="20"/>
              </w:rPr>
              <w:t>ervice to take ownership of a larger proportion of MSK imaging across the NWL population</w:t>
            </w:r>
            <w:r w:rsidR="00EC213C">
              <w:rPr>
                <w:rFonts w:ascii="Arial" w:hAnsi="Arial" w:cs="Arial"/>
                <w:sz w:val="20"/>
                <w:szCs w:val="20"/>
              </w:rPr>
              <w:t>, to ensure appropriate diagnostic utilisation and interpretation</w:t>
            </w:r>
            <w:r w:rsidRPr="007B23F0">
              <w:rPr>
                <w:rFonts w:ascii="Arial" w:hAnsi="Arial" w:cs="Arial"/>
                <w:sz w:val="20"/>
                <w:szCs w:val="20"/>
              </w:rPr>
              <w:t xml:space="preserve">. </w:t>
            </w:r>
          </w:p>
          <w:p w14:paraId="7ACBB3BB" w14:textId="77777777" w:rsidR="005E27F2" w:rsidRPr="00244B71" w:rsidRDefault="005E27F2" w:rsidP="005E27F2">
            <w:pPr>
              <w:rPr>
                <w:rFonts w:ascii="Arial" w:hAnsi="Arial" w:cs="Arial"/>
                <w:color w:val="FF0000"/>
                <w:sz w:val="20"/>
                <w:szCs w:val="20"/>
              </w:rPr>
            </w:pPr>
          </w:p>
          <w:p w14:paraId="5F64CEE9" w14:textId="57AEBE48" w:rsidR="007B23F0" w:rsidRPr="00C54BA6" w:rsidRDefault="004F288A" w:rsidP="007B23F0">
            <w:pPr>
              <w:pStyle w:val="Heading3"/>
              <w:rPr>
                <w:rFonts w:ascii="Arial" w:hAnsi="Arial" w:cs="Arial"/>
                <w:b/>
                <w:color w:val="auto"/>
                <w:sz w:val="20"/>
                <w:szCs w:val="20"/>
              </w:rPr>
            </w:pPr>
            <w:bookmarkStart w:id="24" w:name="_Toc127194685"/>
            <w:r>
              <w:rPr>
                <w:rFonts w:ascii="Arial" w:hAnsi="Arial" w:cs="Arial"/>
                <w:b/>
                <w:color w:val="auto"/>
                <w:sz w:val="20"/>
                <w:szCs w:val="20"/>
              </w:rPr>
              <w:t>3.3.17</w:t>
            </w:r>
            <w:r w:rsidR="005649AA">
              <w:rPr>
                <w:rFonts w:ascii="Arial" w:hAnsi="Arial" w:cs="Arial"/>
                <w:b/>
                <w:color w:val="auto"/>
                <w:sz w:val="20"/>
                <w:szCs w:val="20"/>
              </w:rPr>
              <w:t xml:space="preserve">.1 </w:t>
            </w:r>
            <w:r w:rsidR="007B23F0" w:rsidRPr="00C54BA6">
              <w:rPr>
                <w:rFonts w:ascii="Arial" w:hAnsi="Arial" w:cs="Arial"/>
                <w:b/>
                <w:color w:val="auto"/>
                <w:sz w:val="20"/>
                <w:szCs w:val="20"/>
              </w:rPr>
              <w:t>Point of Care Ultrasound</w:t>
            </w:r>
            <w:bookmarkEnd w:id="24"/>
          </w:p>
          <w:p w14:paraId="3962B7C8" w14:textId="77777777" w:rsidR="007B23F0" w:rsidRPr="007B23F0" w:rsidRDefault="007B23F0" w:rsidP="007B23F0">
            <w:pPr>
              <w:rPr>
                <w:rFonts w:ascii="Arial" w:hAnsi="Arial" w:cs="Arial"/>
                <w:sz w:val="20"/>
                <w:szCs w:val="20"/>
              </w:rPr>
            </w:pPr>
          </w:p>
          <w:p w14:paraId="1B314628"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There is an evolving role for point-of-care ultrasound (POCUS) performed by appropriately qualified and supervised clinical practitioners, whilst not radiologists, to enhance the care pathway. This can be by providing faster patient journeys with fewer episodes of care through the delivery of ‘one-stop shop’ clinics, improving diagnostic accuracy, providing additional functionality for image-guidance of more advanced procedures, and a key enabler for rheumatology assessment services. </w:t>
            </w:r>
          </w:p>
          <w:p w14:paraId="4C5D1F7B" w14:textId="77777777" w:rsidR="007B23F0" w:rsidRPr="007B23F0" w:rsidRDefault="007B23F0" w:rsidP="007B23F0">
            <w:pPr>
              <w:rPr>
                <w:rFonts w:ascii="Arial" w:hAnsi="Arial" w:cs="Arial"/>
                <w:sz w:val="20"/>
                <w:szCs w:val="20"/>
              </w:rPr>
            </w:pPr>
          </w:p>
          <w:p w14:paraId="65E2DD22" w14:textId="2C33E89E" w:rsidR="005E27F2" w:rsidRDefault="007B23F0" w:rsidP="007B23F0">
            <w:pPr>
              <w:rPr>
                <w:rFonts w:ascii="Arial" w:hAnsi="Arial" w:cs="Arial"/>
                <w:sz w:val="20"/>
                <w:szCs w:val="20"/>
              </w:rPr>
            </w:pPr>
            <w:r w:rsidRPr="007B23F0">
              <w:rPr>
                <w:rFonts w:ascii="Arial" w:hAnsi="Arial" w:cs="Arial"/>
                <w:sz w:val="20"/>
                <w:szCs w:val="20"/>
              </w:rPr>
              <w:lastRenderedPageBreak/>
              <w:t xml:space="preserve">POCUS capacity within the MSK </w:t>
            </w:r>
            <w:r w:rsidR="000F06EB">
              <w:rPr>
                <w:rFonts w:ascii="Arial" w:hAnsi="Arial" w:cs="Arial"/>
                <w:sz w:val="20"/>
                <w:szCs w:val="20"/>
              </w:rPr>
              <w:t>S</w:t>
            </w:r>
            <w:r w:rsidRPr="007B23F0">
              <w:rPr>
                <w:rFonts w:ascii="Arial" w:hAnsi="Arial" w:cs="Arial"/>
                <w:sz w:val="20"/>
                <w:szCs w:val="20"/>
              </w:rPr>
              <w:t xml:space="preserve">ervice is even more crucial in view of the removal of advanced MSK imaging from primary care in NWL, placing a greater burden on imaging within the interface element of the pathway. Staff should be appropriately qualified (or in supervised training), meeting a minimum standard of UK CASE accredited training, with ongoing mentorship and development. </w:t>
            </w:r>
            <w:r w:rsidR="005E27F2">
              <w:rPr>
                <w:rFonts w:ascii="Arial" w:hAnsi="Arial" w:cs="Arial"/>
                <w:sz w:val="20"/>
                <w:szCs w:val="20"/>
              </w:rPr>
              <w:t xml:space="preserve">Appropriate supervision and co-reporting should be in place where trainees are scanning. </w:t>
            </w:r>
          </w:p>
          <w:p w14:paraId="7DE3E965" w14:textId="77777777" w:rsidR="005E27F2" w:rsidRDefault="005E27F2" w:rsidP="007B23F0">
            <w:pPr>
              <w:rPr>
                <w:rFonts w:ascii="Arial" w:hAnsi="Arial" w:cs="Arial"/>
                <w:sz w:val="20"/>
                <w:szCs w:val="20"/>
              </w:rPr>
            </w:pPr>
          </w:p>
          <w:p w14:paraId="56A7427F" w14:textId="4B4A5677" w:rsidR="004D26E4" w:rsidRDefault="004D26E4" w:rsidP="007B23F0">
            <w:pPr>
              <w:rPr>
                <w:rFonts w:ascii="Arial" w:hAnsi="Arial" w:cs="Arial"/>
                <w:sz w:val="20"/>
                <w:szCs w:val="20"/>
              </w:rPr>
            </w:pPr>
            <w:r>
              <w:rPr>
                <w:rFonts w:ascii="Arial" w:hAnsi="Arial" w:cs="Arial"/>
                <w:sz w:val="20"/>
                <w:szCs w:val="20"/>
              </w:rPr>
              <w:t xml:space="preserve">A sufficient number of advanced practitioner staff should have appropriate training to deliver POCUS in order to meet demand and reduce pressures on departmental radiology services and reduce the patient journey. </w:t>
            </w:r>
          </w:p>
          <w:p w14:paraId="66E5D732" w14:textId="77777777" w:rsidR="004D26E4" w:rsidRDefault="004D26E4" w:rsidP="007B23F0">
            <w:pPr>
              <w:rPr>
                <w:rFonts w:ascii="Arial" w:hAnsi="Arial" w:cs="Arial"/>
                <w:sz w:val="20"/>
                <w:szCs w:val="20"/>
              </w:rPr>
            </w:pPr>
          </w:p>
          <w:p w14:paraId="2B8D9F4E" w14:textId="02072367" w:rsidR="007B23F0" w:rsidRPr="00DA02B5" w:rsidRDefault="007B23F0" w:rsidP="007B23F0">
            <w:pPr>
              <w:rPr>
                <w:rFonts w:ascii="Arial" w:hAnsi="Arial" w:cs="Arial"/>
                <w:sz w:val="20"/>
                <w:szCs w:val="20"/>
              </w:rPr>
            </w:pPr>
            <w:r w:rsidRPr="007B23F0">
              <w:rPr>
                <w:rFonts w:ascii="Arial" w:hAnsi="Arial" w:cs="Arial"/>
                <w:sz w:val="20"/>
                <w:szCs w:val="20"/>
              </w:rPr>
              <w:t xml:space="preserve">POCUS activity will not be </w:t>
            </w:r>
            <w:r w:rsidRPr="00DA02B5">
              <w:rPr>
                <w:rFonts w:ascii="Arial" w:hAnsi="Arial" w:cs="Arial"/>
                <w:sz w:val="20"/>
                <w:szCs w:val="20"/>
              </w:rPr>
              <w:t xml:space="preserve">unbundled, separately billed radiology activity, but reflected in tariffs for specialist clinics, encouraging clinicians to judiciously deploy this resource. </w:t>
            </w:r>
          </w:p>
          <w:p w14:paraId="73254335" w14:textId="77777777" w:rsidR="007B23F0" w:rsidRPr="00DA02B5" w:rsidRDefault="007B23F0" w:rsidP="007B23F0">
            <w:pPr>
              <w:rPr>
                <w:rFonts w:ascii="Arial" w:hAnsi="Arial" w:cs="Arial"/>
                <w:sz w:val="20"/>
                <w:szCs w:val="20"/>
              </w:rPr>
            </w:pPr>
          </w:p>
          <w:p w14:paraId="77903A37" w14:textId="77777777" w:rsidR="007B23F0" w:rsidRPr="00DA02B5" w:rsidRDefault="007B23F0" w:rsidP="007B23F0">
            <w:pPr>
              <w:rPr>
                <w:rFonts w:ascii="Arial" w:hAnsi="Arial" w:cs="Arial"/>
                <w:sz w:val="20"/>
                <w:szCs w:val="20"/>
              </w:rPr>
            </w:pPr>
            <w:r w:rsidRPr="00DA02B5">
              <w:rPr>
                <w:rFonts w:ascii="Arial" w:hAnsi="Arial" w:cs="Arial"/>
                <w:sz w:val="20"/>
                <w:szCs w:val="20"/>
              </w:rPr>
              <w:t xml:space="preserve">Relevant policies include the </w:t>
            </w:r>
            <w:hyperlink r:id="rId29" w:history="1">
              <w:r w:rsidRPr="00DA02B5">
                <w:rPr>
                  <w:rStyle w:val="Hyperlink"/>
                  <w:rFonts w:ascii="Arial" w:hAnsi="Arial" w:cs="Arial"/>
                  <w:color w:val="auto"/>
                  <w:sz w:val="20"/>
                  <w:szCs w:val="20"/>
                </w:rPr>
                <w:t>CSP Professional Guidance on Point of Care Ultrasound</w:t>
              </w:r>
            </w:hyperlink>
            <w:r w:rsidRPr="00DA02B5">
              <w:rPr>
                <w:rFonts w:ascii="Arial" w:hAnsi="Arial" w:cs="Arial"/>
                <w:sz w:val="20"/>
                <w:szCs w:val="20"/>
              </w:rPr>
              <w:t xml:space="preserve"> and the </w:t>
            </w:r>
            <w:hyperlink r:id="rId30" w:history="1">
              <w:r w:rsidRPr="00DA02B5">
                <w:rPr>
                  <w:rStyle w:val="Hyperlink"/>
                  <w:rFonts w:ascii="Arial" w:hAnsi="Arial" w:cs="Arial"/>
                  <w:color w:val="auto"/>
                  <w:sz w:val="20"/>
                  <w:szCs w:val="20"/>
                </w:rPr>
                <w:t>Faculty of Sports and Exercise Medicine MSK Ultrasound Guidelines (jointly with the BSSR).</w:t>
              </w:r>
            </w:hyperlink>
            <w:r w:rsidRPr="00DA02B5">
              <w:rPr>
                <w:rFonts w:ascii="Arial" w:hAnsi="Arial" w:cs="Arial"/>
                <w:sz w:val="20"/>
                <w:szCs w:val="20"/>
              </w:rPr>
              <w:t xml:space="preserve"> </w:t>
            </w:r>
          </w:p>
          <w:p w14:paraId="53F4AFB6" w14:textId="29D1D5C5" w:rsidR="00206524" w:rsidRPr="007B23F0" w:rsidRDefault="00206524" w:rsidP="007B23F0">
            <w:pPr>
              <w:rPr>
                <w:rFonts w:ascii="Arial" w:hAnsi="Arial" w:cs="Arial"/>
                <w:sz w:val="20"/>
                <w:szCs w:val="20"/>
              </w:rPr>
            </w:pPr>
          </w:p>
          <w:p w14:paraId="119C4B13" w14:textId="7F57AC65" w:rsidR="007B23F0" w:rsidRDefault="004B4460" w:rsidP="007B23F0">
            <w:pPr>
              <w:rPr>
                <w:rFonts w:ascii="Arial" w:hAnsi="Arial" w:cs="Arial"/>
                <w:sz w:val="20"/>
                <w:szCs w:val="20"/>
              </w:rPr>
            </w:pPr>
            <w:r w:rsidRPr="00F90610">
              <w:rPr>
                <w:rFonts w:ascii="Arial" w:hAnsi="Arial" w:cs="Arial"/>
                <w:sz w:val="20"/>
                <w:szCs w:val="20"/>
              </w:rPr>
              <w:t>The S</w:t>
            </w:r>
            <w:r w:rsidR="007B23F0" w:rsidRPr="00F90610">
              <w:rPr>
                <w:rFonts w:ascii="Arial" w:hAnsi="Arial" w:cs="Arial"/>
                <w:sz w:val="20"/>
                <w:szCs w:val="20"/>
              </w:rPr>
              <w:t xml:space="preserve">ervice will be expected to have direct access to relevant digital diagnostic requesting and result reviewing platforms utilised across NWL (including ICE for pathology and SOLITON </w:t>
            </w:r>
            <w:r w:rsidR="006F56A6" w:rsidRPr="00F90610">
              <w:rPr>
                <w:rFonts w:ascii="Arial" w:hAnsi="Arial" w:cs="Arial"/>
                <w:sz w:val="20"/>
                <w:szCs w:val="20"/>
              </w:rPr>
              <w:t>alon</w:t>
            </w:r>
            <w:r w:rsidR="00E54BA8" w:rsidRPr="00F90610">
              <w:rPr>
                <w:rFonts w:ascii="Arial" w:hAnsi="Arial" w:cs="Arial"/>
                <w:sz w:val="20"/>
                <w:szCs w:val="20"/>
              </w:rPr>
              <w:t xml:space="preserve">g with </w:t>
            </w:r>
            <w:r w:rsidR="006F56A6" w:rsidRPr="00F90610">
              <w:rPr>
                <w:rFonts w:ascii="Arial" w:hAnsi="Arial" w:cs="Arial"/>
                <w:sz w:val="20"/>
                <w:szCs w:val="20"/>
              </w:rPr>
              <w:t xml:space="preserve">the </w:t>
            </w:r>
            <w:r w:rsidR="00E54BA8" w:rsidRPr="00F90610">
              <w:rPr>
                <w:rFonts w:ascii="Arial" w:hAnsi="Arial" w:cs="Arial"/>
                <w:sz w:val="20"/>
                <w:szCs w:val="20"/>
              </w:rPr>
              <w:t>associated PAC</w:t>
            </w:r>
            <w:r w:rsidR="00EC213C">
              <w:rPr>
                <w:rFonts w:ascii="Arial" w:hAnsi="Arial" w:cs="Arial"/>
                <w:sz w:val="20"/>
                <w:szCs w:val="20"/>
              </w:rPr>
              <w:t>S</w:t>
            </w:r>
            <w:r w:rsidR="00E54BA8" w:rsidRPr="00F90610">
              <w:rPr>
                <w:rFonts w:ascii="Arial" w:hAnsi="Arial" w:cs="Arial"/>
                <w:sz w:val="20"/>
                <w:szCs w:val="20"/>
              </w:rPr>
              <w:t xml:space="preserve"> system </w:t>
            </w:r>
            <w:r w:rsidR="007B23F0" w:rsidRPr="00F90610">
              <w:rPr>
                <w:rFonts w:ascii="Arial" w:hAnsi="Arial" w:cs="Arial"/>
                <w:sz w:val="20"/>
                <w:szCs w:val="20"/>
              </w:rPr>
              <w:t>for imaging</w:t>
            </w:r>
            <w:r w:rsidR="009D0F24">
              <w:rPr>
                <w:rFonts w:ascii="Arial" w:hAnsi="Arial" w:cs="Arial"/>
                <w:sz w:val="20"/>
                <w:szCs w:val="20"/>
              </w:rPr>
              <w:t>, as well as GP electronic health record,</w:t>
            </w:r>
            <w:r w:rsidR="006F56A6" w:rsidRPr="00F90610">
              <w:rPr>
                <w:rFonts w:ascii="Arial" w:hAnsi="Arial" w:cs="Arial"/>
                <w:sz w:val="20"/>
                <w:szCs w:val="20"/>
              </w:rPr>
              <w:t xml:space="preserve"> </w:t>
            </w:r>
            <w:r w:rsidR="007B23F0" w:rsidRPr="00F90610">
              <w:rPr>
                <w:rFonts w:ascii="Arial" w:hAnsi="Arial" w:cs="Arial"/>
                <w:sz w:val="20"/>
                <w:szCs w:val="20"/>
              </w:rPr>
              <w:t>to enable access of patients</w:t>
            </w:r>
            <w:r w:rsidR="00EC213C">
              <w:rPr>
                <w:rFonts w:ascii="Arial" w:hAnsi="Arial" w:cs="Arial"/>
                <w:sz w:val="20"/>
                <w:szCs w:val="20"/>
              </w:rPr>
              <w:t>’</w:t>
            </w:r>
            <w:r w:rsidR="007B23F0" w:rsidRPr="00F90610">
              <w:rPr>
                <w:rFonts w:ascii="Arial" w:hAnsi="Arial" w:cs="Arial"/>
                <w:sz w:val="20"/>
                <w:szCs w:val="20"/>
              </w:rPr>
              <w:t xml:space="preserve"> diagnostic history undertaken in other settings of care. </w:t>
            </w:r>
            <w:r w:rsidR="001B59E0">
              <w:rPr>
                <w:rFonts w:ascii="Arial" w:hAnsi="Arial" w:cs="Arial"/>
                <w:sz w:val="20"/>
                <w:szCs w:val="20"/>
              </w:rPr>
              <w:t>Relevant c</w:t>
            </w:r>
            <w:r w:rsidR="00206524">
              <w:rPr>
                <w:rFonts w:ascii="Arial" w:hAnsi="Arial" w:cs="Arial"/>
                <w:sz w:val="20"/>
                <w:szCs w:val="20"/>
              </w:rPr>
              <w:t xml:space="preserve">linicians within the </w:t>
            </w:r>
            <w:r w:rsidR="000F06EB">
              <w:rPr>
                <w:rFonts w:ascii="Arial" w:hAnsi="Arial" w:cs="Arial"/>
                <w:sz w:val="20"/>
                <w:szCs w:val="20"/>
              </w:rPr>
              <w:t>S</w:t>
            </w:r>
            <w:r w:rsidR="00206524">
              <w:rPr>
                <w:rFonts w:ascii="Arial" w:hAnsi="Arial" w:cs="Arial"/>
                <w:sz w:val="20"/>
                <w:szCs w:val="20"/>
              </w:rPr>
              <w:t>ervice should have the ability to view radiology images</w:t>
            </w:r>
            <w:r w:rsidR="009D0F24">
              <w:rPr>
                <w:rFonts w:ascii="Arial" w:hAnsi="Arial" w:cs="Arial"/>
                <w:sz w:val="20"/>
                <w:szCs w:val="20"/>
              </w:rPr>
              <w:t xml:space="preserve"> (undertaken by NWL radiology providers)</w:t>
            </w:r>
            <w:r w:rsidR="00206524">
              <w:rPr>
                <w:rFonts w:ascii="Arial" w:hAnsi="Arial" w:cs="Arial"/>
                <w:sz w:val="20"/>
                <w:szCs w:val="20"/>
              </w:rPr>
              <w:t xml:space="preserve"> in addition to textual reports. </w:t>
            </w:r>
          </w:p>
          <w:p w14:paraId="33F8DE90" w14:textId="77777777" w:rsidR="007B23F0" w:rsidRPr="00F90610" w:rsidRDefault="007B23F0" w:rsidP="007B23F0">
            <w:pPr>
              <w:rPr>
                <w:rFonts w:ascii="Arial" w:hAnsi="Arial" w:cs="Arial"/>
                <w:sz w:val="20"/>
                <w:szCs w:val="20"/>
              </w:rPr>
            </w:pPr>
          </w:p>
          <w:p w14:paraId="6D7EF8CD" w14:textId="1E2AA037" w:rsidR="007B23F0" w:rsidRDefault="007B23F0" w:rsidP="007B23F0">
            <w:pPr>
              <w:rPr>
                <w:rFonts w:ascii="Arial" w:hAnsi="Arial" w:cs="Arial"/>
                <w:sz w:val="20"/>
                <w:szCs w:val="20"/>
              </w:rPr>
            </w:pPr>
            <w:r w:rsidRPr="00F90610">
              <w:rPr>
                <w:rFonts w:ascii="Arial" w:hAnsi="Arial" w:cs="Arial"/>
                <w:sz w:val="20"/>
                <w:szCs w:val="20"/>
              </w:rPr>
              <w:t xml:space="preserve">IT inter-operability should be in place to allow diagnostic sharing. This may be via IEP, or through </w:t>
            </w:r>
            <w:r w:rsidR="006F56A6" w:rsidRPr="00F90610">
              <w:rPr>
                <w:rFonts w:ascii="Arial" w:hAnsi="Arial" w:cs="Arial"/>
                <w:sz w:val="20"/>
                <w:szCs w:val="20"/>
              </w:rPr>
              <w:t>direct acce</w:t>
            </w:r>
            <w:r w:rsidR="00E54BA8" w:rsidRPr="00F90610">
              <w:rPr>
                <w:rFonts w:ascii="Arial" w:hAnsi="Arial" w:cs="Arial"/>
                <w:sz w:val="20"/>
                <w:szCs w:val="20"/>
              </w:rPr>
              <w:t xml:space="preserve">ss to </w:t>
            </w:r>
            <w:r w:rsidR="006F56A6" w:rsidRPr="00F90610">
              <w:rPr>
                <w:rFonts w:ascii="Arial" w:hAnsi="Arial" w:cs="Arial"/>
                <w:sz w:val="20"/>
                <w:szCs w:val="20"/>
              </w:rPr>
              <w:t xml:space="preserve">the </w:t>
            </w:r>
            <w:r w:rsidR="00E54BA8" w:rsidRPr="00F90610">
              <w:rPr>
                <w:rFonts w:ascii="Arial" w:hAnsi="Arial" w:cs="Arial"/>
                <w:sz w:val="20"/>
                <w:szCs w:val="20"/>
              </w:rPr>
              <w:t>PAC</w:t>
            </w:r>
            <w:r w:rsidR="00EC213C">
              <w:rPr>
                <w:rFonts w:ascii="Arial" w:hAnsi="Arial" w:cs="Arial"/>
                <w:sz w:val="20"/>
                <w:szCs w:val="20"/>
              </w:rPr>
              <w:t>S</w:t>
            </w:r>
            <w:r w:rsidR="00E54BA8" w:rsidRPr="00F90610">
              <w:rPr>
                <w:rFonts w:ascii="Arial" w:hAnsi="Arial" w:cs="Arial"/>
                <w:sz w:val="20"/>
                <w:szCs w:val="20"/>
              </w:rPr>
              <w:t xml:space="preserve"> system</w:t>
            </w:r>
            <w:r w:rsidR="006F56A6" w:rsidRPr="00F90610">
              <w:rPr>
                <w:rFonts w:ascii="Arial" w:hAnsi="Arial" w:cs="Arial"/>
                <w:sz w:val="20"/>
                <w:szCs w:val="20"/>
              </w:rPr>
              <w:t xml:space="preserve"> </w:t>
            </w:r>
            <w:r w:rsidRPr="00F90610">
              <w:rPr>
                <w:rFonts w:ascii="Arial" w:hAnsi="Arial" w:cs="Arial"/>
                <w:sz w:val="20"/>
                <w:szCs w:val="20"/>
              </w:rPr>
              <w:t xml:space="preserve">for </w:t>
            </w:r>
            <w:r w:rsidR="00206524">
              <w:rPr>
                <w:rFonts w:ascii="Arial" w:hAnsi="Arial" w:cs="Arial"/>
                <w:sz w:val="20"/>
                <w:szCs w:val="20"/>
              </w:rPr>
              <w:t xml:space="preserve">real-time </w:t>
            </w:r>
            <w:r w:rsidRPr="00F90610">
              <w:rPr>
                <w:rFonts w:ascii="Arial" w:hAnsi="Arial" w:cs="Arial"/>
                <w:sz w:val="20"/>
                <w:szCs w:val="20"/>
              </w:rPr>
              <w:t xml:space="preserve">immediate image viewing of radiology undertaken within the NWL radiology network. </w:t>
            </w:r>
            <w:r w:rsidR="005E27F2">
              <w:rPr>
                <w:rFonts w:ascii="Arial" w:hAnsi="Arial" w:cs="Arial"/>
                <w:sz w:val="20"/>
                <w:szCs w:val="20"/>
              </w:rPr>
              <w:t xml:space="preserve">The implementation of Soliton Plus across the NWL diagnostic providers should enable such live two-way image review of diagnostic scans undertaken within these providers. </w:t>
            </w:r>
            <w:r w:rsidRPr="00F90610">
              <w:rPr>
                <w:rFonts w:ascii="Arial" w:hAnsi="Arial" w:cs="Arial"/>
                <w:sz w:val="20"/>
                <w:szCs w:val="20"/>
              </w:rPr>
              <w:t xml:space="preserve">IT inter-operability should seamlessly allow patient diagnostic results to be carried through with them to any onward referral settings of care (again, via </w:t>
            </w:r>
            <w:r w:rsidR="00206524">
              <w:rPr>
                <w:rFonts w:ascii="Arial" w:hAnsi="Arial" w:cs="Arial"/>
                <w:sz w:val="20"/>
                <w:szCs w:val="20"/>
              </w:rPr>
              <w:t xml:space="preserve">the NWL </w:t>
            </w:r>
            <w:r w:rsidRPr="00F90610">
              <w:rPr>
                <w:rFonts w:ascii="Arial" w:hAnsi="Arial" w:cs="Arial"/>
                <w:sz w:val="20"/>
                <w:szCs w:val="20"/>
              </w:rPr>
              <w:t xml:space="preserve">SOLITON </w:t>
            </w:r>
            <w:r w:rsidR="00206524">
              <w:rPr>
                <w:rFonts w:ascii="Arial" w:hAnsi="Arial" w:cs="Arial"/>
                <w:sz w:val="20"/>
                <w:szCs w:val="20"/>
              </w:rPr>
              <w:t xml:space="preserve">platform </w:t>
            </w:r>
            <w:r w:rsidRPr="00F90610">
              <w:rPr>
                <w:rFonts w:ascii="Arial" w:hAnsi="Arial" w:cs="Arial"/>
                <w:sz w:val="20"/>
                <w:szCs w:val="20"/>
              </w:rPr>
              <w:t>where possible)</w:t>
            </w:r>
            <w:r w:rsidR="005E27F2">
              <w:rPr>
                <w:rFonts w:ascii="Arial" w:hAnsi="Arial" w:cs="Arial"/>
                <w:sz w:val="20"/>
                <w:szCs w:val="20"/>
              </w:rPr>
              <w:t>, in order to prevent delays in patient journey or duplication of diagnostics</w:t>
            </w:r>
            <w:r w:rsidRPr="00F90610">
              <w:rPr>
                <w:rFonts w:ascii="Arial" w:hAnsi="Arial" w:cs="Arial"/>
                <w:sz w:val="20"/>
                <w:szCs w:val="20"/>
              </w:rPr>
              <w:t xml:space="preserve">. </w:t>
            </w:r>
          </w:p>
          <w:p w14:paraId="3B1BBD0B" w14:textId="77777777" w:rsidR="007B23F0" w:rsidRPr="00F90610" w:rsidRDefault="007B23F0" w:rsidP="007B23F0">
            <w:pPr>
              <w:rPr>
                <w:rFonts w:ascii="Arial" w:hAnsi="Arial" w:cs="Arial"/>
                <w:sz w:val="20"/>
                <w:szCs w:val="20"/>
              </w:rPr>
            </w:pPr>
          </w:p>
          <w:p w14:paraId="3230307B" w14:textId="16341A60" w:rsidR="007B23F0" w:rsidRDefault="007B23F0" w:rsidP="007B23F0">
            <w:pPr>
              <w:rPr>
                <w:rFonts w:ascii="Arial" w:hAnsi="Arial" w:cs="Arial"/>
                <w:sz w:val="20"/>
                <w:szCs w:val="20"/>
              </w:rPr>
            </w:pPr>
            <w:r w:rsidRPr="00F90610">
              <w:rPr>
                <w:rFonts w:ascii="Arial" w:hAnsi="Arial" w:cs="Arial"/>
                <w:sz w:val="20"/>
                <w:szCs w:val="20"/>
              </w:rPr>
              <w:t xml:space="preserve">Arrangements should be in place (for example through MDT working and service level agreements) for specialist MSK radiology input for complex cases, for example, inflammatory rheumatological diagnoses. </w:t>
            </w:r>
          </w:p>
          <w:p w14:paraId="7DC09E38" w14:textId="4B1FA4DB" w:rsidR="007B23F0" w:rsidRPr="00F90610" w:rsidRDefault="007B23F0" w:rsidP="007B23F0">
            <w:pPr>
              <w:rPr>
                <w:rFonts w:ascii="Arial" w:hAnsi="Arial" w:cs="Arial"/>
                <w:sz w:val="20"/>
                <w:szCs w:val="20"/>
              </w:rPr>
            </w:pPr>
          </w:p>
          <w:p w14:paraId="6182CBBE" w14:textId="510C5034" w:rsidR="007B23F0" w:rsidRPr="00F90610" w:rsidRDefault="007B23F0" w:rsidP="007B23F0">
            <w:pPr>
              <w:rPr>
                <w:rFonts w:ascii="Arial" w:hAnsi="Arial" w:cs="Arial"/>
                <w:sz w:val="20"/>
                <w:szCs w:val="20"/>
              </w:rPr>
            </w:pPr>
            <w:r w:rsidRPr="00F90610">
              <w:rPr>
                <w:rFonts w:ascii="Arial" w:hAnsi="Arial" w:cs="Arial"/>
                <w:sz w:val="20"/>
                <w:szCs w:val="20"/>
              </w:rPr>
              <w:t>Regular benchmarking and audit should be undertaken at organisational and individual practitioner level for imaging requesting and interpretation</w:t>
            </w:r>
            <w:r w:rsidR="009667B7">
              <w:rPr>
                <w:rFonts w:ascii="Arial" w:hAnsi="Arial" w:cs="Arial"/>
                <w:sz w:val="20"/>
                <w:szCs w:val="20"/>
              </w:rPr>
              <w:t>, alongside relevant training,</w:t>
            </w:r>
            <w:r w:rsidRPr="00F90610">
              <w:rPr>
                <w:rFonts w:ascii="Arial" w:hAnsi="Arial" w:cs="Arial"/>
                <w:sz w:val="20"/>
                <w:szCs w:val="20"/>
              </w:rPr>
              <w:t xml:space="preserve"> to ensure appropriate utilisation of diagnostic resources. </w:t>
            </w:r>
          </w:p>
          <w:p w14:paraId="71CF2C89" w14:textId="77777777" w:rsidR="007B23F0" w:rsidRPr="00F90610" w:rsidRDefault="007B23F0" w:rsidP="007B23F0">
            <w:pPr>
              <w:rPr>
                <w:rFonts w:ascii="Arial" w:hAnsi="Arial" w:cs="Arial"/>
                <w:sz w:val="20"/>
                <w:szCs w:val="20"/>
              </w:rPr>
            </w:pPr>
          </w:p>
          <w:p w14:paraId="78F77BD8" w14:textId="7EEBD0FC" w:rsidR="00DC3DDC" w:rsidRPr="00F90610" w:rsidRDefault="007B23F0" w:rsidP="00DC3DDC">
            <w:pPr>
              <w:pStyle w:val="CommentText"/>
            </w:pPr>
            <w:r w:rsidRPr="00F90610">
              <w:rPr>
                <w:rFonts w:ascii="Arial" w:hAnsi="Arial" w:cs="Arial"/>
              </w:rPr>
              <w:t>In view of the large burden of normal age and/or activity related changes seen on MSK imaging, practitioners</w:t>
            </w:r>
            <w:r w:rsidR="00C51F28" w:rsidRPr="00F90610">
              <w:rPr>
                <w:rFonts w:ascii="Arial" w:hAnsi="Arial" w:cs="Arial"/>
              </w:rPr>
              <w:t xml:space="preserve"> should all be trained in the </w:t>
            </w:r>
            <w:r w:rsidR="002B0573" w:rsidRPr="00F90610">
              <w:rPr>
                <w:rFonts w:ascii="Arial" w:hAnsi="Arial" w:cs="Arial"/>
              </w:rPr>
              <w:t>appropriate interpretation of imaging findings, their relevance to clinical symptoms, and translation of these results to patients)</w:t>
            </w:r>
            <w:r w:rsidRPr="00F90610">
              <w:rPr>
                <w:rFonts w:ascii="Arial" w:hAnsi="Arial" w:cs="Arial"/>
              </w:rPr>
              <w:t xml:space="preserve">. Where possible, all practitioners should be trained in the appropriate use of effective language, whilst avoiding the use of </w:t>
            </w:r>
            <w:proofErr w:type="spellStart"/>
            <w:r w:rsidRPr="00F90610">
              <w:rPr>
                <w:rFonts w:ascii="Arial" w:hAnsi="Arial" w:cs="Arial"/>
              </w:rPr>
              <w:t>nocebic</w:t>
            </w:r>
            <w:proofErr w:type="spellEnd"/>
            <w:r w:rsidRPr="00F90610">
              <w:rPr>
                <w:rFonts w:ascii="Arial" w:hAnsi="Arial" w:cs="Arial"/>
              </w:rPr>
              <w:t xml:space="preserve"> terminology when describing imaging findings to patients.</w:t>
            </w:r>
            <w:r w:rsidR="00DC3DDC" w:rsidRPr="00F90610">
              <w:rPr>
                <w:rFonts w:ascii="Arial" w:hAnsi="Arial" w:cs="Arial"/>
              </w:rPr>
              <w:t xml:space="preserve"> </w:t>
            </w:r>
          </w:p>
          <w:p w14:paraId="1067FD9F" w14:textId="790BCB9E" w:rsidR="007B23F0" w:rsidRPr="00F90610" w:rsidRDefault="007B23F0" w:rsidP="007B23F0">
            <w:pPr>
              <w:rPr>
                <w:rFonts w:ascii="Arial" w:hAnsi="Arial" w:cs="Arial"/>
                <w:sz w:val="20"/>
                <w:szCs w:val="20"/>
              </w:rPr>
            </w:pPr>
          </w:p>
          <w:p w14:paraId="007984D9" w14:textId="0ED865E0" w:rsidR="007B23F0" w:rsidRDefault="007B23F0" w:rsidP="007B23F0">
            <w:pPr>
              <w:rPr>
                <w:rFonts w:ascii="Arial" w:hAnsi="Arial" w:cs="Arial"/>
                <w:sz w:val="20"/>
                <w:szCs w:val="20"/>
              </w:rPr>
            </w:pPr>
            <w:r w:rsidRPr="007B23F0">
              <w:rPr>
                <w:rFonts w:ascii="Arial" w:hAnsi="Arial" w:cs="Arial"/>
                <w:sz w:val="20"/>
                <w:szCs w:val="20"/>
              </w:rPr>
              <w:t xml:space="preserve">Clear processes </w:t>
            </w:r>
            <w:r w:rsidR="005E27F2">
              <w:rPr>
                <w:rFonts w:ascii="Arial" w:hAnsi="Arial" w:cs="Arial"/>
                <w:sz w:val="20"/>
                <w:szCs w:val="20"/>
              </w:rPr>
              <w:t>must be</w:t>
            </w:r>
            <w:r w:rsidRPr="007B23F0">
              <w:rPr>
                <w:rFonts w:ascii="Arial" w:hAnsi="Arial" w:cs="Arial"/>
                <w:sz w:val="20"/>
                <w:szCs w:val="20"/>
              </w:rPr>
              <w:t xml:space="preserve"> in place for unexpected/incidental diagnostic findings.</w:t>
            </w:r>
          </w:p>
          <w:p w14:paraId="217D4805" w14:textId="0C66B135" w:rsidR="007B23F0" w:rsidRPr="007B23F0" w:rsidRDefault="007B23F0" w:rsidP="007B23F0">
            <w:pPr>
              <w:rPr>
                <w:rFonts w:ascii="Arial" w:hAnsi="Arial" w:cs="Arial"/>
                <w:sz w:val="20"/>
                <w:szCs w:val="20"/>
              </w:rPr>
            </w:pPr>
          </w:p>
          <w:p w14:paraId="5E40A22F" w14:textId="561B9B40" w:rsidR="007B23F0" w:rsidRPr="00C54BA6" w:rsidRDefault="004F288A" w:rsidP="007B23F0">
            <w:pPr>
              <w:pStyle w:val="Heading2"/>
              <w:rPr>
                <w:rFonts w:ascii="Arial" w:hAnsi="Arial" w:cs="Arial"/>
                <w:b/>
                <w:color w:val="auto"/>
                <w:sz w:val="20"/>
                <w:szCs w:val="20"/>
              </w:rPr>
            </w:pPr>
            <w:bookmarkStart w:id="25" w:name="_Toc127194686"/>
            <w:r>
              <w:rPr>
                <w:rFonts w:ascii="Arial" w:hAnsi="Arial" w:cs="Arial"/>
                <w:b/>
                <w:color w:val="auto"/>
                <w:sz w:val="20"/>
                <w:szCs w:val="20"/>
              </w:rPr>
              <w:t>3.3.18</w:t>
            </w:r>
            <w:r w:rsidR="007919F7">
              <w:rPr>
                <w:rFonts w:ascii="Arial" w:hAnsi="Arial" w:cs="Arial"/>
                <w:b/>
                <w:color w:val="auto"/>
                <w:sz w:val="20"/>
                <w:szCs w:val="20"/>
              </w:rPr>
              <w:t xml:space="preserve"> </w:t>
            </w:r>
            <w:r w:rsidR="007B23F0" w:rsidRPr="00C54BA6">
              <w:rPr>
                <w:rFonts w:ascii="Arial" w:hAnsi="Arial" w:cs="Arial"/>
                <w:b/>
                <w:color w:val="auto"/>
                <w:sz w:val="20"/>
                <w:szCs w:val="20"/>
              </w:rPr>
              <w:t>Procedures</w:t>
            </w:r>
            <w:bookmarkEnd w:id="25"/>
          </w:p>
          <w:p w14:paraId="709AD204" w14:textId="77777777" w:rsidR="007B23F0" w:rsidRPr="007B23F0" w:rsidRDefault="007B23F0" w:rsidP="007B23F0">
            <w:pPr>
              <w:rPr>
                <w:rFonts w:ascii="Arial" w:hAnsi="Arial" w:cs="Arial"/>
                <w:sz w:val="20"/>
                <w:szCs w:val="20"/>
              </w:rPr>
            </w:pPr>
          </w:p>
          <w:p w14:paraId="7E77E7B3" w14:textId="4AFCBAD0" w:rsidR="007B23F0" w:rsidRP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ervice should have the capability and capacity to provide a range of procedures without requiring onward referral to secondary care services.</w:t>
            </w:r>
          </w:p>
          <w:p w14:paraId="5900AECB" w14:textId="77777777" w:rsidR="007B23F0" w:rsidRPr="007B23F0" w:rsidRDefault="007B23F0" w:rsidP="007B23F0">
            <w:pPr>
              <w:rPr>
                <w:rFonts w:ascii="Arial" w:hAnsi="Arial" w:cs="Arial"/>
                <w:sz w:val="20"/>
                <w:szCs w:val="20"/>
              </w:rPr>
            </w:pPr>
          </w:p>
          <w:p w14:paraId="0A3E89D3"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With all procedures, practitioners should judiciously utilise resources, with appropriate patient selection and adherence to national and locally agreed evidence-based guidelines. </w:t>
            </w:r>
          </w:p>
          <w:p w14:paraId="1C3A2298" w14:textId="77777777" w:rsidR="007B23F0" w:rsidRPr="007B23F0" w:rsidRDefault="007B23F0" w:rsidP="007B23F0">
            <w:pPr>
              <w:rPr>
                <w:rFonts w:ascii="Arial" w:hAnsi="Arial" w:cs="Arial"/>
                <w:sz w:val="20"/>
                <w:szCs w:val="20"/>
              </w:rPr>
            </w:pPr>
          </w:p>
          <w:p w14:paraId="7D4DEADF"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Shared decision-making, explaining the likelihood of benefit and risks should be discussed prior to all interventions. </w:t>
            </w:r>
          </w:p>
          <w:p w14:paraId="23E6B766" w14:textId="51148179" w:rsidR="005649AA" w:rsidRPr="007B23F0" w:rsidRDefault="005649AA" w:rsidP="007B23F0">
            <w:pPr>
              <w:rPr>
                <w:rFonts w:ascii="Arial" w:hAnsi="Arial" w:cs="Arial"/>
                <w:sz w:val="20"/>
                <w:szCs w:val="20"/>
              </w:rPr>
            </w:pPr>
          </w:p>
          <w:p w14:paraId="5A30666B" w14:textId="5F8D29C8" w:rsidR="007B23F0" w:rsidRPr="00C54BA6" w:rsidRDefault="004F288A" w:rsidP="007B23F0">
            <w:pPr>
              <w:pStyle w:val="Heading3"/>
              <w:rPr>
                <w:rFonts w:ascii="Arial" w:hAnsi="Arial" w:cs="Arial"/>
                <w:b/>
                <w:color w:val="auto"/>
                <w:sz w:val="20"/>
                <w:szCs w:val="20"/>
              </w:rPr>
            </w:pPr>
            <w:bookmarkStart w:id="26" w:name="_Toc127194687"/>
            <w:r>
              <w:rPr>
                <w:rFonts w:ascii="Arial" w:hAnsi="Arial" w:cs="Arial"/>
                <w:b/>
                <w:color w:val="auto"/>
                <w:sz w:val="20"/>
                <w:szCs w:val="20"/>
              </w:rPr>
              <w:t>3.3.18</w:t>
            </w:r>
            <w:r w:rsidR="005649AA">
              <w:rPr>
                <w:rFonts w:ascii="Arial" w:hAnsi="Arial" w:cs="Arial"/>
                <w:b/>
                <w:color w:val="auto"/>
                <w:sz w:val="20"/>
                <w:szCs w:val="20"/>
              </w:rPr>
              <w:t xml:space="preserve">.1 </w:t>
            </w:r>
            <w:r w:rsidR="007B23F0" w:rsidRPr="00C54BA6">
              <w:rPr>
                <w:rFonts w:ascii="Arial" w:hAnsi="Arial" w:cs="Arial"/>
                <w:b/>
                <w:color w:val="auto"/>
                <w:sz w:val="20"/>
                <w:szCs w:val="20"/>
              </w:rPr>
              <w:t>Injections</w:t>
            </w:r>
            <w:bookmarkEnd w:id="26"/>
          </w:p>
          <w:p w14:paraId="0DD5EED7" w14:textId="4E1B2D68" w:rsidR="007B23F0" w:rsidRDefault="007B23F0" w:rsidP="007B23F0">
            <w:pPr>
              <w:rPr>
                <w:rFonts w:ascii="Arial" w:hAnsi="Arial" w:cs="Arial"/>
                <w:sz w:val="20"/>
                <w:szCs w:val="20"/>
              </w:rPr>
            </w:pPr>
          </w:p>
          <w:p w14:paraId="63386B05" w14:textId="4DDE292B" w:rsidR="007B23F0" w:rsidRPr="007B23F0" w:rsidRDefault="00206524" w:rsidP="007B23F0">
            <w:pPr>
              <w:rPr>
                <w:rFonts w:ascii="Arial" w:hAnsi="Arial" w:cs="Arial"/>
                <w:sz w:val="20"/>
                <w:szCs w:val="20"/>
              </w:rPr>
            </w:pPr>
            <w:r>
              <w:rPr>
                <w:rFonts w:ascii="Arial" w:hAnsi="Arial" w:cs="Arial"/>
                <w:sz w:val="20"/>
                <w:szCs w:val="20"/>
              </w:rPr>
              <w:t xml:space="preserve">Whilst many injection therapies provide only limited or short-term benefit, they play a crucial role in management for some patients. </w:t>
            </w:r>
            <w:r w:rsidR="007B23F0" w:rsidRPr="007B23F0">
              <w:rPr>
                <w:rFonts w:ascii="Arial" w:hAnsi="Arial" w:cs="Arial"/>
                <w:sz w:val="20"/>
                <w:szCs w:val="20"/>
              </w:rPr>
              <w:t xml:space="preserve">Evidence for improved outcomes and/or safety for ultrasound-guided </w:t>
            </w:r>
            <w:r w:rsidR="007B23F0" w:rsidRPr="007B23F0">
              <w:rPr>
                <w:rFonts w:ascii="Arial" w:hAnsi="Arial" w:cs="Arial"/>
                <w:sz w:val="20"/>
                <w:szCs w:val="20"/>
              </w:rPr>
              <w:lastRenderedPageBreak/>
              <w:t xml:space="preserve">versus landmark-guided injections is limited. Nonetheless, some procedures may be more accurately and safely delivered through ultrasound guidance, for example, injections of the foot, or deeper injections such as the hip joint. </w:t>
            </w:r>
          </w:p>
          <w:p w14:paraId="066E9282" w14:textId="77777777" w:rsidR="007B23F0" w:rsidRPr="007B23F0" w:rsidRDefault="007B23F0" w:rsidP="007B23F0">
            <w:pPr>
              <w:rPr>
                <w:rFonts w:ascii="Arial" w:hAnsi="Arial" w:cs="Arial"/>
                <w:sz w:val="20"/>
                <w:szCs w:val="20"/>
              </w:rPr>
            </w:pPr>
          </w:p>
          <w:p w14:paraId="5AF74A16" w14:textId="69052ACB" w:rsidR="007B23F0" w:rsidRDefault="004B4460" w:rsidP="007B23F0">
            <w:pPr>
              <w:rPr>
                <w:rFonts w:ascii="Arial" w:hAnsi="Arial" w:cs="Arial"/>
                <w:sz w:val="20"/>
                <w:szCs w:val="20"/>
              </w:rPr>
            </w:pPr>
            <w:r>
              <w:rPr>
                <w:rFonts w:ascii="Arial" w:hAnsi="Arial" w:cs="Arial"/>
                <w:sz w:val="20"/>
                <w:szCs w:val="20"/>
              </w:rPr>
              <w:t>The S</w:t>
            </w:r>
            <w:r w:rsidR="007B23F0" w:rsidRPr="007B23F0">
              <w:rPr>
                <w:rFonts w:ascii="Arial" w:hAnsi="Arial" w:cs="Arial"/>
                <w:sz w:val="20"/>
                <w:szCs w:val="20"/>
              </w:rPr>
              <w:t>ervice should be able to provide corticosteroid injections for the following targets</w:t>
            </w:r>
            <w:r w:rsidR="000E519E">
              <w:rPr>
                <w:rFonts w:ascii="Arial" w:hAnsi="Arial" w:cs="Arial"/>
                <w:sz w:val="20"/>
                <w:szCs w:val="20"/>
              </w:rPr>
              <w:t>, performed by appropriately trained staff</w:t>
            </w:r>
            <w:r w:rsidR="007B23F0" w:rsidRPr="007B23F0">
              <w:rPr>
                <w:rFonts w:ascii="Arial" w:hAnsi="Arial" w:cs="Arial"/>
                <w:sz w:val="20"/>
                <w:szCs w:val="20"/>
              </w:rPr>
              <w:t>:</w:t>
            </w:r>
          </w:p>
          <w:p w14:paraId="2F55998F" w14:textId="77777777" w:rsidR="00534420" w:rsidRPr="0054681B" w:rsidRDefault="00534420" w:rsidP="007B23F0">
            <w:pPr>
              <w:rPr>
                <w:rFonts w:ascii="Arial" w:hAnsi="Arial" w:cs="Arial"/>
                <w:color w:val="FF0000"/>
                <w:sz w:val="20"/>
                <w:szCs w:val="20"/>
              </w:rPr>
            </w:pPr>
          </w:p>
          <w:p w14:paraId="5BE2050F" w14:textId="77777777" w:rsidR="007B23F0" w:rsidRPr="007B23F0" w:rsidRDefault="007B23F0" w:rsidP="00DC3DDC">
            <w:pPr>
              <w:pStyle w:val="ListParagraph"/>
              <w:numPr>
                <w:ilvl w:val="0"/>
                <w:numId w:val="18"/>
              </w:numPr>
              <w:rPr>
                <w:rFonts w:ascii="Arial" w:hAnsi="Arial" w:cs="Arial"/>
                <w:sz w:val="20"/>
                <w:szCs w:val="20"/>
              </w:rPr>
            </w:pPr>
            <w:r w:rsidRPr="007B23F0">
              <w:rPr>
                <w:rFonts w:ascii="Arial" w:hAnsi="Arial" w:cs="Arial"/>
                <w:sz w:val="20"/>
                <w:szCs w:val="20"/>
              </w:rPr>
              <w:t xml:space="preserve">AC joint </w:t>
            </w:r>
          </w:p>
          <w:p w14:paraId="08E8ECD7" w14:textId="77777777" w:rsidR="007B23F0" w:rsidRPr="00DA02B5" w:rsidRDefault="007B23F0" w:rsidP="00DC3DDC">
            <w:pPr>
              <w:pStyle w:val="ListParagraph"/>
              <w:numPr>
                <w:ilvl w:val="0"/>
                <w:numId w:val="18"/>
              </w:numPr>
              <w:rPr>
                <w:rFonts w:ascii="Arial" w:hAnsi="Arial" w:cs="Arial"/>
                <w:sz w:val="20"/>
                <w:szCs w:val="20"/>
              </w:rPr>
            </w:pPr>
            <w:r w:rsidRPr="00DA02B5">
              <w:rPr>
                <w:rFonts w:ascii="Arial" w:hAnsi="Arial" w:cs="Arial"/>
                <w:sz w:val="20"/>
                <w:szCs w:val="20"/>
              </w:rPr>
              <w:t xml:space="preserve">Subacromial space and glenohumeral joint  </w:t>
            </w:r>
          </w:p>
          <w:p w14:paraId="6AD2A628" w14:textId="77777777" w:rsidR="007B23F0" w:rsidRPr="00DA02B5" w:rsidRDefault="007B23F0" w:rsidP="00DC3DDC">
            <w:pPr>
              <w:pStyle w:val="ListParagraph"/>
              <w:numPr>
                <w:ilvl w:val="0"/>
                <w:numId w:val="18"/>
              </w:numPr>
              <w:rPr>
                <w:rFonts w:ascii="Arial" w:hAnsi="Arial" w:cs="Arial"/>
                <w:sz w:val="20"/>
                <w:szCs w:val="20"/>
              </w:rPr>
            </w:pPr>
            <w:r w:rsidRPr="00DA02B5">
              <w:rPr>
                <w:rFonts w:ascii="Arial" w:hAnsi="Arial" w:cs="Arial"/>
                <w:sz w:val="20"/>
                <w:szCs w:val="20"/>
              </w:rPr>
              <w:t xml:space="preserve">Carpal tunnel </w:t>
            </w:r>
          </w:p>
          <w:p w14:paraId="2E3D3342" w14:textId="4822392D" w:rsidR="007B23F0" w:rsidRPr="00DA02B5" w:rsidRDefault="007B23F0" w:rsidP="00DC3DDC">
            <w:pPr>
              <w:pStyle w:val="ListParagraph"/>
              <w:numPr>
                <w:ilvl w:val="0"/>
                <w:numId w:val="18"/>
              </w:numPr>
              <w:rPr>
                <w:rFonts w:ascii="Arial" w:hAnsi="Arial" w:cs="Arial"/>
                <w:sz w:val="20"/>
                <w:szCs w:val="20"/>
              </w:rPr>
            </w:pPr>
            <w:r w:rsidRPr="00DA02B5">
              <w:rPr>
                <w:rFonts w:ascii="Arial" w:hAnsi="Arial" w:cs="Arial"/>
                <w:sz w:val="20"/>
                <w:szCs w:val="20"/>
              </w:rPr>
              <w:t xml:space="preserve">De </w:t>
            </w:r>
            <w:proofErr w:type="spellStart"/>
            <w:r w:rsidRPr="00DA02B5">
              <w:rPr>
                <w:rFonts w:ascii="Arial" w:hAnsi="Arial" w:cs="Arial"/>
                <w:sz w:val="20"/>
                <w:szCs w:val="20"/>
              </w:rPr>
              <w:t>Quervain</w:t>
            </w:r>
            <w:proofErr w:type="spellEnd"/>
            <w:r w:rsidRPr="00DA02B5">
              <w:rPr>
                <w:rFonts w:ascii="Arial" w:hAnsi="Arial" w:cs="Arial"/>
                <w:sz w:val="20"/>
                <w:szCs w:val="20"/>
              </w:rPr>
              <w:t xml:space="preserve"> Tenosynovitis</w:t>
            </w:r>
          </w:p>
          <w:p w14:paraId="63F8550D" w14:textId="7C853E85" w:rsidR="00085B74" w:rsidRPr="00DA02B5" w:rsidRDefault="00D2297E" w:rsidP="00DC3DDC">
            <w:pPr>
              <w:pStyle w:val="ListParagraph"/>
              <w:numPr>
                <w:ilvl w:val="0"/>
                <w:numId w:val="18"/>
              </w:numPr>
              <w:rPr>
                <w:rFonts w:ascii="Arial" w:hAnsi="Arial" w:cs="Arial"/>
                <w:sz w:val="20"/>
                <w:szCs w:val="20"/>
              </w:rPr>
            </w:pPr>
            <w:r w:rsidRPr="00DA02B5">
              <w:rPr>
                <w:rFonts w:ascii="Arial" w:hAnsi="Arial" w:cs="Arial"/>
                <w:sz w:val="20"/>
                <w:szCs w:val="20"/>
              </w:rPr>
              <w:t>CMC and oth</w:t>
            </w:r>
            <w:r w:rsidR="00085B74" w:rsidRPr="00DA02B5">
              <w:rPr>
                <w:rFonts w:ascii="Arial" w:hAnsi="Arial" w:cs="Arial"/>
                <w:sz w:val="20"/>
                <w:szCs w:val="20"/>
              </w:rPr>
              <w:t>er small joints in hands</w:t>
            </w:r>
          </w:p>
          <w:p w14:paraId="6122B0FD" w14:textId="37BD503A" w:rsidR="00DC3DDC" w:rsidRPr="00DA02B5" w:rsidRDefault="007B23F0" w:rsidP="00DC3DDC">
            <w:pPr>
              <w:pStyle w:val="ListParagraph"/>
              <w:numPr>
                <w:ilvl w:val="0"/>
                <w:numId w:val="18"/>
              </w:numPr>
              <w:rPr>
                <w:rFonts w:ascii="Arial" w:hAnsi="Arial" w:cs="Arial"/>
                <w:sz w:val="20"/>
                <w:szCs w:val="20"/>
              </w:rPr>
            </w:pPr>
            <w:r w:rsidRPr="00DA02B5">
              <w:rPr>
                <w:rFonts w:ascii="Arial" w:hAnsi="Arial" w:cs="Arial"/>
                <w:sz w:val="20"/>
                <w:szCs w:val="20"/>
              </w:rPr>
              <w:t xml:space="preserve">Stenosing tenosynovitis </w:t>
            </w:r>
          </w:p>
          <w:p w14:paraId="5C5ED587" w14:textId="67090C1D" w:rsidR="007B23F0" w:rsidRPr="00DC3DDC" w:rsidRDefault="007B23F0" w:rsidP="00DC3DDC">
            <w:pPr>
              <w:pStyle w:val="ListParagraph"/>
              <w:numPr>
                <w:ilvl w:val="0"/>
                <w:numId w:val="18"/>
              </w:numPr>
              <w:rPr>
                <w:rFonts w:ascii="Arial" w:hAnsi="Arial" w:cs="Arial"/>
                <w:sz w:val="20"/>
                <w:szCs w:val="20"/>
              </w:rPr>
            </w:pPr>
            <w:r w:rsidRPr="00DC3DDC">
              <w:rPr>
                <w:rFonts w:ascii="Arial" w:hAnsi="Arial" w:cs="Arial"/>
                <w:sz w:val="20"/>
                <w:szCs w:val="20"/>
              </w:rPr>
              <w:t xml:space="preserve">Hip joint </w:t>
            </w:r>
          </w:p>
          <w:p w14:paraId="3D32805F" w14:textId="77777777" w:rsidR="007B23F0" w:rsidRPr="007B23F0" w:rsidRDefault="007B23F0" w:rsidP="00DC3DDC">
            <w:pPr>
              <w:pStyle w:val="ListParagraph"/>
              <w:numPr>
                <w:ilvl w:val="0"/>
                <w:numId w:val="18"/>
              </w:numPr>
              <w:rPr>
                <w:rFonts w:ascii="Arial" w:hAnsi="Arial" w:cs="Arial"/>
                <w:sz w:val="20"/>
                <w:szCs w:val="20"/>
              </w:rPr>
            </w:pPr>
            <w:r w:rsidRPr="007B23F0">
              <w:rPr>
                <w:rFonts w:ascii="Arial" w:hAnsi="Arial" w:cs="Arial"/>
                <w:sz w:val="20"/>
                <w:szCs w:val="20"/>
              </w:rPr>
              <w:t xml:space="preserve">Knee joint </w:t>
            </w:r>
          </w:p>
          <w:p w14:paraId="55739EAB" w14:textId="77777777" w:rsidR="007B23F0" w:rsidRPr="007B23F0" w:rsidRDefault="007B23F0" w:rsidP="00DC3DDC">
            <w:pPr>
              <w:pStyle w:val="ListParagraph"/>
              <w:numPr>
                <w:ilvl w:val="0"/>
                <w:numId w:val="18"/>
              </w:numPr>
              <w:rPr>
                <w:rFonts w:ascii="Arial" w:hAnsi="Arial" w:cs="Arial"/>
                <w:sz w:val="20"/>
                <w:szCs w:val="20"/>
              </w:rPr>
            </w:pPr>
            <w:r w:rsidRPr="007B23F0">
              <w:rPr>
                <w:rFonts w:ascii="Arial" w:hAnsi="Arial" w:cs="Arial"/>
                <w:sz w:val="20"/>
                <w:szCs w:val="20"/>
              </w:rPr>
              <w:t>Foot and ankle joints</w:t>
            </w:r>
          </w:p>
          <w:p w14:paraId="4F9ADE03" w14:textId="7DB53ECA" w:rsidR="007B23F0" w:rsidRPr="007B23F0" w:rsidRDefault="007B23F0" w:rsidP="007B23F0">
            <w:pPr>
              <w:pStyle w:val="ListParagraph"/>
              <w:rPr>
                <w:rFonts w:ascii="Arial" w:hAnsi="Arial" w:cs="Arial"/>
                <w:sz w:val="20"/>
                <w:szCs w:val="20"/>
              </w:rPr>
            </w:pPr>
            <w:r w:rsidRPr="007B23F0">
              <w:rPr>
                <w:rFonts w:ascii="Arial" w:hAnsi="Arial" w:cs="Arial"/>
                <w:sz w:val="20"/>
                <w:szCs w:val="20"/>
              </w:rPr>
              <w:t>* Whilst some targets may require image guidance, many can be delivered by clinical landmark guidance and practitioners should use judgement with regards to time and equipment resource</w:t>
            </w:r>
            <w:r w:rsidR="000E519E">
              <w:rPr>
                <w:rFonts w:ascii="Arial" w:hAnsi="Arial" w:cs="Arial"/>
                <w:sz w:val="20"/>
                <w:szCs w:val="20"/>
              </w:rPr>
              <w:t>, as well as the current evidence-base,</w:t>
            </w:r>
            <w:r w:rsidRPr="007B23F0">
              <w:rPr>
                <w:rFonts w:ascii="Arial" w:hAnsi="Arial" w:cs="Arial"/>
                <w:sz w:val="20"/>
                <w:szCs w:val="20"/>
              </w:rPr>
              <w:t xml:space="preserve"> when deciding on image-guidance.</w:t>
            </w:r>
          </w:p>
          <w:p w14:paraId="0343F568" w14:textId="731F362C" w:rsidR="007B23F0" w:rsidRDefault="007B23F0" w:rsidP="007B23F0">
            <w:pPr>
              <w:rPr>
                <w:rFonts w:ascii="Arial" w:hAnsi="Arial" w:cs="Arial"/>
                <w:sz w:val="20"/>
                <w:szCs w:val="20"/>
              </w:rPr>
            </w:pPr>
          </w:p>
          <w:p w14:paraId="0F6E3BE2" w14:textId="507ABD69" w:rsidR="001B59E0" w:rsidRDefault="001B59E0" w:rsidP="007B23F0">
            <w:pPr>
              <w:rPr>
                <w:rFonts w:ascii="Arial" w:hAnsi="Arial" w:cs="Arial"/>
                <w:sz w:val="20"/>
                <w:szCs w:val="20"/>
              </w:rPr>
            </w:pPr>
            <w:r>
              <w:rPr>
                <w:rFonts w:ascii="Arial" w:hAnsi="Arial" w:cs="Arial"/>
                <w:sz w:val="20"/>
                <w:szCs w:val="20"/>
              </w:rPr>
              <w:t>The Service should support the upskilling of primary care to deliver corticosteroids injections appropriate for this setting. Unmet need for corticosteroid injections within primary care may also be supported through First Contact Practitioner roles.</w:t>
            </w:r>
          </w:p>
          <w:p w14:paraId="363BE952" w14:textId="77777777" w:rsidR="001B59E0" w:rsidRPr="007B23F0" w:rsidRDefault="001B59E0" w:rsidP="007B23F0">
            <w:pPr>
              <w:rPr>
                <w:rFonts w:ascii="Arial" w:hAnsi="Arial" w:cs="Arial"/>
                <w:sz w:val="20"/>
                <w:szCs w:val="20"/>
              </w:rPr>
            </w:pPr>
          </w:p>
          <w:p w14:paraId="612A41DD" w14:textId="7BA1015B" w:rsidR="007B23F0" w:rsidRDefault="00EC213C" w:rsidP="007B23F0">
            <w:pPr>
              <w:rPr>
                <w:rFonts w:ascii="Arial" w:hAnsi="Arial" w:cs="Arial"/>
                <w:sz w:val="20"/>
                <w:szCs w:val="20"/>
              </w:rPr>
            </w:pPr>
            <w:r>
              <w:rPr>
                <w:rFonts w:ascii="Arial" w:hAnsi="Arial" w:cs="Arial"/>
                <w:sz w:val="20"/>
                <w:szCs w:val="20"/>
              </w:rPr>
              <w:t xml:space="preserve">The </w:t>
            </w:r>
            <w:r w:rsidR="004B4460">
              <w:rPr>
                <w:rFonts w:ascii="Arial" w:hAnsi="Arial" w:cs="Arial"/>
                <w:sz w:val="20"/>
                <w:szCs w:val="20"/>
              </w:rPr>
              <w:t>S</w:t>
            </w:r>
            <w:r w:rsidR="007B23F0" w:rsidRPr="007B23F0">
              <w:rPr>
                <w:rFonts w:ascii="Arial" w:hAnsi="Arial" w:cs="Arial"/>
                <w:sz w:val="20"/>
                <w:szCs w:val="20"/>
              </w:rPr>
              <w:t xml:space="preserve">ervice should be able to provide more advanced procedures, many of which require ultrasound guidance, to reduce pressures on secondary care </w:t>
            </w:r>
            <w:r>
              <w:rPr>
                <w:rFonts w:ascii="Arial" w:hAnsi="Arial" w:cs="Arial"/>
                <w:sz w:val="20"/>
                <w:szCs w:val="20"/>
              </w:rPr>
              <w:t xml:space="preserve">specialist / radiology </w:t>
            </w:r>
            <w:r w:rsidR="007B23F0" w:rsidRPr="007B23F0">
              <w:rPr>
                <w:rFonts w:ascii="Arial" w:hAnsi="Arial" w:cs="Arial"/>
                <w:sz w:val="20"/>
                <w:szCs w:val="20"/>
              </w:rPr>
              <w:t>services and to reduce the patient journey. These may include, but not be limited to:</w:t>
            </w:r>
          </w:p>
          <w:p w14:paraId="6ABDEA74" w14:textId="77777777" w:rsidR="00F03108" w:rsidRPr="007B23F0" w:rsidRDefault="00F03108" w:rsidP="007B23F0">
            <w:pPr>
              <w:rPr>
                <w:rFonts w:ascii="Arial" w:hAnsi="Arial" w:cs="Arial"/>
                <w:sz w:val="20"/>
                <w:szCs w:val="20"/>
              </w:rPr>
            </w:pPr>
          </w:p>
          <w:p w14:paraId="7271203F" w14:textId="74BBA47F" w:rsidR="00DC3DDC" w:rsidRPr="00DC3DDC" w:rsidRDefault="007B23F0" w:rsidP="00DC3DDC">
            <w:pPr>
              <w:pStyle w:val="ListParagraph"/>
              <w:numPr>
                <w:ilvl w:val="0"/>
                <w:numId w:val="17"/>
              </w:numPr>
              <w:rPr>
                <w:rFonts w:ascii="Arial" w:hAnsi="Arial" w:cs="Arial"/>
                <w:sz w:val="20"/>
                <w:szCs w:val="20"/>
              </w:rPr>
            </w:pPr>
            <w:r w:rsidRPr="00DC3DDC">
              <w:rPr>
                <w:rFonts w:ascii="Arial" w:hAnsi="Arial" w:cs="Arial"/>
                <w:sz w:val="20"/>
                <w:szCs w:val="20"/>
              </w:rPr>
              <w:t>Ultrasound-guided calcific tendon barbotage</w:t>
            </w:r>
            <w:r w:rsidR="00DC3DDC" w:rsidRPr="00DC3DDC">
              <w:rPr>
                <w:rFonts w:ascii="Arial" w:hAnsi="Arial" w:cs="Arial"/>
                <w:sz w:val="20"/>
                <w:szCs w:val="20"/>
              </w:rPr>
              <w:t xml:space="preserve"> </w:t>
            </w:r>
          </w:p>
          <w:p w14:paraId="4B4B57F1" w14:textId="2531615E" w:rsidR="007B23F0" w:rsidRPr="00DC3DDC" w:rsidRDefault="007B23F0" w:rsidP="00DC3DDC">
            <w:pPr>
              <w:pStyle w:val="ListParagraph"/>
              <w:numPr>
                <w:ilvl w:val="0"/>
                <w:numId w:val="17"/>
              </w:numPr>
              <w:rPr>
                <w:rFonts w:ascii="Arial" w:hAnsi="Arial" w:cs="Arial"/>
                <w:sz w:val="20"/>
                <w:szCs w:val="20"/>
              </w:rPr>
            </w:pPr>
            <w:r w:rsidRPr="00DC3DDC">
              <w:rPr>
                <w:rFonts w:ascii="Arial" w:hAnsi="Arial" w:cs="Arial"/>
                <w:sz w:val="20"/>
                <w:szCs w:val="20"/>
              </w:rPr>
              <w:t>Ultrasound-guided suprascapular nerve block</w:t>
            </w:r>
          </w:p>
          <w:p w14:paraId="690E3FAF" w14:textId="51EABDC8" w:rsidR="007B23F0" w:rsidRPr="00D2297E" w:rsidRDefault="007B23F0" w:rsidP="007B23F0">
            <w:pPr>
              <w:pStyle w:val="ListParagraph"/>
              <w:numPr>
                <w:ilvl w:val="0"/>
                <w:numId w:val="17"/>
              </w:numPr>
              <w:rPr>
                <w:rFonts w:ascii="Arial" w:hAnsi="Arial" w:cs="Arial"/>
                <w:sz w:val="20"/>
                <w:szCs w:val="20"/>
              </w:rPr>
            </w:pPr>
            <w:r w:rsidRPr="007B23F0">
              <w:rPr>
                <w:rFonts w:ascii="Arial" w:hAnsi="Arial" w:cs="Arial"/>
                <w:sz w:val="20"/>
                <w:szCs w:val="20"/>
              </w:rPr>
              <w:t>Ultrasound-guided shoulder hydrodistension</w:t>
            </w:r>
          </w:p>
          <w:p w14:paraId="7E811F9C" w14:textId="4117B9DF" w:rsidR="0054681B" w:rsidRDefault="0054681B" w:rsidP="007B23F0">
            <w:pPr>
              <w:rPr>
                <w:rFonts w:ascii="Arial" w:hAnsi="Arial" w:cs="Arial"/>
                <w:sz w:val="20"/>
                <w:szCs w:val="20"/>
              </w:rPr>
            </w:pPr>
          </w:p>
          <w:p w14:paraId="7D91A5A7" w14:textId="698A93DC" w:rsidR="0081548E" w:rsidRDefault="0081548E" w:rsidP="0081548E">
            <w:pPr>
              <w:rPr>
                <w:rFonts w:ascii="Arial" w:hAnsi="Arial" w:cs="Arial"/>
                <w:sz w:val="20"/>
                <w:szCs w:val="20"/>
              </w:rPr>
            </w:pPr>
            <w:r>
              <w:rPr>
                <w:rFonts w:ascii="Arial" w:hAnsi="Arial" w:cs="Arial"/>
                <w:sz w:val="20"/>
                <w:szCs w:val="20"/>
              </w:rPr>
              <w:t>As above, f</w:t>
            </w:r>
            <w:r w:rsidRPr="007B23F0">
              <w:rPr>
                <w:rFonts w:ascii="Arial" w:hAnsi="Arial" w:cs="Arial"/>
                <w:sz w:val="20"/>
                <w:szCs w:val="20"/>
              </w:rPr>
              <w:t>uture scope of the service could include ultrasound-guided caudal epidural provision</w:t>
            </w:r>
            <w:r w:rsidRPr="00534420">
              <w:rPr>
                <w:rFonts w:ascii="Arial" w:hAnsi="Arial" w:cs="Arial"/>
                <w:color w:val="FF0000"/>
                <w:sz w:val="20"/>
                <w:szCs w:val="20"/>
              </w:rPr>
              <w:t xml:space="preserve"> </w:t>
            </w:r>
            <w:r w:rsidRPr="007B23F0">
              <w:rPr>
                <w:rFonts w:ascii="Arial" w:hAnsi="Arial" w:cs="Arial"/>
                <w:sz w:val="20"/>
                <w:szCs w:val="20"/>
              </w:rPr>
              <w:t xml:space="preserve">delivered by advanced practitioners within the community, for appropriate patients and with suitable clinical oversight. </w:t>
            </w:r>
          </w:p>
          <w:p w14:paraId="46426E63" w14:textId="77777777" w:rsidR="0081548E" w:rsidRDefault="0081548E" w:rsidP="007B23F0">
            <w:pPr>
              <w:rPr>
                <w:rFonts w:ascii="Arial" w:hAnsi="Arial" w:cs="Arial"/>
                <w:sz w:val="20"/>
                <w:szCs w:val="20"/>
              </w:rPr>
            </w:pPr>
          </w:p>
          <w:p w14:paraId="0DBED5E5" w14:textId="554009CA" w:rsidR="00EC213C" w:rsidRDefault="007B23F0" w:rsidP="007B23F0">
            <w:pPr>
              <w:rPr>
                <w:rFonts w:ascii="Arial" w:hAnsi="Arial" w:cs="Arial"/>
                <w:sz w:val="20"/>
                <w:szCs w:val="20"/>
              </w:rPr>
            </w:pPr>
            <w:r w:rsidRPr="007B23F0">
              <w:rPr>
                <w:rFonts w:ascii="Arial" w:hAnsi="Arial" w:cs="Arial"/>
                <w:sz w:val="20"/>
                <w:szCs w:val="20"/>
              </w:rPr>
              <w:t xml:space="preserve">Injections of other substances, including hyaluronic acid or </w:t>
            </w:r>
            <w:r w:rsidR="005E27F2">
              <w:rPr>
                <w:rFonts w:ascii="Arial" w:hAnsi="Arial" w:cs="Arial"/>
                <w:sz w:val="20"/>
                <w:szCs w:val="20"/>
              </w:rPr>
              <w:t>platelet-rich plasma (</w:t>
            </w:r>
            <w:r w:rsidRPr="007B23F0">
              <w:rPr>
                <w:rFonts w:ascii="Arial" w:hAnsi="Arial" w:cs="Arial"/>
                <w:sz w:val="20"/>
                <w:szCs w:val="20"/>
              </w:rPr>
              <w:t>PRP</w:t>
            </w:r>
            <w:r w:rsidR="005E27F2">
              <w:rPr>
                <w:rFonts w:ascii="Arial" w:hAnsi="Arial" w:cs="Arial"/>
                <w:sz w:val="20"/>
                <w:szCs w:val="20"/>
              </w:rPr>
              <w:t>)</w:t>
            </w:r>
            <w:r w:rsidRPr="007B23F0">
              <w:rPr>
                <w:rFonts w:ascii="Arial" w:hAnsi="Arial" w:cs="Arial"/>
                <w:sz w:val="20"/>
                <w:szCs w:val="20"/>
              </w:rPr>
              <w:t xml:space="preserve"> would not be expected within the community service. </w:t>
            </w:r>
          </w:p>
          <w:p w14:paraId="4A720869" w14:textId="77777777" w:rsidR="0054681B" w:rsidRDefault="0054681B" w:rsidP="007B23F0">
            <w:pPr>
              <w:rPr>
                <w:rFonts w:ascii="Arial" w:hAnsi="Arial" w:cs="Arial"/>
                <w:sz w:val="20"/>
                <w:szCs w:val="20"/>
              </w:rPr>
            </w:pPr>
          </w:p>
          <w:p w14:paraId="62AE14D5" w14:textId="42726D58" w:rsidR="007B23F0" w:rsidRPr="007B23F0" w:rsidRDefault="005E27F2" w:rsidP="007B23F0">
            <w:pPr>
              <w:rPr>
                <w:rFonts w:ascii="Arial" w:hAnsi="Arial" w:cs="Arial"/>
                <w:sz w:val="20"/>
                <w:szCs w:val="20"/>
              </w:rPr>
            </w:pPr>
            <w:r>
              <w:rPr>
                <w:rFonts w:ascii="Arial" w:hAnsi="Arial" w:cs="Arial"/>
                <w:sz w:val="20"/>
                <w:szCs w:val="20"/>
              </w:rPr>
              <w:t>Transcutaneous electrical nerve stimulation (</w:t>
            </w:r>
            <w:r w:rsidR="007B23F0" w:rsidRPr="007B23F0">
              <w:rPr>
                <w:rFonts w:ascii="Arial" w:hAnsi="Arial" w:cs="Arial"/>
                <w:sz w:val="20"/>
                <w:szCs w:val="20"/>
              </w:rPr>
              <w:t>TENS</w:t>
            </w:r>
            <w:r>
              <w:rPr>
                <w:rFonts w:ascii="Arial" w:hAnsi="Arial" w:cs="Arial"/>
                <w:sz w:val="20"/>
                <w:szCs w:val="20"/>
              </w:rPr>
              <w:t>)</w:t>
            </w:r>
            <w:r w:rsidR="007B23F0" w:rsidRPr="007B23F0">
              <w:rPr>
                <w:rFonts w:ascii="Arial" w:hAnsi="Arial" w:cs="Arial"/>
                <w:sz w:val="20"/>
                <w:szCs w:val="20"/>
              </w:rPr>
              <w:t xml:space="preserve"> therapy wo</w:t>
            </w:r>
            <w:r w:rsidR="004B4460">
              <w:rPr>
                <w:rFonts w:ascii="Arial" w:hAnsi="Arial" w:cs="Arial"/>
                <w:sz w:val="20"/>
                <w:szCs w:val="20"/>
              </w:rPr>
              <w:t>uld not be expected within the S</w:t>
            </w:r>
            <w:r w:rsidR="007B23F0" w:rsidRPr="007B23F0">
              <w:rPr>
                <w:rFonts w:ascii="Arial" w:hAnsi="Arial" w:cs="Arial"/>
                <w:sz w:val="20"/>
                <w:szCs w:val="20"/>
              </w:rPr>
              <w:t xml:space="preserve">ervice. </w:t>
            </w:r>
          </w:p>
          <w:p w14:paraId="59537CC4" w14:textId="6EC44981" w:rsidR="007C3FD2" w:rsidRPr="007B23F0" w:rsidRDefault="007C3FD2" w:rsidP="007B23F0">
            <w:pPr>
              <w:rPr>
                <w:rFonts w:ascii="Arial" w:hAnsi="Arial" w:cs="Arial"/>
                <w:sz w:val="20"/>
                <w:szCs w:val="20"/>
              </w:rPr>
            </w:pPr>
          </w:p>
          <w:p w14:paraId="787B0DFE" w14:textId="596AB280" w:rsidR="007B23F0" w:rsidRPr="00C54BA6" w:rsidRDefault="004F288A" w:rsidP="007B23F0">
            <w:pPr>
              <w:pStyle w:val="Heading3"/>
              <w:rPr>
                <w:rFonts w:ascii="Arial" w:hAnsi="Arial" w:cs="Arial"/>
                <w:b/>
                <w:color w:val="auto"/>
                <w:sz w:val="20"/>
                <w:szCs w:val="20"/>
              </w:rPr>
            </w:pPr>
            <w:bookmarkStart w:id="27" w:name="_Toc127194688"/>
            <w:r>
              <w:rPr>
                <w:rFonts w:ascii="Arial" w:hAnsi="Arial" w:cs="Arial"/>
                <w:b/>
                <w:color w:val="auto"/>
                <w:sz w:val="20"/>
                <w:szCs w:val="20"/>
              </w:rPr>
              <w:t>3.3.18</w:t>
            </w:r>
            <w:r w:rsidR="005649AA">
              <w:rPr>
                <w:rFonts w:ascii="Arial" w:hAnsi="Arial" w:cs="Arial"/>
                <w:b/>
                <w:color w:val="auto"/>
                <w:sz w:val="20"/>
                <w:szCs w:val="20"/>
              </w:rPr>
              <w:t xml:space="preserve">.2 </w:t>
            </w:r>
            <w:r w:rsidR="007B23F0" w:rsidRPr="00C54BA6">
              <w:rPr>
                <w:rFonts w:ascii="Arial" w:hAnsi="Arial" w:cs="Arial"/>
                <w:b/>
                <w:color w:val="auto"/>
                <w:sz w:val="20"/>
                <w:szCs w:val="20"/>
              </w:rPr>
              <w:t>ESWT</w:t>
            </w:r>
            <w:bookmarkEnd w:id="27"/>
          </w:p>
          <w:p w14:paraId="23D4B10D" w14:textId="77777777" w:rsidR="007B23F0" w:rsidRPr="007B23F0" w:rsidRDefault="007B23F0" w:rsidP="007B23F0">
            <w:pPr>
              <w:rPr>
                <w:rFonts w:ascii="Arial" w:hAnsi="Arial" w:cs="Arial"/>
                <w:sz w:val="20"/>
                <w:szCs w:val="20"/>
              </w:rPr>
            </w:pPr>
          </w:p>
          <w:p w14:paraId="3199093B"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Whilst evidence and guidelines may be evolving, extracorporeal shockwave therapy (ESWT) would be desirable within the community services for persistent tendon problems, for appropriate cases such as foot and ankle which have not responded to first-line treatment. </w:t>
            </w:r>
          </w:p>
          <w:p w14:paraId="4962C2C6" w14:textId="5C8467F0" w:rsidR="007B23F0" w:rsidRPr="007B23F0" w:rsidRDefault="007B23F0" w:rsidP="007B23F0">
            <w:pPr>
              <w:rPr>
                <w:rFonts w:ascii="Arial" w:hAnsi="Arial" w:cs="Arial"/>
                <w:sz w:val="20"/>
                <w:szCs w:val="20"/>
              </w:rPr>
            </w:pPr>
          </w:p>
          <w:p w14:paraId="6CD6EF35" w14:textId="5EB2CC0C" w:rsidR="007B23F0" w:rsidRPr="00DA02B5" w:rsidRDefault="004F288A" w:rsidP="007B23F0">
            <w:pPr>
              <w:pStyle w:val="Heading3"/>
              <w:rPr>
                <w:rFonts w:ascii="Arial" w:hAnsi="Arial" w:cs="Arial"/>
                <w:b/>
                <w:color w:val="auto"/>
                <w:sz w:val="20"/>
                <w:szCs w:val="20"/>
              </w:rPr>
            </w:pPr>
            <w:bookmarkStart w:id="28" w:name="_Toc127194689"/>
            <w:r>
              <w:rPr>
                <w:rFonts w:ascii="Arial" w:hAnsi="Arial" w:cs="Arial"/>
                <w:b/>
                <w:color w:val="auto"/>
                <w:sz w:val="20"/>
                <w:szCs w:val="20"/>
              </w:rPr>
              <w:t>3.3.18</w:t>
            </w:r>
            <w:r w:rsidR="005649AA">
              <w:rPr>
                <w:rFonts w:ascii="Arial" w:hAnsi="Arial" w:cs="Arial"/>
                <w:b/>
                <w:color w:val="auto"/>
                <w:sz w:val="20"/>
                <w:szCs w:val="20"/>
              </w:rPr>
              <w:t xml:space="preserve">.3 </w:t>
            </w:r>
            <w:r w:rsidR="007B23F0" w:rsidRPr="00DA02B5">
              <w:rPr>
                <w:rFonts w:ascii="Arial" w:hAnsi="Arial" w:cs="Arial"/>
                <w:b/>
                <w:color w:val="auto"/>
                <w:sz w:val="20"/>
                <w:szCs w:val="20"/>
              </w:rPr>
              <w:t>Acupuncture</w:t>
            </w:r>
            <w:bookmarkEnd w:id="28"/>
          </w:p>
          <w:p w14:paraId="0CA3B6D3" w14:textId="77777777" w:rsidR="007B23F0" w:rsidRPr="00DA02B5" w:rsidRDefault="007B23F0" w:rsidP="007B23F0">
            <w:pPr>
              <w:rPr>
                <w:rFonts w:ascii="Arial" w:hAnsi="Arial" w:cs="Arial"/>
                <w:sz w:val="20"/>
                <w:szCs w:val="20"/>
              </w:rPr>
            </w:pPr>
          </w:p>
          <w:p w14:paraId="7FA965C9" w14:textId="2890C82F" w:rsidR="007B23F0" w:rsidRPr="007B23F0" w:rsidRDefault="007B23F0" w:rsidP="007B23F0">
            <w:pPr>
              <w:rPr>
                <w:rFonts w:ascii="Arial" w:hAnsi="Arial" w:cs="Arial"/>
                <w:sz w:val="20"/>
                <w:szCs w:val="20"/>
              </w:rPr>
            </w:pPr>
            <w:r w:rsidRPr="00DA02B5">
              <w:rPr>
                <w:rFonts w:ascii="Arial" w:hAnsi="Arial" w:cs="Arial"/>
                <w:sz w:val="20"/>
                <w:szCs w:val="20"/>
              </w:rPr>
              <w:t xml:space="preserve">In line with </w:t>
            </w:r>
            <w:hyperlink r:id="rId31" w:history="1">
              <w:r w:rsidRPr="00DA02B5">
                <w:rPr>
                  <w:rStyle w:val="Hyperlink"/>
                  <w:rFonts w:ascii="Arial" w:hAnsi="Arial" w:cs="Arial"/>
                  <w:color w:val="auto"/>
                  <w:sz w:val="20"/>
                  <w:szCs w:val="20"/>
                </w:rPr>
                <w:t>NICE Guideline on Chronic Pain NG193</w:t>
              </w:r>
            </w:hyperlink>
            <w:r w:rsidRPr="00DA02B5">
              <w:rPr>
                <w:rFonts w:ascii="Arial" w:hAnsi="Arial" w:cs="Arial"/>
                <w:sz w:val="20"/>
                <w:szCs w:val="20"/>
              </w:rPr>
              <w:t xml:space="preserve">, there may be an appropriate role for acupuncture for patients with chronic primary pain, which could be considered </w:t>
            </w:r>
            <w:r w:rsidRPr="007B23F0">
              <w:rPr>
                <w:rFonts w:ascii="Arial" w:hAnsi="Arial" w:cs="Arial"/>
                <w:sz w:val="20"/>
                <w:szCs w:val="20"/>
              </w:rPr>
              <w:t xml:space="preserve">within the </w:t>
            </w:r>
            <w:r w:rsidR="000F06EB">
              <w:rPr>
                <w:rFonts w:ascii="Arial" w:hAnsi="Arial" w:cs="Arial"/>
                <w:sz w:val="20"/>
                <w:szCs w:val="20"/>
              </w:rPr>
              <w:t>S</w:t>
            </w:r>
            <w:r w:rsidRPr="007B23F0">
              <w:rPr>
                <w:rFonts w:ascii="Arial" w:hAnsi="Arial" w:cs="Arial"/>
                <w:sz w:val="20"/>
                <w:szCs w:val="20"/>
              </w:rPr>
              <w:t xml:space="preserve">ervice, up to no more than 4 hours of healthcare professional time or delivered by another healthcare professional with appropriate training for equivalent or lower cost. </w:t>
            </w:r>
          </w:p>
          <w:p w14:paraId="20B2C582" w14:textId="77777777" w:rsidR="007B23F0" w:rsidRPr="007B23F0" w:rsidRDefault="007B23F0" w:rsidP="007B23F0">
            <w:pPr>
              <w:rPr>
                <w:rFonts w:ascii="Arial" w:hAnsi="Arial" w:cs="Arial"/>
                <w:sz w:val="20"/>
                <w:szCs w:val="20"/>
              </w:rPr>
            </w:pPr>
          </w:p>
          <w:p w14:paraId="054FDEE0" w14:textId="563890FD" w:rsidR="007B23F0" w:rsidRPr="007B23F0" w:rsidRDefault="007B23F0" w:rsidP="007B23F0">
            <w:pPr>
              <w:rPr>
                <w:rFonts w:ascii="Arial" w:hAnsi="Arial" w:cs="Arial"/>
                <w:sz w:val="20"/>
                <w:szCs w:val="20"/>
              </w:rPr>
            </w:pPr>
            <w:r w:rsidRPr="007B23F0">
              <w:rPr>
                <w:rFonts w:ascii="Arial" w:hAnsi="Arial" w:cs="Arial"/>
                <w:sz w:val="20"/>
                <w:szCs w:val="20"/>
              </w:rPr>
              <w:t xml:space="preserve">Delivery of such provision would be left to the discretion of the </w:t>
            </w:r>
            <w:r w:rsidR="000F06EB">
              <w:rPr>
                <w:rFonts w:ascii="Arial" w:hAnsi="Arial" w:cs="Arial"/>
                <w:sz w:val="20"/>
                <w:szCs w:val="20"/>
              </w:rPr>
              <w:t>S</w:t>
            </w:r>
            <w:r w:rsidRPr="007B23F0">
              <w:rPr>
                <w:rFonts w:ascii="Arial" w:hAnsi="Arial" w:cs="Arial"/>
                <w:sz w:val="20"/>
                <w:szCs w:val="20"/>
              </w:rPr>
              <w:t xml:space="preserve">ervice, pending resource implications within the scale of the contract. </w:t>
            </w:r>
          </w:p>
          <w:p w14:paraId="1FB207B8" w14:textId="03F9D6D0" w:rsidR="007B23F0" w:rsidRDefault="007B23F0" w:rsidP="007B23F0">
            <w:pPr>
              <w:rPr>
                <w:rFonts w:ascii="Arial" w:hAnsi="Arial" w:cs="Arial"/>
                <w:sz w:val="20"/>
                <w:szCs w:val="20"/>
              </w:rPr>
            </w:pPr>
          </w:p>
          <w:p w14:paraId="22B2AB94" w14:textId="56B774B8" w:rsidR="00A053D7" w:rsidRDefault="00A053D7" w:rsidP="007B23F0">
            <w:pPr>
              <w:rPr>
                <w:rFonts w:ascii="Arial" w:hAnsi="Arial" w:cs="Arial"/>
                <w:sz w:val="20"/>
                <w:szCs w:val="20"/>
              </w:rPr>
            </w:pPr>
          </w:p>
          <w:p w14:paraId="57058F2F" w14:textId="77777777" w:rsidR="00A053D7" w:rsidRPr="007B23F0" w:rsidRDefault="00A053D7" w:rsidP="007B23F0">
            <w:pPr>
              <w:rPr>
                <w:rFonts w:ascii="Arial" w:hAnsi="Arial" w:cs="Arial"/>
                <w:sz w:val="20"/>
                <w:szCs w:val="20"/>
              </w:rPr>
            </w:pPr>
          </w:p>
          <w:p w14:paraId="0BDEEE78" w14:textId="1C9A21B1" w:rsidR="007B23F0" w:rsidRPr="00C54BA6" w:rsidRDefault="004F288A" w:rsidP="007B23F0">
            <w:pPr>
              <w:pStyle w:val="Heading2"/>
              <w:rPr>
                <w:rFonts w:ascii="Arial" w:hAnsi="Arial" w:cs="Arial"/>
                <w:b/>
                <w:color w:val="auto"/>
                <w:sz w:val="20"/>
                <w:szCs w:val="20"/>
              </w:rPr>
            </w:pPr>
            <w:bookmarkStart w:id="29" w:name="_Toc127194690"/>
            <w:r>
              <w:rPr>
                <w:rFonts w:ascii="Arial" w:hAnsi="Arial" w:cs="Arial"/>
                <w:b/>
                <w:color w:val="auto"/>
                <w:sz w:val="20"/>
                <w:szCs w:val="20"/>
              </w:rPr>
              <w:lastRenderedPageBreak/>
              <w:t>3.3.19</w:t>
            </w:r>
            <w:r w:rsidR="007919F7">
              <w:rPr>
                <w:rFonts w:ascii="Arial" w:hAnsi="Arial" w:cs="Arial"/>
                <w:b/>
                <w:color w:val="auto"/>
                <w:sz w:val="20"/>
                <w:szCs w:val="20"/>
              </w:rPr>
              <w:t xml:space="preserve"> </w:t>
            </w:r>
            <w:r w:rsidR="007B23F0" w:rsidRPr="00C54BA6">
              <w:rPr>
                <w:rFonts w:ascii="Arial" w:hAnsi="Arial" w:cs="Arial"/>
                <w:b/>
                <w:color w:val="auto"/>
                <w:sz w:val="20"/>
                <w:szCs w:val="20"/>
              </w:rPr>
              <w:t>Onward Referrals</w:t>
            </w:r>
            <w:bookmarkEnd w:id="29"/>
          </w:p>
          <w:p w14:paraId="026F3628" w14:textId="77777777" w:rsidR="007B23F0" w:rsidRPr="007B23F0" w:rsidRDefault="007B23F0" w:rsidP="007B23F0">
            <w:pPr>
              <w:rPr>
                <w:rFonts w:ascii="Arial" w:hAnsi="Arial" w:cs="Arial"/>
                <w:sz w:val="20"/>
                <w:szCs w:val="20"/>
              </w:rPr>
            </w:pPr>
          </w:p>
          <w:p w14:paraId="7F7D57B9" w14:textId="5EDE44D7" w:rsidR="007B23F0" w:rsidRPr="007B23F0" w:rsidRDefault="007B23F0" w:rsidP="007B23F0">
            <w:p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Direct referrals can be made from the Service to hospital care for MSK related conditions.</w:t>
            </w:r>
            <w:r w:rsidR="00206524">
              <w:rPr>
                <w:rFonts w:ascii="Arial" w:eastAsia="MS Mincho" w:hAnsi="Arial" w:cs="Arial"/>
                <w:bCs/>
                <w:sz w:val="20"/>
                <w:szCs w:val="20"/>
                <w:lang w:eastAsia="ja-JP"/>
              </w:rPr>
              <w:t xml:space="preserve"> This should be undertaken via the appropriate digital platform (i.e. </w:t>
            </w:r>
            <w:proofErr w:type="spellStart"/>
            <w:r w:rsidR="00206524">
              <w:rPr>
                <w:rFonts w:ascii="Arial" w:eastAsia="MS Mincho" w:hAnsi="Arial" w:cs="Arial"/>
                <w:bCs/>
                <w:sz w:val="20"/>
                <w:szCs w:val="20"/>
                <w:lang w:eastAsia="ja-JP"/>
              </w:rPr>
              <w:t>eRS</w:t>
            </w:r>
            <w:proofErr w:type="spellEnd"/>
            <w:r w:rsidR="00206524">
              <w:rPr>
                <w:rFonts w:ascii="Arial" w:eastAsia="MS Mincho" w:hAnsi="Arial" w:cs="Arial"/>
                <w:bCs/>
                <w:sz w:val="20"/>
                <w:szCs w:val="20"/>
                <w:lang w:eastAsia="ja-JP"/>
              </w:rPr>
              <w:t xml:space="preserve">). </w:t>
            </w:r>
          </w:p>
          <w:p w14:paraId="069B4116" w14:textId="77777777" w:rsidR="007B23F0" w:rsidRPr="007B23F0" w:rsidRDefault="007B23F0" w:rsidP="007B23F0">
            <w:pPr>
              <w:spacing w:line="276" w:lineRule="auto"/>
              <w:rPr>
                <w:rFonts w:ascii="Arial" w:eastAsia="MS Mincho" w:hAnsi="Arial" w:cs="Arial"/>
                <w:bCs/>
                <w:sz w:val="20"/>
                <w:szCs w:val="20"/>
                <w:lang w:eastAsia="ja-JP"/>
              </w:rPr>
            </w:pPr>
          </w:p>
          <w:p w14:paraId="0D1C8A30" w14:textId="630A4070" w:rsidR="007B23F0" w:rsidRDefault="007B23F0" w:rsidP="007B23F0">
            <w:p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Where onward referral to hospital-based care is required (e.g., for surgery or adolescent patients that require paediatric specialist opinion), the Service will be required to provide:</w:t>
            </w:r>
          </w:p>
          <w:p w14:paraId="1B56FA48" w14:textId="77777777" w:rsidR="00F03108" w:rsidRPr="007B23F0" w:rsidRDefault="00F03108" w:rsidP="007B23F0">
            <w:pPr>
              <w:spacing w:line="276" w:lineRule="auto"/>
              <w:rPr>
                <w:rFonts w:ascii="Arial" w:eastAsia="MS Mincho" w:hAnsi="Arial" w:cs="Arial"/>
                <w:bCs/>
                <w:sz w:val="20"/>
                <w:szCs w:val="20"/>
                <w:lang w:eastAsia="ja-JP"/>
              </w:rPr>
            </w:pPr>
          </w:p>
          <w:p w14:paraId="1AEE18D3" w14:textId="77777777" w:rsidR="007B23F0" w:rsidRPr="007B23F0"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Informed choice of provider for patients – patients must be presented with information on options they have for choice of provider when referred to hospital.</w:t>
            </w:r>
          </w:p>
          <w:p w14:paraId="3B3B11C5" w14:textId="77777777" w:rsidR="007B23F0" w:rsidRPr="007B23F0"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Notification to the patient’s GP within 7 days.</w:t>
            </w:r>
          </w:p>
          <w:p w14:paraId="64259878" w14:textId="5CC8189E" w:rsidR="007B23F0" w:rsidRPr="007B23F0"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Direct listing </w:t>
            </w:r>
            <w:r w:rsidR="00206524">
              <w:rPr>
                <w:rFonts w:ascii="Arial" w:eastAsia="MS Mincho" w:hAnsi="Arial" w:cs="Arial"/>
                <w:bCs/>
                <w:sz w:val="20"/>
                <w:szCs w:val="20"/>
                <w:lang w:eastAsia="ja-JP"/>
              </w:rPr>
              <w:t xml:space="preserve">to an interventional procedure </w:t>
            </w:r>
            <w:r w:rsidRPr="007B23F0">
              <w:rPr>
                <w:rFonts w:ascii="Arial" w:eastAsia="MS Mincho" w:hAnsi="Arial" w:cs="Arial"/>
                <w:bCs/>
                <w:sz w:val="20"/>
                <w:szCs w:val="20"/>
                <w:lang w:eastAsia="ja-JP"/>
              </w:rPr>
              <w:t xml:space="preserve">where appropriate and where arrangements are in place </w:t>
            </w:r>
            <w:r w:rsidR="00206524">
              <w:rPr>
                <w:rFonts w:ascii="Arial" w:eastAsia="MS Mincho" w:hAnsi="Arial" w:cs="Arial"/>
                <w:bCs/>
                <w:sz w:val="20"/>
                <w:szCs w:val="20"/>
                <w:lang w:eastAsia="ja-JP"/>
              </w:rPr>
              <w:t>(typically</w:t>
            </w:r>
            <w:r w:rsidR="0000399A">
              <w:rPr>
                <w:rFonts w:ascii="Arial" w:eastAsia="MS Mincho" w:hAnsi="Arial" w:cs="Arial"/>
                <w:bCs/>
                <w:sz w:val="20"/>
                <w:szCs w:val="20"/>
                <w:lang w:eastAsia="ja-JP"/>
              </w:rPr>
              <w:t>,</w:t>
            </w:r>
            <w:r w:rsidR="00206524">
              <w:rPr>
                <w:rFonts w:ascii="Arial" w:eastAsia="MS Mincho" w:hAnsi="Arial" w:cs="Arial"/>
                <w:bCs/>
                <w:sz w:val="20"/>
                <w:szCs w:val="20"/>
                <w:lang w:eastAsia="ja-JP"/>
              </w:rPr>
              <w:t xml:space="preserve"> supported by Service Level Agreements with local secondary care providers) </w:t>
            </w:r>
            <w:r w:rsidRPr="007B23F0">
              <w:rPr>
                <w:rFonts w:ascii="Arial" w:eastAsia="MS Mincho" w:hAnsi="Arial" w:cs="Arial"/>
                <w:bCs/>
                <w:sz w:val="20"/>
                <w:szCs w:val="20"/>
                <w:lang w:eastAsia="ja-JP"/>
              </w:rPr>
              <w:t>and patient choice is offered.</w:t>
            </w:r>
          </w:p>
          <w:p w14:paraId="11570EA3" w14:textId="1170DEE3" w:rsidR="007B23F0" w:rsidRPr="007B23F0"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All diagnostics results and patient notes under agreed information sharing arrangements with hospital providers to prevent diagnostics duplication</w:t>
            </w:r>
            <w:r w:rsidR="0054681B">
              <w:t xml:space="preserve"> </w:t>
            </w:r>
            <w:r w:rsidRPr="007B23F0">
              <w:rPr>
                <w:rFonts w:ascii="Arial" w:eastAsia="MS Mincho" w:hAnsi="Arial" w:cs="Arial"/>
                <w:bCs/>
                <w:sz w:val="20"/>
                <w:szCs w:val="20"/>
                <w:lang w:eastAsia="ja-JP"/>
              </w:rPr>
              <w:t>and</w:t>
            </w:r>
          </w:p>
          <w:p w14:paraId="53D92AED" w14:textId="0B8A4BA1" w:rsidR="007B23F0" w:rsidRPr="00DA02B5"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Processes </w:t>
            </w:r>
            <w:r w:rsidRPr="00DA02B5">
              <w:rPr>
                <w:rFonts w:ascii="Arial" w:eastAsia="MS Mincho" w:hAnsi="Arial" w:cs="Arial"/>
                <w:bCs/>
                <w:sz w:val="20"/>
                <w:szCs w:val="20"/>
                <w:lang w:eastAsia="ja-JP"/>
              </w:rPr>
              <w:t>and pathways for rapid onward referral of patients with suspected malignancy, under 2 week wait rules, ensuring follow up with the receiving provider to ensure the referral has been received and actioned.</w:t>
            </w:r>
          </w:p>
          <w:p w14:paraId="393C94A2" w14:textId="724DC0E7" w:rsidR="00085B74" w:rsidRPr="00DA02B5" w:rsidRDefault="0054681B" w:rsidP="0054681B">
            <w:pPr>
              <w:numPr>
                <w:ilvl w:val="0"/>
                <w:numId w:val="6"/>
              </w:numPr>
              <w:spacing w:line="276" w:lineRule="auto"/>
              <w:rPr>
                <w:rFonts w:ascii="Arial" w:eastAsia="MS Mincho" w:hAnsi="Arial" w:cs="Arial"/>
                <w:bCs/>
                <w:sz w:val="20"/>
                <w:szCs w:val="20"/>
                <w:lang w:eastAsia="ja-JP"/>
              </w:rPr>
            </w:pPr>
            <w:r w:rsidRPr="00DA02B5">
              <w:rPr>
                <w:rFonts w:ascii="Arial" w:eastAsia="MS Mincho" w:hAnsi="Arial" w:cs="Arial"/>
                <w:bCs/>
                <w:sz w:val="20"/>
                <w:szCs w:val="20"/>
                <w:lang w:eastAsia="ja-JP"/>
              </w:rPr>
              <w:t>Processes and pathways for rapid onward referral of patients with suspected early inflammatory arthritis where NICE requires treatment within 6 weeks of GP referral, ensuring follow up with the receiving provider to ensure the referral</w:t>
            </w:r>
            <w:r w:rsidR="00D2297E" w:rsidRPr="00DA02B5">
              <w:rPr>
                <w:rFonts w:ascii="Arial" w:eastAsia="MS Mincho" w:hAnsi="Arial" w:cs="Arial"/>
                <w:bCs/>
                <w:sz w:val="20"/>
                <w:szCs w:val="20"/>
                <w:lang w:eastAsia="ja-JP"/>
              </w:rPr>
              <w:t xml:space="preserve"> has been received and actioned</w:t>
            </w:r>
            <w:r w:rsidRPr="00DA02B5">
              <w:rPr>
                <w:rFonts w:ascii="Arial" w:eastAsia="MS Mincho" w:hAnsi="Arial" w:cs="Arial"/>
                <w:bCs/>
                <w:sz w:val="20"/>
                <w:szCs w:val="20"/>
                <w:lang w:eastAsia="ja-JP"/>
              </w:rPr>
              <w:t xml:space="preserve">. </w:t>
            </w:r>
            <w:r w:rsidR="00D2297E" w:rsidRPr="00DA02B5">
              <w:rPr>
                <w:rFonts w:ascii="Arial" w:eastAsia="MS Mincho" w:hAnsi="Arial" w:cs="Arial"/>
                <w:bCs/>
                <w:sz w:val="20"/>
                <w:szCs w:val="20"/>
                <w:lang w:eastAsia="ja-JP"/>
              </w:rPr>
              <w:t>Data s</w:t>
            </w:r>
            <w:r w:rsidR="00085B74" w:rsidRPr="00DA02B5">
              <w:rPr>
                <w:rFonts w:ascii="Arial" w:eastAsia="MS Mincho" w:hAnsi="Arial" w:cs="Arial"/>
                <w:bCs/>
                <w:sz w:val="20"/>
                <w:szCs w:val="20"/>
                <w:lang w:eastAsia="ja-JP"/>
              </w:rPr>
              <w:t xml:space="preserve">hould </w:t>
            </w:r>
            <w:r w:rsidR="00D2297E" w:rsidRPr="00DA02B5">
              <w:rPr>
                <w:rFonts w:ascii="Arial" w:eastAsia="MS Mincho" w:hAnsi="Arial" w:cs="Arial"/>
                <w:bCs/>
                <w:sz w:val="20"/>
                <w:szCs w:val="20"/>
                <w:lang w:eastAsia="ja-JP"/>
              </w:rPr>
              <w:t xml:space="preserve">be added to the EIA </w:t>
            </w:r>
            <w:r w:rsidR="00085B74" w:rsidRPr="00DA02B5">
              <w:rPr>
                <w:rFonts w:ascii="Arial" w:eastAsia="MS Mincho" w:hAnsi="Arial" w:cs="Arial"/>
                <w:bCs/>
                <w:sz w:val="20"/>
                <w:szCs w:val="20"/>
                <w:lang w:eastAsia="ja-JP"/>
              </w:rPr>
              <w:t>audit</w:t>
            </w:r>
          </w:p>
          <w:p w14:paraId="4D50AA47" w14:textId="77777777" w:rsidR="007B23F0" w:rsidRPr="007B23F0" w:rsidRDefault="007B23F0" w:rsidP="00DC3DDC">
            <w:pPr>
              <w:numPr>
                <w:ilvl w:val="0"/>
                <w:numId w:val="6"/>
              </w:numPr>
              <w:spacing w:line="276" w:lineRule="auto"/>
              <w:rPr>
                <w:rFonts w:ascii="Arial" w:eastAsia="MS Mincho" w:hAnsi="Arial" w:cs="Arial"/>
                <w:bCs/>
                <w:sz w:val="20"/>
                <w:szCs w:val="20"/>
                <w:lang w:eastAsia="ja-JP"/>
              </w:rPr>
            </w:pPr>
            <w:r w:rsidRPr="007B23F0">
              <w:rPr>
                <w:rFonts w:ascii="Arial" w:eastAsia="MS Mincho" w:hAnsi="Arial" w:cs="Arial"/>
                <w:bCs/>
                <w:sz w:val="20"/>
                <w:szCs w:val="20"/>
                <w:lang w:eastAsia="ja-JP"/>
              </w:rPr>
              <w:t>The Service must have in place pathways and processes for urgent referral to A&amp;E for emergencies.</w:t>
            </w:r>
          </w:p>
          <w:p w14:paraId="063B653A" w14:textId="792B7A90" w:rsidR="007B23F0" w:rsidRPr="007B23F0" w:rsidRDefault="007B23F0" w:rsidP="007B23F0">
            <w:pPr>
              <w:rPr>
                <w:rFonts w:ascii="Arial" w:hAnsi="Arial" w:cs="Arial"/>
                <w:sz w:val="20"/>
                <w:szCs w:val="20"/>
              </w:rPr>
            </w:pPr>
          </w:p>
          <w:p w14:paraId="2FA71745"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Mechanisms should be in place to allow tracking of onward referrals in order to seamlessly follow up appropriate benchmarking data (for example conversion rate to secondary care interventional procedures, or patients started on disease-modifying medication). </w:t>
            </w:r>
          </w:p>
          <w:p w14:paraId="52B45748" w14:textId="0C1B306F" w:rsidR="007B23F0" w:rsidRDefault="00981996" w:rsidP="00F03108">
            <w:pPr>
              <w:tabs>
                <w:tab w:val="left" w:pos="1311"/>
                <w:tab w:val="left" w:pos="3718"/>
              </w:tabs>
              <w:rPr>
                <w:rFonts w:ascii="Arial" w:hAnsi="Arial" w:cs="Arial"/>
                <w:sz w:val="20"/>
                <w:szCs w:val="20"/>
              </w:rPr>
            </w:pPr>
            <w:r>
              <w:rPr>
                <w:rFonts w:ascii="Arial" w:hAnsi="Arial" w:cs="Arial"/>
                <w:sz w:val="20"/>
                <w:szCs w:val="20"/>
              </w:rPr>
              <w:tab/>
            </w:r>
          </w:p>
          <w:p w14:paraId="0DD2247C" w14:textId="7F7FD7CE" w:rsidR="000F3C64" w:rsidRPr="00981996" w:rsidRDefault="004F288A" w:rsidP="007B23F0">
            <w:pPr>
              <w:rPr>
                <w:rFonts w:ascii="Arial" w:hAnsi="Arial" w:cs="Arial"/>
                <w:b/>
                <w:bCs/>
                <w:sz w:val="20"/>
                <w:szCs w:val="20"/>
              </w:rPr>
            </w:pPr>
            <w:r>
              <w:rPr>
                <w:rFonts w:ascii="Arial" w:hAnsi="Arial" w:cs="Arial"/>
                <w:b/>
                <w:bCs/>
                <w:sz w:val="20"/>
                <w:szCs w:val="20"/>
              </w:rPr>
              <w:t xml:space="preserve">3.3.20 </w:t>
            </w:r>
            <w:r w:rsidR="00981996">
              <w:rPr>
                <w:rFonts w:ascii="Arial" w:hAnsi="Arial" w:cs="Arial"/>
                <w:b/>
                <w:bCs/>
                <w:sz w:val="20"/>
                <w:szCs w:val="20"/>
              </w:rPr>
              <w:t>Discharge</w:t>
            </w:r>
          </w:p>
          <w:p w14:paraId="4A47AA67" w14:textId="3A612110" w:rsidR="000F3C64" w:rsidRDefault="000F3C64" w:rsidP="007B23F0">
            <w:pPr>
              <w:rPr>
                <w:rFonts w:ascii="Arial" w:hAnsi="Arial" w:cs="Arial"/>
                <w:sz w:val="20"/>
                <w:szCs w:val="20"/>
              </w:rPr>
            </w:pPr>
          </w:p>
          <w:p w14:paraId="42C8DA8F" w14:textId="68FAED4B" w:rsidR="00981996" w:rsidRDefault="000F3C64" w:rsidP="000F3C64">
            <w:pPr>
              <w:rPr>
                <w:rFonts w:ascii="Arial" w:hAnsi="Arial" w:cs="Arial"/>
                <w:sz w:val="20"/>
                <w:szCs w:val="20"/>
              </w:rPr>
            </w:pPr>
            <w:r>
              <w:rPr>
                <w:rFonts w:ascii="Arial" w:hAnsi="Arial" w:cs="Arial"/>
                <w:sz w:val="20"/>
                <w:szCs w:val="20"/>
              </w:rPr>
              <w:t xml:space="preserve">All patients at discharge from the </w:t>
            </w:r>
            <w:r w:rsidR="000F06EB">
              <w:rPr>
                <w:rFonts w:ascii="Arial" w:hAnsi="Arial" w:cs="Arial"/>
                <w:sz w:val="20"/>
                <w:szCs w:val="20"/>
              </w:rPr>
              <w:t>S</w:t>
            </w:r>
            <w:r>
              <w:rPr>
                <w:rFonts w:ascii="Arial" w:hAnsi="Arial" w:cs="Arial"/>
                <w:sz w:val="20"/>
                <w:szCs w:val="20"/>
              </w:rPr>
              <w:t>ervice should have a clear</w:t>
            </w:r>
            <w:r w:rsidR="00981996">
              <w:rPr>
                <w:rFonts w:ascii="Arial" w:hAnsi="Arial" w:cs="Arial"/>
                <w:sz w:val="20"/>
                <w:szCs w:val="20"/>
              </w:rPr>
              <w:t xml:space="preserve"> documented</w:t>
            </w:r>
            <w:r>
              <w:rPr>
                <w:rFonts w:ascii="Arial" w:hAnsi="Arial" w:cs="Arial"/>
                <w:sz w:val="20"/>
                <w:szCs w:val="20"/>
              </w:rPr>
              <w:t xml:space="preserve"> </w:t>
            </w:r>
            <w:r w:rsidR="00981996">
              <w:rPr>
                <w:rFonts w:ascii="Arial" w:hAnsi="Arial" w:cs="Arial"/>
                <w:sz w:val="20"/>
                <w:szCs w:val="20"/>
              </w:rPr>
              <w:t xml:space="preserve">suspected diagnosis (with clear reasoning for that diagnosis) along with documented treatment options and plan. </w:t>
            </w:r>
          </w:p>
          <w:p w14:paraId="6FD4EC5C" w14:textId="77777777" w:rsidR="00981996" w:rsidRDefault="00981996" w:rsidP="000F3C64">
            <w:pPr>
              <w:rPr>
                <w:rFonts w:ascii="Arial" w:hAnsi="Arial" w:cs="Arial"/>
                <w:sz w:val="20"/>
                <w:szCs w:val="20"/>
              </w:rPr>
            </w:pPr>
          </w:p>
          <w:p w14:paraId="2B700EC9" w14:textId="6064BE06" w:rsidR="000F3C64" w:rsidRDefault="00981996" w:rsidP="000F3C64">
            <w:pPr>
              <w:rPr>
                <w:rFonts w:ascii="Arial" w:hAnsi="Arial" w:cs="Arial"/>
                <w:sz w:val="20"/>
                <w:szCs w:val="20"/>
              </w:rPr>
            </w:pPr>
            <w:r>
              <w:rPr>
                <w:rFonts w:ascii="Arial" w:hAnsi="Arial" w:cs="Arial"/>
                <w:sz w:val="20"/>
                <w:szCs w:val="20"/>
              </w:rPr>
              <w:t xml:space="preserve">This should be copied to the patient as well as to the GP practice within a timely </w:t>
            </w:r>
            <w:r w:rsidR="005E27F2">
              <w:rPr>
                <w:rFonts w:ascii="Arial" w:hAnsi="Arial" w:cs="Arial"/>
                <w:sz w:val="20"/>
                <w:szCs w:val="20"/>
              </w:rPr>
              <w:t>manner, within 5 working days</w:t>
            </w:r>
            <w:r>
              <w:rPr>
                <w:rFonts w:ascii="Arial" w:hAnsi="Arial" w:cs="Arial"/>
                <w:sz w:val="20"/>
                <w:szCs w:val="20"/>
              </w:rPr>
              <w:t xml:space="preserve">. </w:t>
            </w:r>
          </w:p>
          <w:p w14:paraId="4F386DF5" w14:textId="18479898" w:rsidR="005E27F2" w:rsidRDefault="005E27F2" w:rsidP="000F3C64">
            <w:pPr>
              <w:rPr>
                <w:rFonts w:ascii="Arial" w:hAnsi="Arial" w:cs="Arial"/>
                <w:sz w:val="20"/>
                <w:szCs w:val="20"/>
              </w:rPr>
            </w:pPr>
          </w:p>
          <w:p w14:paraId="6B853BFF" w14:textId="389947BF" w:rsidR="007B23F0" w:rsidRDefault="004F288A" w:rsidP="000F3C64">
            <w:pPr>
              <w:rPr>
                <w:rFonts w:ascii="Arial" w:hAnsi="Arial" w:cs="Arial"/>
                <w:b/>
                <w:sz w:val="20"/>
                <w:szCs w:val="20"/>
              </w:rPr>
            </w:pPr>
            <w:r>
              <w:rPr>
                <w:rFonts w:ascii="Arial" w:hAnsi="Arial" w:cs="Arial"/>
                <w:b/>
                <w:sz w:val="20"/>
                <w:szCs w:val="20"/>
              </w:rPr>
              <w:t>3.3.21</w:t>
            </w:r>
            <w:r w:rsidR="007919F7">
              <w:rPr>
                <w:rFonts w:ascii="Arial" w:hAnsi="Arial" w:cs="Arial"/>
                <w:b/>
                <w:sz w:val="20"/>
                <w:szCs w:val="20"/>
              </w:rPr>
              <w:t xml:space="preserve"> </w:t>
            </w:r>
            <w:r w:rsidR="007B23F0" w:rsidRPr="00C54BA6">
              <w:rPr>
                <w:rFonts w:ascii="Arial" w:hAnsi="Arial" w:cs="Arial"/>
                <w:b/>
                <w:sz w:val="20"/>
                <w:szCs w:val="20"/>
              </w:rPr>
              <w:t>Data set and outcome measures</w:t>
            </w:r>
          </w:p>
          <w:p w14:paraId="456CD12B" w14:textId="77777777" w:rsidR="00DA02B5" w:rsidRPr="00C54BA6" w:rsidRDefault="00DA02B5" w:rsidP="000F3C64">
            <w:pPr>
              <w:rPr>
                <w:rFonts w:ascii="Arial" w:hAnsi="Arial" w:cs="Arial"/>
                <w:b/>
                <w:sz w:val="20"/>
                <w:szCs w:val="20"/>
              </w:rPr>
            </w:pPr>
          </w:p>
          <w:p w14:paraId="09AF8459" w14:textId="77777777" w:rsidR="00682725" w:rsidRDefault="004B4460" w:rsidP="0054681B">
            <w:pPr>
              <w:rPr>
                <w:rFonts w:ascii="Arial" w:hAnsi="Arial" w:cs="Arial"/>
                <w:sz w:val="20"/>
                <w:szCs w:val="20"/>
              </w:rPr>
            </w:pPr>
            <w:r>
              <w:rPr>
                <w:rFonts w:ascii="Arial" w:hAnsi="Arial" w:cs="Arial"/>
                <w:sz w:val="20"/>
                <w:szCs w:val="20"/>
              </w:rPr>
              <w:t>The P</w:t>
            </w:r>
            <w:r w:rsidR="007B23F0" w:rsidRPr="007B23F0">
              <w:rPr>
                <w:rFonts w:ascii="Arial" w:hAnsi="Arial" w:cs="Arial"/>
                <w:sz w:val="20"/>
                <w:szCs w:val="20"/>
              </w:rPr>
              <w:t>rovider should work closely with the ICB to analyse system data and assess all areas of the pathway for clinical and cost-effecti</w:t>
            </w:r>
            <w:r w:rsidR="00474501">
              <w:rPr>
                <w:rFonts w:ascii="Arial" w:hAnsi="Arial" w:cs="Arial"/>
                <w:sz w:val="20"/>
                <w:szCs w:val="20"/>
              </w:rPr>
              <w:t>veness and patient experience.</w:t>
            </w:r>
          </w:p>
          <w:p w14:paraId="0773E76B" w14:textId="4303062E" w:rsidR="0054681B" w:rsidRPr="00DA02B5" w:rsidRDefault="0054681B" w:rsidP="0054681B">
            <w:pPr>
              <w:rPr>
                <w:rFonts w:ascii="Arial" w:hAnsi="Arial" w:cs="Arial"/>
                <w:sz w:val="20"/>
                <w:szCs w:val="20"/>
              </w:rPr>
            </w:pPr>
          </w:p>
          <w:p w14:paraId="7731211D" w14:textId="5DA29DC3" w:rsidR="007B23F0" w:rsidRPr="00DA02B5" w:rsidRDefault="007B23F0" w:rsidP="00DC3DDC">
            <w:pPr>
              <w:pStyle w:val="CommentText"/>
              <w:rPr>
                <w:rFonts w:ascii="Arial" w:hAnsi="Arial" w:cs="Arial"/>
              </w:rPr>
            </w:pPr>
            <w:r w:rsidRPr="00DA02B5">
              <w:rPr>
                <w:rFonts w:ascii="Arial" w:hAnsi="Arial" w:cs="Arial"/>
              </w:rPr>
              <w:t xml:space="preserve">A proposed minimum standard dataset for all patients may include the </w:t>
            </w:r>
            <w:hyperlink r:id="rId32" w:history="1">
              <w:proofErr w:type="spellStart"/>
              <w:r w:rsidRPr="00DA02B5">
                <w:rPr>
                  <w:rStyle w:val="Hyperlink"/>
                  <w:rFonts w:ascii="Arial" w:hAnsi="Arial" w:cs="Arial"/>
                  <w:color w:val="auto"/>
                </w:rPr>
                <w:t>Keele</w:t>
              </w:r>
              <w:proofErr w:type="spellEnd"/>
              <w:r w:rsidRPr="00DA02B5">
                <w:rPr>
                  <w:rStyle w:val="Hyperlink"/>
                  <w:rFonts w:ascii="Arial" w:hAnsi="Arial" w:cs="Arial"/>
                  <w:color w:val="auto"/>
                </w:rPr>
                <w:t xml:space="preserve"> Community Services Standardised Dataset</w:t>
              </w:r>
            </w:hyperlink>
            <w:r w:rsidRPr="00DA02B5">
              <w:rPr>
                <w:rFonts w:ascii="Arial" w:hAnsi="Arial" w:cs="Arial"/>
              </w:rPr>
              <w:t>, as well as the appropriate NHSE benchmarking dataset (</w:t>
            </w:r>
            <w:hyperlink r:id="rId33" w:history="1">
              <w:r w:rsidRPr="00DA02B5">
                <w:rPr>
                  <w:rStyle w:val="Hyperlink"/>
                  <w:rFonts w:ascii="Arial" w:hAnsi="Arial" w:cs="Arial"/>
                  <w:color w:val="auto"/>
                </w:rPr>
                <w:t>Community Services Data Set from NHS Digital</w:t>
              </w:r>
            </w:hyperlink>
            <w:r w:rsidRPr="00DA02B5">
              <w:rPr>
                <w:rFonts w:ascii="Arial" w:hAnsi="Arial" w:cs="Arial"/>
              </w:rPr>
              <w:t xml:space="preserve">). </w:t>
            </w:r>
          </w:p>
          <w:p w14:paraId="31BFBF07" w14:textId="77777777" w:rsidR="00DC3DDC" w:rsidRPr="00DA02B5" w:rsidRDefault="00DC3DDC" w:rsidP="00DC3DDC">
            <w:pPr>
              <w:pStyle w:val="CommentText"/>
              <w:rPr>
                <w:rFonts w:ascii="Arial" w:hAnsi="Arial" w:cs="Arial"/>
              </w:rPr>
            </w:pPr>
          </w:p>
          <w:p w14:paraId="32D057E9" w14:textId="092E9709" w:rsidR="007B23F0" w:rsidRPr="002B0573" w:rsidRDefault="007B23F0" w:rsidP="002B0573">
            <w:pPr>
              <w:pStyle w:val="CommentText"/>
            </w:pPr>
            <w:r w:rsidRPr="00DA02B5">
              <w:rPr>
                <w:rFonts w:ascii="Arial" w:hAnsi="Arial" w:cs="Arial"/>
              </w:rPr>
              <w:t xml:space="preserve">The preferred patient outcome measure for </w:t>
            </w:r>
            <w:r w:rsidRPr="007B23F0">
              <w:rPr>
                <w:rFonts w:ascii="Arial" w:hAnsi="Arial" w:cs="Arial"/>
              </w:rPr>
              <w:t xml:space="preserve">NWL MSK </w:t>
            </w:r>
            <w:r w:rsidR="00C51F28">
              <w:rPr>
                <w:rFonts w:ascii="Arial" w:hAnsi="Arial" w:cs="Arial"/>
              </w:rPr>
              <w:t xml:space="preserve">will be the MSK-HQ questionnaire. </w:t>
            </w:r>
            <w:r w:rsidRPr="007B23F0">
              <w:rPr>
                <w:rFonts w:ascii="Arial" w:hAnsi="Arial" w:cs="Arial"/>
              </w:rPr>
              <w:t xml:space="preserve">The </w:t>
            </w:r>
            <w:r w:rsidR="000F06EB">
              <w:rPr>
                <w:rFonts w:ascii="Arial" w:hAnsi="Arial" w:cs="Arial"/>
              </w:rPr>
              <w:t>S</w:t>
            </w:r>
            <w:r w:rsidRPr="007B23F0">
              <w:rPr>
                <w:rFonts w:ascii="Arial" w:hAnsi="Arial" w:cs="Arial"/>
              </w:rPr>
              <w:t xml:space="preserve">ervice should use a range of tools, including automated digital platforms, to capture baseline pre-appointment and outcome MSK-HQ scores for as many patients as possible moving through the service. </w:t>
            </w:r>
          </w:p>
          <w:p w14:paraId="7DC96194" w14:textId="77777777" w:rsidR="007B23F0" w:rsidRPr="007B23F0" w:rsidRDefault="007B23F0" w:rsidP="007B23F0">
            <w:pPr>
              <w:rPr>
                <w:rFonts w:ascii="Arial" w:hAnsi="Arial" w:cs="Arial"/>
                <w:sz w:val="20"/>
                <w:szCs w:val="20"/>
              </w:rPr>
            </w:pPr>
          </w:p>
          <w:p w14:paraId="31B16619" w14:textId="77777777" w:rsidR="007B23F0" w:rsidRPr="007B23F0" w:rsidRDefault="007B23F0" w:rsidP="007B23F0">
            <w:pPr>
              <w:rPr>
                <w:rFonts w:ascii="Arial" w:hAnsi="Arial" w:cs="Arial"/>
                <w:sz w:val="20"/>
                <w:szCs w:val="20"/>
              </w:rPr>
            </w:pPr>
            <w:r w:rsidRPr="007B23F0">
              <w:rPr>
                <w:rFonts w:ascii="Arial" w:hAnsi="Arial" w:cs="Arial"/>
                <w:sz w:val="20"/>
                <w:szCs w:val="20"/>
              </w:rPr>
              <w:t xml:space="preserve">Through FCP roles, capture of MSK-HQ data for patients in primary care will be useful. Benchmarking of referral activity from primary care will help identify areas for additional support to address variation in primary care activity. </w:t>
            </w:r>
          </w:p>
          <w:p w14:paraId="7DA6A651" w14:textId="77777777" w:rsidR="007B23F0" w:rsidRPr="007B23F0" w:rsidRDefault="007B23F0" w:rsidP="007B23F0">
            <w:pPr>
              <w:tabs>
                <w:tab w:val="left" w:pos="2544"/>
              </w:tabs>
              <w:rPr>
                <w:rFonts w:ascii="Arial" w:hAnsi="Arial" w:cs="Arial"/>
                <w:sz w:val="20"/>
                <w:szCs w:val="20"/>
              </w:rPr>
            </w:pPr>
          </w:p>
          <w:p w14:paraId="7D477E70" w14:textId="77777777" w:rsidR="007B23F0" w:rsidRPr="007B23F0" w:rsidRDefault="007B23F0" w:rsidP="007B23F0">
            <w:pPr>
              <w:tabs>
                <w:tab w:val="left" w:pos="2544"/>
              </w:tabs>
              <w:rPr>
                <w:rFonts w:ascii="Arial" w:hAnsi="Arial" w:cs="Arial"/>
                <w:sz w:val="20"/>
                <w:szCs w:val="20"/>
              </w:rPr>
            </w:pPr>
            <w:r w:rsidRPr="007B23F0">
              <w:rPr>
                <w:rFonts w:ascii="Arial" w:hAnsi="Arial" w:cs="Arial"/>
                <w:sz w:val="20"/>
                <w:szCs w:val="20"/>
              </w:rPr>
              <w:t>Additional relevant metrics included those suggested from NHS England’s London MSK Board include:</w:t>
            </w:r>
          </w:p>
          <w:p w14:paraId="3ACA8932" w14:textId="77777777" w:rsidR="007B23F0" w:rsidRPr="007B23F0" w:rsidRDefault="007B23F0" w:rsidP="00DC3DDC">
            <w:pPr>
              <w:pStyle w:val="ListParagraph"/>
              <w:numPr>
                <w:ilvl w:val="0"/>
                <w:numId w:val="20"/>
              </w:numPr>
              <w:tabs>
                <w:tab w:val="left" w:pos="2544"/>
              </w:tabs>
              <w:rPr>
                <w:rFonts w:ascii="Arial" w:hAnsi="Arial" w:cs="Arial"/>
                <w:sz w:val="20"/>
                <w:szCs w:val="20"/>
              </w:rPr>
            </w:pPr>
            <w:r w:rsidRPr="007B23F0">
              <w:rPr>
                <w:rFonts w:ascii="Arial" w:hAnsi="Arial" w:cs="Arial"/>
                <w:sz w:val="20"/>
                <w:szCs w:val="20"/>
              </w:rPr>
              <w:lastRenderedPageBreak/>
              <w:t>Bypass rates (secondary care referrals bypassing the community service)</w:t>
            </w:r>
          </w:p>
          <w:p w14:paraId="06FE1C68" w14:textId="77777777" w:rsidR="007B23F0" w:rsidRPr="007B23F0" w:rsidRDefault="007B23F0" w:rsidP="00DC3DDC">
            <w:pPr>
              <w:pStyle w:val="ListParagraph"/>
              <w:numPr>
                <w:ilvl w:val="0"/>
                <w:numId w:val="20"/>
              </w:numPr>
              <w:tabs>
                <w:tab w:val="left" w:pos="2544"/>
              </w:tabs>
              <w:rPr>
                <w:rFonts w:ascii="Arial" w:hAnsi="Arial" w:cs="Arial"/>
                <w:sz w:val="20"/>
                <w:szCs w:val="20"/>
              </w:rPr>
            </w:pPr>
            <w:r w:rsidRPr="007B23F0">
              <w:rPr>
                <w:rFonts w:ascii="Arial" w:hAnsi="Arial" w:cs="Arial"/>
                <w:sz w:val="20"/>
                <w:szCs w:val="20"/>
              </w:rPr>
              <w:t>Waiting times (for both community and secondary care services)</w:t>
            </w:r>
          </w:p>
          <w:p w14:paraId="5D948211" w14:textId="77777777" w:rsidR="007B23F0" w:rsidRPr="00DA02B5" w:rsidRDefault="007B23F0" w:rsidP="00DC3DDC">
            <w:pPr>
              <w:pStyle w:val="ListParagraph"/>
              <w:numPr>
                <w:ilvl w:val="0"/>
                <w:numId w:val="20"/>
              </w:numPr>
              <w:tabs>
                <w:tab w:val="left" w:pos="2544"/>
              </w:tabs>
              <w:rPr>
                <w:rFonts w:ascii="Arial" w:hAnsi="Arial" w:cs="Arial"/>
                <w:sz w:val="20"/>
                <w:szCs w:val="20"/>
              </w:rPr>
            </w:pPr>
            <w:r w:rsidRPr="007B23F0">
              <w:rPr>
                <w:rFonts w:ascii="Arial" w:hAnsi="Arial" w:cs="Arial"/>
                <w:sz w:val="20"/>
                <w:szCs w:val="20"/>
              </w:rPr>
              <w:t>Proportion of patients referred to orthopaedics and pain services who undergo an interventional/surgical procedure (‘</w:t>
            </w:r>
            <w:r w:rsidRPr="00DA02B5">
              <w:rPr>
                <w:rFonts w:ascii="Arial" w:hAnsi="Arial" w:cs="Arial"/>
                <w:sz w:val="20"/>
                <w:szCs w:val="20"/>
              </w:rPr>
              <w:t>surgical conversion rate’)</w:t>
            </w:r>
          </w:p>
          <w:p w14:paraId="254EC089" w14:textId="4615AF41" w:rsidR="007B23F0" w:rsidRPr="00DA02B5" w:rsidRDefault="007B23F0" w:rsidP="00DC3DDC">
            <w:pPr>
              <w:pStyle w:val="ListParagraph"/>
              <w:numPr>
                <w:ilvl w:val="0"/>
                <w:numId w:val="20"/>
              </w:numPr>
              <w:tabs>
                <w:tab w:val="left" w:pos="2544"/>
              </w:tabs>
              <w:rPr>
                <w:rFonts w:ascii="Arial" w:hAnsi="Arial" w:cs="Arial"/>
                <w:sz w:val="20"/>
                <w:szCs w:val="20"/>
              </w:rPr>
            </w:pPr>
            <w:r w:rsidRPr="00DA02B5">
              <w:rPr>
                <w:rFonts w:ascii="Arial" w:hAnsi="Arial" w:cs="Arial"/>
                <w:sz w:val="20"/>
                <w:szCs w:val="20"/>
              </w:rPr>
              <w:t xml:space="preserve">Proportion of patients referred to rheumatology started on </w:t>
            </w:r>
            <w:proofErr w:type="spellStart"/>
            <w:r w:rsidRPr="00DA02B5">
              <w:rPr>
                <w:rFonts w:ascii="Arial" w:hAnsi="Arial" w:cs="Arial"/>
                <w:sz w:val="20"/>
                <w:szCs w:val="20"/>
              </w:rPr>
              <w:t>cDMARD</w:t>
            </w:r>
            <w:proofErr w:type="spellEnd"/>
            <w:r w:rsidRPr="00DA02B5">
              <w:rPr>
                <w:rFonts w:ascii="Arial" w:hAnsi="Arial" w:cs="Arial"/>
                <w:sz w:val="20"/>
                <w:szCs w:val="20"/>
              </w:rPr>
              <w:t xml:space="preserve"> or </w:t>
            </w:r>
            <w:proofErr w:type="spellStart"/>
            <w:r w:rsidRPr="00DA02B5">
              <w:rPr>
                <w:rFonts w:ascii="Arial" w:hAnsi="Arial" w:cs="Arial"/>
                <w:sz w:val="20"/>
                <w:szCs w:val="20"/>
              </w:rPr>
              <w:t>bDMARD</w:t>
            </w:r>
            <w:proofErr w:type="spellEnd"/>
            <w:r w:rsidRPr="00DA02B5">
              <w:rPr>
                <w:rFonts w:ascii="Arial" w:hAnsi="Arial" w:cs="Arial"/>
                <w:sz w:val="20"/>
                <w:szCs w:val="20"/>
              </w:rPr>
              <w:t xml:space="preserve"> treatment (proxy measure of referrals for inflammatory con</w:t>
            </w:r>
            <w:r w:rsidR="00701611" w:rsidRPr="00DA02B5">
              <w:rPr>
                <w:rFonts w:ascii="Arial" w:hAnsi="Arial" w:cs="Arial"/>
                <w:sz w:val="20"/>
                <w:szCs w:val="20"/>
              </w:rPr>
              <w:t>ditions) o</w:t>
            </w:r>
            <w:r w:rsidR="0054681B" w:rsidRPr="00DA02B5">
              <w:rPr>
                <w:rFonts w:ascii="Arial" w:hAnsi="Arial" w:cs="Arial"/>
                <w:sz w:val="20"/>
                <w:szCs w:val="20"/>
              </w:rPr>
              <w:t xml:space="preserve">r </w:t>
            </w:r>
            <w:r w:rsidR="00D2297E" w:rsidRPr="00DA02B5">
              <w:rPr>
                <w:rFonts w:ascii="Arial" w:hAnsi="Arial" w:cs="Arial"/>
                <w:sz w:val="20"/>
                <w:szCs w:val="20"/>
              </w:rPr>
              <w:t>secon</w:t>
            </w:r>
            <w:r w:rsidR="00701611" w:rsidRPr="00DA02B5">
              <w:rPr>
                <w:rFonts w:ascii="Arial" w:hAnsi="Arial" w:cs="Arial"/>
                <w:sz w:val="20"/>
                <w:szCs w:val="20"/>
              </w:rPr>
              <w:t xml:space="preserve">dary care based </w:t>
            </w:r>
            <w:r w:rsidR="00290253" w:rsidRPr="00DA02B5">
              <w:rPr>
                <w:rFonts w:ascii="Arial" w:hAnsi="Arial" w:cs="Arial"/>
                <w:sz w:val="20"/>
                <w:szCs w:val="20"/>
              </w:rPr>
              <w:t>osteoporosis treatment</w:t>
            </w:r>
          </w:p>
          <w:p w14:paraId="593D12FF" w14:textId="77777777" w:rsidR="007B23F0" w:rsidRPr="007B23F0" w:rsidRDefault="007B23F0" w:rsidP="00DC3DDC">
            <w:pPr>
              <w:pStyle w:val="ListParagraph"/>
              <w:numPr>
                <w:ilvl w:val="0"/>
                <w:numId w:val="20"/>
              </w:numPr>
              <w:tabs>
                <w:tab w:val="left" w:pos="2544"/>
              </w:tabs>
              <w:rPr>
                <w:rFonts w:ascii="Arial" w:hAnsi="Arial" w:cs="Arial"/>
                <w:sz w:val="20"/>
                <w:szCs w:val="20"/>
              </w:rPr>
            </w:pPr>
            <w:r w:rsidRPr="00290253">
              <w:rPr>
                <w:rFonts w:ascii="Arial" w:hAnsi="Arial" w:cs="Arial"/>
                <w:sz w:val="20"/>
                <w:szCs w:val="20"/>
              </w:rPr>
              <w:t xml:space="preserve">Proportion of patients in secondary care pain receiving NHS </w:t>
            </w:r>
            <w:r w:rsidRPr="007B23F0">
              <w:rPr>
                <w:rFonts w:ascii="Arial" w:hAnsi="Arial" w:cs="Arial"/>
                <w:sz w:val="20"/>
                <w:szCs w:val="20"/>
              </w:rPr>
              <w:t>Evidence-Based Interventions</w:t>
            </w:r>
          </w:p>
          <w:p w14:paraId="170EA891" w14:textId="3D420FAA" w:rsidR="007B23F0" w:rsidRPr="007B23F0" w:rsidRDefault="007B23F0" w:rsidP="00DC3DDC">
            <w:pPr>
              <w:pStyle w:val="ListParagraph"/>
              <w:numPr>
                <w:ilvl w:val="0"/>
                <w:numId w:val="20"/>
              </w:numPr>
              <w:tabs>
                <w:tab w:val="left" w:pos="2544"/>
              </w:tabs>
              <w:rPr>
                <w:rFonts w:ascii="Arial" w:hAnsi="Arial" w:cs="Arial"/>
                <w:sz w:val="20"/>
                <w:szCs w:val="20"/>
              </w:rPr>
            </w:pPr>
            <w:r w:rsidRPr="007B23F0">
              <w:rPr>
                <w:rFonts w:ascii="Arial" w:hAnsi="Arial" w:cs="Arial"/>
                <w:sz w:val="20"/>
                <w:szCs w:val="20"/>
              </w:rPr>
              <w:t xml:space="preserve">Prescribing rates of opioids and </w:t>
            </w:r>
            <w:proofErr w:type="spellStart"/>
            <w:r w:rsidRPr="007B23F0">
              <w:rPr>
                <w:rFonts w:ascii="Arial" w:hAnsi="Arial" w:cs="Arial"/>
                <w:sz w:val="20"/>
                <w:szCs w:val="20"/>
              </w:rPr>
              <w:t>gabapentinoids</w:t>
            </w:r>
            <w:proofErr w:type="spellEnd"/>
            <w:r w:rsidR="00DC3DDC">
              <w:t xml:space="preserve"> </w:t>
            </w:r>
          </w:p>
          <w:p w14:paraId="286573AE" w14:textId="027C0646" w:rsidR="007B23F0" w:rsidRPr="00E54BA8" w:rsidRDefault="007B23F0" w:rsidP="00DC3DDC">
            <w:pPr>
              <w:pStyle w:val="ListParagraph"/>
              <w:numPr>
                <w:ilvl w:val="0"/>
                <w:numId w:val="20"/>
              </w:numPr>
              <w:tabs>
                <w:tab w:val="left" w:pos="2544"/>
              </w:tabs>
              <w:rPr>
                <w:rFonts w:ascii="Arial" w:hAnsi="Arial" w:cs="Arial"/>
                <w:strike/>
                <w:sz w:val="20"/>
                <w:szCs w:val="20"/>
              </w:rPr>
            </w:pPr>
            <w:r w:rsidRPr="007B23F0">
              <w:rPr>
                <w:rFonts w:ascii="Arial" w:hAnsi="Arial" w:cs="Arial"/>
                <w:sz w:val="20"/>
                <w:szCs w:val="20"/>
              </w:rPr>
              <w:t>Utilisation of digital decision aids to support shared decision-making</w:t>
            </w:r>
          </w:p>
          <w:p w14:paraId="5713AC1B" w14:textId="77777777" w:rsidR="007B23F0" w:rsidRPr="007B23F0" w:rsidRDefault="007B23F0" w:rsidP="00DC3DDC">
            <w:pPr>
              <w:pStyle w:val="ListParagraph"/>
              <w:numPr>
                <w:ilvl w:val="0"/>
                <w:numId w:val="20"/>
              </w:numPr>
              <w:tabs>
                <w:tab w:val="left" w:pos="2544"/>
              </w:tabs>
              <w:rPr>
                <w:rFonts w:ascii="Arial" w:hAnsi="Arial" w:cs="Arial"/>
                <w:sz w:val="20"/>
                <w:szCs w:val="20"/>
              </w:rPr>
            </w:pPr>
            <w:r w:rsidRPr="007B23F0">
              <w:rPr>
                <w:rFonts w:ascii="Arial" w:hAnsi="Arial" w:cs="Arial"/>
                <w:sz w:val="20"/>
                <w:szCs w:val="20"/>
              </w:rPr>
              <w:t xml:space="preserve">Healthcare utilisation: GP visits, A&amp;E visits, Scans in last 3 months. </w:t>
            </w:r>
          </w:p>
          <w:p w14:paraId="28BE761B" w14:textId="15231748" w:rsidR="007B23F0" w:rsidRDefault="007B23F0" w:rsidP="007B23F0">
            <w:pPr>
              <w:rPr>
                <w:rFonts w:ascii="Arial" w:hAnsi="Arial" w:cs="Arial"/>
                <w:sz w:val="20"/>
                <w:szCs w:val="20"/>
              </w:rPr>
            </w:pPr>
          </w:p>
          <w:p w14:paraId="1A7B5CBD" w14:textId="6A35B7EE" w:rsidR="0013171F" w:rsidRDefault="0013171F" w:rsidP="0013171F">
            <w:pPr>
              <w:rPr>
                <w:rFonts w:ascii="Arial" w:hAnsi="Arial" w:cs="Arial"/>
                <w:sz w:val="20"/>
                <w:szCs w:val="20"/>
              </w:rPr>
            </w:pPr>
            <w:r w:rsidRPr="00DA02B5">
              <w:rPr>
                <w:rFonts w:ascii="Arial" w:hAnsi="Arial" w:cs="Arial"/>
                <w:sz w:val="20"/>
                <w:szCs w:val="20"/>
              </w:rPr>
              <w:t>The Provider will submit data on (</w:t>
            </w:r>
            <w:proofErr w:type="spellStart"/>
            <w:r w:rsidRPr="00DA02B5">
              <w:rPr>
                <w:rFonts w:ascii="Arial" w:hAnsi="Arial" w:cs="Arial"/>
                <w:sz w:val="20"/>
                <w:szCs w:val="20"/>
              </w:rPr>
              <w:t>i</w:t>
            </w:r>
            <w:proofErr w:type="spellEnd"/>
            <w:r w:rsidRPr="00DA02B5">
              <w:rPr>
                <w:rFonts w:ascii="Arial" w:hAnsi="Arial" w:cs="Arial"/>
                <w:sz w:val="20"/>
                <w:szCs w:val="20"/>
              </w:rPr>
              <w:t>) waiting times (broken down by geography, condition, deprivation, ethnicity, etc) and on (ii) Non-attendance (DNA) rates (broken down by geography, condition, deprivation, ethnicity, etc) and other health inequalities data as required.</w:t>
            </w:r>
          </w:p>
          <w:p w14:paraId="0571FF5C" w14:textId="426B4875" w:rsidR="005E27F2" w:rsidRPr="00DA02B5" w:rsidRDefault="005E27F2" w:rsidP="0013171F">
            <w:pPr>
              <w:pStyle w:val="CommentText"/>
              <w:rPr>
                <w:rFonts w:ascii="Arial" w:hAnsi="Arial" w:cs="Arial"/>
              </w:rPr>
            </w:pPr>
          </w:p>
          <w:p w14:paraId="50274750" w14:textId="4A350F62" w:rsidR="00DA02B5" w:rsidRPr="00DA02B5" w:rsidRDefault="0013171F" w:rsidP="0013171F">
            <w:pPr>
              <w:pStyle w:val="CommentText"/>
              <w:rPr>
                <w:rFonts w:ascii="Arial" w:hAnsi="Arial" w:cs="Arial"/>
              </w:rPr>
            </w:pPr>
            <w:r w:rsidRPr="00DA02B5">
              <w:rPr>
                <w:rFonts w:ascii="Arial" w:hAnsi="Arial" w:cs="Arial"/>
              </w:rPr>
              <w:t xml:space="preserve">The </w:t>
            </w:r>
            <w:r w:rsidR="000F06EB">
              <w:rPr>
                <w:rFonts w:ascii="Arial" w:hAnsi="Arial" w:cs="Arial"/>
              </w:rPr>
              <w:t>S</w:t>
            </w:r>
            <w:r w:rsidRPr="00DA02B5">
              <w:rPr>
                <w:rFonts w:ascii="Arial" w:hAnsi="Arial" w:cs="Arial"/>
              </w:rPr>
              <w:t>ervice should also rou</w:t>
            </w:r>
            <w:r w:rsidR="00DA02B5" w:rsidRPr="00DA02B5">
              <w:rPr>
                <w:rFonts w:ascii="Arial" w:hAnsi="Arial" w:cs="Arial"/>
              </w:rPr>
              <w:t>tinely (e.g. monthly) report on:-</w:t>
            </w:r>
          </w:p>
          <w:p w14:paraId="44157A4D" w14:textId="77777777" w:rsidR="0013171F" w:rsidRPr="00DA02B5" w:rsidRDefault="0013171F" w:rsidP="0013171F">
            <w:pPr>
              <w:pStyle w:val="CommentText"/>
              <w:rPr>
                <w:rFonts w:ascii="Arial" w:hAnsi="Arial" w:cs="Arial"/>
              </w:rPr>
            </w:pPr>
            <w:r w:rsidRPr="00DA02B5">
              <w:rPr>
                <w:rFonts w:ascii="Arial" w:hAnsi="Arial" w:cs="Arial"/>
              </w:rPr>
              <w:t>- waiting times by geography and condition, with attention to deprivation, ethnicity</w:t>
            </w:r>
          </w:p>
          <w:p w14:paraId="0701C7E0" w14:textId="77777777" w:rsidR="0013171F" w:rsidRPr="00DA02B5" w:rsidRDefault="0013171F" w:rsidP="0013171F">
            <w:pPr>
              <w:rPr>
                <w:rFonts w:ascii="Arial" w:hAnsi="Arial" w:cs="Arial"/>
                <w:sz w:val="20"/>
                <w:szCs w:val="20"/>
              </w:rPr>
            </w:pPr>
            <w:r w:rsidRPr="00DA02B5">
              <w:rPr>
                <w:rFonts w:ascii="Arial" w:hAnsi="Arial" w:cs="Arial"/>
                <w:sz w:val="20"/>
                <w:szCs w:val="20"/>
              </w:rPr>
              <w:t>- Nonattendance (DNA) rates, with attention to geography, deprivation, ethnicity</w:t>
            </w:r>
          </w:p>
          <w:p w14:paraId="56AF10C4" w14:textId="77777777" w:rsidR="0013171F" w:rsidRPr="007B23F0" w:rsidRDefault="0013171F" w:rsidP="007B23F0">
            <w:pPr>
              <w:rPr>
                <w:rFonts w:ascii="Arial" w:hAnsi="Arial" w:cs="Arial"/>
                <w:sz w:val="20"/>
                <w:szCs w:val="20"/>
              </w:rPr>
            </w:pPr>
          </w:p>
          <w:p w14:paraId="2DC5ABAC" w14:textId="15B50CCE" w:rsidR="007B23F0" w:rsidRDefault="004B4460" w:rsidP="007B23F0">
            <w:pPr>
              <w:spacing w:line="276" w:lineRule="auto"/>
              <w:jc w:val="both"/>
              <w:rPr>
                <w:rFonts w:ascii="Arial" w:eastAsia="MS Mincho" w:hAnsi="Arial" w:cs="Arial"/>
                <w:bCs/>
                <w:sz w:val="20"/>
                <w:szCs w:val="20"/>
                <w:lang w:eastAsia="ja-JP"/>
              </w:rPr>
            </w:pPr>
            <w:r>
              <w:rPr>
                <w:rFonts w:ascii="Arial" w:eastAsia="MS Mincho" w:hAnsi="Arial" w:cs="Arial"/>
                <w:bCs/>
                <w:sz w:val="20"/>
                <w:szCs w:val="20"/>
                <w:lang w:eastAsia="ja-JP"/>
              </w:rPr>
              <w:t>The S</w:t>
            </w:r>
            <w:r w:rsidR="007B23F0" w:rsidRPr="007B23F0">
              <w:rPr>
                <w:rFonts w:ascii="Arial" w:eastAsia="MS Mincho" w:hAnsi="Arial" w:cs="Arial"/>
                <w:bCs/>
                <w:sz w:val="20"/>
                <w:szCs w:val="20"/>
                <w:lang w:eastAsia="ja-JP"/>
              </w:rPr>
              <w:t>ervice wi</w:t>
            </w:r>
            <w:r>
              <w:rPr>
                <w:rFonts w:ascii="Arial" w:eastAsia="MS Mincho" w:hAnsi="Arial" w:cs="Arial"/>
                <w:bCs/>
                <w:sz w:val="20"/>
                <w:szCs w:val="20"/>
                <w:lang w:eastAsia="ja-JP"/>
              </w:rPr>
              <w:t xml:space="preserve">ll be expected to work with NWL </w:t>
            </w:r>
            <w:r w:rsidR="007B23F0" w:rsidRPr="007B23F0">
              <w:rPr>
                <w:rFonts w:ascii="Arial" w:eastAsia="MS Mincho" w:hAnsi="Arial" w:cs="Arial"/>
                <w:bCs/>
                <w:sz w:val="20"/>
                <w:szCs w:val="20"/>
                <w:lang w:eastAsia="ja-JP"/>
              </w:rPr>
              <w:t>ICS and data analyst teams to provide continual ongoing evaluation to demonstrate value in all areas of service delivery, providing insights on population health outcomes</w:t>
            </w:r>
            <w:r w:rsidR="0013171F">
              <w:rPr>
                <w:rFonts w:ascii="Arial" w:eastAsia="MS Mincho" w:hAnsi="Arial" w:cs="Arial"/>
                <w:bCs/>
                <w:sz w:val="20"/>
                <w:szCs w:val="20"/>
                <w:lang w:eastAsia="ja-JP"/>
              </w:rPr>
              <w:t xml:space="preserve"> (paying attention to inequalities, for example through the Core20PLUS5 framework)</w:t>
            </w:r>
            <w:r w:rsidR="007B23F0" w:rsidRPr="007B23F0">
              <w:rPr>
                <w:rFonts w:ascii="Arial" w:eastAsia="MS Mincho" w:hAnsi="Arial" w:cs="Arial"/>
                <w:bCs/>
                <w:sz w:val="20"/>
                <w:szCs w:val="20"/>
                <w:lang w:eastAsia="ja-JP"/>
              </w:rPr>
              <w:t xml:space="preserve"> and health system utilisation. </w:t>
            </w:r>
          </w:p>
          <w:p w14:paraId="1A124AFE" w14:textId="410B2DA0" w:rsidR="00981996" w:rsidRDefault="00981996" w:rsidP="007B23F0">
            <w:pPr>
              <w:spacing w:line="276" w:lineRule="auto"/>
              <w:jc w:val="both"/>
              <w:rPr>
                <w:rFonts w:ascii="Arial" w:eastAsia="MS Mincho" w:hAnsi="Arial" w:cs="Arial"/>
                <w:bCs/>
                <w:sz w:val="20"/>
                <w:szCs w:val="20"/>
                <w:lang w:eastAsia="ja-JP"/>
              </w:rPr>
            </w:pPr>
          </w:p>
          <w:p w14:paraId="7AB31FFB" w14:textId="77777777" w:rsidR="00981996" w:rsidRDefault="00981996" w:rsidP="00981996">
            <w:pPr>
              <w:rPr>
                <w:rFonts w:ascii="Arial" w:hAnsi="Arial" w:cs="Arial"/>
                <w:sz w:val="20"/>
                <w:szCs w:val="20"/>
              </w:rPr>
            </w:pPr>
            <w:r>
              <w:rPr>
                <w:rFonts w:ascii="Arial" w:hAnsi="Arial" w:cs="Arial"/>
                <w:sz w:val="20"/>
                <w:szCs w:val="20"/>
              </w:rPr>
              <w:t xml:space="preserve">Appropriate borough-based and individual clinician level (with appropriate case-mix adjustment) benchmarking should be available against agreed KPIs and other measures to identify areas of variation for quality improvement within the service. </w:t>
            </w:r>
          </w:p>
          <w:p w14:paraId="26625B33" w14:textId="1DB6CF66" w:rsidR="007B23F0" w:rsidRPr="007B23F0" w:rsidRDefault="007B23F0" w:rsidP="007B23F0">
            <w:pPr>
              <w:rPr>
                <w:rFonts w:ascii="Arial" w:hAnsi="Arial" w:cs="Arial"/>
                <w:sz w:val="20"/>
                <w:szCs w:val="20"/>
              </w:rPr>
            </w:pPr>
          </w:p>
          <w:p w14:paraId="26517CF5" w14:textId="419921E5" w:rsidR="007B23F0" w:rsidRPr="00C54BA6" w:rsidRDefault="004F288A" w:rsidP="007B23F0">
            <w:pPr>
              <w:pStyle w:val="Heading2"/>
              <w:rPr>
                <w:rFonts w:ascii="Arial" w:hAnsi="Arial" w:cs="Arial"/>
                <w:b/>
                <w:color w:val="auto"/>
                <w:sz w:val="20"/>
                <w:szCs w:val="20"/>
              </w:rPr>
            </w:pPr>
            <w:bookmarkStart w:id="30" w:name="_Toc127194691"/>
            <w:r>
              <w:rPr>
                <w:rFonts w:ascii="Arial" w:hAnsi="Arial" w:cs="Arial"/>
                <w:b/>
                <w:color w:val="auto"/>
                <w:sz w:val="20"/>
                <w:szCs w:val="20"/>
              </w:rPr>
              <w:t>3.3.22</w:t>
            </w:r>
            <w:r w:rsidR="007919F7">
              <w:rPr>
                <w:rFonts w:ascii="Arial" w:hAnsi="Arial" w:cs="Arial"/>
                <w:b/>
                <w:color w:val="auto"/>
                <w:sz w:val="20"/>
                <w:szCs w:val="20"/>
              </w:rPr>
              <w:t xml:space="preserve"> </w:t>
            </w:r>
            <w:r w:rsidR="007B23F0" w:rsidRPr="00C54BA6">
              <w:rPr>
                <w:rFonts w:ascii="Arial" w:hAnsi="Arial" w:cs="Arial"/>
                <w:b/>
                <w:color w:val="auto"/>
                <w:sz w:val="20"/>
                <w:szCs w:val="20"/>
              </w:rPr>
              <w:t>Patient Engagement and Experience</w:t>
            </w:r>
            <w:bookmarkEnd w:id="30"/>
          </w:p>
          <w:p w14:paraId="1F339D25" w14:textId="77777777" w:rsidR="007B23F0" w:rsidRPr="007B23F0" w:rsidRDefault="007B23F0" w:rsidP="007B23F0">
            <w:pPr>
              <w:rPr>
                <w:rFonts w:ascii="Arial" w:hAnsi="Arial" w:cs="Arial"/>
                <w:sz w:val="20"/>
                <w:szCs w:val="20"/>
              </w:rPr>
            </w:pPr>
          </w:p>
          <w:p w14:paraId="1A205BA0" w14:textId="77777777" w:rsidR="007B23F0" w:rsidRP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The Provider of the community musculoskeletal service will be expected to involve patients, carers and the public in the planning and monitoring of the service, including any future developments throughout the contract term.</w:t>
            </w:r>
          </w:p>
          <w:p w14:paraId="6667D207" w14:textId="77777777" w:rsidR="007B23F0" w:rsidRPr="007B23F0" w:rsidRDefault="007B23F0" w:rsidP="007B23F0">
            <w:pPr>
              <w:spacing w:line="276" w:lineRule="auto"/>
              <w:jc w:val="both"/>
              <w:rPr>
                <w:rFonts w:ascii="Arial" w:eastAsia="MS Mincho" w:hAnsi="Arial" w:cs="Arial"/>
                <w:bCs/>
                <w:sz w:val="20"/>
                <w:szCs w:val="20"/>
                <w:lang w:eastAsia="ja-JP"/>
              </w:rPr>
            </w:pPr>
          </w:p>
          <w:p w14:paraId="37F14CA1" w14:textId="77777777" w:rsidR="007B23F0" w:rsidRP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Patient satisfaction with the service will be monitored as a KPI with the expectation of the highest possible satisfaction and at least 75% of patients will report a positive experience of the service.</w:t>
            </w:r>
          </w:p>
          <w:p w14:paraId="3F15A085" w14:textId="77777777" w:rsidR="007B23F0" w:rsidRPr="007B23F0" w:rsidRDefault="007B23F0" w:rsidP="007B23F0">
            <w:pPr>
              <w:spacing w:line="276" w:lineRule="auto"/>
              <w:jc w:val="both"/>
              <w:rPr>
                <w:rFonts w:ascii="Arial" w:eastAsia="MS Mincho" w:hAnsi="Arial" w:cs="Arial"/>
                <w:bCs/>
                <w:sz w:val="20"/>
                <w:szCs w:val="20"/>
                <w:lang w:eastAsia="ja-JP"/>
              </w:rPr>
            </w:pPr>
          </w:p>
          <w:p w14:paraId="3BBBD49A" w14:textId="2D5C3064" w:rsid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 xml:space="preserve">Appropriate patient reported experience scores (PREMS) should also be captured, in line with national guidance on appropriate validated and patient-orientated questionnaires. </w:t>
            </w:r>
          </w:p>
          <w:p w14:paraId="44B92C8B" w14:textId="77777777" w:rsidR="009D0F24" w:rsidRPr="007B23F0" w:rsidRDefault="009D0F24" w:rsidP="007B23F0">
            <w:pPr>
              <w:spacing w:line="276" w:lineRule="auto"/>
              <w:jc w:val="both"/>
              <w:rPr>
                <w:rFonts w:ascii="Arial" w:eastAsia="MS Mincho" w:hAnsi="Arial" w:cs="Arial"/>
                <w:bCs/>
                <w:sz w:val="20"/>
                <w:szCs w:val="20"/>
                <w:lang w:eastAsia="ja-JP"/>
              </w:rPr>
            </w:pPr>
          </w:p>
          <w:p w14:paraId="06D166D2" w14:textId="572B7A24" w:rsidR="007B23F0" w:rsidRPr="00C54BA6" w:rsidRDefault="004F288A" w:rsidP="007B23F0">
            <w:pPr>
              <w:pStyle w:val="Heading3"/>
              <w:rPr>
                <w:rFonts w:ascii="Arial" w:eastAsia="MS Mincho" w:hAnsi="Arial" w:cs="Arial"/>
                <w:b/>
                <w:color w:val="auto"/>
                <w:sz w:val="20"/>
                <w:szCs w:val="20"/>
                <w:lang w:eastAsia="ja-JP"/>
              </w:rPr>
            </w:pPr>
            <w:bookmarkStart w:id="31" w:name="_Toc127194692"/>
            <w:r>
              <w:rPr>
                <w:rFonts w:ascii="Arial" w:eastAsia="MS Mincho" w:hAnsi="Arial" w:cs="Arial"/>
                <w:b/>
                <w:color w:val="auto"/>
                <w:sz w:val="20"/>
                <w:szCs w:val="20"/>
                <w:lang w:eastAsia="ja-JP"/>
              </w:rPr>
              <w:t xml:space="preserve">3.3.22.1 </w:t>
            </w:r>
            <w:r w:rsidR="007B23F0" w:rsidRPr="00C54BA6">
              <w:rPr>
                <w:rFonts w:ascii="Arial" w:eastAsia="MS Mincho" w:hAnsi="Arial" w:cs="Arial"/>
                <w:b/>
                <w:color w:val="auto"/>
                <w:sz w:val="20"/>
                <w:szCs w:val="20"/>
                <w:lang w:eastAsia="ja-JP"/>
              </w:rPr>
              <w:t>Complaints</w:t>
            </w:r>
            <w:bookmarkEnd w:id="31"/>
          </w:p>
          <w:p w14:paraId="2A623F76" w14:textId="77777777" w:rsidR="007B23F0" w:rsidRPr="007B23F0" w:rsidRDefault="007B23F0" w:rsidP="007B23F0">
            <w:pPr>
              <w:spacing w:line="276" w:lineRule="auto"/>
              <w:jc w:val="both"/>
              <w:rPr>
                <w:rFonts w:ascii="Arial" w:eastAsia="MS Mincho" w:hAnsi="Arial" w:cs="Arial"/>
                <w:bCs/>
                <w:sz w:val="20"/>
                <w:szCs w:val="20"/>
                <w:lang w:eastAsia="ja-JP"/>
              </w:rPr>
            </w:pPr>
          </w:p>
          <w:p w14:paraId="16295C0D" w14:textId="4DF42167" w:rsidR="007B23F0" w:rsidRPr="007B23F0" w:rsidRDefault="007B23F0" w:rsidP="007B23F0">
            <w:pPr>
              <w:spacing w:line="276" w:lineRule="auto"/>
              <w:jc w:val="both"/>
              <w:rPr>
                <w:rFonts w:ascii="Arial" w:eastAsia="MS Mincho" w:hAnsi="Arial" w:cs="Arial"/>
                <w:bCs/>
                <w:sz w:val="20"/>
                <w:szCs w:val="20"/>
                <w:lang w:eastAsia="ja-JP"/>
              </w:rPr>
            </w:pPr>
            <w:r w:rsidRPr="007B23F0">
              <w:rPr>
                <w:rFonts w:ascii="Arial" w:eastAsia="MS Mincho" w:hAnsi="Arial" w:cs="Arial"/>
                <w:bCs/>
                <w:sz w:val="20"/>
                <w:szCs w:val="20"/>
                <w:lang w:eastAsia="ja-JP"/>
              </w:rPr>
              <w:t>The Provider will be expected to act upon patient feedback in all its forms including the provision of a clear complaints procedure and make adjustments as appropriate to ensure they continue to deliver a high quality pati</w:t>
            </w:r>
            <w:r w:rsidR="004B4460">
              <w:rPr>
                <w:rFonts w:ascii="Arial" w:eastAsia="MS Mincho" w:hAnsi="Arial" w:cs="Arial"/>
                <w:bCs/>
                <w:sz w:val="20"/>
                <w:szCs w:val="20"/>
                <w:lang w:eastAsia="ja-JP"/>
              </w:rPr>
              <w:t>ent centred service. It is the P</w:t>
            </w:r>
            <w:r w:rsidRPr="007B23F0">
              <w:rPr>
                <w:rFonts w:ascii="Arial" w:eastAsia="MS Mincho" w:hAnsi="Arial" w:cs="Arial"/>
                <w:bCs/>
                <w:sz w:val="20"/>
                <w:szCs w:val="20"/>
                <w:lang w:eastAsia="ja-JP"/>
              </w:rPr>
              <w:t xml:space="preserve">rovider’s responsibility to ensure that a variety of mechanisms exist, are supported, and resourced to enable patients to give feedback on the </w:t>
            </w:r>
            <w:r w:rsidR="000F06EB">
              <w:rPr>
                <w:rFonts w:ascii="Arial" w:eastAsia="MS Mincho" w:hAnsi="Arial" w:cs="Arial"/>
                <w:bCs/>
                <w:sz w:val="20"/>
                <w:szCs w:val="20"/>
                <w:lang w:eastAsia="ja-JP"/>
              </w:rPr>
              <w:t>S</w:t>
            </w:r>
            <w:r w:rsidRPr="007B23F0">
              <w:rPr>
                <w:rFonts w:ascii="Arial" w:eastAsia="MS Mincho" w:hAnsi="Arial" w:cs="Arial"/>
                <w:bCs/>
                <w:sz w:val="20"/>
                <w:szCs w:val="20"/>
                <w:lang w:eastAsia="ja-JP"/>
              </w:rPr>
              <w:t xml:space="preserve">ervice and also to report back on actions taken and how the </w:t>
            </w:r>
            <w:r w:rsidR="000F06EB">
              <w:rPr>
                <w:rFonts w:ascii="Arial" w:eastAsia="MS Mincho" w:hAnsi="Arial" w:cs="Arial"/>
                <w:bCs/>
                <w:sz w:val="20"/>
                <w:szCs w:val="20"/>
                <w:lang w:eastAsia="ja-JP"/>
              </w:rPr>
              <w:t>S</w:t>
            </w:r>
            <w:r w:rsidRPr="007B23F0">
              <w:rPr>
                <w:rFonts w:ascii="Arial" w:eastAsia="MS Mincho" w:hAnsi="Arial" w:cs="Arial"/>
                <w:bCs/>
                <w:sz w:val="20"/>
                <w:szCs w:val="20"/>
                <w:lang w:eastAsia="ja-JP"/>
              </w:rPr>
              <w:t xml:space="preserve">ervice is improved as a result. </w:t>
            </w:r>
          </w:p>
          <w:p w14:paraId="4BBD0B74" w14:textId="77777777" w:rsidR="007B23F0" w:rsidRPr="007B23F0" w:rsidRDefault="007B23F0" w:rsidP="007B23F0">
            <w:pPr>
              <w:spacing w:line="276" w:lineRule="auto"/>
              <w:jc w:val="both"/>
              <w:rPr>
                <w:rFonts w:ascii="Arial" w:eastAsia="MS Mincho" w:hAnsi="Arial" w:cs="Arial"/>
                <w:bCs/>
                <w:sz w:val="20"/>
                <w:szCs w:val="20"/>
                <w:lang w:eastAsia="ja-JP"/>
              </w:rPr>
            </w:pPr>
          </w:p>
          <w:p w14:paraId="2E6D4BD7" w14:textId="74282D67" w:rsidR="007B23F0" w:rsidRDefault="007B23F0" w:rsidP="007B23F0">
            <w:pPr>
              <w:jc w:val="both"/>
              <w:rPr>
                <w:rFonts w:ascii="Arial" w:hAnsi="Arial" w:cs="Arial"/>
                <w:sz w:val="20"/>
                <w:szCs w:val="20"/>
              </w:rPr>
            </w:pPr>
            <w:r w:rsidRPr="007B23F0">
              <w:rPr>
                <w:rFonts w:ascii="Arial" w:hAnsi="Arial" w:cs="Arial"/>
                <w:sz w:val="20"/>
                <w:szCs w:val="20"/>
              </w:rPr>
              <w:t>The Provider shall:</w:t>
            </w:r>
          </w:p>
          <w:p w14:paraId="4462C5EC" w14:textId="77777777" w:rsidR="00F03108" w:rsidRPr="007B23F0" w:rsidRDefault="00F03108" w:rsidP="007B23F0">
            <w:pPr>
              <w:jc w:val="both"/>
              <w:rPr>
                <w:rFonts w:ascii="Arial" w:hAnsi="Arial" w:cs="Arial"/>
                <w:sz w:val="20"/>
                <w:szCs w:val="20"/>
              </w:rPr>
            </w:pPr>
          </w:p>
          <w:p w14:paraId="320343C2" w14:textId="77777777" w:rsidR="007B23F0" w:rsidRPr="007B23F0" w:rsidRDefault="007B23F0" w:rsidP="00DC3DDC">
            <w:pPr>
              <w:pStyle w:val="ListParagraph"/>
              <w:numPr>
                <w:ilvl w:val="0"/>
                <w:numId w:val="11"/>
              </w:numPr>
              <w:ind w:left="357" w:hanging="357"/>
              <w:jc w:val="both"/>
              <w:rPr>
                <w:rFonts w:ascii="Arial" w:hAnsi="Arial" w:cs="Arial"/>
                <w:sz w:val="20"/>
                <w:szCs w:val="20"/>
              </w:rPr>
            </w:pPr>
            <w:r w:rsidRPr="007B23F0">
              <w:rPr>
                <w:rFonts w:ascii="Arial" w:hAnsi="Arial" w:cs="Arial"/>
                <w:sz w:val="20"/>
                <w:szCs w:val="20"/>
              </w:rPr>
              <w:t>Have a formal complaints policy and procedures through which patients can raise issues with the Service.</w:t>
            </w:r>
          </w:p>
          <w:p w14:paraId="424B3C59" w14:textId="77777777" w:rsidR="007B23F0" w:rsidRPr="007B23F0" w:rsidRDefault="007B23F0" w:rsidP="00DC3DDC">
            <w:pPr>
              <w:pStyle w:val="ListParagraph"/>
              <w:numPr>
                <w:ilvl w:val="0"/>
                <w:numId w:val="11"/>
              </w:numPr>
              <w:ind w:left="357" w:hanging="357"/>
              <w:jc w:val="both"/>
              <w:rPr>
                <w:rFonts w:ascii="Arial" w:hAnsi="Arial" w:cs="Arial"/>
                <w:sz w:val="20"/>
                <w:szCs w:val="20"/>
              </w:rPr>
            </w:pPr>
            <w:r w:rsidRPr="007B23F0">
              <w:rPr>
                <w:rFonts w:ascii="Arial" w:hAnsi="Arial" w:cs="Arial"/>
                <w:sz w:val="20"/>
                <w:szCs w:val="20"/>
              </w:rPr>
              <w:t>Endeavour to resolve any complaints directly with patients, and only escalate to the Commissioner if the complaint cannot be resolved directly.</w:t>
            </w:r>
          </w:p>
          <w:p w14:paraId="5B56F820" w14:textId="5E1B0D18" w:rsidR="007B23F0" w:rsidRDefault="007B23F0" w:rsidP="00DC3DDC">
            <w:pPr>
              <w:pStyle w:val="ListParagraph"/>
              <w:numPr>
                <w:ilvl w:val="0"/>
                <w:numId w:val="11"/>
              </w:numPr>
              <w:ind w:left="357" w:hanging="357"/>
              <w:jc w:val="both"/>
              <w:rPr>
                <w:rFonts w:ascii="Arial" w:hAnsi="Arial" w:cs="Arial"/>
                <w:sz w:val="20"/>
                <w:szCs w:val="20"/>
              </w:rPr>
            </w:pPr>
            <w:r w:rsidRPr="007B23F0">
              <w:rPr>
                <w:rFonts w:ascii="Arial" w:hAnsi="Arial" w:cs="Arial"/>
                <w:sz w:val="20"/>
                <w:szCs w:val="20"/>
              </w:rPr>
              <w:t>Adhere to local Commissioner policies and procedures regarding complaints, including the need to inform the Commissioner of all complaints</w:t>
            </w:r>
            <w:r w:rsidR="009D0F24">
              <w:rPr>
                <w:rFonts w:ascii="Arial" w:hAnsi="Arial" w:cs="Arial"/>
                <w:sz w:val="20"/>
                <w:szCs w:val="20"/>
              </w:rPr>
              <w:t>.</w:t>
            </w:r>
          </w:p>
          <w:p w14:paraId="4ED22CC2" w14:textId="7D25D85A" w:rsidR="009D0F24" w:rsidRDefault="009D0F24" w:rsidP="00DC3DDC">
            <w:pPr>
              <w:pStyle w:val="ListParagraph"/>
              <w:numPr>
                <w:ilvl w:val="0"/>
                <w:numId w:val="11"/>
              </w:numPr>
              <w:ind w:left="357" w:hanging="357"/>
              <w:jc w:val="both"/>
              <w:rPr>
                <w:rFonts w:ascii="Arial" w:hAnsi="Arial" w:cs="Arial"/>
                <w:sz w:val="20"/>
                <w:szCs w:val="20"/>
              </w:rPr>
            </w:pPr>
            <w:r>
              <w:rPr>
                <w:rFonts w:ascii="Arial" w:hAnsi="Arial" w:cs="Arial"/>
                <w:sz w:val="20"/>
                <w:szCs w:val="20"/>
              </w:rPr>
              <w:lastRenderedPageBreak/>
              <w:t xml:space="preserve">Demonstrate appropriate learning and actions from feedback and complaints to improve future service delivery. </w:t>
            </w:r>
          </w:p>
          <w:p w14:paraId="3C9036DF" w14:textId="35C3A415" w:rsidR="009D0F24" w:rsidRPr="00C54BA6" w:rsidRDefault="009D0F24" w:rsidP="007B23F0">
            <w:pPr>
              <w:rPr>
                <w:rFonts w:ascii="Arial" w:hAnsi="Arial" w:cs="Arial"/>
                <w:b/>
                <w:sz w:val="20"/>
                <w:szCs w:val="20"/>
              </w:rPr>
            </w:pPr>
          </w:p>
          <w:p w14:paraId="076074B3" w14:textId="5003389E" w:rsidR="007B23F0" w:rsidRPr="00C54BA6" w:rsidRDefault="004F288A" w:rsidP="007B23F0">
            <w:pPr>
              <w:pStyle w:val="Heading2"/>
              <w:rPr>
                <w:rFonts w:ascii="Arial" w:hAnsi="Arial" w:cs="Arial"/>
                <w:b/>
                <w:color w:val="auto"/>
                <w:sz w:val="20"/>
                <w:szCs w:val="20"/>
              </w:rPr>
            </w:pPr>
            <w:bookmarkStart w:id="32" w:name="_Toc127194693"/>
            <w:r>
              <w:rPr>
                <w:rFonts w:ascii="Arial" w:hAnsi="Arial" w:cs="Arial"/>
                <w:b/>
                <w:color w:val="auto"/>
                <w:sz w:val="20"/>
                <w:szCs w:val="20"/>
              </w:rPr>
              <w:t>3.3.23</w:t>
            </w:r>
            <w:r w:rsidR="007919F7">
              <w:rPr>
                <w:rFonts w:ascii="Arial" w:hAnsi="Arial" w:cs="Arial"/>
                <w:b/>
                <w:color w:val="auto"/>
                <w:sz w:val="20"/>
                <w:szCs w:val="20"/>
              </w:rPr>
              <w:t xml:space="preserve"> </w:t>
            </w:r>
            <w:r w:rsidR="007B23F0" w:rsidRPr="00C54BA6">
              <w:rPr>
                <w:rFonts w:ascii="Arial" w:hAnsi="Arial" w:cs="Arial"/>
                <w:b/>
                <w:color w:val="auto"/>
                <w:sz w:val="20"/>
                <w:szCs w:val="20"/>
              </w:rPr>
              <w:t>Evidence-Based Practice, Teaching, Audit and Research</w:t>
            </w:r>
            <w:bookmarkEnd w:id="32"/>
            <w:r w:rsidR="007B23F0" w:rsidRPr="00C54BA6">
              <w:rPr>
                <w:rFonts w:ascii="Arial" w:hAnsi="Arial" w:cs="Arial"/>
                <w:b/>
                <w:color w:val="auto"/>
                <w:sz w:val="20"/>
                <w:szCs w:val="20"/>
              </w:rPr>
              <w:t xml:space="preserve"> </w:t>
            </w:r>
          </w:p>
          <w:p w14:paraId="1A69B3CC" w14:textId="77777777" w:rsidR="007B23F0" w:rsidRPr="007B23F0" w:rsidRDefault="007B23F0" w:rsidP="007B23F0">
            <w:pPr>
              <w:rPr>
                <w:rFonts w:ascii="Arial" w:hAnsi="Arial" w:cs="Arial"/>
                <w:sz w:val="20"/>
                <w:szCs w:val="20"/>
              </w:rPr>
            </w:pPr>
          </w:p>
          <w:p w14:paraId="3B06F39A" w14:textId="35D3F3F2" w:rsidR="007B23F0" w:rsidRDefault="007B23F0" w:rsidP="007B23F0">
            <w:pPr>
              <w:rPr>
                <w:rFonts w:ascii="Arial" w:hAnsi="Arial" w:cs="Arial"/>
                <w:sz w:val="20"/>
                <w:szCs w:val="20"/>
              </w:rPr>
            </w:pPr>
            <w:r w:rsidRPr="007B23F0">
              <w:rPr>
                <w:rFonts w:ascii="Arial" w:hAnsi="Arial" w:cs="Arial"/>
                <w:sz w:val="20"/>
                <w:szCs w:val="20"/>
              </w:rPr>
              <w:t xml:space="preserve">In view of the recognised gap between evidence and clinical practice within musculoskeletal care, the </w:t>
            </w:r>
            <w:r w:rsidR="000F06EB">
              <w:rPr>
                <w:rFonts w:ascii="Arial" w:hAnsi="Arial" w:cs="Arial"/>
                <w:sz w:val="20"/>
                <w:szCs w:val="20"/>
              </w:rPr>
              <w:t>S</w:t>
            </w:r>
            <w:r w:rsidRPr="007B23F0">
              <w:rPr>
                <w:rFonts w:ascii="Arial" w:hAnsi="Arial" w:cs="Arial"/>
                <w:sz w:val="20"/>
                <w:szCs w:val="20"/>
              </w:rPr>
              <w:t xml:space="preserve">ervice will be expected to undertake continual review of all practitioner activity, along with appropriate mentorship and provision of training opportunities. </w:t>
            </w:r>
          </w:p>
          <w:p w14:paraId="09721521" w14:textId="77777777" w:rsidR="00981996" w:rsidRPr="007B23F0" w:rsidRDefault="00981996" w:rsidP="007B23F0">
            <w:pPr>
              <w:rPr>
                <w:rFonts w:ascii="Arial" w:hAnsi="Arial" w:cs="Arial"/>
                <w:sz w:val="20"/>
                <w:szCs w:val="20"/>
              </w:rPr>
            </w:pPr>
          </w:p>
          <w:p w14:paraId="14BC3144" w14:textId="6BD23EFC" w:rsidR="007B23F0" w:rsidRPr="007B23F0" w:rsidRDefault="004B4460" w:rsidP="007B23F0">
            <w:pPr>
              <w:rPr>
                <w:rFonts w:ascii="Arial" w:hAnsi="Arial" w:cs="Arial"/>
                <w:sz w:val="20"/>
                <w:szCs w:val="20"/>
              </w:rPr>
            </w:pPr>
            <w:r>
              <w:rPr>
                <w:rFonts w:ascii="Arial" w:hAnsi="Arial" w:cs="Arial"/>
                <w:sz w:val="20"/>
                <w:szCs w:val="20"/>
              </w:rPr>
              <w:t>The P</w:t>
            </w:r>
            <w:r w:rsidR="007B23F0" w:rsidRPr="007B23F0">
              <w:rPr>
                <w:rFonts w:ascii="Arial" w:hAnsi="Arial" w:cs="Arial"/>
                <w:sz w:val="20"/>
                <w:szCs w:val="20"/>
              </w:rPr>
              <w:t xml:space="preserve">rovider should undertake a range of audit, evaluation and research, particularly in view of the level of regional health utilisation data available. This could be undertaken as formal research, with appropriate ethics oversight, or informal service evaluation. Engagement with the NWL MSK board and NWL MSK network would identify areas of impactful study and key questions to explore through available data. Partnership working with academic institutes would be encouraged to robustly analyse data and particularly to evaluate any service innovations for both clinical and cost-effectiveness.  </w:t>
            </w:r>
          </w:p>
          <w:p w14:paraId="12BABAC6" w14:textId="77777777" w:rsidR="007B23F0" w:rsidRPr="007B23F0" w:rsidRDefault="007B23F0" w:rsidP="007B23F0">
            <w:pPr>
              <w:rPr>
                <w:rFonts w:ascii="Arial" w:hAnsi="Arial" w:cs="Arial"/>
                <w:sz w:val="20"/>
                <w:szCs w:val="20"/>
              </w:rPr>
            </w:pPr>
          </w:p>
          <w:p w14:paraId="579817B0" w14:textId="6C0352B4" w:rsidR="00A2729F" w:rsidRPr="007B23F0" w:rsidRDefault="004B4460" w:rsidP="007B23F0">
            <w:pPr>
              <w:rPr>
                <w:rFonts w:ascii="Arial" w:hAnsi="Arial" w:cs="Arial"/>
                <w:sz w:val="20"/>
                <w:szCs w:val="20"/>
              </w:rPr>
            </w:pPr>
            <w:r>
              <w:rPr>
                <w:rFonts w:ascii="Arial" w:hAnsi="Arial" w:cs="Arial"/>
                <w:sz w:val="20"/>
                <w:szCs w:val="20"/>
              </w:rPr>
              <w:t>Ideally the S</w:t>
            </w:r>
            <w:r w:rsidR="007B23F0" w:rsidRPr="007B23F0">
              <w:rPr>
                <w:rFonts w:ascii="Arial" w:hAnsi="Arial" w:cs="Arial"/>
                <w:sz w:val="20"/>
                <w:szCs w:val="20"/>
              </w:rPr>
              <w:t>ervice should identify a f</w:t>
            </w:r>
            <w:r>
              <w:rPr>
                <w:rFonts w:ascii="Arial" w:hAnsi="Arial" w:cs="Arial"/>
                <w:sz w:val="20"/>
                <w:szCs w:val="20"/>
              </w:rPr>
              <w:t>ormal research lead within the S</w:t>
            </w:r>
            <w:r w:rsidR="007B23F0" w:rsidRPr="007B23F0">
              <w:rPr>
                <w:rFonts w:ascii="Arial" w:hAnsi="Arial" w:cs="Arial"/>
                <w:sz w:val="20"/>
                <w:szCs w:val="20"/>
              </w:rPr>
              <w:t>ervice, with academic experience, to oversee such work.</w:t>
            </w:r>
          </w:p>
          <w:p w14:paraId="4654D8A7" w14:textId="7A212453" w:rsidR="00B84BC9" w:rsidRDefault="00B84BC9" w:rsidP="007B23F0">
            <w:pPr>
              <w:spacing w:line="276" w:lineRule="auto"/>
              <w:jc w:val="both"/>
              <w:rPr>
                <w:rFonts w:ascii="Arial" w:eastAsia="MS Mincho" w:hAnsi="Arial" w:cs="Arial"/>
                <w:b/>
                <w:sz w:val="20"/>
                <w:szCs w:val="20"/>
                <w:lang w:eastAsia="ja-JP"/>
              </w:rPr>
            </w:pPr>
          </w:p>
          <w:p w14:paraId="1966B115" w14:textId="77777777" w:rsidR="004A58B4" w:rsidRDefault="004A58B4" w:rsidP="007B23F0">
            <w:pPr>
              <w:spacing w:line="276" w:lineRule="auto"/>
              <w:jc w:val="both"/>
              <w:rPr>
                <w:rFonts w:ascii="Arial" w:eastAsia="MS Mincho" w:hAnsi="Arial" w:cs="Arial"/>
                <w:b/>
                <w:sz w:val="20"/>
                <w:szCs w:val="20"/>
                <w:lang w:eastAsia="ja-JP"/>
              </w:rPr>
            </w:pPr>
          </w:p>
          <w:p w14:paraId="4DC7BA85" w14:textId="5348580C" w:rsidR="00B84BC9" w:rsidRDefault="00B84BC9" w:rsidP="007B23F0">
            <w:pPr>
              <w:spacing w:line="276" w:lineRule="auto"/>
              <w:jc w:val="both"/>
              <w:rPr>
                <w:rFonts w:ascii="Arial" w:eastAsia="MS Mincho" w:hAnsi="Arial" w:cs="Arial"/>
                <w:b/>
                <w:sz w:val="20"/>
                <w:szCs w:val="20"/>
                <w:lang w:eastAsia="ja-JP"/>
              </w:rPr>
            </w:pPr>
            <w:r>
              <w:rPr>
                <w:rFonts w:ascii="Arial" w:eastAsia="MS Mincho" w:hAnsi="Arial" w:cs="Arial"/>
                <w:b/>
                <w:sz w:val="20"/>
                <w:szCs w:val="20"/>
                <w:lang w:eastAsia="ja-JP"/>
              </w:rPr>
              <w:t>APPENDIX A</w:t>
            </w:r>
            <w:r w:rsidR="00A053D7">
              <w:rPr>
                <w:rFonts w:ascii="Arial" w:eastAsia="MS Mincho" w:hAnsi="Arial" w:cs="Arial"/>
                <w:b/>
                <w:sz w:val="20"/>
                <w:szCs w:val="20"/>
                <w:lang w:eastAsia="ja-JP"/>
              </w:rPr>
              <w:t>: National Guidelines, Policies, Tools</w:t>
            </w:r>
          </w:p>
          <w:p w14:paraId="06D23C36" w14:textId="77777777" w:rsidR="00B84BC9" w:rsidRPr="00B84BC9" w:rsidRDefault="00B84BC9" w:rsidP="00B84BC9">
            <w:pPr>
              <w:spacing w:line="276" w:lineRule="auto"/>
              <w:jc w:val="both"/>
              <w:rPr>
                <w:rFonts w:ascii="Arial" w:eastAsia="MS Mincho" w:hAnsi="Arial" w:cs="Arial"/>
                <w:bCs/>
                <w:sz w:val="20"/>
                <w:szCs w:val="20"/>
                <w:lang w:eastAsia="ja-JP"/>
              </w:rPr>
            </w:pPr>
          </w:p>
          <w:p w14:paraId="4A5C875C" w14:textId="77777777" w:rsidR="00B84BC9" w:rsidRPr="00B84BC9" w:rsidRDefault="00C07F8A" w:rsidP="00B84BC9">
            <w:pPr>
              <w:numPr>
                <w:ilvl w:val="0"/>
                <w:numId w:val="28"/>
              </w:numPr>
              <w:spacing w:line="276" w:lineRule="auto"/>
              <w:jc w:val="both"/>
              <w:rPr>
                <w:rFonts w:ascii="Arial" w:eastAsia="MS Mincho" w:hAnsi="Arial" w:cs="Arial"/>
                <w:bCs/>
                <w:sz w:val="20"/>
                <w:szCs w:val="20"/>
                <w:lang w:eastAsia="ja-JP"/>
              </w:rPr>
            </w:pPr>
            <w:hyperlink r:id="rId34" w:history="1">
              <w:r w:rsidR="00B84BC9" w:rsidRPr="00B84BC9">
                <w:rPr>
                  <w:rStyle w:val="Hyperlink"/>
                  <w:rFonts w:ascii="Arial" w:eastAsia="MS Mincho" w:hAnsi="Arial" w:cs="Arial"/>
                  <w:bCs/>
                  <w:sz w:val="20"/>
                  <w:szCs w:val="20"/>
                  <w:lang w:eastAsia="ja-JP"/>
                </w:rPr>
                <w:t>An improvement framework to reduce community musculoskeletal waits while delivering best outcomes and experience</w:t>
              </w:r>
            </w:hyperlink>
            <w:r w:rsidR="00B84BC9" w:rsidRPr="00B84BC9">
              <w:rPr>
                <w:rFonts w:ascii="Arial" w:eastAsia="MS Mincho" w:hAnsi="Arial" w:cs="Arial"/>
                <w:bCs/>
                <w:sz w:val="20"/>
                <w:szCs w:val="20"/>
                <w:lang w:eastAsia="ja-JP"/>
              </w:rPr>
              <w:t xml:space="preserve"> from NHS England includes recent co-design principles for effective service delivery. </w:t>
            </w:r>
          </w:p>
          <w:p w14:paraId="5AC1A08C" w14:textId="77777777" w:rsidR="00B84BC9" w:rsidRPr="00B84BC9" w:rsidRDefault="00C07F8A" w:rsidP="00B84BC9">
            <w:pPr>
              <w:numPr>
                <w:ilvl w:val="0"/>
                <w:numId w:val="28"/>
              </w:numPr>
              <w:spacing w:line="276" w:lineRule="auto"/>
              <w:jc w:val="both"/>
              <w:rPr>
                <w:rFonts w:ascii="Arial" w:eastAsia="MS Mincho" w:hAnsi="Arial" w:cs="Arial"/>
                <w:bCs/>
                <w:sz w:val="20"/>
                <w:szCs w:val="20"/>
                <w:lang w:eastAsia="ja-JP"/>
              </w:rPr>
            </w:pPr>
            <w:hyperlink r:id="rId35" w:history="1">
              <w:r w:rsidR="00B84BC9" w:rsidRPr="00B84BC9">
                <w:rPr>
                  <w:rStyle w:val="Hyperlink"/>
                  <w:rFonts w:ascii="Arial" w:eastAsia="MS Mincho" w:hAnsi="Arial" w:cs="Arial"/>
                  <w:bCs/>
                  <w:sz w:val="20"/>
                  <w:szCs w:val="20"/>
                  <w:lang w:eastAsia="ja-JP"/>
                </w:rPr>
                <w:t>NHS Accessible information standard</w:t>
              </w:r>
            </w:hyperlink>
          </w:p>
          <w:p w14:paraId="513909AD" w14:textId="77777777" w:rsidR="00B84BC9" w:rsidRPr="00B84BC9" w:rsidRDefault="00C07F8A" w:rsidP="00B84BC9">
            <w:pPr>
              <w:numPr>
                <w:ilvl w:val="0"/>
                <w:numId w:val="28"/>
              </w:numPr>
              <w:spacing w:line="276" w:lineRule="auto"/>
              <w:jc w:val="both"/>
              <w:rPr>
                <w:rFonts w:ascii="Arial" w:eastAsia="MS Mincho" w:hAnsi="Arial" w:cs="Arial"/>
                <w:bCs/>
                <w:sz w:val="20"/>
                <w:szCs w:val="20"/>
                <w:lang w:eastAsia="ja-JP"/>
              </w:rPr>
            </w:pPr>
            <w:hyperlink r:id="rId36" w:history="1">
              <w:r w:rsidR="00B84BC9" w:rsidRPr="00B84BC9">
                <w:rPr>
                  <w:rStyle w:val="Hyperlink"/>
                  <w:rFonts w:ascii="Arial" w:eastAsia="MS Mincho" w:hAnsi="Arial" w:cs="Arial"/>
                  <w:bCs/>
                  <w:sz w:val="20"/>
                  <w:szCs w:val="20"/>
                  <w:lang w:eastAsia="ja-JP"/>
                </w:rPr>
                <w:t>Support for carers</w:t>
              </w:r>
            </w:hyperlink>
          </w:p>
          <w:p w14:paraId="58E7AB73" w14:textId="6D1A6C2B" w:rsidR="00BE2EFA" w:rsidRPr="00B84BC9" w:rsidRDefault="00B84BC9" w:rsidP="00BE2EFA">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Related National guidelines, which would be considered along with local effectiveness and health needs assessment review, include:</w:t>
            </w:r>
          </w:p>
          <w:p w14:paraId="50C6EB5D" w14:textId="3931F982" w:rsidR="00BE2EFA" w:rsidRDefault="00C07F8A" w:rsidP="00B84BC9">
            <w:pPr>
              <w:numPr>
                <w:ilvl w:val="1"/>
                <w:numId w:val="28"/>
              </w:numPr>
              <w:spacing w:line="276" w:lineRule="auto"/>
              <w:jc w:val="both"/>
              <w:rPr>
                <w:rFonts w:ascii="Arial" w:eastAsia="MS Mincho" w:hAnsi="Arial" w:cs="Arial"/>
                <w:bCs/>
                <w:sz w:val="20"/>
                <w:szCs w:val="20"/>
                <w:lang w:eastAsia="ja-JP"/>
              </w:rPr>
            </w:pPr>
            <w:hyperlink r:id="rId37" w:history="1">
              <w:r w:rsidR="00BE2EFA" w:rsidRPr="00BE2EFA">
                <w:rPr>
                  <w:rStyle w:val="Hyperlink"/>
                  <w:rFonts w:ascii="Arial" w:eastAsia="MS Mincho" w:hAnsi="Arial" w:cs="Arial"/>
                  <w:bCs/>
                  <w:sz w:val="20"/>
                  <w:szCs w:val="20"/>
                  <w:lang w:eastAsia="ja-JP"/>
                </w:rPr>
                <w:t>North West London CCG Clinical Guidelines</w:t>
              </w:r>
            </w:hyperlink>
            <w:r w:rsidR="00BE2EFA">
              <w:rPr>
                <w:rFonts w:ascii="Arial" w:eastAsia="MS Mincho" w:hAnsi="Arial" w:cs="Arial"/>
                <w:bCs/>
                <w:sz w:val="20"/>
                <w:szCs w:val="20"/>
                <w:lang w:eastAsia="ja-JP"/>
              </w:rPr>
              <w:t xml:space="preserve"> include information on previously agreed pathways, including local MSK and diagnostic guidelines. These published pathways are under review and due for updating.</w:t>
            </w:r>
          </w:p>
          <w:p w14:paraId="4D3DD5D4" w14:textId="3023B694" w:rsidR="00BE2EFA" w:rsidRDefault="00BE2EFA" w:rsidP="00B84BC9">
            <w:pPr>
              <w:numPr>
                <w:ilvl w:val="1"/>
                <w:numId w:val="28"/>
              </w:numPr>
              <w:spacing w:line="276" w:lineRule="auto"/>
              <w:jc w:val="both"/>
              <w:rPr>
                <w:rFonts w:ascii="Arial" w:eastAsia="MS Mincho" w:hAnsi="Arial" w:cs="Arial"/>
                <w:bCs/>
                <w:sz w:val="20"/>
                <w:szCs w:val="20"/>
                <w:lang w:eastAsia="ja-JP"/>
              </w:rPr>
            </w:pPr>
            <w:r>
              <w:rPr>
                <w:rFonts w:ascii="Arial" w:eastAsia="MS Mincho" w:hAnsi="Arial" w:cs="Arial"/>
                <w:bCs/>
                <w:sz w:val="20"/>
                <w:szCs w:val="20"/>
                <w:lang w:eastAsia="ja-JP"/>
              </w:rPr>
              <w:t xml:space="preserve">Previous </w:t>
            </w:r>
            <w:hyperlink r:id="rId38" w:history="1">
              <w:r w:rsidRPr="00BE2EFA">
                <w:rPr>
                  <w:rStyle w:val="Hyperlink"/>
                  <w:rFonts w:ascii="Arial" w:eastAsia="MS Mincho" w:hAnsi="Arial" w:cs="Arial"/>
                  <w:bCs/>
                  <w:sz w:val="20"/>
                  <w:szCs w:val="20"/>
                  <w:lang w:eastAsia="ja-JP"/>
                </w:rPr>
                <w:t xml:space="preserve">North West London </w:t>
              </w:r>
              <w:proofErr w:type="spellStart"/>
              <w:r w:rsidRPr="00BE2EFA">
                <w:rPr>
                  <w:rStyle w:val="Hyperlink"/>
                  <w:rFonts w:ascii="Arial" w:eastAsia="MS Mincho" w:hAnsi="Arial" w:cs="Arial"/>
                  <w:bCs/>
                  <w:sz w:val="20"/>
                  <w:szCs w:val="20"/>
                  <w:lang w:eastAsia="ja-JP"/>
                </w:rPr>
                <w:t>PPwT</w:t>
              </w:r>
              <w:proofErr w:type="spellEnd"/>
              <w:r w:rsidRPr="00BE2EFA">
                <w:rPr>
                  <w:rStyle w:val="Hyperlink"/>
                  <w:rFonts w:ascii="Arial" w:eastAsia="MS Mincho" w:hAnsi="Arial" w:cs="Arial"/>
                  <w:bCs/>
                  <w:sz w:val="20"/>
                  <w:szCs w:val="20"/>
                  <w:lang w:eastAsia="ja-JP"/>
                </w:rPr>
                <w:t xml:space="preserve"> Policies</w:t>
              </w:r>
            </w:hyperlink>
            <w:r>
              <w:rPr>
                <w:rFonts w:ascii="Arial" w:eastAsia="MS Mincho" w:hAnsi="Arial" w:cs="Arial"/>
                <w:bCs/>
                <w:sz w:val="20"/>
                <w:szCs w:val="20"/>
                <w:lang w:eastAsia="ja-JP"/>
              </w:rPr>
              <w:t>.</w:t>
            </w:r>
          </w:p>
          <w:p w14:paraId="65201904" w14:textId="04B40C3D" w:rsidR="00BE2EFA" w:rsidRDefault="00C07F8A" w:rsidP="00B84BC9">
            <w:pPr>
              <w:numPr>
                <w:ilvl w:val="1"/>
                <w:numId w:val="28"/>
              </w:numPr>
              <w:spacing w:line="276" w:lineRule="auto"/>
              <w:jc w:val="both"/>
              <w:rPr>
                <w:rFonts w:ascii="Arial" w:eastAsia="MS Mincho" w:hAnsi="Arial" w:cs="Arial"/>
                <w:bCs/>
                <w:sz w:val="20"/>
                <w:szCs w:val="20"/>
                <w:lang w:eastAsia="ja-JP"/>
              </w:rPr>
            </w:pPr>
            <w:hyperlink r:id="rId39" w:history="1">
              <w:r w:rsidR="00BE2EFA" w:rsidRPr="00BE2EFA">
                <w:rPr>
                  <w:rStyle w:val="Hyperlink"/>
                  <w:rFonts w:ascii="Arial" w:eastAsia="MS Mincho" w:hAnsi="Arial" w:cs="Arial"/>
                  <w:bCs/>
                  <w:sz w:val="20"/>
                  <w:szCs w:val="20"/>
                  <w:lang w:eastAsia="ja-JP"/>
                </w:rPr>
                <w:t>NHS Evidence-based interventions programme</w:t>
              </w:r>
            </w:hyperlink>
            <w:r w:rsidR="00BE2EFA">
              <w:rPr>
                <w:rFonts w:ascii="Arial" w:eastAsia="MS Mincho" w:hAnsi="Arial" w:cs="Arial"/>
                <w:bCs/>
                <w:sz w:val="20"/>
                <w:szCs w:val="20"/>
                <w:lang w:eastAsia="ja-JP"/>
              </w:rPr>
              <w:t xml:space="preserve"> provides guidance to improve the quality of care by reducing unnecessary interventions, preventing avoidable harm and optimising use of resources. </w:t>
            </w:r>
          </w:p>
          <w:p w14:paraId="55C5A5CD" w14:textId="37F518D8"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0" w:history="1">
              <w:r w:rsidR="00B84BC9" w:rsidRPr="00B84BC9">
                <w:rPr>
                  <w:rStyle w:val="Hyperlink"/>
                  <w:rFonts w:ascii="Arial" w:eastAsia="MS Mincho" w:hAnsi="Arial" w:cs="Arial"/>
                  <w:bCs/>
                  <w:sz w:val="20"/>
                  <w:szCs w:val="20"/>
                  <w:lang w:eastAsia="ja-JP"/>
                </w:rPr>
                <w:t>NICE | Osteoarthritis in over 16s: diagnosis and management [NG226] October 2022</w:t>
              </w:r>
            </w:hyperlink>
          </w:p>
          <w:p w14:paraId="1A7693E0"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1" w:history="1">
              <w:r w:rsidR="00B84BC9" w:rsidRPr="00B84BC9">
                <w:rPr>
                  <w:rStyle w:val="Hyperlink"/>
                  <w:rFonts w:ascii="Arial" w:eastAsia="MS Mincho" w:hAnsi="Arial" w:cs="Arial"/>
                  <w:bCs/>
                  <w:sz w:val="20"/>
                  <w:szCs w:val="20"/>
                  <w:lang w:eastAsia="ja-JP"/>
                </w:rPr>
                <w:t>NICE | Low back pain and sciatica in over 16s: assessment and management [NG 59] November 2016</w:t>
              </w:r>
            </w:hyperlink>
          </w:p>
          <w:p w14:paraId="5213A927"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2" w:history="1">
              <w:r w:rsidR="00B84BC9" w:rsidRPr="00B84BC9">
                <w:rPr>
                  <w:rStyle w:val="Hyperlink"/>
                  <w:rFonts w:ascii="Arial" w:eastAsia="MS Mincho" w:hAnsi="Arial" w:cs="Arial"/>
                  <w:bCs/>
                  <w:sz w:val="20"/>
                  <w:szCs w:val="20"/>
                  <w:lang w:eastAsia="ja-JP"/>
                </w:rPr>
                <w:t>NICE | Chronic pain (primary and secondary) in over 16s: assessment of all chronic pain and management of chronic primary pain [NG193] April 2021</w:t>
              </w:r>
            </w:hyperlink>
          </w:p>
          <w:p w14:paraId="574D2086"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3" w:history="1">
              <w:r w:rsidR="00B84BC9" w:rsidRPr="00B84BC9">
                <w:rPr>
                  <w:rStyle w:val="Hyperlink"/>
                  <w:rFonts w:ascii="Arial" w:eastAsia="MS Mincho" w:hAnsi="Arial" w:cs="Arial"/>
                  <w:bCs/>
                  <w:sz w:val="20"/>
                  <w:szCs w:val="20"/>
                  <w:lang w:eastAsia="ja-JP"/>
                </w:rPr>
                <w:t>NICE | Rheumatoid arthritis in adults: management [NG100] July 2018</w:t>
              </w:r>
            </w:hyperlink>
          </w:p>
          <w:p w14:paraId="44E588F9"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4" w:history="1">
              <w:r w:rsidR="00B84BC9" w:rsidRPr="00B84BC9">
                <w:rPr>
                  <w:rStyle w:val="Hyperlink"/>
                  <w:rFonts w:ascii="Arial" w:eastAsia="MS Mincho" w:hAnsi="Arial" w:cs="Arial"/>
                  <w:bCs/>
                  <w:sz w:val="20"/>
                  <w:szCs w:val="20"/>
                  <w:lang w:eastAsia="ja-JP"/>
                </w:rPr>
                <w:t>NICE | Gout: diagnosis and management [NG219] June 2022</w:t>
              </w:r>
            </w:hyperlink>
          </w:p>
          <w:p w14:paraId="34C49F8F"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5" w:history="1">
              <w:r w:rsidR="00B84BC9" w:rsidRPr="00B84BC9">
                <w:rPr>
                  <w:rStyle w:val="Hyperlink"/>
                  <w:rFonts w:ascii="Arial" w:eastAsia="MS Mincho" w:hAnsi="Arial" w:cs="Arial"/>
                  <w:bCs/>
                  <w:sz w:val="20"/>
                  <w:szCs w:val="20"/>
                  <w:lang w:eastAsia="ja-JP"/>
                </w:rPr>
                <w:t xml:space="preserve">NICE | </w:t>
              </w:r>
              <w:proofErr w:type="spellStart"/>
              <w:r w:rsidR="00B84BC9" w:rsidRPr="00B84BC9">
                <w:rPr>
                  <w:rStyle w:val="Hyperlink"/>
                  <w:rFonts w:ascii="Arial" w:eastAsia="MS Mincho" w:hAnsi="Arial" w:cs="Arial"/>
                  <w:bCs/>
                  <w:sz w:val="20"/>
                  <w:szCs w:val="20"/>
                  <w:lang w:eastAsia="ja-JP"/>
                </w:rPr>
                <w:t>Spondyloarthritis</w:t>
              </w:r>
              <w:proofErr w:type="spellEnd"/>
              <w:r w:rsidR="00B84BC9" w:rsidRPr="00B84BC9">
                <w:rPr>
                  <w:rStyle w:val="Hyperlink"/>
                  <w:rFonts w:ascii="Arial" w:eastAsia="MS Mincho" w:hAnsi="Arial" w:cs="Arial"/>
                  <w:bCs/>
                  <w:sz w:val="20"/>
                  <w:szCs w:val="20"/>
                  <w:lang w:eastAsia="ja-JP"/>
                </w:rPr>
                <w:t xml:space="preserve"> in over 16s: diagnosis and management [NG65] February 2017</w:t>
              </w:r>
            </w:hyperlink>
          </w:p>
          <w:p w14:paraId="762A0863"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6" w:history="1">
              <w:r w:rsidR="00B84BC9" w:rsidRPr="00B84BC9">
                <w:rPr>
                  <w:rStyle w:val="Hyperlink"/>
                  <w:rFonts w:ascii="Arial" w:eastAsia="MS Mincho" w:hAnsi="Arial" w:cs="Arial"/>
                  <w:bCs/>
                  <w:sz w:val="20"/>
                  <w:szCs w:val="20"/>
                  <w:lang w:eastAsia="ja-JP"/>
                </w:rPr>
                <w:t>NICE | Osteoporosis: assessing the risk of fragility fracture [CG146] August 2012</w:t>
              </w:r>
            </w:hyperlink>
          </w:p>
          <w:p w14:paraId="4590BD31"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7" w:history="1">
              <w:r w:rsidR="00B84BC9" w:rsidRPr="00B84BC9">
                <w:rPr>
                  <w:rStyle w:val="Hyperlink"/>
                  <w:rFonts w:ascii="Arial" w:eastAsia="MS Mincho" w:hAnsi="Arial" w:cs="Arial"/>
                  <w:bCs/>
                  <w:sz w:val="20"/>
                  <w:szCs w:val="20"/>
                  <w:lang w:eastAsia="ja-JP"/>
                </w:rPr>
                <w:t>NICE | Joint replacement (primary): hip, knee and shoulder [NG157] June 2020</w:t>
              </w:r>
            </w:hyperlink>
          </w:p>
          <w:p w14:paraId="5CB6EB1F" w14:textId="5DA99073" w:rsidR="00B84BC9" w:rsidRPr="007B195B" w:rsidRDefault="00C07F8A" w:rsidP="00B84BC9">
            <w:pPr>
              <w:numPr>
                <w:ilvl w:val="1"/>
                <w:numId w:val="28"/>
              </w:numPr>
              <w:spacing w:line="276" w:lineRule="auto"/>
              <w:jc w:val="both"/>
              <w:rPr>
                <w:rStyle w:val="Hyperlink"/>
                <w:rFonts w:ascii="Arial" w:eastAsia="MS Mincho" w:hAnsi="Arial" w:cs="Arial"/>
                <w:bCs/>
                <w:color w:val="auto"/>
                <w:sz w:val="20"/>
                <w:szCs w:val="20"/>
                <w:u w:val="none"/>
                <w:lang w:eastAsia="ja-JP"/>
              </w:rPr>
            </w:pPr>
            <w:hyperlink r:id="rId48" w:history="1">
              <w:r w:rsidR="00B84BC9" w:rsidRPr="00B84BC9">
                <w:rPr>
                  <w:rStyle w:val="Hyperlink"/>
                  <w:rFonts w:ascii="Arial" w:eastAsia="MS Mincho" w:hAnsi="Arial" w:cs="Arial"/>
                  <w:bCs/>
                  <w:sz w:val="20"/>
                  <w:szCs w:val="20"/>
                  <w:lang w:eastAsia="ja-JP"/>
                </w:rPr>
                <w:t>UKSSB National Back Pain Pathway</w:t>
              </w:r>
            </w:hyperlink>
          </w:p>
          <w:p w14:paraId="4D177AF8" w14:textId="222AFFCA" w:rsidR="007B195B"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49" w:history="1">
              <w:r w:rsidR="007B195B" w:rsidRPr="007B195B">
                <w:rPr>
                  <w:rStyle w:val="Hyperlink"/>
                  <w:rFonts w:ascii="Arial" w:eastAsia="MS Mincho" w:hAnsi="Arial" w:cs="Arial"/>
                  <w:bCs/>
                  <w:sz w:val="20"/>
                  <w:szCs w:val="20"/>
                  <w:lang w:eastAsia="ja-JP"/>
                </w:rPr>
                <w:t>Best MSK Spinal Pathways</w:t>
              </w:r>
            </w:hyperlink>
          </w:p>
          <w:p w14:paraId="7066FACC"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50" w:history="1">
              <w:proofErr w:type="spellStart"/>
              <w:r w:rsidR="00B84BC9" w:rsidRPr="00B84BC9">
                <w:rPr>
                  <w:rStyle w:val="Hyperlink"/>
                  <w:rFonts w:ascii="Arial" w:eastAsia="MS Mincho" w:hAnsi="Arial" w:cs="Arial"/>
                  <w:bCs/>
                  <w:sz w:val="20"/>
                  <w:szCs w:val="20"/>
                  <w:lang w:eastAsia="ja-JP"/>
                </w:rPr>
                <w:t>BestMSK</w:t>
              </w:r>
              <w:proofErr w:type="spellEnd"/>
              <w:r w:rsidR="00B84BC9" w:rsidRPr="00B84BC9">
                <w:rPr>
                  <w:rStyle w:val="Hyperlink"/>
                  <w:rFonts w:ascii="Arial" w:eastAsia="MS Mincho" w:hAnsi="Arial" w:cs="Arial"/>
                  <w:bCs/>
                  <w:sz w:val="20"/>
                  <w:szCs w:val="20"/>
                  <w:lang w:eastAsia="ja-JP"/>
                </w:rPr>
                <w:t xml:space="preserve"> / GIRFT National Suspected Cauda Equina Syndrome Pathway (Draft)</w:t>
              </w:r>
            </w:hyperlink>
          </w:p>
          <w:p w14:paraId="5A209EE2" w14:textId="77777777" w:rsidR="006D015F" w:rsidRDefault="00C07F8A" w:rsidP="006D015F">
            <w:pPr>
              <w:numPr>
                <w:ilvl w:val="1"/>
                <w:numId w:val="28"/>
              </w:numPr>
              <w:spacing w:line="276" w:lineRule="auto"/>
              <w:jc w:val="both"/>
              <w:rPr>
                <w:rFonts w:ascii="Arial" w:eastAsia="MS Mincho" w:hAnsi="Arial" w:cs="Arial"/>
                <w:bCs/>
                <w:sz w:val="20"/>
                <w:szCs w:val="20"/>
                <w:lang w:eastAsia="ja-JP"/>
              </w:rPr>
            </w:pPr>
            <w:hyperlink r:id="rId51" w:history="1">
              <w:r w:rsidR="00B84BC9" w:rsidRPr="00B84BC9">
                <w:rPr>
                  <w:rStyle w:val="Hyperlink"/>
                  <w:rFonts w:ascii="Arial" w:eastAsia="MS Mincho" w:hAnsi="Arial" w:cs="Arial"/>
                  <w:bCs/>
                  <w:sz w:val="20"/>
                  <w:szCs w:val="20"/>
                  <w:lang w:eastAsia="ja-JP"/>
                </w:rPr>
                <w:t>Best MSK toolkit for primary and community care 2022</w:t>
              </w:r>
            </w:hyperlink>
          </w:p>
          <w:p w14:paraId="195AFFF7" w14:textId="2E95FCEA" w:rsidR="006D015F" w:rsidRPr="007B195B" w:rsidRDefault="006D015F" w:rsidP="007B195B">
            <w:pPr>
              <w:numPr>
                <w:ilvl w:val="1"/>
                <w:numId w:val="28"/>
              </w:numPr>
              <w:spacing w:line="276" w:lineRule="auto"/>
              <w:jc w:val="both"/>
              <w:rPr>
                <w:rFonts w:ascii="Arial" w:eastAsia="MS Mincho" w:hAnsi="Arial" w:cs="Arial"/>
                <w:bCs/>
                <w:sz w:val="20"/>
                <w:szCs w:val="20"/>
                <w:lang w:eastAsia="ja-JP"/>
              </w:rPr>
            </w:pPr>
            <w:r w:rsidRPr="006D015F">
              <w:rPr>
                <w:rFonts w:ascii="Arial" w:hAnsi="Arial" w:cs="Arial"/>
                <w:sz w:val="20"/>
                <w:szCs w:val="20"/>
              </w:rPr>
              <w:t>Relevant policies</w:t>
            </w:r>
            <w:r>
              <w:rPr>
                <w:rFonts w:ascii="Arial" w:hAnsi="Arial" w:cs="Arial"/>
                <w:sz w:val="20"/>
                <w:szCs w:val="20"/>
              </w:rPr>
              <w:t xml:space="preserve"> for point-of-care ultrasound</w:t>
            </w:r>
            <w:r w:rsidRPr="006D015F">
              <w:rPr>
                <w:rFonts w:ascii="Arial" w:hAnsi="Arial" w:cs="Arial"/>
                <w:sz w:val="20"/>
                <w:szCs w:val="20"/>
              </w:rPr>
              <w:t xml:space="preserve"> include the </w:t>
            </w:r>
            <w:hyperlink r:id="rId52" w:history="1">
              <w:r w:rsidRPr="006D015F">
                <w:rPr>
                  <w:rStyle w:val="Hyperlink"/>
                  <w:rFonts w:ascii="Arial" w:hAnsi="Arial" w:cs="Arial"/>
                  <w:color w:val="auto"/>
                  <w:sz w:val="20"/>
                  <w:szCs w:val="20"/>
                </w:rPr>
                <w:t>CSP Professional Guidance on Point of Care Ultrasound</w:t>
              </w:r>
            </w:hyperlink>
            <w:r w:rsidRPr="006D015F">
              <w:rPr>
                <w:rFonts w:ascii="Arial" w:hAnsi="Arial" w:cs="Arial"/>
                <w:sz w:val="20"/>
                <w:szCs w:val="20"/>
              </w:rPr>
              <w:t xml:space="preserve"> and the </w:t>
            </w:r>
            <w:hyperlink r:id="rId53" w:history="1">
              <w:r w:rsidRPr="006D015F">
                <w:rPr>
                  <w:rStyle w:val="Hyperlink"/>
                  <w:rFonts w:ascii="Arial" w:hAnsi="Arial" w:cs="Arial"/>
                  <w:color w:val="auto"/>
                  <w:sz w:val="20"/>
                  <w:szCs w:val="20"/>
                </w:rPr>
                <w:t>Faculty of Sports and Exercise Medicine MSK Ultrasound Guidelines (jointly with the BSSR).</w:t>
              </w:r>
            </w:hyperlink>
            <w:r w:rsidRPr="006D015F">
              <w:rPr>
                <w:rFonts w:ascii="Arial" w:hAnsi="Arial" w:cs="Arial"/>
                <w:sz w:val="20"/>
                <w:szCs w:val="20"/>
              </w:rPr>
              <w:t xml:space="preserve"> </w:t>
            </w:r>
          </w:p>
          <w:p w14:paraId="3B508D7D"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lastRenderedPageBreak/>
              <w:t>The </w:t>
            </w:r>
            <w:proofErr w:type="spellStart"/>
            <w:r w:rsidR="00C07F8A">
              <w:fldChar w:fldCharType="begin"/>
            </w:r>
            <w:r w:rsidR="00C07F8A">
              <w:instrText>HYPERLINK "https://fu</w:instrText>
            </w:r>
            <w:r w:rsidR="00C07F8A">
              <w:instrText>ture.nhs.uk/NationalMSKHealth/groupHome"</w:instrText>
            </w:r>
            <w:r w:rsidR="00C07F8A">
              <w:fldChar w:fldCharType="separate"/>
            </w:r>
            <w:r w:rsidRPr="00B84BC9">
              <w:rPr>
                <w:rStyle w:val="Hyperlink"/>
                <w:rFonts w:ascii="Arial" w:eastAsia="MS Mincho" w:hAnsi="Arial" w:cs="Arial"/>
                <w:bCs/>
                <w:sz w:val="20"/>
                <w:szCs w:val="20"/>
                <w:lang w:eastAsia="ja-JP"/>
              </w:rPr>
              <w:t>BestMSK</w:t>
            </w:r>
            <w:proofErr w:type="spellEnd"/>
            <w:r w:rsidRPr="00B84BC9">
              <w:rPr>
                <w:rStyle w:val="Hyperlink"/>
                <w:rFonts w:ascii="Arial" w:eastAsia="MS Mincho" w:hAnsi="Arial" w:cs="Arial"/>
                <w:bCs/>
                <w:sz w:val="20"/>
                <w:szCs w:val="20"/>
                <w:lang w:eastAsia="ja-JP"/>
              </w:rPr>
              <w:t xml:space="preserve"> Health Collaborative </w:t>
            </w:r>
            <w:proofErr w:type="spellStart"/>
            <w:r w:rsidRPr="00B84BC9">
              <w:rPr>
                <w:rStyle w:val="Hyperlink"/>
                <w:rFonts w:ascii="Arial" w:eastAsia="MS Mincho" w:hAnsi="Arial" w:cs="Arial"/>
                <w:bCs/>
                <w:sz w:val="20"/>
                <w:szCs w:val="20"/>
                <w:lang w:eastAsia="ja-JP"/>
              </w:rPr>
              <w:t>FutureNHS</w:t>
            </w:r>
            <w:proofErr w:type="spellEnd"/>
            <w:r w:rsidRPr="00B84BC9">
              <w:rPr>
                <w:rStyle w:val="Hyperlink"/>
                <w:rFonts w:ascii="Arial" w:eastAsia="MS Mincho" w:hAnsi="Arial" w:cs="Arial"/>
                <w:bCs/>
                <w:sz w:val="20"/>
                <w:szCs w:val="20"/>
                <w:lang w:eastAsia="ja-JP"/>
              </w:rPr>
              <w:t xml:space="preserve"> platform</w:t>
            </w:r>
            <w:r w:rsidR="00C07F8A">
              <w:rPr>
                <w:rStyle w:val="Hyperlink"/>
                <w:rFonts w:ascii="Arial" w:eastAsia="MS Mincho" w:hAnsi="Arial" w:cs="Arial"/>
                <w:bCs/>
                <w:sz w:val="20"/>
                <w:szCs w:val="20"/>
                <w:lang w:eastAsia="ja-JP"/>
              </w:rPr>
              <w:fldChar w:fldCharType="end"/>
            </w:r>
            <w:r w:rsidRPr="00B84BC9">
              <w:rPr>
                <w:rFonts w:ascii="Arial" w:eastAsia="MS Mincho" w:hAnsi="Arial" w:cs="Arial"/>
                <w:bCs/>
                <w:sz w:val="20"/>
                <w:szCs w:val="20"/>
                <w:lang w:eastAsia="ja-JP"/>
              </w:rPr>
              <w:t> has a range of resources, including a </w:t>
            </w:r>
            <w:hyperlink r:id="rId54" w:history="1">
              <w:r w:rsidRPr="00B84BC9">
                <w:rPr>
                  <w:rStyle w:val="Hyperlink"/>
                  <w:rFonts w:ascii="Arial" w:eastAsia="MS Mincho" w:hAnsi="Arial" w:cs="Arial"/>
                  <w:bCs/>
                  <w:sz w:val="20"/>
                  <w:szCs w:val="20"/>
                  <w:lang w:eastAsia="ja-JP"/>
                </w:rPr>
                <w:t>primary and community care toolkit</w:t>
              </w:r>
            </w:hyperlink>
            <w:r w:rsidRPr="00B84BC9">
              <w:rPr>
                <w:rFonts w:ascii="Arial" w:eastAsia="MS Mincho" w:hAnsi="Arial" w:cs="Arial"/>
                <w:bCs/>
                <w:sz w:val="20"/>
                <w:szCs w:val="20"/>
                <w:lang w:eastAsia="ja-JP"/>
              </w:rPr>
              <w:t> and a </w:t>
            </w:r>
            <w:hyperlink r:id="rId55" w:history="1">
              <w:r w:rsidRPr="00B84BC9">
                <w:rPr>
                  <w:rStyle w:val="Hyperlink"/>
                  <w:rFonts w:ascii="Arial" w:eastAsia="MS Mincho" w:hAnsi="Arial" w:cs="Arial"/>
                  <w:bCs/>
                  <w:sz w:val="20"/>
                  <w:szCs w:val="20"/>
                  <w:lang w:eastAsia="ja-JP"/>
                </w:rPr>
                <w:t>toolkit</w:t>
              </w:r>
            </w:hyperlink>
            <w:r w:rsidRPr="00B84BC9">
              <w:rPr>
                <w:rFonts w:ascii="Arial" w:eastAsia="MS Mincho" w:hAnsi="Arial" w:cs="Arial"/>
                <w:bCs/>
                <w:sz w:val="20"/>
                <w:szCs w:val="20"/>
                <w:lang w:eastAsia="ja-JP"/>
              </w:rPr>
              <w:t> and case studies to develop and integrate FCP services.</w:t>
            </w:r>
          </w:p>
          <w:p w14:paraId="1C50BFA4"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 xml:space="preserve">The CQC </w:t>
            </w:r>
            <w:hyperlink r:id="rId56" w:history="1">
              <w:r w:rsidRPr="00B84BC9">
                <w:rPr>
                  <w:rStyle w:val="Hyperlink"/>
                  <w:rFonts w:ascii="Arial" w:eastAsia="MS Mincho" w:hAnsi="Arial" w:cs="Arial"/>
                  <w:bCs/>
                  <w:sz w:val="20"/>
                  <w:szCs w:val="20"/>
                  <w:lang w:eastAsia="ja-JP"/>
                </w:rPr>
                <w:t xml:space="preserve">GP </w:t>
              </w:r>
              <w:proofErr w:type="spellStart"/>
              <w:r w:rsidRPr="00B84BC9">
                <w:rPr>
                  <w:rStyle w:val="Hyperlink"/>
                  <w:rFonts w:ascii="Arial" w:eastAsia="MS Mincho" w:hAnsi="Arial" w:cs="Arial"/>
                  <w:bCs/>
                  <w:sz w:val="20"/>
                  <w:szCs w:val="20"/>
                  <w:lang w:eastAsia="ja-JP"/>
                </w:rPr>
                <w:t>mythbuster</w:t>
              </w:r>
              <w:proofErr w:type="spellEnd"/>
              <w:r w:rsidRPr="00B84BC9">
                <w:rPr>
                  <w:rStyle w:val="Hyperlink"/>
                  <w:rFonts w:ascii="Arial" w:eastAsia="MS Mincho" w:hAnsi="Arial" w:cs="Arial"/>
                  <w:bCs/>
                  <w:sz w:val="20"/>
                  <w:szCs w:val="20"/>
                  <w:lang w:eastAsia="ja-JP"/>
                </w:rPr>
                <w:t xml:space="preserve"> 106: Primary care first contact practitioners (FCPs)</w:t>
              </w:r>
            </w:hyperlink>
            <w:r w:rsidRPr="00B84BC9">
              <w:rPr>
                <w:rFonts w:ascii="Arial" w:eastAsia="MS Mincho" w:hAnsi="Arial" w:cs="Arial"/>
                <w:bCs/>
                <w:sz w:val="20"/>
                <w:szCs w:val="20"/>
                <w:lang w:eastAsia="ja-JP"/>
              </w:rPr>
              <w:t xml:space="preserve"> provides clarity around such novel roles within primary care.</w:t>
            </w:r>
          </w:p>
          <w:p w14:paraId="60D4B824"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The </w:t>
            </w:r>
            <w:hyperlink r:id="rId57" w:history="1">
              <w:r w:rsidRPr="00B84BC9">
                <w:rPr>
                  <w:rStyle w:val="Hyperlink"/>
                  <w:rFonts w:ascii="Arial" w:eastAsia="MS Mincho" w:hAnsi="Arial" w:cs="Arial"/>
                  <w:bCs/>
                  <w:sz w:val="20"/>
                  <w:szCs w:val="20"/>
                  <w:lang w:eastAsia="ja-JP"/>
                </w:rPr>
                <w:t xml:space="preserve">Outpatient and Recovery Transformation </w:t>
              </w:r>
              <w:proofErr w:type="spellStart"/>
              <w:r w:rsidRPr="00B84BC9">
                <w:rPr>
                  <w:rStyle w:val="Hyperlink"/>
                  <w:rFonts w:ascii="Arial" w:eastAsia="MS Mincho" w:hAnsi="Arial" w:cs="Arial"/>
                  <w:bCs/>
                  <w:sz w:val="20"/>
                  <w:szCs w:val="20"/>
                  <w:lang w:eastAsia="ja-JP"/>
                </w:rPr>
                <w:t>FutureNHS</w:t>
              </w:r>
              <w:proofErr w:type="spellEnd"/>
              <w:r w:rsidRPr="00B84BC9">
                <w:rPr>
                  <w:rStyle w:val="Hyperlink"/>
                  <w:rFonts w:ascii="Arial" w:eastAsia="MS Mincho" w:hAnsi="Arial" w:cs="Arial"/>
                  <w:bCs/>
                  <w:sz w:val="20"/>
                  <w:szCs w:val="20"/>
                  <w:lang w:eastAsia="ja-JP"/>
                </w:rPr>
                <w:t xml:space="preserve"> platform</w:t>
              </w:r>
            </w:hyperlink>
            <w:r w:rsidRPr="00B84BC9">
              <w:rPr>
                <w:rFonts w:ascii="Arial" w:eastAsia="MS Mincho" w:hAnsi="Arial" w:cs="Arial"/>
                <w:bCs/>
                <w:sz w:val="20"/>
                <w:szCs w:val="20"/>
                <w:lang w:eastAsia="ja-JP"/>
              </w:rPr>
              <w:t> has specialty resources for </w:t>
            </w:r>
            <w:hyperlink r:id="rId58" w:history="1">
              <w:r w:rsidRPr="00B84BC9">
                <w:rPr>
                  <w:rStyle w:val="Hyperlink"/>
                  <w:rFonts w:ascii="Arial" w:eastAsia="MS Mincho" w:hAnsi="Arial" w:cs="Arial"/>
                  <w:bCs/>
                  <w:sz w:val="20"/>
                  <w:szCs w:val="20"/>
                  <w:lang w:eastAsia="ja-JP"/>
                </w:rPr>
                <w:t>MSK</w:t>
              </w:r>
            </w:hyperlink>
            <w:r w:rsidRPr="00B84BC9">
              <w:rPr>
                <w:rFonts w:ascii="Arial" w:eastAsia="MS Mincho" w:hAnsi="Arial" w:cs="Arial"/>
                <w:bCs/>
                <w:sz w:val="20"/>
                <w:szCs w:val="20"/>
                <w:lang w:eastAsia="ja-JP"/>
              </w:rPr>
              <w:t> across orthopaedics, rheumatology and spinal conditions. This include implementing PIFU and referral optimisation integrating advice and guidance/specialist advice.</w:t>
            </w:r>
          </w:p>
          <w:p w14:paraId="5BA91471"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The </w:t>
            </w:r>
            <w:hyperlink r:id="rId59" w:history="1">
              <w:r w:rsidRPr="00B84BC9">
                <w:rPr>
                  <w:rStyle w:val="Hyperlink"/>
                  <w:rFonts w:ascii="Arial" w:eastAsia="MS Mincho" w:hAnsi="Arial" w:cs="Arial"/>
                  <w:bCs/>
                  <w:sz w:val="20"/>
                  <w:szCs w:val="20"/>
                  <w:lang w:eastAsia="ja-JP"/>
                </w:rPr>
                <w:t>ARMA </w:t>
              </w:r>
            </w:hyperlink>
            <w:r w:rsidRPr="00B84BC9">
              <w:rPr>
                <w:rFonts w:ascii="Arial" w:eastAsia="MS Mincho" w:hAnsi="Arial" w:cs="Arial"/>
                <w:bCs/>
                <w:sz w:val="20"/>
                <w:szCs w:val="20"/>
                <w:lang w:eastAsia="ja-JP"/>
              </w:rPr>
              <w:t>(Arthritis and Musculoskeletal Alliance) website signposts the most relevant and useful resources and information specifically about MSK health inequalities, prioritising those which have a UK focus, which draw useful findings or are most likely to help those trying to address health inequalities.</w:t>
            </w:r>
          </w:p>
          <w:p w14:paraId="00822B51"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The Personalised Care team has produced </w:t>
            </w:r>
            <w:hyperlink r:id="rId60" w:history="1">
              <w:r w:rsidRPr="00B84BC9">
                <w:rPr>
                  <w:rStyle w:val="Hyperlink"/>
                  <w:rFonts w:ascii="Arial" w:eastAsia="MS Mincho" w:hAnsi="Arial" w:cs="Arial"/>
                  <w:bCs/>
                  <w:sz w:val="20"/>
                  <w:szCs w:val="20"/>
                  <w:lang w:eastAsia="ja-JP"/>
                </w:rPr>
                <w:t>decision support tools</w:t>
              </w:r>
            </w:hyperlink>
            <w:r w:rsidRPr="00B84BC9">
              <w:rPr>
                <w:rFonts w:ascii="Arial" w:eastAsia="MS Mincho" w:hAnsi="Arial" w:cs="Arial"/>
                <w:bCs/>
                <w:sz w:val="20"/>
                <w:szCs w:val="20"/>
                <w:lang w:eastAsia="ja-JP"/>
              </w:rPr>
              <w:t> for </w:t>
            </w:r>
            <w:proofErr w:type="spellStart"/>
            <w:r w:rsidR="00C07F8A">
              <w:fldChar w:fldCharType="begin"/>
            </w:r>
            <w:r w:rsidR="00C07F8A">
              <w:instrText>HYPERLINK "https://www.england.nhs.uk/wp-content/uploads/2022/07/Making-a-decision-a</w:instrText>
            </w:r>
            <w:r w:rsidR="00C07F8A">
              <w:instrText>bout-Dupuytrens-contracture.pdf"</w:instrText>
            </w:r>
            <w:r w:rsidR="00C07F8A">
              <w:fldChar w:fldCharType="separate"/>
            </w:r>
            <w:r w:rsidRPr="00B84BC9">
              <w:rPr>
                <w:rStyle w:val="Hyperlink"/>
                <w:rFonts w:ascii="Arial" w:eastAsia="MS Mincho" w:hAnsi="Arial" w:cs="Arial"/>
                <w:bCs/>
                <w:sz w:val="20"/>
                <w:szCs w:val="20"/>
                <w:lang w:eastAsia="ja-JP"/>
              </w:rPr>
              <w:t>Dupuytren’s</w:t>
            </w:r>
            <w:proofErr w:type="spellEnd"/>
            <w:r w:rsidRPr="00B84BC9">
              <w:rPr>
                <w:rStyle w:val="Hyperlink"/>
                <w:rFonts w:ascii="Arial" w:eastAsia="MS Mincho" w:hAnsi="Arial" w:cs="Arial"/>
                <w:bCs/>
                <w:sz w:val="20"/>
                <w:szCs w:val="20"/>
                <w:lang w:eastAsia="ja-JP"/>
              </w:rPr>
              <w:t xml:space="preserve"> contracture</w:t>
            </w:r>
            <w:r w:rsidR="00C07F8A">
              <w:rPr>
                <w:rStyle w:val="Hyperlink"/>
                <w:rFonts w:ascii="Arial" w:eastAsia="MS Mincho" w:hAnsi="Arial" w:cs="Arial"/>
                <w:bCs/>
                <w:sz w:val="20"/>
                <w:szCs w:val="20"/>
                <w:lang w:eastAsia="ja-JP"/>
              </w:rPr>
              <w:fldChar w:fldCharType="end"/>
            </w:r>
            <w:r w:rsidRPr="00B84BC9">
              <w:rPr>
                <w:rFonts w:ascii="Arial" w:eastAsia="MS Mincho" w:hAnsi="Arial" w:cs="Arial"/>
                <w:bCs/>
                <w:sz w:val="20"/>
                <w:szCs w:val="20"/>
                <w:lang w:eastAsia="ja-JP"/>
              </w:rPr>
              <w:t>, </w:t>
            </w:r>
            <w:hyperlink r:id="rId61" w:history="1">
              <w:r w:rsidRPr="00B84BC9">
                <w:rPr>
                  <w:rStyle w:val="Hyperlink"/>
                  <w:rFonts w:ascii="Arial" w:eastAsia="MS Mincho" w:hAnsi="Arial" w:cs="Arial"/>
                  <w:bCs/>
                  <w:sz w:val="20"/>
                  <w:szCs w:val="20"/>
                  <w:lang w:eastAsia="ja-JP"/>
                </w:rPr>
                <w:t>carpal tunnel syndrome</w:t>
              </w:r>
            </w:hyperlink>
            <w:r w:rsidRPr="00B84BC9">
              <w:rPr>
                <w:rFonts w:ascii="Arial" w:eastAsia="MS Mincho" w:hAnsi="Arial" w:cs="Arial"/>
                <w:bCs/>
                <w:sz w:val="20"/>
                <w:szCs w:val="20"/>
                <w:lang w:eastAsia="ja-JP"/>
              </w:rPr>
              <w:t>, </w:t>
            </w:r>
            <w:hyperlink r:id="rId62" w:history="1">
              <w:r w:rsidRPr="00B84BC9">
                <w:rPr>
                  <w:rStyle w:val="Hyperlink"/>
                  <w:rFonts w:ascii="Arial" w:eastAsia="MS Mincho" w:hAnsi="Arial" w:cs="Arial"/>
                  <w:bCs/>
                  <w:sz w:val="20"/>
                  <w:szCs w:val="20"/>
                  <w:lang w:eastAsia="ja-JP"/>
                </w:rPr>
                <w:t>hip osteoarthritis</w:t>
              </w:r>
            </w:hyperlink>
            <w:r w:rsidRPr="00B84BC9">
              <w:rPr>
                <w:rFonts w:ascii="Arial" w:eastAsia="MS Mincho" w:hAnsi="Arial" w:cs="Arial"/>
                <w:bCs/>
                <w:sz w:val="20"/>
                <w:szCs w:val="20"/>
                <w:lang w:eastAsia="ja-JP"/>
              </w:rPr>
              <w:t> and </w:t>
            </w:r>
            <w:hyperlink r:id="rId63" w:history="1">
              <w:r w:rsidRPr="00B84BC9">
                <w:rPr>
                  <w:rStyle w:val="Hyperlink"/>
                  <w:rFonts w:ascii="Arial" w:eastAsia="MS Mincho" w:hAnsi="Arial" w:cs="Arial"/>
                  <w:bCs/>
                  <w:sz w:val="20"/>
                  <w:szCs w:val="20"/>
                  <w:lang w:eastAsia="ja-JP"/>
                </w:rPr>
                <w:t>knee osteoarthritis.</w:t>
              </w:r>
            </w:hyperlink>
          </w:p>
          <w:p w14:paraId="1CC463FF"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The </w:t>
            </w:r>
            <w:hyperlink r:id="rId64" w:anchor="heading-2" w:history="1">
              <w:r w:rsidRPr="00B84BC9">
                <w:rPr>
                  <w:rStyle w:val="Hyperlink"/>
                  <w:rFonts w:ascii="Arial" w:eastAsia="MS Mincho" w:hAnsi="Arial" w:cs="Arial"/>
                  <w:bCs/>
                  <w:sz w:val="20"/>
                  <w:szCs w:val="20"/>
                  <w:lang w:eastAsia="ja-JP"/>
                </w:rPr>
                <w:t>MRI spinal leaflet for clinicians </w:t>
              </w:r>
            </w:hyperlink>
            <w:r w:rsidRPr="00B84BC9">
              <w:rPr>
                <w:rFonts w:ascii="Arial" w:eastAsia="MS Mincho" w:hAnsi="Arial" w:cs="Arial"/>
                <w:bCs/>
                <w:sz w:val="20"/>
                <w:szCs w:val="20"/>
                <w:lang w:eastAsia="ja-JP"/>
              </w:rPr>
              <w:t>is aimed at reducing unwarranted variation in requests for MRI scans for spinal conditions and was developed by spinal clinicians in collaboration with lived experience partners. It supports clinicians when considering whether an MRI scan is appropriate. </w:t>
            </w:r>
            <w:hyperlink r:id="rId65" w:anchor="heading-1" w:history="1">
              <w:r w:rsidRPr="00B84BC9">
                <w:rPr>
                  <w:rStyle w:val="Hyperlink"/>
                  <w:rFonts w:ascii="Arial" w:eastAsia="MS Mincho" w:hAnsi="Arial" w:cs="Arial"/>
                  <w:bCs/>
                  <w:sz w:val="20"/>
                  <w:szCs w:val="20"/>
                  <w:lang w:eastAsia="ja-JP"/>
                </w:rPr>
                <w:t>A patient leaflet</w:t>
              </w:r>
            </w:hyperlink>
            <w:r w:rsidRPr="00B84BC9">
              <w:rPr>
                <w:rFonts w:ascii="Arial" w:eastAsia="MS Mincho" w:hAnsi="Arial" w:cs="Arial"/>
                <w:bCs/>
                <w:sz w:val="20"/>
                <w:szCs w:val="20"/>
                <w:lang w:eastAsia="ja-JP"/>
              </w:rPr>
              <w:t> is also available.</w:t>
            </w:r>
          </w:p>
          <w:p w14:paraId="353CEF80"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These charities have resources to help people manage their MSK conditions:</w:t>
            </w:r>
          </w:p>
          <w:p w14:paraId="7DBCD9E0"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66" w:history="1">
              <w:r w:rsidR="00B84BC9" w:rsidRPr="00B84BC9">
                <w:rPr>
                  <w:rStyle w:val="Hyperlink"/>
                  <w:rFonts w:ascii="Arial" w:eastAsia="MS Mincho" w:hAnsi="Arial" w:cs="Arial"/>
                  <w:bCs/>
                  <w:sz w:val="20"/>
                  <w:szCs w:val="20"/>
                  <w:lang w:eastAsia="ja-JP"/>
                </w:rPr>
                <w:t>Arthritis Action</w:t>
              </w:r>
            </w:hyperlink>
          </w:p>
          <w:p w14:paraId="50FF5CCC" w14:textId="77777777" w:rsidR="00B84BC9" w:rsidRPr="00B84BC9" w:rsidRDefault="00C07F8A" w:rsidP="00B84BC9">
            <w:pPr>
              <w:numPr>
                <w:ilvl w:val="1"/>
                <w:numId w:val="28"/>
              </w:numPr>
              <w:spacing w:line="276" w:lineRule="auto"/>
              <w:jc w:val="both"/>
              <w:rPr>
                <w:rFonts w:ascii="Arial" w:eastAsia="MS Mincho" w:hAnsi="Arial" w:cs="Arial"/>
                <w:bCs/>
                <w:sz w:val="20"/>
                <w:szCs w:val="20"/>
                <w:lang w:eastAsia="ja-JP"/>
              </w:rPr>
            </w:pPr>
            <w:hyperlink r:id="rId67" w:history="1">
              <w:r w:rsidR="00B84BC9" w:rsidRPr="00B84BC9">
                <w:rPr>
                  <w:rStyle w:val="Hyperlink"/>
                  <w:rFonts w:ascii="Arial" w:eastAsia="MS Mincho" w:hAnsi="Arial" w:cs="Arial"/>
                  <w:bCs/>
                  <w:sz w:val="20"/>
                  <w:szCs w:val="20"/>
                  <w:lang w:eastAsia="ja-JP"/>
                </w:rPr>
                <w:t>Versus Arthritis</w:t>
              </w:r>
            </w:hyperlink>
            <w:r w:rsidR="00B84BC9" w:rsidRPr="00B84BC9">
              <w:rPr>
                <w:rFonts w:ascii="Arial" w:eastAsia="MS Mincho" w:hAnsi="Arial" w:cs="Arial"/>
                <w:bCs/>
                <w:sz w:val="20"/>
                <w:szCs w:val="20"/>
                <w:lang w:eastAsia="ja-JP"/>
              </w:rPr>
              <w:t>.</w:t>
            </w:r>
          </w:p>
          <w:p w14:paraId="6F97EE6D" w14:textId="77777777" w:rsidR="00B84BC9" w:rsidRPr="00B84BC9" w:rsidRDefault="00B84BC9" w:rsidP="00B84BC9">
            <w:pPr>
              <w:numPr>
                <w:ilvl w:val="0"/>
                <w:numId w:val="28"/>
              </w:numPr>
              <w:spacing w:line="276" w:lineRule="auto"/>
              <w:jc w:val="both"/>
              <w:rPr>
                <w:rFonts w:ascii="Arial" w:eastAsia="MS Mincho" w:hAnsi="Arial" w:cs="Arial"/>
                <w:bCs/>
                <w:sz w:val="20"/>
                <w:szCs w:val="20"/>
                <w:lang w:eastAsia="ja-JP"/>
              </w:rPr>
            </w:pPr>
            <w:r w:rsidRPr="00B84BC9">
              <w:rPr>
                <w:rFonts w:ascii="Arial" w:eastAsia="MS Mincho" w:hAnsi="Arial" w:cs="Arial"/>
                <w:bCs/>
                <w:sz w:val="20"/>
                <w:szCs w:val="20"/>
                <w:lang w:eastAsia="ja-JP"/>
              </w:rPr>
              <w:t>Tools to support secondary care providers’ contractual requirements: </w:t>
            </w:r>
            <w:hyperlink r:id="rId68" w:history="1">
              <w:r w:rsidRPr="00B84BC9">
                <w:rPr>
                  <w:rStyle w:val="Hyperlink"/>
                  <w:rFonts w:ascii="Arial" w:eastAsia="MS Mincho" w:hAnsi="Arial" w:cs="Arial"/>
                  <w:bCs/>
                  <w:sz w:val="20"/>
                  <w:szCs w:val="20"/>
                  <w:lang w:eastAsia="ja-JP"/>
                </w:rPr>
                <w:t>The interface between primary and secondary care: key messages for NHS clinicians and managers</w:t>
              </w:r>
            </w:hyperlink>
            <w:r w:rsidRPr="00B84BC9">
              <w:rPr>
                <w:rFonts w:ascii="Arial" w:eastAsia="MS Mincho" w:hAnsi="Arial" w:cs="Arial"/>
                <w:bCs/>
                <w:sz w:val="20"/>
                <w:szCs w:val="20"/>
                <w:lang w:eastAsia="ja-JP"/>
              </w:rPr>
              <w:t> and </w:t>
            </w:r>
            <w:hyperlink r:id="rId69" w:history="1">
              <w:r w:rsidRPr="00B84BC9">
                <w:rPr>
                  <w:rStyle w:val="Hyperlink"/>
                  <w:rFonts w:ascii="Arial" w:eastAsia="MS Mincho" w:hAnsi="Arial" w:cs="Arial"/>
                  <w:bCs/>
                  <w:sz w:val="20"/>
                  <w:szCs w:val="20"/>
                  <w:lang w:eastAsia="ja-JP"/>
                </w:rPr>
                <w:t>Standard contract provisions primary and secondary care implementation toolkit</w:t>
              </w:r>
            </w:hyperlink>
            <w:r w:rsidRPr="00B84BC9">
              <w:rPr>
                <w:rFonts w:ascii="Arial" w:eastAsia="MS Mincho" w:hAnsi="Arial" w:cs="Arial"/>
                <w:bCs/>
                <w:sz w:val="20"/>
                <w:szCs w:val="20"/>
                <w:lang w:eastAsia="ja-JP"/>
              </w:rPr>
              <w:t>.</w:t>
            </w:r>
          </w:p>
          <w:p w14:paraId="60308FC8" w14:textId="5C944947" w:rsidR="008F6A58" w:rsidRDefault="008F6A58" w:rsidP="007B23F0">
            <w:pPr>
              <w:spacing w:line="276" w:lineRule="auto"/>
              <w:jc w:val="both"/>
              <w:rPr>
                <w:rFonts w:ascii="Arial" w:eastAsia="MS Mincho" w:hAnsi="Arial" w:cs="Arial"/>
                <w:b/>
                <w:sz w:val="20"/>
                <w:szCs w:val="20"/>
                <w:lang w:eastAsia="ja-JP"/>
              </w:rPr>
            </w:pPr>
          </w:p>
          <w:p w14:paraId="31E0B073" w14:textId="47C15D99" w:rsidR="008F6A58" w:rsidRPr="007B23F0" w:rsidRDefault="008F6A58" w:rsidP="007B23F0">
            <w:pPr>
              <w:spacing w:line="276" w:lineRule="auto"/>
              <w:jc w:val="both"/>
              <w:rPr>
                <w:rFonts w:ascii="Arial" w:eastAsia="MS Mincho" w:hAnsi="Arial" w:cs="Arial"/>
                <w:b/>
                <w:sz w:val="20"/>
                <w:szCs w:val="20"/>
                <w:lang w:eastAsia="ja-JP"/>
              </w:rPr>
            </w:pPr>
          </w:p>
        </w:tc>
      </w:tr>
      <w:tr w:rsidR="00BE2EFA" w:rsidRPr="0089145C" w14:paraId="4394A119" w14:textId="77777777" w:rsidTr="009053A0">
        <w:tc>
          <w:tcPr>
            <w:tcW w:w="9668" w:type="dxa"/>
            <w:tcBorders>
              <w:bottom w:val="nil"/>
            </w:tcBorders>
            <w:shd w:val="clear" w:color="auto" w:fill="auto"/>
          </w:tcPr>
          <w:p w14:paraId="5C36F652" w14:textId="17F64DAD" w:rsidR="004A58B4" w:rsidRPr="004A58B4" w:rsidRDefault="004A58B4" w:rsidP="004A58B4"/>
        </w:tc>
      </w:tr>
    </w:tbl>
    <w:p w14:paraId="56B4F8FF" w14:textId="57CC44D5" w:rsidR="7434C160" w:rsidRDefault="7434C160" w:rsidP="00D84BAA">
      <w:pPr>
        <w:rPr>
          <w:rFonts w:ascii="Verdana" w:hAnsi="Verdana"/>
        </w:rPr>
      </w:pPr>
    </w:p>
    <w:sectPr w:rsidR="7434C160">
      <w:headerReference w:type="default" r:id="rId70"/>
      <w:footerReference w:type="defaul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22F1" w14:textId="77777777" w:rsidR="0046718B" w:rsidRDefault="0046718B" w:rsidP="00696CC7">
      <w:r>
        <w:separator/>
      </w:r>
    </w:p>
  </w:endnote>
  <w:endnote w:type="continuationSeparator" w:id="0">
    <w:p w14:paraId="18E34450" w14:textId="77777777" w:rsidR="0046718B" w:rsidRDefault="0046718B" w:rsidP="006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685910"/>
      <w:docPartObj>
        <w:docPartGallery w:val="Page Numbers (Bottom of Page)"/>
        <w:docPartUnique/>
      </w:docPartObj>
    </w:sdtPr>
    <w:sdtEndPr>
      <w:rPr>
        <w:noProof/>
      </w:rPr>
    </w:sdtEndPr>
    <w:sdtContent>
      <w:p w14:paraId="0423F467" w14:textId="38F2BEA5" w:rsidR="00924CEC" w:rsidRDefault="00924CEC">
        <w:pPr>
          <w:pStyle w:val="Footer"/>
        </w:pPr>
        <w:r>
          <w:fldChar w:fldCharType="begin"/>
        </w:r>
        <w:r>
          <w:instrText xml:space="preserve"> PAGE   \* MERGEFORMAT </w:instrText>
        </w:r>
        <w:r>
          <w:fldChar w:fldCharType="separate"/>
        </w:r>
        <w:r w:rsidR="00973565">
          <w:rPr>
            <w:noProof/>
          </w:rPr>
          <w:t>5</w:t>
        </w:r>
        <w:r>
          <w:rPr>
            <w:noProof/>
          </w:rPr>
          <w:fldChar w:fldCharType="end"/>
        </w:r>
      </w:p>
    </w:sdtContent>
  </w:sdt>
  <w:p w14:paraId="66A145EA" w14:textId="107BB363" w:rsidR="00924CEC" w:rsidRPr="00054D9E" w:rsidRDefault="00924CEC" w:rsidP="00054D9E">
    <w:pPr>
      <w:tabs>
        <w:tab w:val="right" w:pos="0"/>
      </w:tabs>
      <w:jc w:val="right"/>
      <w:rPr>
        <w:rFonts w:asciiTheme="majorHAnsi" w:hAnsiTheme="majorHAnsi" w:cstheme="majorHAnsi"/>
        <w:b/>
        <w:bCs/>
        <w:color w:val="425563" w:themeColor="text1"/>
        <w:sz w:val="16"/>
        <w:szCs w:val="16"/>
        <w:lang w:val="en-US"/>
      </w:rPr>
    </w:pPr>
    <w:r>
      <w:rPr>
        <w:rFonts w:asciiTheme="majorHAnsi" w:hAnsiTheme="majorHAnsi" w:cstheme="majorHAnsi"/>
        <w:b/>
        <w:bCs/>
        <w:color w:val="425563" w:themeColor="text1"/>
        <w:sz w:val="16"/>
        <w:szCs w:val="16"/>
        <w:lang w:val="en-US"/>
      </w:rPr>
      <w:t>Draft V11.2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2725" w14:textId="77777777" w:rsidR="0046718B" w:rsidRDefault="0046718B" w:rsidP="00696CC7">
      <w:r>
        <w:separator/>
      </w:r>
    </w:p>
  </w:footnote>
  <w:footnote w:type="continuationSeparator" w:id="0">
    <w:p w14:paraId="0680775F" w14:textId="77777777" w:rsidR="0046718B" w:rsidRDefault="0046718B" w:rsidP="0069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7EAB" w14:textId="6EEBB978" w:rsidR="00924CEC" w:rsidRDefault="00924CEC">
    <w:pPr>
      <w:pStyle w:val="Header"/>
    </w:pPr>
    <w:r w:rsidRPr="00DB434C">
      <w:rPr>
        <w:rFonts w:ascii="Times New Roman" w:eastAsia="Times New Roman" w:hAnsi="Times New Roman" w:cs="Times New Roman"/>
        <w:noProof/>
        <w:lang w:eastAsia="en-GB"/>
      </w:rPr>
      <w:drawing>
        <wp:anchor distT="0" distB="0" distL="114300" distR="114300" simplePos="0" relativeHeight="251657728" behindDoc="0" locked="0" layoutInCell="1" allowOverlap="1" wp14:anchorId="65A01E86" wp14:editId="58475419">
          <wp:simplePos x="0" y="0"/>
          <wp:positionH relativeFrom="column">
            <wp:posOffset>4501243</wp:posOffset>
          </wp:positionH>
          <wp:positionV relativeFrom="paragraph">
            <wp:posOffset>-297180</wp:posOffset>
          </wp:positionV>
          <wp:extent cx="1901843" cy="57658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rjes\AppData\Local\Microsoft\Windows\INetCache\Content.Outlook\JXQ15T3X\NWL-ICS-logo-high-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32403" cy="6161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FF0000"/>
        <w:sz w:val="28"/>
        <w:szCs w:val="28"/>
        <w:lang w:eastAsia="en-GB"/>
      </w:rPr>
      <w:drawing>
        <wp:anchor distT="0" distB="0" distL="114300" distR="114300" simplePos="0" relativeHeight="251656704" behindDoc="1" locked="0" layoutInCell="1" allowOverlap="1" wp14:anchorId="3AA9BF94" wp14:editId="6E8AF3DA">
          <wp:simplePos x="0" y="0"/>
          <wp:positionH relativeFrom="column">
            <wp:posOffset>-473710</wp:posOffset>
          </wp:positionH>
          <wp:positionV relativeFrom="paragraph">
            <wp:posOffset>-346710</wp:posOffset>
          </wp:positionV>
          <wp:extent cx="2171065" cy="695960"/>
          <wp:effectExtent l="0" t="0" r="635" b="8890"/>
          <wp:wrapTight wrapText="bothSides">
            <wp:wrapPolygon edited="0">
              <wp:start x="0" y="0"/>
              <wp:lineTo x="0" y="21285"/>
              <wp:lineTo x="21417" y="21285"/>
              <wp:lineTo x="21417" y="0"/>
              <wp:lineTo x="0" y="0"/>
            </wp:wrapPolygon>
          </wp:wrapTight>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1065" cy="695960"/>
                  </a:xfrm>
                  <a:prstGeom prst="rect">
                    <a:avLst/>
                  </a:prstGeom>
                </pic:spPr>
              </pic:pic>
            </a:graphicData>
          </a:graphic>
          <wp14:sizeRelH relativeFrom="page">
            <wp14:pctWidth>0</wp14:pctWidth>
          </wp14:sizeRelH>
          <wp14:sizeRelV relativeFrom="page">
            <wp14:pctHeight>0</wp14:pctHeight>
          </wp14:sizeRelV>
        </wp:anchor>
      </w:drawing>
    </w:r>
    <w:sdt>
      <w:sdtPr>
        <w:id w:val="-524101357"/>
        <w:docPartObj>
          <w:docPartGallery w:val="Watermarks"/>
          <w:docPartUnique/>
        </w:docPartObj>
      </w:sdtPr>
      <w:sdtEndPr/>
      <w:sdtContent>
        <w:r w:rsidR="00C07F8A">
          <w:rPr>
            <w:noProof/>
          </w:rPr>
          <w:pict w14:anchorId="5ED51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983"/>
    <w:multiLevelType w:val="hybridMultilevel"/>
    <w:tmpl w:val="D4AE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33C3D"/>
    <w:multiLevelType w:val="hybridMultilevel"/>
    <w:tmpl w:val="D45C83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540C8"/>
    <w:multiLevelType w:val="hybridMultilevel"/>
    <w:tmpl w:val="1904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43A87"/>
    <w:multiLevelType w:val="hybridMultilevel"/>
    <w:tmpl w:val="168E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0FC7"/>
    <w:multiLevelType w:val="hybridMultilevel"/>
    <w:tmpl w:val="CF4E6EC0"/>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2D60D2"/>
    <w:multiLevelType w:val="hybridMultilevel"/>
    <w:tmpl w:val="8AE60F7E"/>
    <w:lvl w:ilvl="0" w:tplc="913408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3544B"/>
    <w:multiLevelType w:val="hybridMultilevel"/>
    <w:tmpl w:val="EB8C13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B266F"/>
    <w:multiLevelType w:val="hybridMultilevel"/>
    <w:tmpl w:val="2FCE54F6"/>
    <w:lvl w:ilvl="0" w:tplc="DF1CC3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C22B9"/>
    <w:multiLevelType w:val="hybridMultilevel"/>
    <w:tmpl w:val="9D88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F3922"/>
    <w:multiLevelType w:val="hybridMultilevel"/>
    <w:tmpl w:val="39FC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20A3E"/>
    <w:multiLevelType w:val="multilevel"/>
    <w:tmpl w:val="49C6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9B1347"/>
    <w:multiLevelType w:val="hybridMultilevel"/>
    <w:tmpl w:val="98E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77F5B"/>
    <w:multiLevelType w:val="hybridMultilevel"/>
    <w:tmpl w:val="3BE8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4599A"/>
    <w:multiLevelType w:val="hybridMultilevel"/>
    <w:tmpl w:val="40FA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62CD2"/>
    <w:multiLevelType w:val="hybridMultilevel"/>
    <w:tmpl w:val="4C04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66136"/>
    <w:multiLevelType w:val="hybridMultilevel"/>
    <w:tmpl w:val="2FC0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B6DE7"/>
    <w:multiLevelType w:val="hybridMultilevel"/>
    <w:tmpl w:val="EBF6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76D95"/>
    <w:multiLevelType w:val="hybridMultilevel"/>
    <w:tmpl w:val="55E6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00326"/>
    <w:multiLevelType w:val="hybridMultilevel"/>
    <w:tmpl w:val="ED1C00B0"/>
    <w:lvl w:ilvl="0" w:tplc="9134086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006F29"/>
    <w:multiLevelType w:val="hybridMultilevel"/>
    <w:tmpl w:val="DD1280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28008B9"/>
    <w:multiLevelType w:val="hybridMultilevel"/>
    <w:tmpl w:val="834E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06FE7"/>
    <w:multiLevelType w:val="hybridMultilevel"/>
    <w:tmpl w:val="8912E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9413E"/>
    <w:multiLevelType w:val="hybridMultilevel"/>
    <w:tmpl w:val="3FC8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44382"/>
    <w:multiLevelType w:val="hybridMultilevel"/>
    <w:tmpl w:val="EC401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A61E1A"/>
    <w:multiLevelType w:val="hybridMultilevel"/>
    <w:tmpl w:val="083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04C58"/>
    <w:multiLevelType w:val="hybridMultilevel"/>
    <w:tmpl w:val="6BCE55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826719"/>
    <w:multiLevelType w:val="hybridMultilevel"/>
    <w:tmpl w:val="F3A6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A780C"/>
    <w:multiLevelType w:val="hybridMultilevel"/>
    <w:tmpl w:val="25BA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B0A71"/>
    <w:multiLevelType w:val="hybridMultilevel"/>
    <w:tmpl w:val="17CAE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D57D6"/>
    <w:multiLevelType w:val="multilevel"/>
    <w:tmpl w:val="CF6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268643">
    <w:abstractNumId w:val="15"/>
  </w:num>
  <w:num w:numId="2" w16cid:durableId="317004854">
    <w:abstractNumId w:val="3"/>
  </w:num>
  <w:num w:numId="3" w16cid:durableId="1276014307">
    <w:abstractNumId w:val="22"/>
  </w:num>
  <w:num w:numId="4" w16cid:durableId="2034333932">
    <w:abstractNumId w:val="16"/>
  </w:num>
  <w:num w:numId="5" w16cid:durableId="518201033">
    <w:abstractNumId w:val="0"/>
  </w:num>
  <w:num w:numId="6" w16cid:durableId="1971814123">
    <w:abstractNumId w:val="18"/>
  </w:num>
  <w:num w:numId="7" w16cid:durableId="2098549958">
    <w:abstractNumId w:val="9"/>
  </w:num>
  <w:num w:numId="8" w16cid:durableId="922378012">
    <w:abstractNumId w:val="8"/>
  </w:num>
  <w:num w:numId="9" w16cid:durableId="1673099995">
    <w:abstractNumId w:val="27"/>
  </w:num>
  <w:num w:numId="10" w16cid:durableId="995648064">
    <w:abstractNumId w:val="10"/>
  </w:num>
  <w:num w:numId="11" w16cid:durableId="1696079598">
    <w:abstractNumId w:val="4"/>
  </w:num>
  <w:num w:numId="12" w16cid:durableId="221410212">
    <w:abstractNumId w:val="14"/>
  </w:num>
  <w:num w:numId="13" w16cid:durableId="1767653181">
    <w:abstractNumId w:val="28"/>
  </w:num>
  <w:num w:numId="14" w16cid:durableId="1975287454">
    <w:abstractNumId w:val="25"/>
  </w:num>
  <w:num w:numId="15" w16cid:durableId="207106305">
    <w:abstractNumId w:val="17"/>
  </w:num>
  <w:num w:numId="16" w16cid:durableId="2139184691">
    <w:abstractNumId w:val="7"/>
  </w:num>
  <w:num w:numId="17" w16cid:durableId="1627394721">
    <w:abstractNumId w:val="12"/>
  </w:num>
  <w:num w:numId="18" w16cid:durableId="1165782328">
    <w:abstractNumId w:val="23"/>
  </w:num>
  <w:num w:numId="19" w16cid:durableId="1902398892">
    <w:abstractNumId w:val="5"/>
  </w:num>
  <w:num w:numId="20" w16cid:durableId="16664843">
    <w:abstractNumId w:val="21"/>
  </w:num>
  <w:num w:numId="21" w16cid:durableId="335160432">
    <w:abstractNumId w:val="13"/>
  </w:num>
  <w:num w:numId="22" w16cid:durableId="18820807">
    <w:abstractNumId w:val="1"/>
  </w:num>
  <w:num w:numId="23" w16cid:durableId="1349598439">
    <w:abstractNumId w:val="6"/>
  </w:num>
  <w:num w:numId="24" w16cid:durableId="1372417411">
    <w:abstractNumId w:val="2"/>
  </w:num>
  <w:num w:numId="25" w16cid:durableId="901987945">
    <w:abstractNumId w:val="29"/>
  </w:num>
  <w:num w:numId="26" w16cid:durableId="472449336">
    <w:abstractNumId w:val="19"/>
  </w:num>
  <w:num w:numId="27" w16cid:durableId="960068443">
    <w:abstractNumId w:val="20"/>
  </w:num>
  <w:num w:numId="28" w16cid:durableId="1274750490">
    <w:abstractNumId w:val="11"/>
  </w:num>
  <w:num w:numId="29" w16cid:durableId="819884310">
    <w:abstractNumId w:val="30"/>
  </w:num>
  <w:num w:numId="30" w16cid:durableId="2090421789">
    <w:abstractNumId w:val="24"/>
  </w:num>
  <w:num w:numId="31" w16cid:durableId="40989137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ED"/>
    <w:rsid w:val="0000399A"/>
    <w:rsid w:val="000117A6"/>
    <w:rsid w:val="0001336B"/>
    <w:rsid w:val="00020AC9"/>
    <w:rsid w:val="000401FB"/>
    <w:rsid w:val="00043C19"/>
    <w:rsid w:val="00044E9A"/>
    <w:rsid w:val="00046D0F"/>
    <w:rsid w:val="00054D9E"/>
    <w:rsid w:val="00054DE7"/>
    <w:rsid w:val="00054ECF"/>
    <w:rsid w:val="000564ED"/>
    <w:rsid w:val="00063B0C"/>
    <w:rsid w:val="0007549A"/>
    <w:rsid w:val="00076925"/>
    <w:rsid w:val="00085B74"/>
    <w:rsid w:val="000910F9"/>
    <w:rsid w:val="000966C5"/>
    <w:rsid w:val="000B3B6B"/>
    <w:rsid w:val="000B47CE"/>
    <w:rsid w:val="000B5CD9"/>
    <w:rsid w:val="000B6353"/>
    <w:rsid w:val="000B762F"/>
    <w:rsid w:val="000C7163"/>
    <w:rsid w:val="000E519E"/>
    <w:rsid w:val="000F06EB"/>
    <w:rsid w:val="000F3A18"/>
    <w:rsid w:val="000F3C64"/>
    <w:rsid w:val="000F7B78"/>
    <w:rsid w:val="0013171F"/>
    <w:rsid w:val="00131B83"/>
    <w:rsid w:val="0016524A"/>
    <w:rsid w:val="0017029C"/>
    <w:rsid w:val="0017466F"/>
    <w:rsid w:val="00181625"/>
    <w:rsid w:val="001855B1"/>
    <w:rsid w:val="001A6570"/>
    <w:rsid w:val="001B0DA4"/>
    <w:rsid w:val="001B28B8"/>
    <w:rsid w:val="001B59E0"/>
    <w:rsid w:val="001B75A0"/>
    <w:rsid w:val="001D400A"/>
    <w:rsid w:val="001D4A53"/>
    <w:rsid w:val="001D4DC9"/>
    <w:rsid w:val="00206524"/>
    <w:rsid w:val="00214CF4"/>
    <w:rsid w:val="00214FB7"/>
    <w:rsid w:val="0022491D"/>
    <w:rsid w:val="0023031C"/>
    <w:rsid w:val="00244B71"/>
    <w:rsid w:val="002528C9"/>
    <w:rsid w:val="00255E79"/>
    <w:rsid w:val="00272725"/>
    <w:rsid w:val="00280323"/>
    <w:rsid w:val="00280C85"/>
    <w:rsid w:val="00290253"/>
    <w:rsid w:val="002925D6"/>
    <w:rsid w:val="002A689A"/>
    <w:rsid w:val="002B0573"/>
    <w:rsid w:val="002F551C"/>
    <w:rsid w:val="00305883"/>
    <w:rsid w:val="003119CA"/>
    <w:rsid w:val="00317B7E"/>
    <w:rsid w:val="003245E5"/>
    <w:rsid w:val="00341B5F"/>
    <w:rsid w:val="00366C2A"/>
    <w:rsid w:val="003746CB"/>
    <w:rsid w:val="00381618"/>
    <w:rsid w:val="00397F1F"/>
    <w:rsid w:val="003A523C"/>
    <w:rsid w:val="003B204B"/>
    <w:rsid w:val="003D6129"/>
    <w:rsid w:val="003E4474"/>
    <w:rsid w:val="00400053"/>
    <w:rsid w:val="00405D03"/>
    <w:rsid w:val="00426B54"/>
    <w:rsid w:val="00441015"/>
    <w:rsid w:val="00461670"/>
    <w:rsid w:val="0046718B"/>
    <w:rsid w:val="00474501"/>
    <w:rsid w:val="00492D16"/>
    <w:rsid w:val="00493CD0"/>
    <w:rsid w:val="004A58B4"/>
    <w:rsid w:val="004B4460"/>
    <w:rsid w:val="004B61A2"/>
    <w:rsid w:val="004C57B7"/>
    <w:rsid w:val="004D26E4"/>
    <w:rsid w:val="004F288A"/>
    <w:rsid w:val="004F7C77"/>
    <w:rsid w:val="00524235"/>
    <w:rsid w:val="0053052A"/>
    <w:rsid w:val="00532683"/>
    <w:rsid w:val="00534420"/>
    <w:rsid w:val="0053744E"/>
    <w:rsid w:val="00544E64"/>
    <w:rsid w:val="0054681B"/>
    <w:rsid w:val="005649AA"/>
    <w:rsid w:val="00576BFD"/>
    <w:rsid w:val="005775EB"/>
    <w:rsid w:val="005A1BF7"/>
    <w:rsid w:val="005B27A5"/>
    <w:rsid w:val="005C33C5"/>
    <w:rsid w:val="005C7181"/>
    <w:rsid w:val="005E1092"/>
    <w:rsid w:val="005E27F2"/>
    <w:rsid w:val="005E388F"/>
    <w:rsid w:val="005E41B1"/>
    <w:rsid w:val="005F5056"/>
    <w:rsid w:val="005F633B"/>
    <w:rsid w:val="00604BD6"/>
    <w:rsid w:val="006054A4"/>
    <w:rsid w:val="0060773F"/>
    <w:rsid w:val="0061516D"/>
    <w:rsid w:val="00650984"/>
    <w:rsid w:val="006556F7"/>
    <w:rsid w:val="00655DE9"/>
    <w:rsid w:val="006671A5"/>
    <w:rsid w:val="0067252D"/>
    <w:rsid w:val="00682725"/>
    <w:rsid w:val="00696CC7"/>
    <w:rsid w:val="006B3EE1"/>
    <w:rsid w:val="006B72E8"/>
    <w:rsid w:val="006C0D13"/>
    <w:rsid w:val="006D015F"/>
    <w:rsid w:val="006D2AD6"/>
    <w:rsid w:val="006E24DE"/>
    <w:rsid w:val="006F56A6"/>
    <w:rsid w:val="00701611"/>
    <w:rsid w:val="00704E15"/>
    <w:rsid w:val="00707CE6"/>
    <w:rsid w:val="00712237"/>
    <w:rsid w:val="0072161A"/>
    <w:rsid w:val="00732946"/>
    <w:rsid w:val="00753D14"/>
    <w:rsid w:val="007749C2"/>
    <w:rsid w:val="00787682"/>
    <w:rsid w:val="007919F7"/>
    <w:rsid w:val="00797A5C"/>
    <w:rsid w:val="007A3361"/>
    <w:rsid w:val="007B195B"/>
    <w:rsid w:val="007B23F0"/>
    <w:rsid w:val="007C3FD2"/>
    <w:rsid w:val="007C6C7E"/>
    <w:rsid w:val="007D0099"/>
    <w:rsid w:val="0081548E"/>
    <w:rsid w:val="00827727"/>
    <w:rsid w:val="00833E51"/>
    <w:rsid w:val="0087475A"/>
    <w:rsid w:val="008811E9"/>
    <w:rsid w:val="0089145C"/>
    <w:rsid w:val="00895271"/>
    <w:rsid w:val="00895E02"/>
    <w:rsid w:val="008A4DD9"/>
    <w:rsid w:val="008B0B0D"/>
    <w:rsid w:val="008B1991"/>
    <w:rsid w:val="008B20D5"/>
    <w:rsid w:val="008B22CE"/>
    <w:rsid w:val="008B690B"/>
    <w:rsid w:val="008C655A"/>
    <w:rsid w:val="008D2CF4"/>
    <w:rsid w:val="008D7DDA"/>
    <w:rsid w:val="008F0391"/>
    <w:rsid w:val="008F1A98"/>
    <w:rsid w:val="008F6A58"/>
    <w:rsid w:val="00901CEB"/>
    <w:rsid w:val="009053A0"/>
    <w:rsid w:val="0090786B"/>
    <w:rsid w:val="00911D4B"/>
    <w:rsid w:val="009124A1"/>
    <w:rsid w:val="00916ACE"/>
    <w:rsid w:val="0092153A"/>
    <w:rsid w:val="00924CEC"/>
    <w:rsid w:val="00934CAF"/>
    <w:rsid w:val="00937A4C"/>
    <w:rsid w:val="0094361F"/>
    <w:rsid w:val="00951376"/>
    <w:rsid w:val="009541BD"/>
    <w:rsid w:val="00963324"/>
    <w:rsid w:val="009667B7"/>
    <w:rsid w:val="0096706F"/>
    <w:rsid w:val="00973565"/>
    <w:rsid w:val="00974E76"/>
    <w:rsid w:val="00981996"/>
    <w:rsid w:val="009968EB"/>
    <w:rsid w:val="009B7AEC"/>
    <w:rsid w:val="009D0F24"/>
    <w:rsid w:val="009D2C28"/>
    <w:rsid w:val="009D4F65"/>
    <w:rsid w:val="009D5A2F"/>
    <w:rsid w:val="009D7C70"/>
    <w:rsid w:val="00A03F43"/>
    <w:rsid w:val="00A053D7"/>
    <w:rsid w:val="00A21E83"/>
    <w:rsid w:val="00A261DD"/>
    <w:rsid w:val="00A2729F"/>
    <w:rsid w:val="00A3373B"/>
    <w:rsid w:val="00A37CFC"/>
    <w:rsid w:val="00A47060"/>
    <w:rsid w:val="00A64898"/>
    <w:rsid w:val="00A65A92"/>
    <w:rsid w:val="00A75254"/>
    <w:rsid w:val="00A77644"/>
    <w:rsid w:val="00A86D7B"/>
    <w:rsid w:val="00A96E45"/>
    <w:rsid w:val="00AA1131"/>
    <w:rsid w:val="00AD01DB"/>
    <w:rsid w:val="00AD0E32"/>
    <w:rsid w:val="00AD1DE7"/>
    <w:rsid w:val="00AD58F1"/>
    <w:rsid w:val="00AE006E"/>
    <w:rsid w:val="00B23C1A"/>
    <w:rsid w:val="00B30DAC"/>
    <w:rsid w:val="00B35D06"/>
    <w:rsid w:val="00B37799"/>
    <w:rsid w:val="00B45D4B"/>
    <w:rsid w:val="00B60AB3"/>
    <w:rsid w:val="00B63776"/>
    <w:rsid w:val="00B7505D"/>
    <w:rsid w:val="00B84BC9"/>
    <w:rsid w:val="00B87643"/>
    <w:rsid w:val="00BD7AF0"/>
    <w:rsid w:val="00BE09F5"/>
    <w:rsid w:val="00BE2EFA"/>
    <w:rsid w:val="00BE688A"/>
    <w:rsid w:val="00BF4C53"/>
    <w:rsid w:val="00BF5511"/>
    <w:rsid w:val="00BF5807"/>
    <w:rsid w:val="00C07F8A"/>
    <w:rsid w:val="00C122F7"/>
    <w:rsid w:val="00C207F0"/>
    <w:rsid w:val="00C24F6C"/>
    <w:rsid w:val="00C27255"/>
    <w:rsid w:val="00C51F28"/>
    <w:rsid w:val="00C5494E"/>
    <w:rsid w:val="00C54BA6"/>
    <w:rsid w:val="00C56484"/>
    <w:rsid w:val="00C7147A"/>
    <w:rsid w:val="00C96EA8"/>
    <w:rsid w:val="00CA04E2"/>
    <w:rsid w:val="00CA531E"/>
    <w:rsid w:val="00CA7C3F"/>
    <w:rsid w:val="00CB5BFD"/>
    <w:rsid w:val="00D01FFB"/>
    <w:rsid w:val="00D05A6E"/>
    <w:rsid w:val="00D20644"/>
    <w:rsid w:val="00D2297E"/>
    <w:rsid w:val="00D26647"/>
    <w:rsid w:val="00D275AE"/>
    <w:rsid w:val="00D4551F"/>
    <w:rsid w:val="00D60079"/>
    <w:rsid w:val="00D6219B"/>
    <w:rsid w:val="00D84BAA"/>
    <w:rsid w:val="00D84F52"/>
    <w:rsid w:val="00DA02B5"/>
    <w:rsid w:val="00DB434C"/>
    <w:rsid w:val="00DC22A1"/>
    <w:rsid w:val="00DC283F"/>
    <w:rsid w:val="00DC3DDC"/>
    <w:rsid w:val="00DC708D"/>
    <w:rsid w:val="00DD01D2"/>
    <w:rsid w:val="00DD5289"/>
    <w:rsid w:val="00DD758D"/>
    <w:rsid w:val="00DE0A33"/>
    <w:rsid w:val="00DE1C11"/>
    <w:rsid w:val="00DE5E52"/>
    <w:rsid w:val="00DF66E2"/>
    <w:rsid w:val="00E03CC3"/>
    <w:rsid w:val="00E138FC"/>
    <w:rsid w:val="00E24B26"/>
    <w:rsid w:val="00E31C50"/>
    <w:rsid w:val="00E3727E"/>
    <w:rsid w:val="00E41FFA"/>
    <w:rsid w:val="00E5251D"/>
    <w:rsid w:val="00E54BA8"/>
    <w:rsid w:val="00E9234F"/>
    <w:rsid w:val="00EA0A19"/>
    <w:rsid w:val="00EA4CAD"/>
    <w:rsid w:val="00EB2022"/>
    <w:rsid w:val="00EB4104"/>
    <w:rsid w:val="00EC213C"/>
    <w:rsid w:val="00ED0209"/>
    <w:rsid w:val="00EE1159"/>
    <w:rsid w:val="00EF303D"/>
    <w:rsid w:val="00EF3907"/>
    <w:rsid w:val="00EF516A"/>
    <w:rsid w:val="00F03108"/>
    <w:rsid w:val="00F04FDC"/>
    <w:rsid w:val="00F05945"/>
    <w:rsid w:val="00F05CBD"/>
    <w:rsid w:val="00F067C5"/>
    <w:rsid w:val="00F12430"/>
    <w:rsid w:val="00F13395"/>
    <w:rsid w:val="00F2592E"/>
    <w:rsid w:val="00F3293E"/>
    <w:rsid w:val="00F62557"/>
    <w:rsid w:val="00F877C2"/>
    <w:rsid w:val="00F90610"/>
    <w:rsid w:val="00F90FEF"/>
    <w:rsid w:val="00FC121A"/>
    <w:rsid w:val="00FE15B5"/>
    <w:rsid w:val="00FE7D8A"/>
    <w:rsid w:val="00FF678F"/>
    <w:rsid w:val="0286A74C"/>
    <w:rsid w:val="069F4893"/>
    <w:rsid w:val="13339DAD"/>
    <w:rsid w:val="147706A1"/>
    <w:rsid w:val="191E11BA"/>
    <w:rsid w:val="1AB9E21B"/>
    <w:rsid w:val="220632AD"/>
    <w:rsid w:val="276E9967"/>
    <w:rsid w:val="2A3B3624"/>
    <w:rsid w:val="32A075DE"/>
    <w:rsid w:val="48BA7280"/>
    <w:rsid w:val="49047835"/>
    <w:rsid w:val="4AA04896"/>
    <w:rsid w:val="4FDF870C"/>
    <w:rsid w:val="52090E89"/>
    <w:rsid w:val="53C01BBE"/>
    <w:rsid w:val="5599A398"/>
    <w:rsid w:val="563524F4"/>
    <w:rsid w:val="5C493C84"/>
    <w:rsid w:val="6C0D1FFF"/>
    <w:rsid w:val="7434C160"/>
    <w:rsid w:val="7649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336E"/>
  <w15:chartTrackingRefBased/>
  <w15:docId w15:val="{AE67B887-EA7A-E840-B2C3-5CC9C458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27A5"/>
    <w:pPr>
      <w:autoSpaceDE w:val="0"/>
      <w:autoSpaceDN w:val="0"/>
      <w:adjustRightInd w:val="0"/>
      <w:outlineLvl w:val="1"/>
    </w:pPr>
    <w:rPr>
      <w:rFonts w:ascii="Verdana" w:hAnsi="Verdana" w:cs="Times New Roman"/>
      <w:color w:val="009A66"/>
      <w:sz w:val="28"/>
      <w:szCs w:val="28"/>
    </w:rPr>
  </w:style>
  <w:style w:type="paragraph" w:styleId="Heading3">
    <w:name w:val="heading 3"/>
    <w:basedOn w:val="Normal"/>
    <w:next w:val="Normal"/>
    <w:link w:val="Heading3Char"/>
    <w:uiPriority w:val="9"/>
    <w:semiHidden/>
    <w:unhideWhenUsed/>
    <w:qFormat/>
    <w:rsid w:val="00650984"/>
    <w:pPr>
      <w:keepNext/>
      <w:keepLines/>
      <w:spacing w:before="40"/>
      <w:outlineLvl w:val="2"/>
    </w:pPr>
    <w:rPr>
      <w:rFonts w:asciiTheme="majorHAnsi" w:eastAsiaTheme="majorEastAsia" w:hAnsiTheme="majorHAnsi" w:cstheme="majorBidi"/>
      <w:color w:val="7F7F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1D4A53"/>
    <w:pPr>
      <w:ind w:left="720"/>
      <w:contextualSpacing/>
    </w:pPr>
  </w:style>
  <w:style w:type="character" w:customStyle="1" w:styleId="Heading2Char">
    <w:name w:val="Heading 2 Char"/>
    <w:basedOn w:val="DefaultParagraphFont"/>
    <w:link w:val="Heading2"/>
    <w:uiPriority w:val="9"/>
    <w:rsid w:val="005B27A5"/>
    <w:rPr>
      <w:rFonts w:ascii="Verdana" w:hAnsi="Verdana" w:cs="Times New Roman"/>
      <w:color w:val="009A66"/>
      <w:sz w:val="28"/>
      <w:szCs w:val="28"/>
    </w:rPr>
  </w:style>
  <w:style w:type="paragraph" w:styleId="NoSpacing">
    <w:name w:val="No Spacing"/>
    <w:uiPriority w:val="1"/>
    <w:qFormat/>
    <w:rsid w:val="005B27A5"/>
  </w:style>
  <w:style w:type="character" w:styleId="Hyperlink">
    <w:name w:val="Hyperlink"/>
    <w:basedOn w:val="DefaultParagraphFont"/>
    <w:uiPriority w:val="99"/>
    <w:unhideWhenUsed/>
    <w:rPr>
      <w:color w:val="003087" w:themeColor="hyperlink"/>
      <w:u w:val="single"/>
    </w:r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39"/>
    <w:rsid w:val="0089145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CC7"/>
    <w:pPr>
      <w:tabs>
        <w:tab w:val="center" w:pos="4513"/>
        <w:tab w:val="right" w:pos="9026"/>
      </w:tabs>
    </w:pPr>
  </w:style>
  <w:style w:type="character" w:customStyle="1" w:styleId="HeaderChar">
    <w:name w:val="Header Char"/>
    <w:basedOn w:val="DefaultParagraphFont"/>
    <w:link w:val="Header"/>
    <w:uiPriority w:val="99"/>
    <w:rsid w:val="00696CC7"/>
  </w:style>
  <w:style w:type="paragraph" w:styleId="Footer">
    <w:name w:val="footer"/>
    <w:basedOn w:val="Normal"/>
    <w:link w:val="FooterChar"/>
    <w:uiPriority w:val="99"/>
    <w:unhideWhenUsed/>
    <w:rsid w:val="00696CC7"/>
    <w:pPr>
      <w:tabs>
        <w:tab w:val="center" w:pos="4513"/>
        <w:tab w:val="right" w:pos="9026"/>
      </w:tabs>
    </w:pPr>
  </w:style>
  <w:style w:type="character" w:customStyle="1" w:styleId="FooterChar">
    <w:name w:val="Footer Char"/>
    <w:basedOn w:val="DefaultParagraphFont"/>
    <w:link w:val="Footer"/>
    <w:uiPriority w:val="99"/>
    <w:rsid w:val="00696CC7"/>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B23C1A"/>
  </w:style>
  <w:style w:type="character" w:customStyle="1" w:styleId="Heading3Char">
    <w:name w:val="Heading 3 Char"/>
    <w:basedOn w:val="DefaultParagraphFont"/>
    <w:link w:val="Heading3"/>
    <w:uiPriority w:val="9"/>
    <w:semiHidden/>
    <w:rsid w:val="00650984"/>
    <w:rPr>
      <w:rFonts w:asciiTheme="majorHAnsi" w:eastAsiaTheme="majorEastAsia" w:hAnsiTheme="majorHAnsi" w:cstheme="majorBidi"/>
      <w:color w:val="7F7F7F" w:themeColor="accent1" w:themeShade="7F"/>
    </w:rPr>
  </w:style>
  <w:style w:type="paragraph" w:styleId="CommentText">
    <w:name w:val="annotation text"/>
    <w:basedOn w:val="Normal"/>
    <w:link w:val="CommentTextChar"/>
    <w:uiPriority w:val="99"/>
    <w:unhideWhenUsed/>
    <w:rsid w:val="00797A5C"/>
    <w:rPr>
      <w:sz w:val="20"/>
      <w:szCs w:val="20"/>
    </w:rPr>
  </w:style>
  <w:style w:type="character" w:customStyle="1" w:styleId="CommentTextChar">
    <w:name w:val="Comment Text Char"/>
    <w:basedOn w:val="DefaultParagraphFont"/>
    <w:link w:val="CommentText"/>
    <w:uiPriority w:val="99"/>
    <w:rsid w:val="00797A5C"/>
    <w:rPr>
      <w:sz w:val="20"/>
      <w:szCs w:val="20"/>
    </w:rPr>
  </w:style>
  <w:style w:type="character" w:styleId="CommentReference">
    <w:name w:val="annotation reference"/>
    <w:basedOn w:val="DefaultParagraphFont"/>
    <w:uiPriority w:val="99"/>
    <w:semiHidden/>
    <w:unhideWhenUsed/>
    <w:rsid w:val="00AE006E"/>
    <w:rPr>
      <w:sz w:val="16"/>
      <w:szCs w:val="16"/>
    </w:rPr>
  </w:style>
  <w:style w:type="paragraph" w:styleId="Revision">
    <w:name w:val="Revision"/>
    <w:hidden/>
    <w:uiPriority w:val="99"/>
    <w:semiHidden/>
    <w:rsid w:val="00981996"/>
  </w:style>
  <w:style w:type="paragraph" w:customStyle="1" w:styleId="Default">
    <w:name w:val="Default"/>
    <w:rsid w:val="009541BD"/>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A37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FC"/>
    <w:rPr>
      <w:rFonts w:ascii="Segoe UI" w:hAnsi="Segoe UI" w:cs="Segoe UI"/>
      <w:sz w:val="18"/>
      <w:szCs w:val="18"/>
    </w:rPr>
  </w:style>
  <w:style w:type="character" w:styleId="FollowedHyperlink">
    <w:name w:val="FollowedHyperlink"/>
    <w:basedOn w:val="DefaultParagraphFont"/>
    <w:uiPriority w:val="99"/>
    <w:semiHidden/>
    <w:unhideWhenUsed/>
    <w:rsid w:val="001B28B8"/>
    <w:rPr>
      <w:color w:val="0072CE" w:themeColor="followedHyperlink"/>
      <w:u w:val="single"/>
    </w:rPr>
  </w:style>
  <w:style w:type="character" w:customStyle="1" w:styleId="contentpasted0">
    <w:name w:val="contentpasted0"/>
    <w:basedOn w:val="DefaultParagraphFont"/>
    <w:rsid w:val="008B1991"/>
  </w:style>
  <w:style w:type="character" w:customStyle="1" w:styleId="UnresolvedMention1">
    <w:name w:val="Unresolved Mention1"/>
    <w:basedOn w:val="DefaultParagraphFont"/>
    <w:uiPriority w:val="99"/>
    <w:semiHidden/>
    <w:unhideWhenUsed/>
    <w:rsid w:val="00B84BC9"/>
    <w:rPr>
      <w:color w:val="605E5C"/>
      <w:shd w:val="clear" w:color="auto" w:fill="E1DFDD"/>
    </w:rPr>
  </w:style>
  <w:style w:type="paragraph" w:styleId="TOC3">
    <w:name w:val="toc 3"/>
    <w:basedOn w:val="Normal"/>
    <w:next w:val="Normal"/>
    <w:autoRedefine/>
    <w:uiPriority w:val="39"/>
    <w:unhideWhenUsed/>
    <w:rsid w:val="00B6377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9">
      <w:bodyDiv w:val="1"/>
      <w:marLeft w:val="0"/>
      <w:marRight w:val="0"/>
      <w:marTop w:val="0"/>
      <w:marBottom w:val="0"/>
      <w:divBdr>
        <w:top w:val="none" w:sz="0" w:space="0" w:color="auto"/>
        <w:left w:val="none" w:sz="0" w:space="0" w:color="auto"/>
        <w:bottom w:val="none" w:sz="0" w:space="0" w:color="auto"/>
        <w:right w:val="none" w:sz="0" w:space="0" w:color="auto"/>
      </w:divBdr>
    </w:div>
    <w:div w:id="127746743">
      <w:bodyDiv w:val="1"/>
      <w:marLeft w:val="0"/>
      <w:marRight w:val="0"/>
      <w:marTop w:val="0"/>
      <w:marBottom w:val="0"/>
      <w:divBdr>
        <w:top w:val="none" w:sz="0" w:space="0" w:color="auto"/>
        <w:left w:val="none" w:sz="0" w:space="0" w:color="auto"/>
        <w:bottom w:val="none" w:sz="0" w:space="0" w:color="auto"/>
        <w:right w:val="none" w:sz="0" w:space="0" w:color="auto"/>
      </w:divBdr>
    </w:div>
    <w:div w:id="214778019">
      <w:bodyDiv w:val="1"/>
      <w:marLeft w:val="0"/>
      <w:marRight w:val="0"/>
      <w:marTop w:val="0"/>
      <w:marBottom w:val="0"/>
      <w:divBdr>
        <w:top w:val="none" w:sz="0" w:space="0" w:color="auto"/>
        <w:left w:val="none" w:sz="0" w:space="0" w:color="auto"/>
        <w:bottom w:val="none" w:sz="0" w:space="0" w:color="auto"/>
        <w:right w:val="none" w:sz="0" w:space="0" w:color="auto"/>
      </w:divBdr>
    </w:div>
    <w:div w:id="224797691">
      <w:bodyDiv w:val="1"/>
      <w:marLeft w:val="0"/>
      <w:marRight w:val="0"/>
      <w:marTop w:val="0"/>
      <w:marBottom w:val="0"/>
      <w:divBdr>
        <w:top w:val="none" w:sz="0" w:space="0" w:color="auto"/>
        <w:left w:val="none" w:sz="0" w:space="0" w:color="auto"/>
        <w:bottom w:val="none" w:sz="0" w:space="0" w:color="auto"/>
        <w:right w:val="none" w:sz="0" w:space="0" w:color="auto"/>
      </w:divBdr>
    </w:div>
    <w:div w:id="230581899">
      <w:bodyDiv w:val="1"/>
      <w:marLeft w:val="0"/>
      <w:marRight w:val="0"/>
      <w:marTop w:val="0"/>
      <w:marBottom w:val="0"/>
      <w:divBdr>
        <w:top w:val="none" w:sz="0" w:space="0" w:color="auto"/>
        <w:left w:val="none" w:sz="0" w:space="0" w:color="auto"/>
        <w:bottom w:val="none" w:sz="0" w:space="0" w:color="auto"/>
        <w:right w:val="none" w:sz="0" w:space="0" w:color="auto"/>
      </w:divBdr>
    </w:div>
    <w:div w:id="414909476">
      <w:bodyDiv w:val="1"/>
      <w:marLeft w:val="0"/>
      <w:marRight w:val="0"/>
      <w:marTop w:val="0"/>
      <w:marBottom w:val="0"/>
      <w:divBdr>
        <w:top w:val="none" w:sz="0" w:space="0" w:color="auto"/>
        <w:left w:val="none" w:sz="0" w:space="0" w:color="auto"/>
        <w:bottom w:val="none" w:sz="0" w:space="0" w:color="auto"/>
        <w:right w:val="none" w:sz="0" w:space="0" w:color="auto"/>
      </w:divBdr>
    </w:div>
    <w:div w:id="518736534">
      <w:bodyDiv w:val="1"/>
      <w:marLeft w:val="0"/>
      <w:marRight w:val="0"/>
      <w:marTop w:val="0"/>
      <w:marBottom w:val="0"/>
      <w:divBdr>
        <w:top w:val="none" w:sz="0" w:space="0" w:color="auto"/>
        <w:left w:val="none" w:sz="0" w:space="0" w:color="auto"/>
        <w:bottom w:val="none" w:sz="0" w:space="0" w:color="auto"/>
        <w:right w:val="none" w:sz="0" w:space="0" w:color="auto"/>
      </w:divBdr>
    </w:div>
    <w:div w:id="520894488">
      <w:bodyDiv w:val="1"/>
      <w:marLeft w:val="0"/>
      <w:marRight w:val="0"/>
      <w:marTop w:val="0"/>
      <w:marBottom w:val="0"/>
      <w:divBdr>
        <w:top w:val="none" w:sz="0" w:space="0" w:color="auto"/>
        <w:left w:val="none" w:sz="0" w:space="0" w:color="auto"/>
        <w:bottom w:val="none" w:sz="0" w:space="0" w:color="auto"/>
        <w:right w:val="none" w:sz="0" w:space="0" w:color="auto"/>
      </w:divBdr>
    </w:div>
    <w:div w:id="542712667">
      <w:bodyDiv w:val="1"/>
      <w:marLeft w:val="0"/>
      <w:marRight w:val="0"/>
      <w:marTop w:val="0"/>
      <w:marBottom w:val="0"/>
      <w:divBdr>
        <w:top w:val="none" w:sz="0" w:space="0" w:color="auto"/>
        <w:left w:val="none" w:sz="0" w:space="0" w:color="auto"/>
        <w:bottom w:val="none" w:sz="0" w:space="0" w:color="auto"/>
        <w:right w:val="none" w:sz="0" w:space="0" w:color="auto"/>
      </w:divBdr>
    </w:div>
    <w:div w:id="621036047">
      <w:bodyDiv w:val="1"/>
      <w:marLeft w:val="0"/>
      <w:marRight w:val="0"/>
      <w:marTop w:val="0"/>
      <w:marBottom w:val="0"/>
      <w:divBdr>
        <w:top w:val="none" w:sz="0" w:space="0" w:color="auto"/>
        <w:left w:val="none" w:sz="0" w:space="0" w:color="auto"/>
        <w:bottom w:val="none" w:sz="0" w:space="0" w:color="auto"/>
        <w:right w:val="none" w:sz="0" w:space="0" w:color="auto"/>
      </w:divBdr>
    </w:div>
    <w:div w:id="664016867">
      <w:bodyDiv w:val="1"/>
      <w:marLeft w:val="0"/>
      <w:marRight w:val="0"/>
      <w:marTop w:val="0"/>
      <w:marBottom w:val="0"/>
      <w:divBdr>
        <w:top w:val="none" w:sz="0" w:space="0" w:color="auto"/>
        <w:left w:val="none" w:sz="0" w:space="0" w:color="auto"/>
        <w:bottom w:val="none" w:sz="0" w:space="0" w:color="auto"/>
        <w:right w:val="none" w:sz="0" w:space="0" w:color="auto"/>
      </w:divBdr>
    </w:div>
    <w:div w:id="686828426">
      <w:bodyDiv w:val="1"/>
      <w:marLeft w:val="0"/>
      <w:marRight w:val="0"/>
      <w:marTop w:val="0"/>
      <w:marBottom w:val="0"/>
      <w:divBdr>
        <w:top w:val="none" w:sz="0" w:space="0" w:color="auto"/>
        <w:left w:val="none" w:sz="0" w:space="0" w:color="auto"/>
        <w:bottom w:val="none" w:sz="0" w:space="0" w:color="auto"/>
        <w:right w:val="none" w:sz="0" w:space="0" w:color="auto"/>
      </w:divBdr>
    </w:div>
    <w:div w:id="1169251217">
      <w:bodyDiv w:val="1"/>
      <w:marLeft w:val="0"/>
      <w:marRight w:val="0"/>
      <w:marTop w:val="0"/>
      <w:marBottom w:val="0"/>
      <w:divBdr>
        <w:top w:val="none" w:sz="0" w:space="0" w:color="auto"/>
        <w:left w:val="none" w:sz="0" w:space="0" w:color="auto"/>
        <w:bottom w:val="none" w:sz="0" w:space="0" w:color="auto"/>
        <w:right w:val="none" w:sz="0" w:space="0" w:color="auto"/>
      </w:divBdr>
    </w:div>
    <w:div w:id="1246568716">
      <w:bodyDiv w:val="1"/>
      <w:marLeft w:val="0"/>
      <w:marRight w:val="0"/>
      <w:marTop w:val="0"/>
      <w:marBottom w:val="0"/>
      <w:divBdr>
        <w:top w:val="none" w:sz="0" w:space="0" w:color="auto"/>
        <w:left w:val="none" w:sz="0" w:space="0" w:color="auto"/>
        <w:bottom w:val="none" w:sz="0" w:space="0" w:color="auto"/>
        <w:right w:val="none" w:sz="0" w:space="0" w:color="auto"/>
      </w:divBdr>
    </w:div>
    <w:div w:id="1292594053">
      <w:bodyDiv w:val="1"/>
      <w:marLeft w:val="0"/>
      <w:marRight w:val="0"/>
      <w:marTop w:val="0"/>
      <w:marBottom w:val="0"/>
      <w:divBdr>
        <w:top w:val="none" w:sz="0" w:space="0" w:color="auto"/>
        <w:left w:val="none" w:sz="0" w:space="0" w:color="auto"/>
        <w:bottom w:val="none" w:sz="0" w:space="0" w:color="auto"/>
        <w:right w:val="none" w:sz="0" w:space="0" w:color="auto"/>
      </w:divBdr>
    </w:div>
    <w:div w:id="1453936210">
      <w:bodyDiv w:val="1"/>
      <w:marLeft w:val="0"/>
      <w:marRight w:val="0"/>
      <w:marTop w:val="0"/>
      <w:marBottom w:val="0"/>
      <w:divBdr>
        <w:top w:val="none" w:sz="0" w:space="0" w:color="auto"/>
        <w:left w:val="none" w:sz="0" w:space="0" w:color="auto"/>
        <w:bottom w:val="none" w:sz="0" w:space="0" w:color="auto"/>
        <w:right w:val="none" w:sz="0" w:space="0" w:color="auto"/>
      </w:divBdr>
    </w:div>
    <w:div w:id="1477650554">
      <w:bodyDiv w:val="1"/>
      <w:marLeft w:val="0"/>
      <w:marRight w:val="0"/>
      <w:marTop w:val="0"/>
      <w:marBottom w:val="0"/>
      <w:divBdr>
        <w:top w:val="none" w:sz="0" w:space="0" w:color="auto"/>
        <w:left w:val="none" w:sz="0" w:space="0" w:color="auto"/>
        <w:bottom w:val="none" w:sz="0" w:space="0" w:color="auto"/>
        <w:right w:val="none" w:sz="0" w:space="0" w:color="auto"/>
      </w:divBdr>
    </w:div>
    <w:div w:id="1484467996">
      <w:bodyDiv w:val="1"/>
      <w:marLeft w:val="0"/>
      <w:marRight w:val="0"/>
      <w:marTop w:val="0"/>
      <w:marBottom w:val="0"/>
      <w:divBdr>
        <w:top w:val="none" w:sz="0" w:space="0" w:color="auto"/>
        <w:left w:val="none" w:sz="0" w:space="0" w:color="auto"/>
        <w:bottom w:val="none" w:sz="0" w:space="0" w:color="auto"/>
        <w:right w:val="none" w:sz="0" w:space="0" w:color="auto"/>
      </w:divBdr>
    </w:div>
    <w:div w:id="1639649546">
      <w:bodyDiv w:val="1"/>
      <w:marLeft w:val="0"/>
      <w:marRight w:val="0"/>
      <w:marTop w:val="0"/>
      <w:marBottom w:val="0"/>
      <w:divBdr>
        <w:top w:val="none" w:sz="0" w:space="0" w:color="auto"/>
        <w:left w:val="none" w:sz="0" w:space="0" w:color="auto"/>
        <w:bottom w:val="none" w:sz="0" w:space="0" w:color="auto"/>
        <w:right w:val="none" w:sz="0" w:space="0" w:color="auto"/>
      </w:divBdr>
    </w:div>
    <w:div w:id="1652753584">
      <w:bodyDiv w:val="1"/>
      <w:marLeft w:val="0"/>
      <w:marRight w:val="0"/>
      <w:marTop w:val="0"/>
      <w:marBottom w:val="0"/>
      <w:divBdr>
        <w:top w:val="none" w:sz="0" w:space="0" w:color="auto"/>
        <w:left w:val="none" w:sz="0" w:space="0" w:color="auto"/>
        <w:bottom w:val="none" w:sz="0" w:space="0" w:color="auto"/>
        <w:right w:val="none" w:sz="0" w:space="0" w:color="auto"/>
      </w:divBdr>
    </w:div>
    <w:div w:id="1686206258">
      <w:bodyDiv w:val="1"/>
      <w:marLeft w:val="0"/>
      <w:marRight w:val="0"/>
      <w:marTop w:val="0"/>
      <w:marBottom w:val="0"/>
      <w:divBdr>
        <w:top w:val="none" w:sz="0" w:space="0" w:color="auto"/>
        <w:left w:val="none" w:sz="0" w:space="0" w:color="auto"/>
        <w:bottom w:val="none" w:sz="0" w:space="0" w:color="auto"/>
        <w:right w:val="none" w:sz="0" w:space="0" w:color="auto"/>
      </w:divBdr>
    </w:div>
    <w:div w:id="1704089508">
      <w:bodyDiv w:val="1"/>
      <w:marLeft w:val="0"/>
      <w:marRight w:val="0"/>
      <w:marTop w:val="0"/>
      <w:marBottom w:val="0"/>
      <w:divBdr>
        <w:top w:val="none" w:sz="0" w:space="0" w:color="auto"/>
        <w:left w:val="none" w:sz="0" w:space="0" w:color="auto"/>
        <w:bottom w:val="none" w:sz="0" w:space="0" w:color="auto"/>
        <w:right w:val="none" w:sz="0" w:space="0" w:color="auto"/>
      </w:divBdr>
    </w:div>
    <w:div w:id="1816069381">
      <w:bodyDiv w:val="1"/>
      <w:marLeft w:val="0"/>
      <w:marRight w:val="0"/>
      <w:marTop w:val="0"/>
      <w:marBottom w:val="0"/>
      <w:divBdr>
        <w:top w:val="none" w:sz="0" w:space="0" w:color="auto"/>
        <w:left w:val="none" w:sz="0" w:space="0" w:color="auto"/>
        <w:bottom w:val="none" w:sz="0" w:space="0" w:color="auto"/>
        <w:right w:val="none" w:sz="0" w:space="0" w:color="auto"/>
      </w:divBdr>
    </w:div>
    <w:div w:id="1826389003">
      <w:bodyDiv w:val="1"/>
      <w:marLeft w:val="0"/>
      <w:marRight w:val="0"/>
      <w:marTop w:val="0"/>
      <w:marBottom w:val="0"/>
      <w:divBdr>
        <w:top w:val="none" w:sz="0" w:space="0" w:color="auto"/>
        <w:left w:val="none" w:sz="0" w:space="0" w:color="auto"/>
        <w:bottom w:val="none" w:sz="0" w:space="0" w:color="auto"/>
        <w:right w:val="none" w:sz="0" w:space="0" w:color="auto"/>
      </w:divBdr>
    </w:div>
    <w:div w:id="1863475679">
      <w:bodyDiv w:val="1"/>
      <w:marLeft w:val="0"/>
      <w:marRight w:val="0"/>
      <w:marTop w:val="0"/>
      <w:marBottom w:val="0"/>
      <w:divBdr>
        <w:top w:val="none" w:sz="0" w:space="0" w:color="auto"/>
        <w:left w:val="none" w:sz="0" w:space="0" w:color="auto"/>
        <w:bottom w:val="none" w:sz="0" w:space="0" w:color="auto"/>
        <w:right w:val="none" w:sz="0" w:space="0" w:color="auto"/>
      </w:divBdr>
    </w:div>
    <w:div w:id="1903131380">
      <w:bodyDiv w:val="1"/>
      <w:marLeft w:val="0"/>
      <w:marRight w:val="0"/>
      <w:marTop w:val="0"/>
      <w:marBottom w:val="0"/>
      <w:divBdr>
        <w:top w:val="none" w:sz="0" w:space="0" w:color="auto"/>
        <w:left w:val="none" w:sz="0" w:space="0" w:color="auto"/>
        <w:bottom w:val="none" w:sz="0" w:space="0" w:color="auto"/>
        <w:right w:val="none" w:sz="0" w:space="0" w:color="auto"/>
      </w:divBdr>
    </w:div>
    <w:div w:id="1919974425">
      <w:bodyDiv w:val="1"/>
      <w:marLeft w:val="0"/>
      <w:marRight w:val="0"/>
      <w:marTop w:val="0"/>
      <w:marBottom w:val="0"/>
      <w:divBdr>
        <w:top w:val="none" w:sz="0" w:space="0" w:color="auto"/>
        <w:left w:val="none" w:sz="0" w:space="0" w:color="auto"/>
        <w:bottom w:val="none" w:sz="0" w:space="0" w:color="auto"/>
        <w:right w:val="none" w:sz="0" w:space="0" w:color="auto"/>
      </w:divBdr>
    </w:div>
    <w:div w:id="19912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omrc.org.uk/ebi/resource/" TargetMode="External"/><Relationship Id="rId21" Type="http://schemas.openxmlformats.org/officeDocument/2006/relationships/hyperlink" Target="https://www.aomrc.org.uk/ebi/wp-content/uploads/2021/05/Personalised_Well-being_Plan_Guidance.pdf" TargetMode="External"/><Relationship Id="rId42" Type="http://schemas.openxmlformats.org/officeDocument/2006/relationships/hyperlink" Target="https://www.nice.org.uk/guidance/ng193" TargetMode="External"/><Relationship Id="rId47" Type="http://schemas.openxmlformats.org/officeDocument/2006/relationships/hyperlink" Target="https://www.nice.org.uk/guidance/ng157" TargetMode="External"/><Relationship Id="rId63" Type="http://schemas.openxmlformats.org/officeDocument/2006/relationships/hyperlink" Target="https://www.england.nhs.uk/wp-content/uploads/2022/07/Making-a-decision-about-knee-osteoarthritis.pdf" TargetMode="External"/><Relationship Id="rId68" Type="http://schemas.openxmlformats.org/officeDocument/2006/relationships/hyperlink" Target="https://gbr01.safelinks.protection.outlook.com/?url=https%3A%2F%2Fwww.england.nhs.uk%2Fpublication%2Fthe-interface-between-primary-and-secondary-care-key-messages-for-nhs-clinicians-and-managers%2F&amp;data=05%7C01%7Ckate.jackson9%40nhs.net%7Cb731411d8b4c442700c708dad6d0b433%7C37c354b285b047f5b22207b48d774ee3%7C0%7C0%7C638058489099020602%7CUnknown%7CTWFpbGZsb3d8eyJWIjoiMC4wLjAwMDAiLCJQIjoiV2luMzIiLCJBTiI6Ik1haWwiLCJXVCI6Mn0%3D%7C3000%7C%7C%7C&amp;sdata=4n%2BTwPn%2B%2Fqhxp6q8OMtUv2QgAtcYwbecq8HB4Dtaw7k%3D&amp;reserved=0" TargetMode="External"/><Relationship Id="rId2" Type="http://schemas.openxmlformats.org/officeDocument/2006/relationships/customXml" Target="../customXml/item2.xml"/><Relationship Id="rId16" Type="http://schemas.openxmlformats.org/officeDocument/2006/relationships/hyperlink" Target="https://www.nice.org.uk/corporate/ecd8" TargetMode="External"/><Relationship Id="rId29" Type="http://schemas.openxmlformats.org/officeDocument/2006/relationships/hyperlink" Target="https://www.csp.org.uk/professional-clinical/professional-guidance/point-care-ultrasound-physiotherapy-practice" TargetMode="External"/><Relationship Id="rId11" Type="http://schemas.openxmlformats.org/officeDocument/2006/relationships/image" Target="media/image1.png"/><Relationship Id="rId24" Type="http://schemas.openxmlformats.org/officeDocument/2006/relationships/hyperlink" Target="https://www.cqc.org.uk/guidance-providers/gps/gp-mythbuster-106-primary-care-first-contact-practitioners-fcps" TargetMode="External"/><Relationship Id="rId32" Type="http://schemas.openxmlformats.org/officeDocument/2006/relationships/hyperlink" Target="https://www.keele.ac.uk/media/k-web/k-schools/pcsc/researchmicrosites/msk-community-services-standardised-dataset-supporting-document.pdf" TargetMode="External"/><Relationship Id="rId37" Type="http://schemas.openxmlformats.org/officeDocument/2006/relationships/hyperlink" Target="https://www.nwlondonccg.nhs.uk/professionals/referral-guidelines-and-clinical-documents" TargetMode="External"/><Relationship Id="rId40" Type="http://schemas.openxmlformats.org/officeDocument/2006/relationships/hyperlink" Target="https://www.nice.org.uk/guidance/ng226" TargetMode="External"/><Relationship Id="rId45" Type="http://schemas.openxmlformats.org/officeDocument/2006/relationships/hyperlink" Target="https://www.nice.org.uk/guidance/ng65" TargetMode="External"/><Relationship Id="rId53" Type="http://schemas.openxmlformats.org/officeDocument/2006/relationships/hyperlink" Target="https://www.fsem.ac.uk/wp-content/uploads/2019/08/FSEM-UK-MSK-US-Guidelines-May-2019.pdf" TargetMode="External"/><Relationship Id="rId58" Type="http://schemas.openxmlformats.org/officeDocument/2006/relationships/hyperlink" Target="https://future.nhs.uk/OutpatientTransformation/view?objectId=15214768" TargetMode="External"/><Relationship Id="rId66" Type="http://schemas.openxmlformats.org/officeDocument/2006/relationships/hyperlink" Target="https://www.arthritisaction.org.uk/" TargetMode="External"/><Relationship Id="rId5" Type="http://schemas.openxmlformats.org/officeDocument/2006/relationships/numbering" Target="numbering.xml"/><Relationship Id="rId61" Type="http://schemas.openxmlformats.org/officeDocument/2006/relationships/hyperlink" Target="https://www.england.nhs.uk/wp-content/uploads/2022/07/Making-a-decision-about-carpal-tunnel-syndrome.pdf" TargetMode="External"/><Relationship Id="rId19" Type="http://schemas.openxmlformats.org/officeDocument/2006/relationships/hyperlink" Target="https://www.aomrc.org.uk/wp-content/uploads/2020/12/Personalised_Care_Support_Planning_Checklist.pdf" TargetMode="External"/><Relationship Id="rId14" Type="http://schemas.openxmlformats.org/officeDocument/2006/relationships/hyperlink" Target="https://future.nhs.uk/NationalMSKHealth/view?objectId=125052997" TargetMode="External"/><Relationship Id="rId22" Type="http://schemas.openxmlformats.org/officeDocument/2006/relationships/hyperlink" Target="https://www.aomrc.org.uk/ebi/wp-content/uploads/2021/05/Personalised_Wellbeing_Plan.pdf" TargetMode="External"/><Relationship Id="rId27" Type="http://schemas.openxmlformats.org/officeDocument/2006/relationships/hyperlink" Target="https://www.nice.org.uk/guidance/ng215" TargetMode="External"/><Relationship Id="rId30" Type="http://schemas.openxmlformats.org/officeDocument/2006/relationships/hyperlink" Target="https://www.fsem.ac.uk/wp-content/uploads/2019/08/FSEM-UK-MSK-US-Guidelines-May-2019.pdf" TargetMode="External"/><Relationship Id="rId35" Type="http://schemas.openxmlformats.org/officeDocument/2006/relationships/hyperlink" Target="https://www.england.nhs.uk/about/equality/equality-hub/patient-equalities-programme/equality-frameworks-and-information-standards/accessibleinfo/" TargetMode="External"/><Relationship Id="rId43" Type="http://schemas.openxmlformats.org/officeDocument/2006/relationships/hyperlink" Target="https://www.nice.org.uk/guidance/ng100" TargetMode="External"/><Relationship Id="rId48" Type="http://schemas.openxmlformats.org/officeDocument/2006/relationships/hyperlink" Target="https://www.ukssb.com/improving-spinal-care-project" TargetMode="External"/><Relationship Id="rId56" Type="http://schemas.openxmlformats.org/officeDocument/2006/relationships/hyperlink" Target="https://www.cqc.org.uk/guidance-providers/gps/gp-mythbusters/gp-mythbuster-106-primary-care-first-contact-practitioners-fcps" TargetMode="External"/><Relationship Id="rId64" Type="http://schemas.openxmlformats.org/officeDocument/2006/relationships/hyperlink" Target="https://www.england.nhs.uk/publication/mri-spinal-leaflet/" TargetMode="External"/><Relationship Id="rId69" Type="http://schemas.openxmlformats.org/officeDocument/2006/relationships/hyperlink" Target="https://gbr01.safelinks.protection.outlook.com/?url=https%3A%2F%2Fwww.england.nhs.uk%2Fpublication%2Fstandard-contract-provisions-primary-and-secondary-care-implementation-toolkit%2F&amp;data=05%7C01%7Ckate.jackson9%40nhs.net%7Cb731411d8b4c442700c708dad6d0b433%7C37c354b285b047f5b22207b48d774ee3%7C0%7C0%7C638058489099020602%7CUnknown%7CTWFpbGZsb3d8eyJWIjoiMC4wLjAwMDAiLCJQIjoiV2luMzIiLCJBTiI6Ik1haWwiLCJXVCI6Mn0%3D%7C3000%7C%7C%7C&amp;sdata=%2BwbE7%2B7WkD57fxFc3iq1d2mnelcZQIy2QMRSAvyJYUs%3D&amp;reserved=0" TargetMode="External"/><Relationship Id="rId8" Type="http://schemas.openxmlformats.org/officeDocument/2006/relationships/webSettings" Target="webSettings.xml"/><Relationship Id="rId51" Type="http://schemas.openxmlformats.org/officeDocument/2006/relationships/hyperlink" Target="https://future.nhs.uk/NationalMSKHealth/view?objectId=128041093"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ngland.nhs.uk/long-read/an-improvement-framework-to-reduce-community-musculoskeletal-waits-while-delivering-best-outcomes-and-experience/" TargetMode="External"/><Relationship Id="rId17" Type="http://schemas.openxmlformats.org/officeDocument/2006/relationships/hyperlink" Target="https://www.versusarthritis.org/about-arthritis/healthcare-professionals/musculoskeletal-decision-support-tools/" TargetMode="External"/><Relationship Id="rId25" Type="http://schemas.openxmlformats.org/officeDocument/2006/relationships/hyperlink" Target="https://future.nhs.uk/NationalMSKHealth/view?objectId=108045381" TargetMode="External"/><Relationship Id="rId33" Type="http://schemas.openxmlformats.org/officeDocument/2006/relationships/hyperlink" Target="https://digital.nhs.uk/data-and-information/data-collections-and-data-sets/data-sets/community-services-data-set" TargetMode="External"/><Relationship Id="rId38" Type="http://schemas.openxmlformats.org/officeDocument/2006/relationships/hyperlink" Target="https://www.nwlondonccg.nhs.uk/services/your-health/planned-procedures-with-a-threshold" TargetMode="External"/><Relationship Id="rId46" Type="http://schemas.openxmlformats.org/officeDocument/2006/relationships/hyperlink" Target="https://www.nice.org.uk/guidance/cg146" TargetMode="External"/><Relationship Id="rId59" Type="http://schemas.openxmlformats.org/officeDocument/2006/relationships/hyperlink" Target="http://arma.uk.net/" TargetMode="External"/><Relationship Id="rId67" Type="http://schemas.openxmlformats.org/officeDocument/2006/relationships/hyperlink" Target="https://www.versusarthritis.org/?gclid=Cj0KCQiAvqGcBhCJARIsAFQ5ke7pfIFt_54ULnhlQXTLkAkzsthGVrrCBxEJhAlz4TtIo7N6vavZvoMaAiTCEALw_wcB" TargetMode="External"/><Relationship Id="rId20" Type="http://schemas.openxmlformats.org/officeDocument/2006/relationships/hyperlink" Target="https://www.england.nhs.uk/wp-content/uploads/2021/05/care-coordinator-welcome-pack.pdf" TargetMode="External"/><Relationship Id="rId41" Type="http://schemas.openxmlformats.org/officeDocument/2006/relationships/hyperlink" Target="https://www.nice.org.uk/guidance/ng59" TargetMode="External"/><Relationship Id="rId54" Type="http://schemas.openxmlformats.org/officeDocument/2006/relationships/hyperlink" Target="https://future.nhs.uk/NationalMSKHealth/view?objectId=33611728" TargetMode="External"/><Relationship Id="rId62" Type="http://schemas.openxmlformats.org/officeDocument/2006/relationships/hyperlink" Target="https://www.england.nhs.uk/wp-content/uploads/2022/07/Making-a-decision-about-hip-osteoarthritis.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personalisedcare/shared-decision-making/decision-support-tools/" TargetMode="External"/><Relationship Id="rId23" Type="http://schemas.openxmlformats.org/officeDocument/2006/relationships/hyperlink" Target="https://www.hee.nhs.uk/sites/default/files/documents/MSK%20July21-FILLABLE%20Final%20Aug%202021_2.pdf" TargetMode="External"/><Relationship Id="rId28" Type="http://schemas.openxmlformats.org/officeDocument/2006/relationships/hyperlink" Target="https://bjsm.bmj.com/content/54/2/79" TargetMode="External"/><Relationship Id="rId36" Type="http://schemas.openxmlformats.org/officeDocument/2006/relationships/hyperlink" Target="https://www.nhs.uk/conditions/social-care-and-support-guide/support-and-benefits-for-carers/" TargetMode="External"/><Relationship Id="rId49" Type="http://schemas.openxmlformats.org/officeDocument/2006/relationships/hyperlink" Target="https://future.nhs.uk/NationalMSKHealth/view?objectId=27227088" TargetMode="External"/><Relationship Id="rId57" Type="http://schemas.openxmlformats.org/officeDocument/2006/relationships/hyperlink" Target="https://future.nhs.uk/OutpatientTransformation" TargetMode="External"/><Relationship Id="rId10" Type="http://schemas.openxmlformats.org/officeDocument/2006/relationships/endnotes" Target="endnotes.xml"/><Relationship Id="rId31" Type="http://schemas.openxmlformats.org/officeDocument/2006/relationships/hyperlink" Target="https://www.nice.org.uk/guidance/ng193/chapter/Recommendations" TargetMode="External"/><Relationship Id="rId44" Type="http://schemas.openxmlformats.org/officeDocument/2006/relationships/hyperlink" Target="https://www.nice.org.uk/guidance/ng219" TargetMode="External"/><Relationship Id="rId52" Type="http://schemas.openxmlformats.org/officeDocument/2006/relationships/hyperlink" Target="https://www.csp.org.uk/professional-clinical/professional-guidance/point-care-ultrasound-physiotherapy-practice" TargetMode="External"/><Relationship Id="rId60" Type="http://schemas.openxmlformats.org/officeDocument/2006/relationships/hyperlink" Target="https://www.england.nhs.uk/personalisedcare/shared-decision-making/decision-support-tools/" TargetMode="External"/><Relationship Id="rId65" Type="http://schemas.openxmlformats.org/officeDocument/2006/relationships/hyperlink" Target="https://www.england.nhs.uk/publication/mri-spinal-leafle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arma.uk.net/wp-content/uploads/2021/01/Urgent-emergency-MSK-conditions-requiring-onward-referral-2.pdf" TargetMode="External"/><Relationship Id="rId18" Type="http://schemas.openxmlformats.org/officeDocument/2006/relationships/hyperlink" Target="https://www.gov.uk/government/publications/making-every-contact-count-mecc-practical-resources" TargetMode="External"/><Relationship Id="rId39" Type="http://schemas.openxmlformats.org/officeDocument/2006/relationships/hyperlink" Target="https://www.england.nhs.uk/evidence-based-interventions/" TargetMode="External"/><Relationship Id="rId34" Type="http://schemas.openxmlformats.org/officeDocument/2006/relationships/hyperlink" Target="https://www.england.nhs.uk/long-read/an-improvement-framework-to-reduce-community-musculoskeletal-waits-while-delivering-best-outcomes-and-experience/" TargetMode="External"/><Relationship Id="rId50" Type="http://schemas.openxmlformats.org/officeDocument/2006/relationships/hyperlink" Target="https://future.nhs.uk/NationalMSKHealth/view?objectId=144985509" TargetMode="External"/><Relationship Id="rId55" Type="http://schemas.openxmlformats.org/officeDocument/2006/relationships/hyperlink" Target="https://future.nhs.uk/NationalMSKHealth/view?objectId=29523216"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 SBS">
      <a:dk1>
        <a:srgbClr val="425563"/>
      </a:dk1>
      <a:lt1>
        <a:srgbClr val="E8EDEE"/>
      </a:lt1>
      <a:dk2>
        <a:srgbClr val="768692"/>
      </a:dk2>
      <a:lt2>
        <a:srgbClr val="D1DBDD"/>
      </a:lt2>
      <a:accent1>
        <a:srgbClr val="FFFFFF"/>
      </a:accent1>
      <a:accent2>
        <a:srgbClr val="003087"/>
      </a:accent2>
      <a:accent3>
        <a:srgbClr val="78BE20"/>
      </a:accent3>
      <a:accent4>
        <a:srgbClr val="00A9CE"/>
      </a:accent4>
      <a:accent5>
        <a:srgbClr val="00A499"/>
      </a:accent5>
      <a:accent6>
        <a:srgbClr val="ED8B00"/>
      </a:accent6>
      <a:hlink>
        <a:srgbClr val="003087"/>
      </a:hlink>
      <a:folHlink>
        <a:srgbClr val="0072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21" ma:contentTypeDescription="Create a new document." ma:contentTypeScope="" ma:versionID="c0135f892a36e8bf535ddf846fa8dccd">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1749948378a5b20e782e32e71eee617d"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a37e54a-fafe-4791-84c1-58459c2abccf}" ma:internalName="TaxCatchAll" ma:showField="CatchAllData" ma:web="ba334369-4ec1-42f5-ab51-b3e2345e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334369-4ec1-42f5-ab51-b3e2345e0083" xsi:nil="true"/>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lcf76f155ced4ddcb4097134ff3c332f xmlns="74f5b756-4277-41a8-9477-4f6166ad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68F30-E6AF-4C4F-9B81-73B9FDD6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A9B0C-00E4-45D9-BD65-69456A0831C2}">
  <ds:schemaRefs>
    <ds:schemaRef ds:uri="http://schemas.microsoft.com/sharepoint/v3/contenttype/forms"/>
  </ds:schemaRefs>
</ds:datastoreItem>
</file>

<file path=customXml/itemProps3.xml><?xml version="1.0" encoding="utf-8"?>
<ds:datastoreItem xmlns:ds="http://schemas.openxmlformats.org/officeDocument/2006/customXml" ds:itemID="{82145576-BF9E-4E86-99F2-DBDF1CAC8363}">
  <ds:schemaRefs>
    <ds:schemaRef ds:uri="http://schemas.openxmlformats.org/officeDocument/2006/bibliography"/>
  </ds:schemaRefs>
</ds:datastoreItem>
</file>

<file path=customXml/itemProps4.xml><?xml version="1.0" encoding="utf-8"?>
<ds:datastoreItem xmlns:ds="http://schemas.openxmlformats.org/officeDocument/2006/customXml" ds:itemID="{B4D42D46-BBA0-4A6D-BE7B-A2C8E318C471}">
  <ds:schemaRefs>
    <ds:schemaRef ds:uri="http://schemas.microsoft.com/office/2006/metadata/properties"/>
    <ds:schemaRef ds:uri="http://schemas.microsoft.com/office/infopath/2007/PartnerControls"/>
    <ds:schemaRef ds:uri="ba334369-4ec1-42f5-ab51-b3e2345e0083"/>
    <ds:schemaRef ds:uri="http://schemas.microsoft.com/sharepoint/v3"/>
    <ds:schemaRef ds:uri="74f5b756-4277-41a8-9477-4f6166addc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12731</Words>
  <Characters>72573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Sajid</dc:creator>
  <cp:keywords/>
  <dc:description/>
  <cp:lastModifiedBy>BARRETT, Jasmine (NHS SHARED BUSINESS SERVICES (SALFORD))</cp:lastModifiedBy>
  <cp:revision>3</cp:revision>
  <dcterms:created xsi:type="dcterms:W3CDTF">2023-03-24T10:11:00Z</dcterms:created>
  <dcterms:modified xsi:type="dcterms:W3CDTF">2023-04-05T08:29:00Z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y fmtid="{D5CDD505-2E9C-101B-9397-08002B2CF9AE}" pid="3" name="MediaServiceImageTags">
    <vt:lpwstr/>
  </property>
</Properties>
</file>