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92A75" w14:textId="77777777" w:rsidR="00250B8C" w:rsidRDefault="00250B8C" w:rsidP="00250B8C">
      <w:pPr>
        <w:pStyle w:val="Style1"/>
        <w:numPr>
          <w:ilvl w:val="0"/>
          <w:numId w:val="0"/>
        </w:numPr>
        <w:rPr>
          <w:b/>
          <w:color w:val="000000" w:themeColor="text1"/>
          <w:sz w:val="32"/>
          <w:szCs w:val="32"/>
        </w:rPr>
      </w:pPr>
      <w:r>
        <w:rPr>
          <w:b/>
          <w:noProof/>
          <w:color w:val="000000" w:themeColor="text1"/>
          <w:sz w:val="32"/>
          <w:szCs w:val="32"/>
          <w:lang w:eastAsia="en-GB"/>
        </w:rPr>
        <w:drawing>
          <wp:inline distT="0" distB="0" distL="0" distR="0" wp14:anchorId="122151A7" wp14:editId="23462FEA">
            <wp:extent cx="1638300" cy="9396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897" cy="940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  <w:sz w:val="32"/>
          <w:szCs w:val="32"/>
        </w:rPr>
        <w:t xml:space="preserve">                                                          </w:t>
      </w:r>
      <w:bookmarkStart w:id="0" w:name="_GoBack"/>
      <w:bookmarkEnd w:id="0"/>
      <w:r>
        <w:rPr>
          <w:b/>
          <w:color w:val="000000" w:themeColor="text1"/>
          <w:sz w:val="32"/>
          <w:szCs w:val="32"/>
        </w:rPr>
        <w:t xml:space="preserve">                              </w:t>
      </w:r>
    </w:p>
    <w:p w14:paraId="0CCEBDAD" w14:textId="77777777" w:rsidR="00250B8C" w:rsidRDefault="00250B8C" w:rsidP="00250B8C">
      <w:pPr>
        <w:pStyle w:val="Style1"/>
        <w:numPr>
          <w:ilvl w:val="0"/>
          <w:numId w:val="0"/>
        </w:numPr>
        <w:jc w:val="center"/>
        <w:rPr>
          <w:b/>
          <w:color w:val="000000" w:themeColor="text1"/>
          <w:sz w:val="32"/>
          <w:szCs w:val="32"/>
        </w:rPr>
      </w:pPr>
    </w:p>
    <w:p w14:paraId="724F40EE" w14:textId="77777777" w:rsidR="00250B8C" w:rsidRDefault="00250B8C" w:rsidP="00250B8C">
      <w:pPr>
        <w:pStyle w:val="Style1"/>
        <w:numPr>
          <w:ilvl w:val="0"/>
          <w:numId w:val="0"/>
        </w:numPr>
        <w:jc w:val="center"/>
        <w:rPr>
          <w:b/>
          <w:color w:val="000000" w:themeColor="text1"/>
          <w:sz w:val="32"/>
          <w:szCs w:val="32"/>
        </w:rPr>
      </w:pPr>
      <w:r w:rsidRPr="001708B9">
        <w:rPr>
          <w:b/>
          <w:color w:val="000000" w:themeColor="text1"/>
          <w:sz w:val="32"/>
          <w:szCs w:val="32"/>
        </w:rPr>
        <w:t>Variation to Contract</w:t>
      </w:r>
    </w:p>
    <w:p w14:paraId="657AD54F" w14:textId="77777777" w:rsidR="00250B8C" w:rsidRPr="00F613A3" w:rsidRDefault="00250B8C" w:rsidP="00250B8C">
      <w:pPr>
        <w:pStyle w:val="Style1"/>
        <w:numPr>
          <w:ilvl w:val="0"/>
          <w:numId w:val="0"/>
        </w:numPr>
        <w:jc w:val="center"/>
      </w:pPr>
    </w:p>
    <w:tbl>
      <w:tblPr>
        <w:tblStyle w:val="TableGrid"/>
        <w:tblW w:w="9639" w:type="dxa"/>
        <w:tblInd w:w="108" w:type="dxa"/>
        <w:tblLook w:val="01E0" w:firstRow="1" w:lastRow="1" w:firstColumn="1" w:lastColumn="1" w:noHBand="0" w:noVBand="0"/>
      </w:tblPr>
      <w:tblGrid>
        <w:gridCol w:w="2127"/>
        <w:gridCol w:w="7512"/>
      </w:tblGrid>
      <w:tr w:rsidR="00250B8C" w14:paraId="6B9E2AE9" w14:textId="77777777" w:rsidTr="002A799B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561270" w14:textId="77777777" w:rsidR="00250B8C" w:rsidRDefault="00250B8C" w:rsidP="002A799B">
            <w:pPr>
              <w:pStyle w:val="TableHead"/>
            </w:pPr>
            <w:r>
              <w:t xml:space="preserve">Contract Title: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2B40" w14:textId="77777777" w:rsidR="00250B8C" w:rsidRPr="008F6064" w:rsidRDefault="00250B8C" w:rsidP="002A799B">
            <w:pPr>
              <w:pStyle w:val="Tabl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PHE – Corporate – Live Well – Creative (One You and Stoptober)</w:t>
            </w:r>
          </w:p>
        </w:tc>
      </w:tr>
    </w:tbl>
    <w:p w14:paraId="2DE125BB" w14:textId="77777777" w:rsidR="00250B8C" w:rsidRDefault="00250B8C" w:rsidP="00250B8C">
      <w:pPr>
        <w:pStyle w:val="LeftSide"/>
        <w:spacing w:before="0" w:after="0"/>
      </w:pPr>
    </w:p>
    <w:tbl>
      <w:tblPr>
        <w:tblStyle w:val="TableGrid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992"/>
        <w:gridCol w:w="992"/>
        <w:gridCol w:w="2126"/>
      </w:tblGrid>
      <w:tr w:rsidR="00250B8C" w14:paraId="6CEEA682" w14:textId="77777777" w:rsidTr="002A799B">
        <w:trPr>
          <w:trHeight w:val="4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713ECB" w14:textId="77777777" w:rsidR="00250B8C" w:rsidRDefault="00250B8C" w:rsidP="002A799B">
            <w:pPr>
              <w:pStyle w:val="TableHead"/>
            </w:pPr>
            <w:r>
              <w:t xml:space="preserve">Contract </w:t>
            </w:r>
            <w:smartTag w:uri="urn:schemas-microsoft-com:office:smarttags" w:element="stockticker">
              <w:r>
                <w:t>Ref</w:t>
              </w:r>
            </w:smartTag>
            <w: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ACA3" w14:textId="77777777" w:rsidR="00250B8C" w:rsidRPr="008F6064" w:rsidRDefault="00250B8C" w:rsidP="002A799B">
            <w:pPr>
              <w:pStyle w:val="Tab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ecm_3944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25E094" w14:textId="77777777" w:rsidR="00250B8C" w:rsidRDefault="00250B8C" w:rsidP="002A799B">
            <w:pPr>
              <w:pStyle w:val="TableHead"/>
            </w:pPr>
            <w:r>
              <w:t>Variation No: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4ECE" w14:textId="77777777" w:rsidR="00250B8C" w:rsidRPr="008F6064" w:rsidRDefault="00250B8C" w:rsidP="002A799B">
            <w:pPr>
              <w:pStyle w:val="Tab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4D01C9" w14:textId="77777777" w:rsidR="00250B8C" w:rsidRDefault="00250B8C" w:rsidP="002A799B">
            <w:pPr>
              <w:pStyle w:val="TableHead"/>
            </w:pPr>
            <w:r>
              <w:t>Date: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6AC4" w14:textId="77777777" w:rsidR="00250B8C" w:rsidRPr="005D0793" w:rsidRDefault="00250B8C" w:rsidP="002A799B">
            <w:pPr>
              <w:pStyle w:val="Tab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June 2020</w:t>
            </w:r>
          </w:p>
        </w:tc>
      </w:tr>
    </w:tbl>
    <w:p w14:paraId="1A76CA1B" w14:textId="77777777" w:rsidR="00250B8C" w:rsidRDefault="00250B8C" w:rsidP="00250B8C">
      <w:pPr>
        <w:pStyle w:val="LeftSide"/>
        <w:spacing w:before="0" w:after="0"/>
      </w:pPr>
    </w:p>
    <w:p w14:paraId="5A343178" w14:textId="77777777" w:rsidR="00250B8C" w:rsidRPr="00A3555C" w:rsidRDefault="00250B8C" w:rsidP="00250B8C">
      <w:pPr>
        <w:pStyle w:val="LeftSide"/>
        <w:spacing w:before="0" w:after="0"/>
        <w:rPr>
          <w:b/>
        </w:rPr>
      </w:pPr>
    </w:p>
    <w:p w14:paraId="1F5AA342" w14:textId="77777777" w:rsidR="00250B8C" w:rsidRDefault="00250B8C" w:rsidP="00250B8C">
      <w:pPr>
        <w:pStyle w:val="LeftSide"/>
        <w:spacing w:before="0" w:after="0"/>
        <w:jc w:val="left"/>
      </w:pPr>
      <w:r w:rsidRPr="00A3555C">
        <w:rPr>
          <w:b/>
        </w:rPr>
        <w:t>BETWEEN</w:t>
      </w:r>
      <w:r>
        <w:t>:</w:t>
      </w:r>
    </w:p>
    <w:p w14:paraId="7335EC92" w14:textId="77777777" w:rsidR="00250B8C" w:rsidRDefault="00250B8C" w:rsidP="00250B8C">
      <w:pPr>
        <w:pStyle w:val="LeftSide"/>
        <w:spacing w:before="0" w:after="0"/>
        <w:jc w:val="left"/>
      </w:pPr>
    </w:p>
    <w:p w14:paraId="76C195D2" w14:textId="77777777" w:rsidR="00250B8C" w:rsidRDefault="00250B8C" w:rsidP="00250B8C">
      <w:pPr>
        <w:pStyle w:val="LeftSide"/>
        <w:spacing w:before="0" w:after="0"/>
        <w:jc w:val="left"/>
      </w:pPr>
      <w:r w:rsidRPr="004D6964">
        <w:rPr>
          <w:b/>
        </w:rPr>
        <w:t>Public Health England (</w:t>
      </w:r>
      <w:r>
        <w:t xml:space="preserve">an Executive Agency of the Department of Health) </w:t>
      </w:r>
      <w:r w:rsidRPr="00AF67EA">
        <w:t xml:space="preserve">(hereinafter called the </w:t>
      </w:r>
      <w:r>
        <w:rPr>
          <w:b/>
        </w:rPr>
        <w:t>‘Authority</w:t>
      </w:r>
      <w:r w:rsidRPr="00136744">
        <w:rPr>
          <w:b/>
        </w:rPr>
        <w:t>’</w:t>
      </w:r>
      <w:r>
        <w:t xml:space="preserve">) and </w:t>
      </w:r>
      <w:r>
        <w:rPr>
          <w:b/>
        </w:rPr>
        <w:t>M&amp;C Saatchi (UK) Ltd</w:t>
      </w:r>
      <w:r>
        <w:t xml:space="preserve"> ‘(hereinafter called the </w:t>
      </w:r>
      <w:r w:rsidRPr="00136744">
        <w:rPr>
          <w:b/>
        </w:rPr>
        <w:t>‘Supplier’</w:t>
      </w:r>
      <w:r w:rsidRPr="00CF5C9B">
        <w:t xml:space="preserve">) </w:t>
      </w:r>
      <w:r>
        <w:t xml:space="preserve"> </w:t>
      </w:r>
    </w:p>
    <w:p w14:paraId="7B9D91FF" w14:textId="77777777" w:rsidR="00250B8C" w:rsidRDefault="00250B8C" w:rsidP="00250B8C">
      <w:pPr>
        <w:pStyle w:val="LeftSide"/>
        <w:spacing w:before="0" w:after="0"/>
        <w:jc w:val="left"/>
      </w:pPr>
    </w:p>
    <w:p w14:paraId="66F6D573" w14:textId="77777777" w:rsidR="00250B8C" w:rsidRDefault="00250B8C" w:rsidP="00250B8C">
      <w:pPr>
        <w:pStyle w:val="LeftSide"/>
        <w:spacing w:before="0" w:after="0"/>
        <w:jc w:val="left"/>
      </w:pPr>
      <w:r w:rsidRPr="00AF67EA">
        <w:t xml:space="preserve">The </w:t>
      </w:r>
      <w:r>
        <w:t>Order Form</w:t>
      </w:r>
      <w:r w:rsidRPr="00AF67EA">
        <w:t xml:space="preserve"> is varied as follows:</w:t>
      </w:r>
    </w:p>
    <w:p w14:paraId="266799AF" w14:textId="77777777" w:rsidR="00250B8C" w:rsidRDefault="00250B8C" w:rsidP="00250B8C">
      <w:pPr>
        <w:pStyle w:val="LeftSide"/>
        <w:spacing w:before="0" w:after="0"/>
        <w:jc w:val="left"/>
      </w:pPr>
    </w:p>
    <w:p w14:paraId="6F7FA08B" w14:textId="77777777" w:rsidR="00250B8C" w:rsidRPr="00650408" w:rsidRDefault="00250B8C" w:rsidP="00250B8C">
      <w:pPr>
        <w:pStyle w:val="LeftSide"/>
        <w:tabs>
          <w:tab w:val="left" w:pos="426"/>
        </w:tabs>
        <w:spacing w:before="0" w:after="0"/>
        <w:jc w:val="left"/>
        <w:rPr>
          <w:b/>
        </w:rPr>
      </w:pPr>
      <w:r w:rsidRPr="00650408">
        <w:rPr>
          <w:b/>
        </w:rPr>
        <w:t>SECTION</w:t>
      </w:r>
      <w:r>
        <w:rPr>
          <w:b/>
        </w:rPr>
        <w:t xml:space="preserve"> A</w:t>
      </w:r>
      <w:r w:rsidRPr="00650408">
        <w:rPr>
          <w:b/>
        </w:rPr>
        <w:t>:</w:t>
      </w:r>
      <w:r>
        <w:rPr>
          <w:b/>
        </w:rPr>
        <w:t xml:space="preserve"> </w:t>
      </w:r>
    </w:p>
    <w:p w14:paraId="0E3EE9C3" w14:textId="77777777" w:rsidR="00250B8C" w:rsidRPr="00650408" w:rsidRDefault="00250B8C" w:rsidP="00250B8C">
      <w:pPr>
        <w:pStyle w:val="LeftSide"/>
        <w:spacing w:before="0" w:after="0"/>
        <w:jc w:val="left"/>
        <w:rPr>
          <w:b/>
        </w:rPr>
      </w:pPr>
    </w:p>
    <w:p w14:paraId="1E9A9BA8" w14:textId="77777777" w:rsidR="00250B8C" w:rsidRDefault="00250B8C" w:rsidP="00250B8C">
      <w:pPr>
        <w:pStyle w:val="LeftSide"/>
        <w:spacing w:before="0" w:after="0"/>
        <w:jc w:val="left"/>
      </w:pPr>
      <w:r>
        <w:t>This Contract   Extension Letter is issued in accordance with the provisions of the Communications – Creative and Delivery Services Framework Agreement (RM988). The Supplier agrees the contract to be extended to supply the Services specified in the ITT_1566 subject to the terms of the original contract terms and conditions.</w:t>
      </w:r>
    </w:p>
    <w:p w14:paraId="2C525041" w14:textId="77777777" w:rsidR="00250B8C" w:rsidRDefault="00250B8C" w:rsidP="00250B8C">
      <w:pPr>
        <w:pStyle w:val="LeftSide"/>
        <w:spacing w:before="0" w:after="0"/>
        <w:jc w:val="left"/>
      </w:pPr>
    </w:p>
    <w:p w14:paraId="6CDD8761" w14:textId="77777777" w:rsidR="00250B8C" w:rsidRDefault="00250B8C" w:rsidP="00250B8C">
      <w:pPr>
        <w:pStyle w:val="LeftSide"/>
        <w:spacing w:before="0" w:after="0"/>
        <w:jc w:val="left"/>
      </w:pPr>
    </w:p>
    <w:p w14:paraId="099F962B" w14:textId="77777777" w:rsidR="00250B8C" w:rsidRDefault="00250B8C" w:rsidP="00250B8C">
      <w:pPr>
        <w:pStyle w:val="LeftSide"/>
        <w:tabs>
          <w:tab w:val="left" w:pos="426"/>
        </w:tabs>
        <w:spacing w:before="0" w:after="0"/>
        <w:jc w:val="left"/>
        <w:rPr>
          <w:b/>
        </w:rPr>
      </w:pPr>
      <w:r>
        <w:rPr>
          <w:b/>
        </w:rPr>
        <w:t xml:space="preserve">SECTION B: TERM </w:t>
      </w:r>
    </w:p>
    <w:p w14:paraId="4A50A1E6" w14:textId="77777777" w:rsidR="00250B8C" w:rsidRPr="00702E3D" w:rsidRDefault="00250B8C" w:rsidP="00250B8C">
      <w:pPr>
        <w:overflowPunct w:val="0"/>
        <w:autoSpaceDE w:val="0"/>
        <w:autoSpaceDN w:val="0"/>
        <w:adjustRightInd w:val="0"/>
        <w:ind w:left="426"/>
        <w:textAlignment w:val="baseline"/>
        <w:rPr>
          <w:rFonts w:eastAsia="STZhongsong"/>
          <w:sz w:val="22"/>
          <w:szCs w:val="22"/>
          <w:lang w:val="x-none" w:eastAsia="zh-CN"/>
        </w:rPr>
      </w:pPr>
    </w:p>
    <w:p w14:paraId="125FC9D4" w14:textId="77777777" w:rsidR="00250B8C" w:rsidRPr="00C45605" w:rsidRDefault="00250B8C" w:rsidP="00250B8C">
      <w:pPr>
        <w:spacing w:after="200" w:line="276" w:lineRule="auto"/>
        <w:rPr>
          <w:sz w:val="22"/>
        </w:rPr>
      </w:pPr>
      <w:r w:rsidRPr="00C45605">
        <w:rPr>
          <w:sz w:val="22"/>
        </w:rPr>
        <w:t>The contract</w:t>
      </w:r>
      <w:r>
        <w:rPr>
          <w:sz w:val="22"/>
        </w:rPr>
        <w:t xml:space="preserve"> extension</w:t>
      </w:r>
      <w:r w:rsidRPr="00C45605">
        <w:rPr>
          <w:sz w:val="22"/>
        </w:rPr>
        <w:t xml:space="preserve"> is varied as follows:</w:t>
      </w:r>
    </w:p>
    <w:p w14:paraId="7FCE7240" w14:textId="77777777" w:rsidR="00250B8C" w:rsidRPr="00C45605" w:rsidRDefault="00250B8C" w:rsidP="00250B8C">
      <w:pPr>
        <w:numPr>
          <w:ilvl w:val="0"/>
          <w:numId w:val="3"/>
        </w:numPr>
        <w:spacing w:after="200" w:line="276" w:lineRule="auto"/>
        <w:contextualSpacing/>
        <w:rPr>
          <w:sz w:val="22"/>
        </w:rPr>
      </w:pPr>
      <w:r w:rsidRPr="00C45605">
        <w:rPr>
          <w:sz w:val="22"/>
        </w:rPr>
        <w:t xml:space="preserve">This </w:t>
      </w:r>
      <w:r>
        <w:rPr>
          <w:sz w:val="22"/>
        </w:rPr>
        <w:t>contract is extended from 1</w:t>
      </w:r>
      <w:r w:rsidRPr="008B54CC">
        <w:rPr>
          <w:sz w:val="22"/>
          <w:vertAlign w:val="superscript"/>
        </w:rPr>
        <w:t>st</w:t>
      </w:r>
      <w:r>
        <w:rPr>
          <w:sz w:val="22"/>
        </w:rPr>
        <w:t xml:space="preserve"> July 2020 and expiring on 30</w:t>
      </w:r>
      <w:r w:rsidRPr="008B54CC">
        <w:rPr>
          <w:sz w:val="22"/>
          <w:vertAlign w:val="superscript"/>
        </w:rPr>
        <w:t>th</w:t>
      </w:r>
      <w:r>
        <w:rPr>
          <w:sz w:val="22"/>
        </w:rPr>
        <w:t xml:space="preserve"> June 2021</w:t>
      </w:r>
      <w:r w:rsidRPr="00650408">
        <w:rPr>
          <w:sz w:val="22"/>
        </w:rPr>
        <w:t>.</w:t>
      </w:r>
    </w:p>
    <w:p w14:paraId="2E01EFD8" w14:textId="77777777" w:rsidR="00250B8C" w:rsidRPr="00C45605" w:rsidRDefault="00250B8C" w:rsidP="00250B8C">
      <w:pPr>
        <w:spacing w:after="200" w:line="276" w:lineRule="auto"/>
        <w:ind w:left="720"/>
        <w:contextualSpacing/>
        <w:rPr>
          <w:sz w:val="22"/>
        </w:rPr>
      </w:pPr>
    </w:p>
    <w:p w14:paraId="1B5B0F35" w14:textId="77777777" w:rsidR="00250B8C" w:rsidRPr="00C45605" w:rsidRDefault="00250B8C" w:rsidP="00250B8C">
      <w:pPr>
        <w:numPr>
          <w:ilvl w:val="0"/>
          <w:numId w:val="3"/>
        </w:numPr>
        <w:spacing w:after="200" w:line="276" w:lineRule="auto"/>
        <w:ind w:left="714" w:hanging="357"/>
        <w:contextualSpacing/>
        <w:rPr>
          <w:sz w:val="22"/>
        </w:rPr>
      </w:pPr>
      <w:r w:rsidRPr="00C45605">
        <w:rPr>
          <w:sz w:val="22"/>
        </w:rPr>
        <w:t>Any requirements arising during this extension period will be priced based on value for money and will be subject to availability of funds. No work shall commence before full approval h</w:t>
      </w:r>
      <w:r>
        <w:rPr>
          <w:sz w:val="22"/>
        </w:rPr>
        <w:t xml:space="preserve">as been granted by the Authority’s Budget Holder. </w:t>
      </w:r>
    </w:p>
    <w:p w14:paraId="0F6320A6" w14:textId="77777777" w:rsidR="00250B8C" w:rsidRPr="00C45605" w:rsidRDefault="00250B8C" w:rsidP="00250B8C">
      <w:pPr>
        <w:spacing w:after="200" w:line="276" w:lineRule="auto"/>
        <w:ind w:left="720"/>
        <w:contextualSpacing/>
        <w:rPr>
          <w:sz w:val="22"/>
        </w:rPr>
      </w:pPr>
    </w:p>
    <w:p w14:paraId="68E84337" w14:textId="77777777" w:rsidR="00250B8C" w:rsidRPr="00C45605" w:rsidRDefault="00250B8C" w:rsidP="00250B8C">
      <w:pPr>
        <w:numPr>
          <w:ilvl w:val="0"/>
          <w:numId w:val="2"/>
        </w:numPr>
        <w:spacing w:after="200" w:line="276" w:lineRule="auto"/>
        <w:ind w:left="714" w:hanging="357"/>
        <w:contextualSpacing/>
        <w:rPr>
          <w:sz w:val="22"/>
        </w:rPr>
      </w:pPr>
      <w:r w:rsidRPr="00C45605">
        <w:rPr>
          <w:sz w:val="22"/>
        </w:rPr>
        <w:t>D</w:t>
      </w:r>
      <w:r>
        <w:rPr>
          <w:sz w:val="22"/>
        </w:rPr>
        <w:t>uring this period, the current services will remain the same.</w:t>
      </w:r>
    </w:p>
    <w:p w14:paraId="316776B0" w14:textId="77777777" w:rsidR="00250B8C" w:rsidRPr="00C45605" w:rsidRDefault="00250B8C" w:rsidP="00250B8C">
      <w:pPr>
        <w:spacing w:after="200" w:line="276" w:lineRule="auto"/>
        <w:ind w:left="714"/>
        <w:contextualSpacing/>
        <w:rPr>
          <w:sz w:val="22"/>
        </w:rPr>
      </w:pPr>
    </w:p>
    <w:p w14:paraId="69411261" w14:textId="77777777" w:rsidR="00250B8C" w:rsidRPr="000A49E1" w:rsidRDefault="00250B8C" w:rsidP="00250B8C">
      <w:pPr>
        <w:numPr>
          <w:ilvl w:val="0"/>
          <w:numId w:val="2"/>
        </w:numPr>
        <w:spacing w:line="276" w:lineRule="auto"/>
        <w:ind w:left="714" w:hanging="357"/>
        <w:contextualSpacing/>
      </w:pPr>
      <w:r w:rsidRPr="00C45605">
        <w:rPr>
          <w:sz w:val="22"/>
        </w:rPr>
        <w:t>The cost b</w:t>
      </w:r>
      <w:r>
        <w:rPr>
          <w:sz w:val="22"/>
        </w:rPr>
        <w:t xml:space="preserve">reakdown and </w:t>
      </w:r>
      <w:r w:rsidRPr="00C45605">
        <w:rPr>
          <w:sz w:val="22"/>
        </w:rPr>
        <w:t xml:space="preserve">all the </w:t>
      </w:r>
      <w:r>
        <w:rPr>
          <w:sz w:val="22"/>
        </w:rPr>
        <w:t>future costs within the lifecycle</w:t>
      </w:r>
      <w:r w:rsidRPr="00C45605">
        <w:rPr>
          <w:sz w:val="22"/>
        </w:rPr>
        <w:t xml:space="preserve"> of this variation will be subject to</w:t>
      </w:r>
      <w:r>
        <w:rPr>
          <w:sz w:val="22"/>
        </w:rPr>
        <w:t xml:space="preserve"> the original Contract.</w:t>
      </w:r>
    </w:p>
    <w:p w14:paraId="006B0848" w14:textId="77777777" w:rsidR="00250B8C" w:rsidRDefault="00250B8C" w:rsidP="00250B8C">
      <w:pPr>
        <w:pStyle w:val="ListParagraph"/>
      </w:pPr>
    </w:p>
    <w:p w14:paraId="25295AFE" w14:textId="77777777" w:rsidR="00250B8C" w:rsidRDefault="00250B8C" w:rsidP="00250B8C">
      <w:pPr>
        <w:pStyle w:val="LeftSide"/>
        <w:spacing w:before="0" w:after="0"/>
      </w:pPr>
      <w:r>
        <w:t>Words and expressions in this Variation shall have the meanings given to them in the Contract.</w:t>
      </w:r>
    </w:p>
    <w:p w14:paraId="3E949BE4" w14:textId="77777777" w:rsidR="00250B8C" w:rsidRDefault="00250B8C" w:rsidP="00250B8C">
      <w:pPr>
        <w:pStyle w:val="LeftSide"/>
        <w:spacing w:before="0" w:after="0"/>
      </w:pPr>
    </w:p>
    <w:p w14:paraId="662D4218" w14:textId="77777777" w:rsidR="00250B8C" w:rsidRDefault="00250B8C" w:rsidP="00250B8C">
      <w:pPr>
        <w:pStyle w:val="LeftSide"/>
        <w:spacing w:before="0" w:after="240"/>
      </w:pPr>
      <w:r>
        <w:t>The Contract shall remain effective and unaltered except as amended by this Variation.</w:t>
      </w:r>
    </w:p>
    <w:p w14:paraId="714D8728" w14:textId="77777777" w:rsidR="00250B8C" w:rsidRDefault="00250B8C" w:rsidP="00250B8C">
      <w:pPr>
        <w:pStyle w:val="LeftSide"/>
        <w:spacing w:before="0" w:after="240"/>
        <w:rPr>
          <w:b/>
          <w:lang w:val="en-US"/>
        </w:rPr>
      </w:pPr>
      <w:bookmarkStart w:id="1" w:name="_Toc440082471"/>
      <w:bookmarkStart w:id="2" w:name="_Toc440107306"/>
      <w:bookmarkStart w:id="3" w:name="_Toc440107554"/>
      <w:bookmarkStart w:id="4" w:name="_Toc440107687"/>
      <w:bookmarkStart w:id="5" w:name="_Toc440107801"/>
      <w:bookmarkStart w:id="6" w:name="_Toc440108102"/>
      <w:bookmarkStart w:id="7" w:name="_Toc440161122"/>
      <w:bookmarkStart w:id="8" w:name="_Toc440194038"/>
      <w:bookmarkStart w:id="9" w:name="_Toc440263860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4646EDB6" w14:textId="77777777" w:rsidR="00250B8C" w:rsidRDefault="00250B8C" w:rsidP="00250B8C">
      <w:pPr>
        <w:spacing w:after="120" w:line="280" w:lineRule="atLeast"/>
        <w:rPr>
          <w:sz w:val="21"/>
          <w:szCs w:val="21"/>
        </w:rPr>
      </w:pPr>
    </w:p>
    <w:p w14:paraId="2A1A336A" w14:textId="77777777" w:rsidR="00250B8C" w:rsidRPr="00A7666F" w:rsidRDefault="00250B8C" w:rsidP="00250B8C">
      <w:pPr>
        <w:spacing w:after="120" w:line="280" w:lineRule="atLeast"/>
        <w:rPr>
          <w:bCs/>
          <w:sz w:val="21"/>
          <w:szCs w:val="21"/>
        </w:rPr>
      </w:pPr>
      <w:r w:rsidRPr="00A7666F">
        <w:rPr>
          <w:sz w:val="21"/>
          <w:szCs w:val="21"/>
        </w:rPr>
        <w:lastRenderedPageBreak/>
        <w:t>Signed by an authorised sign</w:t>
      </w:r>
      <w:r>
        <w:rPr>
          <w:sz w:val="21"/>
          <w:szCs w:val="21"/>
        </w:rPr>
        <w:t>atory for and on behalf of the Authority (</w:t>
      </w:r>
      <w:r w:rsidRPr="00C84DDA">
        <w:rPr>
          <w:b/>
          <w:sz w:val="21"/>
          <w:szCs w:val="21"/>
        </w:rPr>
        <w:t>Public Health England</w:t>
      </w:r>
      <w:r>
        <w:rPr>
          <w:sz w:val="21"/>
          <w:szCs w:val="21"/>
        </w:rPr>
        <w:t>)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40"/>
      </w:tblGrid>
      <w:tr w:rsidR="00250B8C" w:rsidRPr="00A7666F" w14:paraId="3349206A" w14:textId="77777777" w:rsidTr="002A799B">
        <w:tc>
          <w:tcPr>
            <w:tcW w:w="2576" w:type="dxa"/>
            <w:tcBorders>
              <w:bottom w:val="nil"/>
            </w:tcBorders>
          </w:tcPr>
          <w:p w14:paraId="4A332A3F" w14:textId="77777777" w:rsidR="00250B8C" w:rsidRDefault="00250B8C" w:rsidP="002A799B">
            <w:pPr>
              <w:spacing w:after="120" w:line="280" w:lineRule="atLeast"/>
              <w:rPr>
                <w:sz w:val="21"/>
                <w:szCs w:val="21"/>
              </w:rPr>
            </w:pPr>
          </w:p>
          <w:p w14:paraId="27E88A54" w14:textId="77777777" w:rsidR="00250B8C" w:rsidRPr="00A7666F" w:rsidRDefault="00250B8C" w:rsidP="002A799B">
            <w:pPr>
              <w:spacing w:after="120" w:line="280" w:lineRule="atLeast"/>
              <w:rPr>
                <w:sz w:val="21"/>
                <w:szCs w:val="21"/>
              </w:rPr>
            </w:pPr>
            <w:r w:rsidRPr="00A7666F">
              <w:rPr>
                <w:sz w:val="21"/>
                <w:szCs w:val="21"/>
              </w:rPr>
              <w:t>Signature</w:t>
            </w:r>
          </w:p>
        </w:tc>
        <w:tc>
          <w:tcPr>
            <w:tcW w:w="5940" w:type="dxa"/>
          </w:tcPr>
          <w:p w14:paraId="2698FF22" w14:textId="77777777" w:rsidR="00250B8C" w:rsidRDefault="00250B8C" w:rsidP="002A799B">
            <w:pPr>
              <w:spacing w:after="120" w:line="280" w:lineRule="atLeast"/>
              <w:rPr>
                <w:sz w:val="21"/>
                <w:szCs w:val="21"/>
              </w:rPr>
            </w:pPr>
          </w:p>
          <w:p w14:paraId="1F0F9162" w14:textId="070125BC" w:rsidR="00250B8C" w:rsidRPr="00A7666F" w:rsidRDefault="00250B8C" w:rsidP="002A799B">
            <w:pPr>
              <w:spacing w:after="120" w:line="28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Redacted</w:t>
            </w:r>
          </w:p>
        </w:tc>
      </w:tr>
      <w:tr w:rsidR="00250B8C" w:rsidRPr="00A7666F" w14:paraId="6AA27831" w14:textId="77777777" w:rsidTr="002A799B">
        <w:tc>
          <w:tcPr>
            <w:tcW w:w="2576" w:type="dxa"/>
            <w:tcBorders>
              <w:top w:val="nil"/>
              <w:bottom w:val="nil"/>
            </w:tcBorders>
          </w:tcPr>
          <w:p w14:paraId="176D44BF" w14:textId="77777777" w:rsidR="00250B8C" w:rsidRPr="00A7666F" w:rsidRDefault="00250B8C" w:rsidP="002A799B">
            <w:pPr>
              <w:spacing w:after="120" w:line="280" w:lineRule="atLeast"/>
              <w:rPr>
                <w:sz w:val="21"/>
                <w:szCs w:val="21"/>
              </w:rPr>
            </w:pPr>
            <w:r w:rsidRPr="00A7666F">
              <w:rPr>
                <w:sz w:val="21"/>
                <w:szCs w:val="21"/>
              </w:rPr>
              <w:t>Date</w:t>
            </w:r>
          </w:p>
        </w:tc>
        <w:tc>
          <w:tcPr>
            <w:tcW w:w="5940" w:type="dxa"/>
          </w:tcPr>
          <w:p w14:paraId="55F31CBE" w14:textId="77777777" w:rsidR="00250B8C" w:rsidRPr="00A7666F" w:rsidRDefault="00250B8C" w:rsidP="002A799B">
            <w:pPr>
              <w:spacing w:after="120" w:line="280" w:lineRule="atLeast"/>
              <w:rPr>
                <w:sz w:val="21"/>
                <w:szCs w:val="21"/>
              </w:rPr>
            </w:pPr>
          </w:p>
        </w:tc>
      </w:tr>
      <w:tr w:rsidR="00250B8C" w:rsidRPr="00A7666F" w14:paraId="25157BDF" w14:textId="77777777" w:rsidTr="002A799B">
        <w:tc>
          <w:tcPr>
            <w:tcW w:w="2576" w:type="dxa"/>
            <w:tcBorders>
              <w:top w:val="nil"/>
              <w:bottom w:val="nil"/>
            </w:tcBorders>
          </w:tcPr>
          <w:p w14:paraId="75E9E177" w14:textId="77777777" w:rsidR="00250B8C" w:rsidRPr="00A7666F" w:rsidRDefault="00250B8C" w:rsidP="002A799B">
            <w:pPr>
              <w:spacing w:after="120" w:line="280" w:lineRule="atLeast"/>
              <w:rPr>
                <w:sz w:val="21"/>
                <w:szCs w:val="21"/>
              </w:rPr>
            </w:pPr>
            <w:r w:rsidRPr="00A7666F">
              <w:rPr>
                <w:sz w:val="21"/>
                <w:szCs w:val="21"/>
              </w:rPr>
              <w:t>Name (in Capitals)</w:t>
            </w:r>
          </w:p>
        </w:tc>
        <w:tc>
          <w:tcPr>
            <w:tcW w:w="5940" w:type="dxa"/>
          </w:tcPr>
          <w:p w14:paraId="287B8120" w14:textId="77777777" w:rsidR="00250B8C" w:rsidRPr="00A7666F" w:rsidRDefault="00250B8C" w:rsidP="002A799B">
            <w:pPr>
              <w:spacing w:after="120" w:line="280" w:lineRule="atLeast"/>
              <w:rPr>
                <w:sz w:val="21"/>
                <w:szCs w:val="21"/>
              </w:rPr>
            </w:pPr>
          </w:p>
        </w:tc>
      </w:tr>
      <w:tr w:rsidR="00250B8C" w:rsidRPr="00A7666F" w14:paraId="575F2E14" w14:textId="77777777" w:rsidTr="002A799B">
        <w:tc>
          <w:tcPr>
            <w:tcW w:w="2576" w:type="dxa"/>
            <w:tcBorders>
              <w:top w:val="nil"/>
              <w:bottom w:val="nil"/>
            </w:tcBorders>
          </w:tcPr>
          <w:p w14:paraId="443DEC48" w14:textId="77777777" w:rsidR="00250B8C" w:rsidRPr="00A7666F" w:rsidRDefault="00250B8C" w:rsidP="002A799B">
            <w:pPr>
              <w:spacing w:after="120" w:line="280" w:lineRule="atLeast"/>
              <w:rPr>
                <w:sz w:val="21"/>
                <w:szCs w:val="21"/>
              </w:rPr>
            </w:pPr>
            <w:r w:rsidRPr="00A7666F">
              <w:rPr>
                <w:sz w:val="21"/>
                <w:szCs w:val="21"/>
              </w:rPr>
              <w:t>Address</w:t>
            </w:r>
          </w:p>
        </w:tc>
        <w:tc>
          <w:tcPr>
            <w:tcW w:w="5940" w:type="dxa"/>
          </w:tcPr>
          <w:p w14:paraId="169E70EF" w14:textId="77777777" w:rsidR="00250B8C" w:rsidRPr="00A7666F" w:rsidRDefault="00250B8C" w:rsidP="002A799B">
            <w:pPr>
              <w:spacing w:after="120" w:line="28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Wellington House, 133 -155 Waterloo Road, London SE1 8UG</w:t>
            </w:r>
          </w:p>
        </w:tc>
      </w:tr>
    </w:tbl>
    <w:p w14:paraId="7977AA60" w14:textId="77777777" w:rsidR="00250B8C" w:rsidRPr="00A7666F" w:rsidRDefault="00250B8C" w:rsidP="00250B8C">
      <w:pPr>
        <w:spacing w:after="120" w:line="280" w:lineRule="atLeast"/>
        <w:rPr>
          <w:sz w:val="21"/>
          <w:szCs w:val="21"/>
        </w:rPr>
      </w:pPr>
    </w:p>
    <w:p w14:paraId="7ED02167" w14:textId="77777777" w:rsidR="00250B8C" w:rsidRPr="00A7666F" w:rsidRDefault="00250B8C" w:rsidP="00250B8C">
      <w:pPr>
        <w:spacing w:after="120" w:line="280" w:lineRule="atLeast"/>
        <w:rPr>
          <w:sz w:val="21"/>
          <w:szCs w:val="21"/>
        </w:rPr>
      </w:pPr>
      <w:r w:rsidRPr="00A7666F">
        <w:rPr>
          <w:sz w:val="21"/>
          <w:szCs w:val="21"/>
        </w:rPr>
        <w:t xml:space="preserve">Signed by an authorised signatory for and on behalf of the </w:t>
      </w:r>
      <w:r>
        <w:rPr>
          <w:sz w:val="21"/>
          <w:szCs w:val="21"/>
        </w:rPr>
        <w:t>Supplier (</w:t>
      </w:r>
      <w:r>
        <w:rPr>
          <w:b/>
        </w:rPr>
        <w:t>M&amp;C Saatchi (UK) Ltd</w:t>
      </w:r>
      <w:r>
        <w:rPr>
          <w:sz w:val="21"/>
          <w:szCs w:val="21"/>
        </w:rPr>
        <w:t>)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80"/>
      </w:tblGrid>
      <w:tr w:rsidR="00250B8C" w:rsidRPr="00A7666F" w14:paraId="23C3713E" w14:textId="77777777" w:rsidTr="002A799B">
        <w:tc>
          <w:tcPr>
            <w:tcW w:w="2576" w:type="dxa"/>
            <w:tcBorders>
              <w:bottom w:val="nil"/>
            </w:tcBorders>
          </w:tcPr>
          <w:p w14:paraId="119E686D" w14:textId="77777777" w:rsidR="00250B8C" w:rsidRDefault="00250B8C" w:rsidP="002A799B">
            <w:pPr>
              <w:spacing w:after="120" w:line="280" w:lineRule="atLeast"/>
              <w:rPr>
                <w:sz w:val="21"/>
                <w:szCs w:val="21"/>
              </w:rPr>
            </w:pPr>
          </w:p>
          <w:p w14:paraId="0518E8C1" w14:textId="77777777" w:rsidR="00250B8C" w:rsidRPr="00A7666F" w:rsidRDefault="00250B8C" w:rsidP="002A799B">
            <w:pPr>
              <w:spacing w:after="120" w:line="280" w:lineRule="atLeast"/>
              <w:rPr>
                <w:sz w:val="21"/>
                <w:szCs w:val="21"/>
              </w:rPr>
            </w:pPr>
            <w:r w:rsidRPr="00A7666F">
              <w:rPr>
                <w:sz w:val="21"/>
                <w:szCs w:val="21"/>
              </w:rPr>
              <w:t>Signature</w:t>
            </w:r>
          </w:p>
        </w:tc>
        <w:tc>
          <w:tcPr>
            <w:tcW w:w="5980" w:type="dxa"/>
          </w:tcPr>
          <w:p w14:paraId="7DEFC69D" w14:textId="77777777" w:rsidR="00250B8C" w:rsidRDefault="00250B8C" w:rsidP="002A799B">
            <w:pPr>
              <w:spacing w:after="120" w:line="280" w:lineRule="atLeast"/>
              <w:rPr>
                <w:sz w:val="21"/>
                <w:szCs w:val="21"/>
              </w:rPr>
            </w:pPr>
          </w:p>
          <w:p w14:paraId="27A5EEB6" w14:textId="6DA8E3FA" w:rsidR="00250B8C" w:rsidRPr="00A7666F" w:rsidRDefault="00250B8C" w:rsidP="002A799B">
            <w:pPr>
              <w:spacing w:after="120" w:line="28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Redacted</w:t>
            </w:r>
          </w:p>
        </w:tc>
      </w:tr>
      <w:tr w:rsidR="00250B8C" w:rsidRPr="00A7666F" w14:paraId="1B040E08" w14:textId="77777777" w:rsidTr="002A799B">
        <w:tc>
          <w:tcPr>
            <w:tcW w:w="2576" w:type="dxa"/>
            <w:tcBorders>
              <w:top w:val="nil"/>
              <w:bottom w:val="nil"/>
            </w:tcBorders>
          </w:tcPr>
          <w:p w14:paraId="1BDC290C" w14:textId="77777777" w:rsidR="00250B8C" w:rsidRPr="00A7666F" w:rsidRDefault="00250B8C" w:rsidP="002A799B">
            <w:pPr>
              <w:spacing w:after="120" w:line="280" w:lineRule="atLeast"/>
              <w:rPr>
                <w:sz w:val="21"/>
                <w:szCs w:val="21"/>
              </w:rPr>
            </w:pPr>
            <w:r w:rsidRPr="00A7666F">
              <w:rPr>
                <w:sz w:val="21"/>
                <w:szCs w:val="21"/>
              </w:rPr>
              <w:t>Date</w:t>
            </w:r>
          </w:p>
        </w:tc>
        <w:tc>
          <w:tcPr>
            <w:tcW w:w="5980" w:type="dxa"/>
          </w:tcPr>
          <w:p w14:paraId="681F7CCF" w14:textId="77777777" w:rsidR="00250B8C" w:rsidRPr="00A7666F" w:rsidRDefault="00250B8C" w:rsidP="002A799B">
            <w:pPr>
              <w:spacing w:after="120" w:line="280" w:lineRule="atLeast"/>
              <w:rPr>
                <w:sz w:val="21"/>
                <w:szCs w:val="21"/>
              </w:rPr>
            </w:pPr>
          </w:p>
        </w:tc>
      </w:tr>
      <w:tr w:rsidR="00250B8C" w:rsidRPr="00A7666F" w14:paraId="2254F17D" w14:textId="77777777" w:rsidTr="002A799B">
        <w:tc>
          <w:tcPr>
            <w:tcW w:w="2576" w:type="dxa"/>
            <w:tcBorders>
              <w:top w:val="nil"/>
              <w:bottom w:val="nil"/>
            </w:tcBorders>
          </w:tcPr>
          <w:p w14:paraId="059B13EA" w14:textId="77777777" w:rsidR="00250B8C" w:rsidRPr="00A7666F" w:rsidRDefault="00250B8C" w:rsidP="002A799B">
            <w:pPr>
              <w:spacing w:after="120" w:line="280" w:lineRule="atLeast"/>
              <w:rPr>
                <w:sz w:val="21"/>
                <w:szCs w:val="21"/>
              </w:rPr>
            </w:pPr>
            <w:r w:rsidRPr="00A7666F">
              <w:rPr>
                <w:sz w:val="21"/>
                <w:szCs w:val="21"/>
              </w:rPr>
              <w:t>Name (in Capitals)</w:t>
            </w:r>
          </w:p>
        </w:tc>
        <w:tc>
          <w:tcPr>
            <w:tcW w:w="5980" w:type="dxa"/>
          </w:tcPr>
          <w:p w14:paraId="2957A4AB" w14:textId="77777777" w:rsidR="00250B8C" w:rsidRPr="00A7666F" w:rsidRDefault="00250B8C" w:rsidP="002A799B">
            <w:pPr>
              <w:spacing w:after="120" w:line="280" w:lineRule="atLeast"/>
              <w:rPr>
                <w:sz w:val="21"/>
                <w:szCs w:val="21"/>
              </w:rPr>
            </w:pPr>
          </w:p>
        </w:tc>
      </w:tr>
      <w:tr w:rsidR="00250B8C" w:rsidRPr="00A7666F" w14:paraId="1939A45B" w14:textId="77777777" w:rsidTr="002A799B">
        <w:tc>
          <w:tcPr>
            <w:tcW w:w="2576" w:type="dxa"/>
            <w:tcBorders>
              <w:top w:val="nil"/>
              <w:bottom w:val="nil"/>
            </w:tcBorders>
          </w:tcPr>
          <w:p w14:paraId="2FC1192F" w14:textId="77777777" w:rsidR="00250B8C" w:rsidRPr="00A7666F" w:rsidRDefault="00250B8C" w:rsidP="002A799B">
            <w:pPr>
              <w:spacing w:after="120" w:line="280" w:lineRule="atLeast"/>
              <w:rPr>
                <w:sz w:val="21"/>
                <w:szCs w:val="21"/>
              </w:rPr>
            </w:pPr>
            <w:r w:rsidRPr="00A7666F">
              <w:rPr>
                <w:sz w:val="21"/>
                <w:szCs w:val="21"/>
              </w:rPr>
              <w:t>Address</w:t>
            </w:r>
          </w:p>
        </w:tc>
        <w:tc>
          <w:tcPr>
            <w:tcW w:w="5980" w:type="dxa"/>
          </w:tcPr>
          <w:p w14:paraId="1DEFF293" w14:textId="77777777" w:rsidR="00250B8C" w:rsidRPr="00A7666F" w:rsidRDefault="00250B8C" w:rsidP="002A799B">
            <w:pPr>
              <w:spacing w:after="120" w:line="28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 Golden Square, London, W1F 9EE</w:t>
            </w:r>
          </w:p>
        </w:tc>
      </w:tr>
    </w:tbl>
    <w:p w14:paraId="5362FE51" w14:textId="77777777" w:rsidR="00250B8C" w:rsidRPr="00A7666F" w:rsidRDefault="00250B8C" w:rsidP="00250B8C">
      <w:pPr>
        <w:spacing w:after="120" w:line="280" w:lineRule="atLeast"/>
        <w:rPr>
          <w:sz w:val="21"/>
          <w:szCs w:val="21"/>
        </w:rPr>
      </w:pPr>
    </w:p>
    <w:p w14:paraId="17C3394D" w14:textId="77777777" w:rsidR="00250B8C" w:rsidRDefault="00250B8C" w:rsidP="00250B8C">
      <w:pPr>
        <w:pStyle w:val="LeftSide"/>
        <w:spacing w:before="0" w:after="240"/>
      </w:pPr>
    </w:p>
    <w:p w14:paraId="377A0A93" w14:textId="77777777" w:rsidR="00250B8C" w:rsidRDefault="00250B8C" w:rsidP="00250B8C">
      <w:pPr>
        <w:pStyle w:val="LeftSide"/>
        <w:spacing w:before="0" w:after="240"/>
      </w:pPr>
    </w:p>
    <w:p w14:paraId="5FF48DCE" w14:textId="77777777" w:rsidR="00250B8C" w:rsidRDefault="00250B8C" w:rsidP="00250B8C">
      <w:pPr>
        <w:pStyle w:val="LeftSide"/>
        <w:spacing w:before="0" w:after="240"/>
      </w:pPr>
    </w:p>
    <w:p w14:paraId="43F100F6" w14:textId="77777777" w:rsidR="00250B8C" w:rsidRDefault="00250B8C" w:rsidP="00250B8C">
      <w:pPr>
        <w:pStyle w:val="LeftSide"/>
        <w:spacing w:before="0" w:after="240"/>
        <w:sectPr w:rsidR="00250B8C" w:rsidSect="00995F0C">
          <w:pgSz w:w="11906" w:h="16838"/>
          <w:pgMar w:top="1247" w:right="1418" w:bottom="1247" w:left="1418" w:header="709" w:footer="709" w:gutter="0"/>
          <w:cols w:space="708"/>
          <w:docGrid w:linePitch="360"/>
        </w:sectPr>
      </w:pPr>
    </w:p>
    <w:p w14:paraId="0FBEB124" w14:textId="77777777" w:rsidR="00250B8C" w:rsidRDefault="00250B8C" w:rsidP="00250B8C">
      <w:pPr>
        <w:pStyle w:val="LeftSide"/>
        <w:spacing w:before="0" w:after="240"/>
        <w:sectPr w:rsidR="00250B8C" w:rsidSect="00BC7BE4">
          <w:type w:val="continuous"/>
          <w:pgSz w:w="11906" w:h="16838"/>
          <w:pgMar w:top="1247" w:right="1418" w:bottom="1247" w:left="1418" w:header="709" w:footer="709" w:gutter="0"/>
          <w:cols w:num="2" w:space="708"/>
          <w:docGrid w:linePitch="360"/>
        </w:sectPr>
      </w:pPr>
    </w:p>
    <w:p w14:paraId="219E6867" w14:textId="77777777" w:rsidR="00250B8C" w:rsidRDefault="00250B8C" w:rsidP="00250B8C">
      <w:pPr>
        <w:pStyle w:val="LeftSide"/>
        <w:spacing w:before="0" w:after="240"/>
      </w:pPr>
    </w:p>
    <w:p w14:paraId="55180558" w14:textId="77777777" w:rsidR="00250B8C" w:rsidRDefault="00250B8C" w:rsidP="00250B8C">
      <w:pPr>
        <w:pStyle w:val="LeftSide"/>
        <w:spacing w:before="0" w:after="240"/>
        <w:sectPr w:rsidR="00250B8C" w:rsidSect="00BC7BE4">
          <w:type w:val="continuous"/>
          <w:pgSz w:w="11906" w:h="16838"/>
          <w:pgMar w:top="1247" w:right="1418" w:bottom="1247" w:left="1418" w:header="709" w:footer="709" w:gutter="0"/>
          <w:cols w:space="708"/>
          <w:docGrid w:linePitch="360"/>
        </w:sectPr>
      </w:pPr>
    </w:p>
    <w:p w14:paraId="1591D737" w14:textId="77777777" w:rsidR="00250B8C" w:rsidRPr="00650408" w:rsidRDefault="00250B8C" w:rsidP="00250B8C">
      <w:pPr>
        <w:spacing w:after="200" w:line="276" w:lineRule="auto"/>
        <w:rPr>
          <w:sz w:val="22"/>
        </w:rPr>
      </w:pPr>
    </w:p>
    <w:p w14:paraId="16FA0F15" w14:textId="77777777" w:rsidR="00250B8C" w:rsidRDefault="00250B8C" w:rsidP="00250B8C"/>
    <w:p w14:paraId="2157324F" w14:textId="77777777" w:rsidR="000D0996" w:rsidRDefault="000D0996"/>
    <w:sectPr w:rsidR="000D0996" w:rsidSect="004F52DC">
      <w:type w:val="continuous"/>
      <w:pgSz w:w="11906" w:h="16838"/>
      <w:pgMar w:top="1247" w:right="1418" w:bottom="1247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01971"/>
    <w:multiLevelType w:val="hybridMultilevel"/>
    <w:tmpl w:val="D972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B2382"/>
    <w:multiLevelType w:val="hybridMultilevel"/>
    <w:tmpl w:val="5F98D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73564"/>
    <w:multiLevelType w:val="hybridMultilevel"/>
    <w:tmpl w:val="11AC3108"/>
    <w:lvl w:ilvl="0" w:tplc="664AAD6E">
      <w:start w:val="1"/>
      <w:numFmt w:val="upperLetter"/>
      <w:pStyle w:val="Style1"/>
      <w:lvlText w:val="Appendix %1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009966"/>
        <w:sz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8C"/>
    <w:rsid w:val="000D0996"/>
    <w:rsid w:val="00250B8C"/>
    <w:rsid w:val="0086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5D6919E"/>
  <w15:chartTrackingRefBased/>
  <w15:docId w15:val="{F3ED3C77-2041-471C-BFA4-E71DEA09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B8C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Header Table Grid"/>
    <w:basedOn w:val="TableNormal"/>
    <w:rsid w:val="00250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Normal"/>
    <w:rsid w:val="00250B8C"/>
    <w:pPr>
      <w:spacing w:before="120" w:after="120"/>
      <w:ind w:left="74"/>
    </w:pPr>
    <w:rPr>
      <w:b/>
      <w:iCs/>
      <w:smallCaps/>
      <w:sz w:val="22"/>
      <w:szCs w:val="22"/>
    </w:rPr>
  </w:style>
  <w:style w:type="paragraph" w:customStyle="1" w:styleId="Table">
    <w:name w:val="Table"/>
    <w:basedOn w:val="Normal"/>
    <w:link w:val="TableChar"/>
    <w:rsid w:val="00250B8C"/>
    <w:pPr>
      <w:overflowPunct w:val="0"/>
      <w:autoSpaceDE w:val="0"/>
      <w:autoSpaceDN w:val="0"/>
      <w:adjustRightInd w:val="0"/>
      <w:spacing w:before="40" w:after="40"/>
      <w:ind w:right="130"/>
      <w:textAlignment w:val="baseline"/>
    </w:pPr>
    <w:rPr>
      <w:rFonts w:cs="Times New Roman"/>
      <w:bCs/>
      <w:sz w:val="20"/>
    </w:rPr>
  </w:style>
  <w:style w:type="paragraph" w:customStyle="1" w:styleId="LeftSide">
    <w:name w:val="LeftSide"/>
    <w:basedOn w:val="Normal"/>
    <w:link w:val="LeftSideChar"/>
    <w:rsid w:val="00250B8C"/>
    <w:pPr>
      <w:spacing w:before="60" w:after="60"/>
      <w:jc w:val="both"/>
    </w:pPr>
    <w:rPr>
      <w:sz w:val="22"/>
    </w:rPr>
  </w:style>
  <w:style w:type="character" w:customStyle="1" w:styleId="LeftSideChar">
    <w:name w:val="LeftSide Char"/>
    <w:basedOn w:val="DefaultParagraphFont"/>
    <w:link w:val="LeftSide"/>
    <w:rsid w:val="00250B8C"/>
    <w:rPr>
      <w:rFonts w:ascii="Arial" w:eastAsia="Times New Roman" w:hAnsi="Arial" w:cs="Arial"/>
      <w:szCs w:val="20"/>
    </w:rPr>
  </w:style>
  <w:style w:type="paragraph" w:customStyle="1" w:styleId="Style1">
    <w:name w:val="Style1"/>
    <w:basedOn w:val="Normal"/>
    <w:rsid w:val="00250B8C"/>
    <w:pPr>
      <w:numPr>
        <w:numId w:val="1"/>
      </w:numPr>
    </w:pPr>
    <w:rPr>
      <w:color w:val="009966"/>
      <w:sz w:val="28"/>
    </w:rPr>
  </w:style>
  <w:style w:type="character" w:customStyle="1" w:styleId="TableChar">
    <w:name w:val="Table Char"/>
    <w:basedOn w:val="DefaultParagraphFont"/>
    <w:link w:val="Table"/>
    <w:rsid w:val="00250B8C"/>
    <w:rPr>
      <w:rFonts w:ascii="Arial" w:eastAsia="Times New Roman" w:hAnsi="Arial" w:cs="Times New Roman"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50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1684</Characters>
  <Application>Microsoft Office Word</Application>
  <DocSecurity>0</DocSecurity>
  <Lines>14</Lines>
  <Paragraphs>3</Paragraphs>
  <ScaleCrop>false</ScaleCrop>
  <Company>Public Health England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McAlpine</dc:creator>
  <cp:keywords/>
  <dc:description/>
  <cp:lastModifiedBy>John Rogers</cp:lastModifiedBy>
  <cp:revision>2</cp:revision>
  <dcterms:created xsi:type="dcterms:W3CDTF">2021-03-30T07:40:00Z</dcterms:created>
  <dcterms:modified xsi:type="dcterms:W3CDTF">2021-03-30T07:40:00Z</dcterms:modified>
</cp:coreProperties>
</file>