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3652" w14:textId="381499EB" w:rsidR="003D053C" w:rsidRPr="003D053C" w:rsidRDefault="003D053C" w:rsidP="003D053C">
      <w:pPr>
        <w:jc w:val="center"/>
        <w:rPr>
          <w:b/>
          <w:bCs/>
          <w:sz w:val="26"/>
          <w:szCs w:val="26"/>
        </w:rPr>
      </w:pPr>
      <w:r w:rsidRPr="003D053C">
        <w:rPr>
          <w:b/>
          <w:bCs/>
          <w:sz w:val="26"/>
          <w:szCs w:val="26"/>
        </w:rPr>
        <w:t>LOCAL GOVERNMENT PENSION SCHEME ADVISORY BOARD (SAB)</w:t>
      </w:r>
    </w:p>
    <w:p w14:paraId="29141D39" w14:textId="50F742B1" w:rsidR="003D053C" w:rsidRDefault="003D053C" w:rsidP="003D053C">
      <w:pPr>
        <w:rPr>
          <w:b/>
          <w:bCs/>
          <w:color w:val="000000"/>
          <w:u w:val="single"/>
          <w:lang w:eastAsia="en-GB"/>
        </w:rPr>
      </w:pPr>
      <w:r w:rsidRPr="003D053C">
        <w:rPr>
          <w:b/>
          <w:bCs/>
          <w:color w:val="000000"/>
          <w:u w:val="single"/>
          <w:lang w:eastAsia="en-GB"/>
        </w:rPr>
        <w:t>Overview</w:t>
      </w:r>
    </w:p>
    <w:p w14:paraId="59436862" w14:textId="77777777" w:rsidR="00675BDD" w:rsidRDefault="00675BDD" w:rsidP="00675BDD">
      <w:pPr>
        <w:spacing w:before="240" w:line="276" w:lineRule="auto"/>
        <w:rPr>
          <w:rFonts w:ascii="Helvetica" w:hAnsi="Helvetica" w:cs="Helvetica"/>
          <w:color w:val="0000FF"/>
          <w:u w:val="single"/>
          <w:shd w:val="clear" w:color="auto" w:fill="FFFFFF"/>
        </w:rPr>
      </w:pPr>
      <w:r w:rsidRPr="00A73FFF">
        <w:rPr>
          <w:rFonts w:ascii="Helvetica" w:hAnsi="Helvetica" w:cs="Helvetica"/>
          <w:b/>
          <w:bCs/>
          <w:color w:val="22262A"/>
          <w:shd w:val="clear" w:color="auto" w:fill="FFFFFF"/>
        </w:rPr>
        <w:t>The Local Government Pension Scheme Advisory Board</w:t>
      </w:r>
      <w:r w:rsidRPr="00A73FFF">
        <w:rPr>
          <w:rFonts w:ascii="Helvetica" w:hAnsi="Helvetica" w:cs="Helvetica"/>
          <w:color w:val="22262A"/>
          <w:shd w:val="clear" w:color="auto" w:fill="FFFFFF"/>
        </w:rPr>
        <w:t> is a body set up under </w:t>
      </w:r>
      <w:hyperlink r:id="rId11" w:tgtFrame="_blank" w:tooltip="PSPAct" w:history="1">
        <w:r w:rsidRPr="00A73FFF">
          <w:rPr>
            <w:rFonts w:ascii="Helvetica" w:hAnsi="Helvetica" w:cs="Helvetica"/>
            <w:color w:val="0000FF"/>
            <w:u w:val="single"/>
            <w:shd w:val="clear" w:color="auto" w:fill="FFFFFF"/>
          </w:rPr>
          <w:t>Section 7 of the Public Service Pensions Act 2013</w:t>
        </w:r>
      </w:hyperlink>
      <w:r w:rsidRPr="00A73FFF">
        <w:rPr>
          <w:rFonts w:ascii="Helvetica" w:hAnsi="Helvetica" w:cs="Helvetica"/>
          <w:color w:val="22262A"/>
          <w:shd w:val="clear" w:color="auto" w:fill="FFFFFF"/>
        </w:rPr>
        <w:t> and </w:t>
      </w:r>
      <w:hyperlink r:id="rId12" w:tgtFrame="_blank" w:tooltip="LGPSRegs" w:history="1">
        <w:r w:rsidRPr="00A73FFF">
          <w:rPr>
            <w:rFonts w:ascii="Helvetica" w:hAnsi="Helvetica" w:cs="Helvetica"/>
            <w:color w:val="0000FF"/>
            <w:u w:val="single"/>
            <w:shd w:val="clear" w:color="auto" w:fill="FFFFFF"/>
          </w:rPr>
          <w:t>The Local Government Pension Scheme Regulations 110-113.</w:t>
        </w:r>
      </w:hyperlink>
    </w:p>
    <w:p w14:paraId="2C65C3FE" w14:textId="77777777" w:rsidR="008F744A" w:rsidRPr="00643EC4" w:rsidRDefault="008F744A" w:rsidP="008F744A">
      <w:pPr>
        <w:pStyle w:val="Heading1"/>
        <w:rPr>
          <w:rFonts w:ascii="Helvetica" w:hAnsi="Helvetica" w:cs="Helvetica"/>
          <w:sz w:val="22"/>
          <w:szCs w:val="22"/>
        </w:rPr>
      </w:pPr>
      <w:r w:rsidRPr="00643EC4">
        <w:rPr>
          <w:rFonts w:ascii="Helvetica" w:hAnsi="Helvetica" w:cs="Helvetica"/>
          <w:sz w:val="22"/>
          <w:szCs w:val="22"/>
        </w:rPr>
        <w:t>Background</w:t>
      </w:r>
    </w:p>
    <w:p w14:paraId="6A04CAFA" w14:textId="77777777" w:rsidR="00416B82" w:rsidRPr="00643EC4" w:rsidRDefault="00416B82" w:rsidP="00416B82">
      <w:pPr>
        <w:spacing w:before="240" w:line="276" w:lineRule="auto"/>
        <w:rPr>
          <w:rFonts w:ascii="Helvetica" w:hAnsi="Helvetica" w:cs="Helvetica"/>
          <w:sz w:val="22"/>
          <w:szCs w:val="22"/>
        </w:rPr>
      </w:pPr>
      <w:r w:rsidRPr="00643EC4">
        <w:rPr>
          <w:rFonts w:ascii="Helvetica" w:hAnsi="Helvetica" w:cs="Helvetica"/>
          <w:sz w:val="22"/>
          <w:szCs w:val="22"/>
        </w:rPr>
        <w:t>The Board’s purpose is to:</w:t>
      </w:r>
    </w:p>
    <w:p w14:paraId="54EBC684" w14:textId="77777777" w:rsidR="00416B82" w:rsidRPr="00643EC4" w:rsidRDefault="00416B82" w:rsidP="00416B82">
      <w:pPr>
        <w:pStyle w:val="ListParagraph"/>
        <w:widowControl/>
        <w:numPr>
          <w:ilvl w:val="0"/>
          <w:numId w:val="28"/>
        </w:numPr>
        <w:spacing w:before="240" w:line="276" w:lineRule="auto"/>
        <w:ind w:left="714" w:hanging="357"/>
        <w:contextualSpacing w:val="0"/>
        <w:rPr>
          <w:rFonts w:ascii="Helvetica" w:hAnsi="Helvetica" w:cs="Helvetica"/>
          <w:sz w:val="22"/>
          <w:szCs w:val="22"/>
        </w:rPr>
      </w:pPr>
      <w:r w:rsidRPr="00643EC4">
        <w:rPr>
          <w:rFonts w:ascii="Helvetica" w:hAnsi="Helvetica" w:cs="Helvetica"/>
          <w:sz w:val="22"/>
          <w:szCs w:val="22"/>
        </w:rPr>
        <w:t>Provide advice to the Secretary of State and to administering authorities on “the desirability of changes to the scheme” and “in relation to the effective and efficient administration and management” of the LGPS in England &amp; Wales (“the Scheme”)</w:t>
      </w:r>
    </w:p>
    <w:p w14:paraId="742B8CCB" w14:textId="77777777" w:rsidR="00416B82" w:rsidRPr="00643EC4" w:rsidRDefault="00416B82" w:rsidP="00416B82">
      <w:pPr>
        <w:pStyle w:val="ListParagraph"/>
        <w:widowControl/>
        <w:numPr>
          <w:ilvl w:val="0"/>
          <w:numId w:val="28"/>
        </w:numPr>
        <w:spacing w:before="240" w:after="0" w:line="276" w:lineRule="auto"/>
        <w:rPr>
          <w:rFonts w:ascii="Helvetica" w:hAnsi="Helvetica" w:cs="Helvetica"/>
          <w:sz w:val="22"/>
          <w:szCs w:val="22"/>
        </w:rPr>
      </w:pPr>
      <w:r w:rsidRPr="00643EC4">
        <w:rPr>
          <w:rFonts w:ascii="Helvetica" w:hAnsi="Helvetica" w:cs="Helvetica"/>
          <w:sz w:val="22"/>
          <w:szCs w:val="22"/>
        </w:rPr>
        <w:t>Provide a framework to encourage best practice, increase transparency and coordinate technical and standards issues across the sector.</w:t>
      </w:r>
    </w:p>
    <w:p w14:paraId="45C53597" w14:textId="77777777" w:rsidR="00416B82" w:rsidRPr="00643EC4" w:rsidRDefault="00416B82" w:rsidP="00416B82">
      <w:pPr>
        <w:spacing w:before="240" w:line="276" w:lineRule="auto"/>
        <w:rPr>
          <w:rFonts w:ascii="Helvetica" w:hAnsi="Helvetica" w:cs="Helvetica"/>
          <w:color w:val="22262A"/>
          <w:sz w:val="22"/>
          <w:szCs w:val="22"/>
          <w:shd w:val="clear" w:color="auto" w:fill="FFFFFF"/>
        </w:rPr>
      </w:pPr>
      <w:r w:rsidRPr="00643EC4">
        <w:rPr>
          <w:rFonts w:ascii="Helvetica" w:hAnsi="Helvetica" w:cs="Helvetica"/>
          <w:sz w:val="22"/>
          <w:szCs w:val="22"/>
        </w:rPr>
        <w:t xml:space="preserve">A key area in which the Board encourages best practice is in the transparency of investment management costs. </w:t>
      </w:r>
      <w:r w:rsidRPr="00643EC4">
        <w:rPr>
          <w:rFonts w:ascii="Helvetica" w:hAnsi="Helvetica" w:cs="Helvetica"/>
          <w:color w:val="22262A"/>
          <w:sz w:val="22"/>
          <w:szCs w:val="22"/>
          <w:shd w:val="clear" w:color="auto" w:fill="FFFFFF"/>
        </w:rPr>
        <w:t xml:space="preserve">The Board is keen that the LGPS is seen as a value-led and innovative scheme and investment fee transparency and consistency across pension funds / asset </w:t>
      </w:r>
      <w:proofErr w:type="gramStart"/>
      <w:r w:rsidRPr="00643EC4">
        <w:rPr>
          <w:rFonts w:ascii="Helvetica" w:hAnsi="Helvetica" w:cs="Helvetica"/>
          <w:color w:val="22262A"/>
          <w:sz w:val="22"/>
          <w:szCs w:val="22"/>
          <w:shd w:val="clear" w:color="auto" w:fill="FFFFFF"/>
        </w:rPr>
        <w:t>owners</w:t>
      </w:r>
      <w:proofErr w:type="gramEnd"/>
      <w:r w:rsidRPr="00643EC4">
        <w:rPr>
          <w:rFonts w:ascii="Helvetica" w:hAnsi="Helvetica" w:cs="Helvetica"/>
          <w:color w:val="22262A"/>
          <w:sz w:val="22"/>
          <w:szCs w:val="22"/>
          <w:shd w:val="clear" w:color="auto" w:fill="FFFFFF"/>
        </w:rPr>
        <w:t xml:space="preserve"> forms part of this goal.</w:t>
      </w:r>
    </w:p>
    <w:p w14:paraId="39A5C6C9" w14:textId="77777777" w:rsidR="00416B82" w:rsidRPr="00643EC4" w:rsidRDefault="00416B82" w:rsidP="00416B82">
      <w:p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A Code of Transparency covering investment management fees and costs was developed by the Board and launched in May 2017. The current Code can be found </w:t>
      </w:r>
      <w:hyperlink r:id="rId13" w:anchor="theCodetop" w:tgtFrame="blank" w:history="1">
        <w:r w:rsidRPr="00643EC4">
          <w:rPr>
            <w:rFonts w:ascii="Helvetica" w:hAnsi="Helvetica" w:cs="Helvetica"/>
            <w:color w:val="0000FF"/>
            <w:sz w:val="22"/>
            <w:szCs w:val="22"/>
            <w:u w:val="single"/>
            <w:shd w:val="clear" w:color="auto" w:fill="FFFFFF"/>
          </w:rPr>
          <w:t>here</w:t>
        </w:r>
      </w:hyperlink>
      <w:r w:rsidRPr="00643EC4">
        <w:rPr>
          <w:rFonts w:ascii="Helvetica" w:hAnsi="Helvetica" w:cs="Helvetica"/>
          <w:color w:val="22262A"/>
          <w:sz w:val="22"/>
          <w:szCs w:val="22"/>
          <w:shd w:val="clear" w:color="auto" w:fill="FFFFFF"/>
        </w:rPr>
        <w:t>. For LGPS funds to have the relevant data to investigate and understand their respective fees and costs, the SAB, the Pensions and Lifetime Savings Association (PLSA) and the Investment Association – who together formed the Cost Transparency Initiative (CTI) in 2018 – developed CTI templates for use in association with the Code. These templates can be found </w:t>
      </w:r>
      <w:hyperlink r:id="rId14" w:tgtFrame="blank" w:history="1">
        <w:r w:rsidRPr="00643EC4">
          <w:rPr>
            <w:rFonts w:ascii="Helvetica" w:hAnsi="Helvetica" w:cs="Helvetica"/>
            <w:color w:val="0000FF"/>
            <w:sz w:val="22"/>
            <w:szCs w:val="22"/>
            <w:u w:val="single"/>
            <w:shd w:val="clear" w:color="auto" w:fill="FFFFFF"/>
          </w:rPr>
          <w:t>here</w:t>
        </w:r>
      </w:hyperlink>
      <w:r w:rsidRPr="00643EC4">
        <w:rPr>
          <w:rFonts w:ascii="Helvetica" w:hAnsi="Helvetica" w:cs="Helvetica"/>
          <w:color w:val="22262A"/>
          <w:sz w:val="22"/>
          <w:szCs w:val="22"/>
          <w:shd w:val="clear" w:color="auto" w:fill="FFFFFF"/>
        </w:rPr>
        <w:t>. Institutional Limited Partners Association (ILPA) templates are also in common use by private markets managers and are acceptable.</w:t>
      </w:r>
    </w:p>
    <w:p w14:paraId="27C7DA33" w14:textId="77777777" w:rsidR="00416B82" w:rsidRPr="00643EC4" w:rsidRDefault="00416B82" w:rsidP="00416B82">
      <w:p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In 2018, the Board undertook a procurement exercise to develop a data compliance system which collects the </w:t>
      </w:r>
      <w:proofErr w:type="gramStart"/>
      <w:r w:rsidRPr="00643EC4">
        <w:rPr>
          <w:rFonts w:ascii="Helvetica" w:hAnsi="Helvetica" w:cs="Helvetica"/>
          <w:color w:val="22262A"/>
          <w:sz w:val="22"/>
          <w:szCs w:val="22"/>
          <w:shd w:val="clear" w:color="auto" w:fill="FFFFFF"/>
        </w:rPr>
        <w:t>aforementioned templates</w:t>
      </w:r>
      <w:proofErr w:type="gramEnd"/>
      <w:r w:rsidRPr="00643EC4">
        <w:rPr>
          <w:rFonts w:ascii="Helvetica" w:hAnsi="Helvetica" w:cs="Helvetica"/>
          <w:color w:val="22262A"/>
          <w:sz w:val="22"/>
          <w:szCs w:val="22"/>
          <w:shd w:val="clear" w:color="auto" w:fill="FFFFFF"/>
        </w:rPr>
        <w:t xml:space="preserve"> and allows LGPS funds to have access to information on fees paid to investment managers in one place. The system also allows for the SAB to have oversight of compliance with the Code of Transparency and allows LGPS funds to run a suite of reports as well as compare their costs with funds of a similar size. </w:t>
      </w:r>
    </w:p>
    <w:p w14:paraId="390A8D73" w14:textId="77777777" w:rsidR="00416B82" w:rsidRPr="00643EC4" w:rsidRDefault="00416B82" w:rsidP="00416B82">
      <w:p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The detailed data submitted by fund managers remains visible only to that fund manager, its client(s</w:t>
      </w:r>
      <w:proofErr w:type="gramStart"/>
      <w:r w:rsidRPr="00643EC4">
        <w:rPr>
          <w:rFonts w:ascii="Helvetica" w:hAnsi="Helvetica" w:cs="Helvetica"/>
          <w:color w:val="22262A"/>
          <w:sz w:val="22"/>
          <w:szCs w:val="22"/>
          <w:shd w:val="clear" w:color="auto" w:fill="FFFFFF"/>
        </w:rPr>
        <w:t>)</w:t>
      </w:r>
      <w:proofErr w:type="gramEnd"/>
      <w:r w:rsidRPr="00643EC4">
        <w:rPr>
          <w:rFonts w:ascii="Helvetica" w:hAnsi="Helvetica" w:cs="Helvetica"/>
          <w:color w:val="22262A"/>
          <w:sz w:val="22"/>
          <w:szCs w:val="22"/>
          <w:shd w:val="clear" w:color="auto" w:fill="FFFFFF"/>
        </w:rPr>
        <w:t xml:space="preserve"> and the provider of the system – the latter for administrative purposes only.</w:t>
      </w:r>
    </w:p>
    <w:p w14:paraId="4847CC85" w14:textId="00339BB9" w:rsidR="00675BDD" w:rsidRPr="00643EC4" w:rsidRDefault="008F744A" w:rsidP="00675BDD">
      <w:pPr>
        <w:spacing w:before="240" w:line="276" w:lineRule="auto"/>
        <w:rPr>
          <w:rFonts w:ascii="Helvetica" w:hAnsi="Helvetica" w:cs="Helvetica"/>
          <w:b/>
          <w:bCs/>
          <w:sz w:val="22"/>
          <w:szCs w:val="22"/>
          <w:u w:val="single"/>
        </w:rPr>
      </w:pPr>
      <w:r w:rsidRPr="00643EC4">
        <w:rPr>
          <w:rFonts w:ascii="Helvetica" w:hAnsi="Helvetica" w:cs="Helvetica"/>
          <w:b/>
          <w:bCs/>
          <w:sz w:val="22"/>
          <w:szCs w:val="22"/>
          <w:u w:val="single"/>
        </w:rPr>
        <w:t xml:space="preserve">Information </w:t>
      </w:r>
      <w:proofErr w:type="gramStart"/>
      <w:r w:rsidRPr="00643EC4">
        <w:rPr>
          <w:rFonts w:ascii="Helvetica" w:hAnsi="Helvetica" w:cs="Helvetica"/>
          <w:b/>
          <w:bCs/>
          <w:sz w:val="22"/>
          <w:szCs w:val="22"/>
          <w:u w:val="single"/>
        </w:rPr>
        <w:t>requested</w:t>
      </w:r>
      <w:proofErr w:type="gramEnd"/>
    </w:p>
    <w:p w14:paraId="1A2FCA49" w14:textId="547CC377" w:rsidR="008F744A" w:rsidRPr="00643EC4" w:rsidRDefault="008F744A" w:rsidP="008F744A">
      <w:pPr>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We are inviting suppliers to engage and provide their views and responses </w:t>
      </w:r>
      <w:r w:rsidR="345BD084" w:rsidRPr="00643EC4">
        <w:rPr>
          <w:rFonts w:ascii="Helvetica" w:hAnsi="Helvetica" w:cs="Helvetica"/>
          <w:color w:val="22262A"/>
          <w:sz w:val="22"/>
          <w:szCs w:val="22"/>
          <w:shd w:val="clear" w:color="auto" w:fill="FFFFFF"/>
        </w:rPr>
        <w:t xml:space="preserve">to </w:t>
      </w:r>
      <w:r w:rsidRPr="00643EC4">
        <w:rPr>
          <w:rFonts w:ascii="Helvetica" w:hAnsi="Helvetica" w:cs="Helvetica"/>
          <w:color w:val="22262A"/>
          <w:sz w:val="22"/>
          <w:szCs w:val="22"/>
          <w:shd w:val="clear" w:color="auto" w:fill="FFFFFF"/>
        </w:rPr>
        <w:t>the Board on the following areas so that they might inform future thinking in relation to a potential procurement:</w:t>
      </w:r>
    </w:p>
    <w:p w14:paraId="44DEE644" w14:textId="20E00121" w:rsidR="00441B08" w:rsidRPr="00B42AF3" w:rsidRDefault="00441B08" w:rsidP="00B42AF3">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The data compliance system currently has </w:t>
      </w:r>
      <w:r w:rsidR="00B42AF3">
        <w:rPr>
          <w:rFonts w:ascii="Helvetica" w:hAnsi="Helvetica" w:cs="Helvetica"/>
          <w:color w:val="22262A"/>
          <w:sz w:val="22"/>
          <w:szCs w:val="22"/>
          <w:shd w:val="clear" w:color="auto" w:fill="FFFFFF"/>
        </w:rPr>
        <w:t>two</w:t>
      </w:r>
      <w:r w:rsidRPr="00B42AF3">
        <w:rPr>
          <w:rFonts w:ascii="Helvetica" w:hAnsi="Helvetica" w:cs="Helvetica"/>
          <w:color w:val="22262A"/>
          <w:sz w:val="22"/>
          <w:szCs w:val="22"/>
          <w:shd w:val="clear" w:color="auto" w:fill="FFFFFF"/>
        </w:rPr>
        <w:t xml:space="preserve"> factor authentication, but we are open to alternative security measures and in particular any non-app based authentication </w:t>
      </w:r>
      <w:r w:rsidRPr="00B42AF3">
        <w:rPr>
          <w:rFonts w:ascii="Helvetica" w:hAnsi="Helvetica" w:cs="Helvetica"/>
          <w:color w:val="22262A"/>
          <w:sz w:val="22"/>
          <w:szCs w:val="22"/>
          <w:shd w:val="clear" w:color="auto" w:fill="FFFFFF"/>
        </w:rPr>
        <w:lastRenderedPageBreak/>
        <w:t>methods.</w:t>
      </w:r>
    </w:p>
    <w:p w14:paraId="36349911"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Data hosting capabilities and solutions for hosting and transferring the existing data from the current system. </w:t>
      </w:r>
    </w:p>
    <w:p w14:paraId="1AE0FD44"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The type of data validation functionalities your company has to offer (arithmetical, format, sense checking etc.) and the spread of costs for this to assist with informing any potential future specification.</w:t>
      </w:r>
    </w:p>
    <w:p w14:paraId="4460D63F"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The capabilities of using machine learning in data monitoring and compliance systems. Of particular interest are ideas for using machine learning to validate inputted data based on past trends, however additional suggestions are welcome. </w:t>
      </w:r>
    </w:p>
    <w:p w14:paraId="5207FFBC"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A system which allows for a direct feed of data to commercially available benchmarking systems</w:t>
      </w:r>
      <w:r w:rsidRPr="00643EC4">
        <w:rPr>
          <w:rFonts w:ascii="Helvetica" w:hAnsi="Helvetica" w:cs="Helvetica"/>
          <w:color w:val="22262A"/>
          <w:sz w:val="22"/>
          <w:szCs w:val="22"/>
        </w:rPr>
        <w:t xml:space="preserve">. The LGPS's </w:t>
      </w:r>
      <w:hyperlink r:id="rId15" w:history="1">
        <w:r w:rsidRPr="00643EC4">
          <w:rPr>
            <w:rStyle w:val="Hyperlink"/>
            <w:rFonts w:ascii="Helvetica" w:hAnsi="Helvetica" w:cs="Helvetica"/>
            <w:sz w:val="22"/>
            <w:szCs w:val="22"/>
          </w:rPr>
          <w:t>Norfolk Procurement Framework</w:t>
        </w:r>
      </w:hyperlink>
      <w:r w:rsidRPr="00643EC4">
        <w:rPr>
          <w:rFonts w:ascii="Helvetica" w:hAnsi="Helvetica" w:cs="Helvetica"/>
          <w:color w:val="22262A"/>
          <w:sz w:val="22"/>
          <w:szCs w:val="22"/>
        </w:rPr>
        <w:t xml:space="preserve"> currently has two benchmarking service providers readily available to funds and information should be provided on whether it is possible to provide a service that is integrated with these and other benchmarking systems.</w:t>
      </w:r>
      <w:r w:rsidRPr="00643EC4">
        <w:rPr>
          <w:rFonts w:ascii="Helvetica" w:hAnsi="Helvetica" w:cs="Helvetica"/>
          <w:color w:val="22262A"/>
          <w:sz w:val="22"/>
          <w:szCs w:val="22"/>
          <w:shd w:val="clear" w:color="auto" w:fill="FFFFFF"/>
        </w:rPr>
        <w:t xml:space="preserve"> </w:t>
      </w:r>
    </w:p>
    <w:p w14:paraId="17EAA8C4" w14:textId="62B03D90"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The extent and depths of training required and available for users to effectively make use of the systems and delivery options and how you suggest this requirement be </w:t>
      </w:r>
      <w:r w:rsidR="00643EC4" w:rsidRPr="00643EC4">
        <w:rPr>
          <w:rFonts w:ascii="Helvetica" w:hAnsi="Helvetica" w:cs="Helvetica"/>
          <w:color w:val="22262A"/>
          <w:sz w:val="22"/>
          <w:szCs w:val="22"/>
          <w:shd w:val="clear" w:color="auto" w:fill="FFFFFF"/>
        </w:rPr>
        <w:t>implemented.</w:t>
      </w:r>
    </w:p>
    <w:p w14:paraId="20591609"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The administrative support facilities available with your systems.</w:t>
      </w:r>
    </w:p>
    <w:p w14:paraId="14AF1EE7"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Suggestions on the improvement and timeliness of data collection in private markets investments.</w:t>
      </w:r>
    </w:p>
    <w:p w14:paraId="48967C3F" w14:textId="7088D65D" w:rsidR="00643EC4" w:rsidRPr="00643EC4" w:rsidRDefault="00643EC4"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r w:rsidRPr="00643EC4">
        <w:rPr>
          <w:rStyle w:val="ui-provider"/>
          <w:rFonts w:ascii="Helvetica" w:hAnsi="Helvetica" w:cs="Helvetica"/>
          <w:sz w:val="22"/>
          <w:szCs w:val="22"/>
        </w:rPr>
        <w:t>A brief suggestion of any other functionalities/ideas that could be beneficial for this type of system. </w:t>
      </w:r>
    </w:p>
    <w:p w14:paraId="1D415046" w14:textId="77777777" w:rsidR="00441B08" w:rsidRPr="00643EC4" w:rsidRDefault="00441B08" w:rsidP="00441B08">
      <w:pPr>
        <w:pStyle w:val="ListParagraph"/>
        <w:numPr>
          <w:ilvl w:val="0"/>
          <w:numId w:val="29"/>
        </w:numPr>
        <w:spacing w:line="259" w:lineRule="auto"/>
        <w:ind w:left="714" w:hanging="357"/>
        <w:contextualSpacing w:val="0"/>
        <w:rPr>
          <w:rFonts w:ascii="Helvetica" w:hAnsi="Helvetica" w:cs="Helvetica"/>
          <w:color w:val="22262A"/>
          <w:sz w:val="22"/>
          <w:szCs w:val="22"/>
          <w:shd w:val="clear" w:color="auto" w:fill="FFFFFF"/>
        </w:rPr>
      </w:pPr>
      <w:proofErr w:type="gramStart"/>
      <w:r w:rsidRPr="00643EC4">
        <w:rPr>
          <w:rFonts w:ascii="Helvetica" w:hAnsi="Helvetica" w:cs="Helvetica"/>
          <w:color w:val="22262A"/>
          <w:sz w:val="22"/>
          <w:szCs w:val="22"/>
          <w:shd w:val="clear" w:color="auto" w:fill="FFFFFF"/>
        </w:rPr>
        <w:t>In order to</w:t>
      </w:r>
      <w:proofErr w:type="gramEnd"/>
      <w:r w:rsidRPr="00643EC4">
        <w:rPr>
          <w:rFonts w:ascii="Helvetica" w:hAnsi="Helvetica" w:cs="Helvetica"/>
          <w:color w:val="22262A"/>
          <w:sz w:val="22"/>
          <w:szCs w:val="22"/>
          <w:shd w:val="clear" w:color="auto" w:fill="FFFFFF"/>
        </w:rPr>
        <w:t xml:space="preserve"> inform the level at which any potential future specification is pitched, we would appreciate an indicative figure for the costs and development time for a bespoke data system.</w:t>
      </w:r>
    </w:p>
    <w:p w14:paraId="6DB1446D" w14:textId="5471DAC8" w:rsidR="00441B08" w:rsidRPr="00643EC4" w:rsidRDefault="00441B08" w:rsidP="00441B08">
      <w:pPr>
        <w:pStyle w:val="ListParagraph"/>
        <w:numPr>
          <w:ilvl w:val="0"/>
          <w:numId w:val="29"/>
        </w:num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Typical resources</w:t>
      </w:r>
      <w:r w:rsidR="009307EB">
        <w:rPr>
          <w:rFonts w:ascii="Helvetica" w:hAnsi="Helvetica" w:cs="Helvetica"/>
          <w:color w:val="22262A"/>
          <w:sz w:val="22"/>
          <w:szCs w:val="22"/>
          <w:shd w:val="clear" w:color="auto" w:fill="FFFFFF"/>
        </w:rPr>
        <w:t xml:space="preserve"> needed and </w:t>
      </w:r>
      <w:r w:rsidRPr="00643EC4">
        <w:rPr>
          <w:rFonts w:ascii="Helvetica" w:hAnsi="Helvetica" w:cs="Helvetica"/>
          <w:color w:val="22262A"/>
          <w:sz w:val="22"/>
          <w:szCs w:val="22"/>
          <w:shd w:val="clear" w:color="auto" w:fill="FFFFFF"/>
        </w:rPr>
        <w:t xml:space="preserve">timeline to delivery for a bespoke data system. </w:t>
      </w:r>
    </w:p>
    <w:p w14:paraId="0F662CA7" w14:textId="77777777" w:rsidR="008F744A" w:rsidRPr="00643EC4" w:rsidRDefault="008F744A" w:rsidP="008F744A">
      <w:pPr>
        <w:rPr>
          <w:rFonts w:ascii="Helvetica" w:hAnsi="Helvetica" w:cs="Helvetica"/>
          <w:sz w:val="22"/>
          <w:szCs w:val="22"/>
        </w:rPr>
      </w:pPr>
    </w:p>
    <w:p w14:paraId="7FF07148" w14:textId="376B76EF" w:rsidR="003D053C" w:rsidRPr="00643EC4" w:rsidRDefault="008F744A" w:rsidP="003D053C">
      <w:pPr>
        <w:rPr>
          <w:rFonts w:ascii="Helvetica" w:hAnsi="Helvetica" w:cs="Helvetica"/>
          <w:b/>
          <w:bCs/>
          <w:color w:val="000000"/>
          <w:sz w:val="22"/>
          <w:szCs w:val="22"/>
          <w:u w:val="single"/>
          <w:lang w:eastAsia="en-GB"/>
        </w:rPr>
      </w:pPr>
      <w:r w:rsidRPr="00643EC4">
        <w:rPr>
          <w:rFonts w:ascii="Helvetica" w:hAnsi="Helvetica" w:cs="Helvetica"/>
          <w:b/>
          <w:bCs/>
          <w:color w:val="000000"/>
          <w:sz w:val="22"/>
          <w:szCs w:val="22"/>
          <w:u w:val="single"/>
          <w:lang w:eastAsia="en-GB"/>
        </w:rPr>
        <w:t>How to Answer</w:t>
      </w:r>
    </w:p>
    <w:p w14:paraId="287FDC6D" w14:textId="69465B93" w:rsidR="00CD5C65" w:rsidRPr="00643EC4" w:rsidRDefault="00CD5C65" w:rsidP="00CD5C65">
      <w:pPr>
        <w:rPr>
          <w:rFonts w:ascii="Helvetica" w:hAnsi="Helvetica" w:cs="Helvetica"/>
          <w:sz w:val="22"/>
          <w:szCs w:val="22"/>
        </w:rPr>
      </w:pPr>
      <w:r w:rsidRPr="00643EC4">
        <w:rPr>
          <w:rFonts w:ascii="Helvetica" w:hAnsi="Helvetica" w:cs="Helvetica"/>
          <w:sz w:val="22"/>
          <w:szCs w:val="22"/>
        </w:rPr>
        <w:t xml:space="preserve">Please submit your responses (maximum of </w:t>
      </w:r>
      <w:r w:rsidR="00643EC4" w:rsidRPr="00643EC4">
        <w:rPr>
          <w:rFonts w:ascii="Helvetica" w:hAnsi="Helvetica" w:cs="Helvetica"/>
          <w:sz w:val="22"/>
          <w:szCs w:val="22"/>
        </w:rPr>
        <w:t xml:space="preserve">2000 </w:t>
      </w:r>
      <w:r w:rsidRPr="00643EC4">
        <w:rPr>
          <w:rFonts w:ascii="Helvetica" w:hAnsi="Helvetica" w:cs="Helvetica"/>
          <w:sz w:val="22"/>
          <w:szCs w:val="22"/>
        </w:rPr>
        <w:t xml:space="preserve">words) to </w:t>
      </w:r>
      <w:hyperlink r:id="rId16">
        <w:r w:rsidRPr="00643EC4">
          <w:rPr>
            <w:rStyle w:val="Hyperlink"/>
            <w:rFonts w:ascii="Helvetica" w:hAnsi="Helvetica" w:cs="Helvetica"/>
            <w:sz w:val="22"/>
            <w:szCs w:val="22"/>
          </w:rPr>
          <w:t>sabsecretariat@local.gov.uk</w:t>
        </w:r>
      </w:hyperlink>
      <w:r w:rsidRPr="00643EC4">
        <w:rPr>
          <w:rFonts w:ascii="Helvetica" w:hAnsi="Helvetica" w:cs="Helvetica"/>
          <w:sz w:val="22"/>
          <w:szCs w:val="22"/>
        </w:rPr>
        <w:t xml:space="preserve"> by </w:t>
      </w:r>
      <w:r w:rsidR="00A909B5">
        <w:rPr>
          <w:rFonts w:ascii="Helvetica" w:hAnsi="Helvetica" w:cs="Helvetica"/>
          <w:sz w:val="22"/>
          <w:szCs w:val="22"/>
        </w:rPr>
        <w:t>6</w:t>
      </w:r>
      <w:r w:rsidR="00A909B5" w:rsidRPr="00A909B5">
        <w:rPr>
          <w:rFonts w:ascii="Helvetica" w:hAnsi="Helvetica" w:cs="Helvetica"/>
          <w:sz w:val="22"/>
          <w:szCs w:val="22"/>
          <w:vertAlign w:val="superscript"/>
        </w:rPr>
        <w:t>th</w:t>
      </w:r>
      <w:r w:rsidR="00A909B5">
        <w:rPr>
          <w:rFonts w:ascii="Helvetica" w:hAnsi="Helvetica" w:cs="Helvetica"/>
          <w:sz w:val="22"/>
          <w:szCs w:val="22"/>
        </w:rPr>
        <w:t xml:space="preserve"> August</w:t>
      </w:r>
      <w:r w:rsidRPr="00643EC4">
        <w:rPr>
          <w:rFonts w:ascii="Helvetica" w:hAnsi="Helvetica" w:cs="Helvetica"/>
          <w:sz w:val="22"/>
          <w:szCs w:val="22"/>
        </w:rPr>
        <w:t xml:space="preserve"> 2024. We will be holding a meet the buyer event on </w:t>
      </w:r>
      <w:r w:rsidR="00BD096F">
        <w:rPr>
          <w:rFonts w:ascii="Helvetica" w:hAnsi="Helvetica" w:cs="Helvetica"/>
          <w:sz w:val="22"/>
          <w:szCs w:val="22"/>
        </w:rPr>
        <w:t>10</w:t>
      </w:r>
      <w:r w:rsidR="00BD096F" w:rsidRPr="00BD096F">
        <w:rPr>
          <w:rFonts w:ascii="Helvetica" w:hAnsi="Helvetica" w:cs="Helvetica"/>
          <w:sz w:val="22"/>
          <w:szCs w:val="22"/>
          <w:vertAlign w:val="superscript"/>
        </w:rPr>
        <w:t>th</w:t>
      </w:r>
      <w:r w:rsidR="00BD096F">
        <w:rPr>
          <w:rFonts w:ascii="Helvetica" w:hAnsi="Helvetica" w:cs="Helvetica"/>
          <w:sz w:val="22"/>
          <w:szCs w:val="22"/>
        </w:rPr>
        <w:t xml:space="preserve"> July</w:t>
      </w:r>
      <w:r w:rsidRPr="00643EC4">
        <w:rPr>
          <w:rFonts w:ascii="Helvetica" w:hAnsi="Helvetica" w:cs="Helvetica"/>
          <w:sz w:val="22"/>
          <w:szCs w:val="22"/>
        </w:rPr>
        <w:t xml:space="preserve"> 2024 from 12pm – 1pm (BST) at the LGA offices in Smith Square. Please indicate if you will be joining us by sending an email to the SAB Secretariat by 12pm (BST) on </w:t>
      </w:r>
      <w:r w:rsidR="00BD096F">
        <w:rPr>
          <w:rFonts w:ascii="Helvetica" w:hAnsi="Helvetica" w:cs="Helvetica"/>
          <w:sz w:val="22"/>
          <w:szCs w:val="22"/>
        </w:rPr>
        <w:t>8</w:t>
      </w:r>
      <w:r w:rsidR="00BD096F" w:rsidRPr="00BD096F">
        <w:rPr>
          <w:rFonts w:ascii="Helvetica" w:hAnsi="Helvetica" w:cs="Helvetica"/>
          <w:sz w:val="22"/>
          <w:szCs w:val="22"/>
          <w:vertAlign w:val="superscript"/>
        </w:rPr>
        <w:t>th</w:t>
      </w:r>
      <w:r w:rsidR="00BD096F">
        <w:rPr>
          <w:rFonts w:ascii="Helvetica" w:hAnsi="Helvetica" w:cs="Helvetica"/>
          <w:sz w:val="22"/>
          <w:szCs w:val="22"/>
        </w:rPr>
        <w:t xml:space="preserve"> July</w:t>
      </w:r>
      <w:r w:rsidRPr="00643EC4">
        <w:rPr>
          <w:rFonts w:ascii="Helvetica" w:hAnsi="Helvetica" w:cs="Helvetica"/>
          <w:sz w:val="22"/>
          <w:szCs w:val="22"/>
        </w:rPr>
        <w:t xml:space="preserve"> 2024 at the latest. </w:t>
      </w:r>
    </w:p>
    <w:p w14:paraId="3F0ABE6D" w14:textId="77777777" w:rsidR="00AB4C0C" w:rsidRPr="00643EC4" w:rsidRDefault="00AB4C0C" w:rsidP="00AB4C0C">
      <w:pPr>
        <w:pStyle w:val="Heading1"/>
        <w:rPr>
          <w:rFonts w:ascii="Helvetica" w:hAnsi="Helvetica" w:cs="Helvetica"/>
          <w:sz w:val="22"/>
          <w:szCs w:val="22"/>
        </w:rPr>
      </w:pPr>
      <w:r w:rsidRPr="00643EC4">
        <w:rPr>
          <w:rFonts w:ascii="Helvetica" w:hAnsi="Helvetica" w:cs="Helvetica"/>
          <w:sz w:val="22"/>
          <w:szCs w:val="22"/>
        </w:rPr>
        <w:t>Disclaimer</w:t>
      </w:r>
    </w:p>
    <w:p w14:paraId="1A3822B5" w14:textId="77777777" w:rsidR="00AB4C0C" w:rsidRPr="00643EC4" w:rsidRDefault="00AB4C0C" w:rsidP="00AB4C0C">
      <w:p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At this stage there is no guarantee of a future procurement as this will be subject to consideration and approval by the Board. The value and length of any potential contract is to be determined if a procurement exercise goes ahead and this early market engagement is designed to feed into decisions and about the scope and parameters of any future procurement.</w:t>
      </w:r>
    </w:p>
    <w:p w14:paraId="76983BB0" w14:textId="638F9666" w:rsidR="00AB4C0C" w:rsidRPr="00643EC4" w:rsidRDefault="00AB4C0C" w:rsidP="00AB4C0C">
      <w:p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t xml:space="preserve">If the Board decides to undertake a procurement exercise, it is expected that this will take place from </w:t>
      </w:r>
      <w:r w:rsidR="00A909B5">
        <w:rPr>
          <w:rFonts w:ascii="Helvetica" w:hAnsi="Helvetica" w:cs="Helvetica"/>
          <w:color w:val="22262A"/>
          <w:sz w:val="22"/>
          <w:szCs w:val="22"/>
          <w:shd w:val="clear" w:color="auto" w:fill="FFFFFF"/>
        </w:rPr>
        <w:t>April 2025</w:t>
      </w:r>
      <w:r w:rsidRPr="00643EC4">
        <w:rPr>
          <w:rFonts w:ascii="Helvetica" w:hAnsi="Helvetica" w:cs="Helvetica"/>
          <w:color w:val="22262A"/>
          <w:sz w:val="22"/>
          <w:szCs w:val="22"/>
          <w:shd w:val="clear" w:color="auto" w:fill="FFFFFF"/>
        </w:rPr>
        <w:t xml:space="preserve"> to </w:t>
      </w:r>
      <w:r w:rsidR="00A909B5">
        <w:rPr>
          <w:rFonts w:ascii="Helvetica" w:hAnsi="Helvetica" w:cs="Helvetica"/>
          <w:color w:val="22262A"/>
          <w:sz w:val="22"/>
          <w:szCs w:val="22"/>
          <w:shd w:val="clear" w:color="auto" w:fill="FFFFFF"/>
        </w:rPr>
        <w:t>September</w:t>
      </w:r>
      <w:r w:rsidRPr="00643EC4">
        <w:rPr>
          <w:rFonts w:ascii="Helvetica" w:hAnsi="Helvetica" w:cs="Helvetica"/>
          <w:color w:val="22262A"/>
          <w:sz w:val="22"/>
          <w:szCs w:val="22"/>
          <w:shd w:val="clear" w:color="auto" w:fill="FFFFFF"/>
        </w:rPr>
        <w:t xml:space="preserve"> 2025 with the system going live </w:t>
      </w:r>
      <w:r w:rsidR="009307EB">
        <w:rPr>
          <w:rFonts w:ascii="Helvetica" w:hAnsi="Helvetica" w:cs="Helvetica"/>
          <w:color w:val="22262A"/>
          <w:sz w:val="22"/>
          <w:szCs w:val="22"/>
          <w:shd w:val="clear" w:color="auto" w:fill="FFFFFF"/>
        </w:rPr>
        <w:t>by</w:t>
      </w:r>
      <w:r w:rsidRPr="00643EC4">
        <w:rPr>
          <w:rFonts w:ascii="Helvetica" w:hAnsi="Helvetica" w:cs="Helvetica"/>
          <w:color w:val="22262A"/>
          <w:sz w:val="22"/>
          <w:szCs w:val="22"/>
          <w:shd w:val="clear" w:color="auto" w:fill="FFFFFF"/>
        </w:rPr>
        <w:t xml:space="preserve"> August 2026</w:t>
      </w:r>
      <w:r w:rsidR="009307EB">
        <w:rPr>
          <w:rFonts w:ascii="Helvetica" w:hAnsi="Helvetica" w:cs="Helvetica"/>
          <w:color w:val="22262A"/>
          <w:sz w:val="22"/>
          <w:szCs w:val="22"/>
          <w:shd w:val="clear" w:color="auto" w:fill="FFFFFF"/>
        </w:rPr>
        <w:t>.</w:t>
      </w:r>
    </w:p>
    <w:p w14:paraId="4936C925" w14:textId="1689C04B" w:rsidR="00AB4C0C" w:rsidRPr="00643EC4" w:rsidRDefault="00AB4C0C" w:rsidP="00AB4C0C">
      <w:pPr>
        <w:spacing w:before="240" w:line="276" w:lineRule="auto"/>
        <w:rPr>
          <w:rFonts w:ascii="Helvetica" w:hAnsi="Helvetica" w:cs="Helvetica"/>
          <w:color w:val="22262A"/>
          <w:sz w:val="22"/>
          <w:szCs w:val="22"/>
          <w:shd w:val="clear" w:color="auto" w:fill="FFFFFF"/>
        </w:rPr>
      </w:pPr>
      <w:r w:rsidRPr="00643EC4">
        <w:rPr>
          <w:rFonts w:ascii="Helvetica" w:hAnsi="Helvetica" w:cs="Helvetica"/>
          <w:color w:val="22262A"/>
          <w:sz w:val="22"/>
          <w:szCs w:val="22"/>
          <w:shd w:val="clear" w:color="auto" w:fill="FFFFFF"/>
        </w:rPr>
        <w:lastRenderedPageBreak/>
        <w:t xml:space="preserve">All information provided by respondents will be on a non-prejudicial basis and will be </w:t>
      </w:r>
      <w:r w:rsidR="00A909B5">
        <w:rPr>
          <w:rFonts w:ascii="Helvetica" w:hAnsi="Helvetica" w:cs="Helvetica"/>
          <w:color w:val="22262A"/>
          <w:sz w:val="22"/>
          <w:szCs w:val="22"/>
          <w:shd w:val="clear" w:color="auto" w:fill="FFFFFF"/>
        </w:rPr>
        <w:t xml:space="preserve">treated with sensitivity </w:t>
      </w:r>
      <w:r w:rsidRPr="00643EC4">
        <w:rPr>
          <w:rFonts w:ascii="Helvetica" w:hAnsi="Helvetica" w:cs="Helvetica"/>
          <w:color w:val="22262A"/>
          <w:sz w:val="22"/>
          <w:szCs w:val="22"/>
          <w:shd w:val="clear" w:color="auto" w:fill="FFFFFF"/>
        </w:rPr>
        <w:t>(to the extent possible under Freedom of Information regulations)</w:t>
      </w:r>
      <w:r w:rsidR="009307EB">
        <w:rPr>
          <w:rFonts w:ascii="Helvetica" w:hAnsi="Helvetica" w:cs="Helvetica"/>
          <w:color w:val="22262A"/>
          <w:sz w:val="22"/>
          <w:szCs w:val="22"/>
          <w:shd w:val="clear" w:color="auto" w:fill="FFFFFF"/>
        </w:rPr>
        <w:t>.</w:t>
      </w:r>
    </w:p>
    <w:p w14:paraId="4D8DB84D" w14:textId="1F19A4E0" w:rsidR="003D053C" w:rsidRPr="003D053C" w:rsidRDefault="003D053C" w:rsidP="00DD4181">
      <w:pPr>
        <w:rPr>
          <w:b/>
          <w:bCs/>
        </w:rPr>
      </w:pPr>
    </w:p>
    <w:sectPr w:rsidR="003D053C" w:rsidRPr="003D053C" w:rsidSect="00100350">
      <w:headerReference w:type="default" r:id="rId17"/>
      <w:footerReference w:type="even" r:id="rId18"/>
      <w:footerReference w:type="default" r:id="rId19"/>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152E" w14:textId="77777777" w:rsidR="00673186" w:rsidRDefault="00673186" w:rsidP="0052129E">
      <w:r>
        <w:separator/>
      </w:r>
    </w:p>
  </w:endnote>
  <w:endnote w:type="continuationSeparator" w:id="0">
    <w:p w14:paraId="4DF003DE" w14:textId="77777777" w:rsidR="00673186" w:rsidRDefault="00673186" w:rsidP="0052129E">
      <w:r>
        <w:continuationSeparator/>
      </w:r>
    </w:p>
  </w:endnote>
  <w:endnote w:type="continuationNotice" w:id="1">
    <w:p w14:paraId="775AB762" w14:textId="77777777" w:rsidR="00673186" w:rsidRDefault="00673186"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9A24" w14:textId="77777777" w:rsidR="008B5701" w:rsidRDefault="008B5701" w:rsidP="0052129E"/>
  <w:p w14:paraId="68AB41EC" w14:textId="77777777" w:rsidR="007D6682" w:rsidRPr="00153423" w:rsidRDefault="007D6682"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FCB0" w14:textId="77777777" w:rsidR="00F64F26" w:rsidRPr="00184675" w:rsidRDefault="00F64F26" w:rsidP="0034301F">
    <w:pPr>
      <w:pStyle w:val="Default"/>
      <w:rPr>
        <w:rFonts w:ascii="Arial" w:hAnsi="Arial" w:cs="Arial"/>
        <w:color w:val="A6A6A6"/>
      </w:rPr>
    </w:pPr>
    <w:r>
      <w:rPr>
        <w:rFonts w:ascii="Arial" w:hAnsi="Arial" w:cs="Arial"/>
        <w:color w:val="A6A6A6"/>
      </w:rPr>
      <w:t>Scheme</w:t>
    </w:r>
    <w:r w:rsidRPr="00184675">
      <w:rPr>
        <w:rFonts w:ascii="Arial" w:hAnsi="Arial" w:cs="Arial"/>
        <w:color w:val="A6A6A6"/>
      </w:rPr>
      <w:t xml:space="preserve"> Advisory Board Secretariat </w:t>
    </w:r>
  </w:p>
  <w:p w14:paraId="1DAA96B9" w14:textId="77777777" w:rsidR="00F64F26" w:rsidRDefault="00F64F26" w:rsidP="0034301F">
    <w:pPr>
      <w:pStyle w:val="Footer"/>
      <w:rPr>
        <w:color w:val="A6A6A6"/>
        <w:sz w:val="16"/>
        <w:szCs w:val="16"/>
      </w:rPr>
    </w:pPr>
    <w:r w:rsidRPr="00184675">
      <w:rPr>
        <w:color w:val="A6A6A6"/>
        <w:sz w:val="16"/>
        <w:szCs w:val="16"/>
      </w:rPr>
      <w:t xml:space="preserve">Local Government </w:t>
    </w:r>
    <w:r>
      <w:rPr>
        <w:color w:val="A6A6A6"/>
        <w:sz w:val="16"/>
        <w:szCs w:val="16"/>
      </w:rPr>
      <w:t>Association</w:t>
    </w:r>
    <w:r w:rsidRPr="00184675">
      <w:rPr>
        <w:color w:val="A6A6A6"/>
        <w:sz w:val="16"/>
        <w:szCs w:val="16"/>
      </w:rPr>
      <w:t>,</w:t>
    </w:r>
    <w:r>
      <w:rPr>
        <w:color w:val="A6A6A6"/>
        <w:sz w:val="16"/>
        <w:szCs w:val="16"/>
      </w:rPr>
      <w:t xml:space="preserve"> 18 Smith Square, Westminster, </w:t>
    </w:r>
    <w:r w:rsidRPr="00184675">
      <w:rPr>
        <w:color w:val="A6A6A6"/>
        <w:sz w:val="16"/>
        <w:szCs w:val="16"/>
      </w:rPr>
      <w:t xml:space="preserve">London </w:t>
    </w:r>
    <w:r>
      <w:rPr>
        <w:color w:val="A6A6A6"/>
        <w:sz w:val="16"/>
        <w:szCs w:val="16"/>
      </w:rPr>
      <w:t xml:space="preserve">SW1P </w:t>
    </w:r>
    <w:proofErr w:type="gramStart"/>
    <w:r>
      <w:rPr>
        <w:color w:val="A6A6A6"/>
        <w:sz w:val="16"/>
        <w:szCs w:val="16"/>
      </w:rPr>
      <w:t>3HZ</w:t>
    </w:r>
    <w:proofErr w:type="gramEnd"/>
    <w:r>
      <w:rPr>
        <w:color w:val="A6A6A6"/>
        <w:sz w:val="16"/>
        <w:szCs w:val="16"/>
      </w:rPr>
      <w:t xml:space="preserve">   </w:t>
    </w:r>
  </w:p>
  <w:p w14:paraId="3465062F" w14:textId="77777777" w:rsidR="00F64F26" w:rsidRPr="0084034C" w:rsidRDefault="00F64F26" w:rsidP="0034301F">
    <w:pPr>
      <w:pStyle w:val="Footer"/>
      <w:rPr>
        <w:color w:val="A6A6A6"/>
        <w:sz w:val="16"/>
        <w:szCs w:val="16"/>
      </w:rPr>
    </w:pPr>
    <w:r>
      <w:rPr>
        <w:b/>
        <w:bCs/>
        <w:color w:val="A6A6A6"/>
        <w:sz w:val="16"/>
        <w:szCs w:val="16"/>
      </w:rPr>
      <w:t xml:space="preserve">E </w:t>
    </w:r>
    <w:r w:rsidRPr="0010198F">
      <w:rPr>
        <w:color w:val="A6A6A6"/>
        <w:sz w:val="16"/>
        <w:szCs w:val="16"/>
      </w:rPr>
      <w:t>SABSecretariat</w:t>
    </w:r>
    <w:r w:rsidRPr="00184675">
      <w:rPr>
        <w:color w:val="A6A6A6"/>
        <w:sz w:val="16"/>
        <w:szCs w:val="16"/>
      </w:rPr>
      <w:t xml:space="preserve">@local.gov.uk </w:t>
    </w:r>
    <w:r>
      <w:rPr>
        <w:b/>
        <w:bCs/>
        <w:color w:val="A6A6A6"/>
        <w:sz w:val="16"/>
        <w:szCs w:val="16"/>
      </w:rPr>
      <w:t>W</w:t>
    </w:r>
    <w:r>
      <w:rPr>
        <w:color w:val="A6A6A6"/>
        <w:sz w:val="16"/>
        <w:szCs w:val="16"/>
      </w:rPr>
      <w:t xml:space="preserve"> </w:t>
    </w:r>
    <w:r w:rsidRPr="00184675">
      <w:rPr>
        <w:color w:val="A6A6A6"/>
        <w:sz w:val="16"/>
        <w:szCs w:val="16"/>
      </w:rPr>
      <w:t>www.local.gov.uk</w:t>
    </w:r>
  </w:p>
  <w:p w14:paraId="6FEAE09F" w14:textId="77777777" w:rsidR="00F64F26" w:rsidRDefault="00F6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4702" w14:textId="77777777" w:rsidR="00673186" w:rsidRDefault="00673186" w:rsidP="0052129E">
      <w:r>
        <w:separator/>
      </w:r>
    </w:p>
  </w:footnote>
  <w:footnote w:type="continuationSeparator" w:id="0">
    <w:p w14:paraId="59EA46DE" w14:textId="77777777" w:rsidR="00673186" w:rsidRDefault="00673186" w:rsidP="0052129E">
      <w:r>
        <w:continuationSeparator/>
      </w:r>
    </w:p>
  </w:footnote>
  <w:footnote w:type="continuationNotice" w:id="1">
    <w:p w14:paraId="208DF410" w14:textId="77777777" w:rsidR="00673186" w:rsidRDefault="00673186"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0501" w14:textId="77777777" w:rsidR="00F64F26" w:rsidRPr="00184675" w:rsidRDefault="00F64F26" w:rsidP="0034301F">
    <w:pPr>
      <w:rPr>
        <w:color w:val="A6A6A6"/>
        <w:sz w:val="20"/>
        <w:szCs w:val="20"/>
      </w:rPr>
    </w:pPr>
    <w:r w:rsidRPr="00184675">
      <w:rPr>
        <w:color w:val="A6A6A6"/>
        <w:sz w:val="20"/>
        <w:szCs w:val="20"/>
      </w:rPr>
      <w:t xml:space="preserve">Local Government Pension Scheme </w:t>
    </w:r>
  </w:p>
  <w:p w14:paraId="4EFDE26F" w14:textId="77777777" w:rsidR="00F64F26" w:rsidRDefault="00F64F26" w:rsidP="0034301F">
    <w:pPr>
      <w:rPr>
        <w:color w:val="A6A6A6"/>
        <w:sz w:val="56"/>
        <w:szCs w:val="56"/>
      </w:rPr>
    </w:pPr>
    <w:r>
      <w:rPr>
        <w:color w:val="A6A6A6"/>
        <w:sz w:val="56"/>
        <w:szCs w:val="56"/>
      </w:rPr>
      <w:t>Scheme</w:t>
    </w:r>
    <w:r w:rsidRPr="00184675">
      <w:rPr>
        <w:color w:val="A6A6A6"/>
        <w:sz w:val="56"/>
        <w:szCs w:val="56"/>
      </w:rPr>
      <w:t xml:space="preserve"> Advisory Board</w:t>
    </w:r>
  </w:p>
  <w:p w14:paraId="076CF9B5" w14:textId="77777777" w:rsidR="00F64F26" w:rsidRDefault="00F64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5F272D"/>
    <w:multiLevelType w:val="hybridMultilevel"/>
    <w:tmpl w:val="2B98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917CD"/>
    <w:multiLevelType w:val="hybridMultilevel"/>
    <w:tmpl w:val="373EB1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6"/>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7"/>
  </w:num>
  <w:num w:numId="20" w16cid:durableId="2125614591">
    <w:abstractNumId w:val="22"/>
  </w:num>
  <w:num w:numId="21" w16cid:durableId="707417768">
    <w:abstractNumId w:val="13"/>
  </w:num>
  <w:num w:numId="22" w16cid:durableId="1433285686">
    <w:abstractNumId w:val="28"/>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 w:numId="28" w16cid:durableId="313682815">
    <w:abstractNumId w:val="24"/>
  </w:num>
  <w:num w:numId="29" w16cid:durableId="158764231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26"/>
    <w:rsid w:val="00003DE5"/>
    <w:rsid w:val="000040DD"/>
    <w:rsid w:val="00007035"/>
    <w:rsid w:val="00012642"/>
    <w:rsid w:val="00016C66"/>
    <w:rsid w:val="00023063"/>
    <w:rsid w:val="00040B3E"/>
    <w:rsid w:val="00042F32"/>
    <w:rsid w:val="00052698"/>
    <w:rsid w:val="00065A04"/>
    <w:rsid w:val="00075EDA"/>
    <w:rsid w:val="00085B6E"/>
    <w:rsid w:val="000913D1"/>
    <w:rsid w:val="00095F0F"/>
    <w:rsid w:val="000A3930"/>
    <w:rsid w:val="000A6F0D"/>
    <w:rsid w:val="000B07DB"/>
    <w:rsid w:val="000B34AE"/>
    <w:rsid w:val="000C083B"/>
    <w:rsid w:val="000D27C5"/>
    <w:rsid w:val="000F22D4"/>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3A98"/>
    <w:rsid w:val="00375F9A"/>
    <w:rsid w:val="003801D6"/>
    <w:rsid w:val="00397CDD"/>
    <w:rsid w:val="003A15A7"/>
    <w:rsid w:val="003C11FC"/>
    <w:rsid w:val="003C495E"/>
    <w:rsid w:val="003C5C16"/>
    <w:rsid w:val="003D053C"/>
    <w:rsid w:val="003D1170"/>
    <w:rsid w:val="003D55B7"/>
    <w:rsid w:val="003E2A1C"/>
    <w:rsid w:val="003E5013"/>
    <w:rsid w:val="003F50DB"/>
    <w:rsid w:val="00400A51"/>
    <w:rsid w:val="00410D69"/>
    <w:rsid w:val="00416B82"/>
    <w:rsid w:val="00420B32"/>
    <w:rsid w:val="0042795C"/>
    <w:rsid w:val="00441B08"/>
    <w:rsid w:val="00445CB8"/>
    <w:rsid w:val="0044677B"/>
    <w:rsid w:val="00446C9D"/>
    <w:rsid w:val="004629CC"/>
    <w:rsid w:val="00464C5F"/>
    <w:rsid w:val="00471475"/>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F35B6"/>
    <w:rsid w:val="00613FAE"/>
    <w:rsid w:val="00616157"/>
    <w:rsid w:val="00616392"/>
    <w:rsid w:val="00622D13"/>
    <w:rsid w:val="00627B4F"/>
    <w:rsid w:val="00643EC4"/>
    <w:rsid w:val="00643FF4"/>
    <w:rsid w:val="00645595"/>
    <w:rsid w:val="00652442"/>
    <w:rsid w:val="00652A30"/>
    <w:rsid w:val="00655DAC"/>
    <w:rsid w:val="00662B42"/>
    <w:rsid w:val="006671C2"/>
    <w:rsid w:val="00672D24"/>
    <w:rsid w:val="00673186"/>
    <w:rsid w:val="00675BDD"/>
    <w:rsid w:val="00690F84"/>
    <w:rsid w:val="00693086"/>
    <w:rsid w:val="006935A4"/>
    <w:rsid w:val="00695C5E"/>
    <w:rsid w:val="006A0790"/>
    <w:rsid w:val="006A789F"/>
    <w:rsid w:val="006B45FC"/>
    <w:rsid w:val="006C7FA2"/>
    <w:rsid w:val="006E432A"/>
    <w:rsid w:val="007057BD"/>
    <w:rsid w:val="00707E98"/>
    <w:rsid w:val="00710E3D"/>
    <w:rsid w:val="00711939"/>
    <w:rsid w:val="0071649C"/>
    <w:rsid w:val="00740387"/>
    <w:rsid w:val="00742AFE"/>
    <w:rsid w:val="007430A4"/>
    <w:rsid w:val="007522A4"/>
    <w:rsid w:val="0076751A"/>
    <w:rsid w:val="0078068A"/>
    <w:rsid w:val="007918BC"/>
    <w:rsid w:val="007A3157"/>
    <w:rsid w:val="007A3425"/>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35640"/>
    <w:rsid w:val="00840174"/>
    <w:rsid w:val="008417F4"/>
    <w:rsid w:val="0086789A"/>
    <w:rsid w:val="00874EA7"/>
    <w:rsid w:val="008905DD"/>
    <w:rsid w:val="00892ECB"/>
    <w:rsid w:val="008A5A73"/>
    <w:rsid w:val="008B2E69"/>
    <w:rsid w:val="008B5701"/>
    <w:rsid w:val="008C56E5"/>
    <w:rsid w:val="008C7AEC"/>
    <w:rsid w:val="008F3BA0"/>
    <w:rsid w:val="008F5F53"/>
    <w:rsid w:val="008F608D"/>
    <w:rsid w:val="008F6EB9"/>
    <w:rsid w:val="008F744A"/>
    <w:rsid w:val="00902EFF"/>
    <w:rsid w:val="00904A3B"/>
    <w:rsid w:val="00905BB1"/>
    <w:rsid w:val="00917645"/>
    <w:rsid w:val="00920014"/>
    <w:rsid w:val="00923F56"/>
    <w:rsid w:val="009307EB"/>
    <w:rsid w:val="00931482"/>
    <w:rsid w:val="009324C3"/>
    <w:rsid w:val="0093255E"/>
    <w:rsid w:val="00936955"/>
    <w:rsid w:val="0096624C"/>
    <w:rsid w:val="009846C6"/>
    <w:rsid w:val="0098520D"/>
    <w:rsid w:val="009878BD"/>
    <w:rsid w:val="00987CF9"/>
    <w:rsid w:val="00996BE3"/>
    <w:rsid w:val="009A2A70"/>
    <w:rsid w:val="009B28E9"/>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61568"/>
    <w:rsid w:val="00A909B5"/>
    <w:rsid w:val="00A9516B"/>
    <w:rsid w:val="00AA2CA8"/>
    <w:rsid w:val="00AA5C78"/>
    <w:rsid w:val="00AB4C0C"/>
    <w:rsid w:val="00AB56A2"/>
    <w:rsid w:val="00AB5E33"/>
    <w:rsid w:val="00AC3650"/>
    <w:rsid w:val="00AE0D4C"/>
    <w:rsid w:val="00AE3B69"/>
    <w:rsid w:val="00AF33D2"/>
    <w:rsid w:val="00AF421F"/>
    <w:rsid w:val="00AF4BD4"/>
    <w:rsid w:val="00B14707"/>
    <w:rsid w:val="00B15CF5"/>
    <w:rsid w:val="00B223D9"/>
    <w:rsid w:val="00B25BE2"/>
    <w:rsid w:val="00B261C3"/>
    <w:rsid w:val="00B270C0"/>
    <w:rsid w:val="00B42AF3"/>
    <w:rsid w:val="00B43FC6"/>
    <w:rsid w:val="00B45F53"/>
    <w:rsid w:val="00B50490"/>
    <w:rsid w:val="00B632F8"/>
    <w:rsid w:val="00B632FD"/>
    <w:rsid w:val="00B63AC4"/>
    <w:rsid w:val="00B75B3C"/>
    <w:rsid w:val="00B8242A"/>
    <w:rsid w:val="00B8434B"/>
    <w:rsid w:val="00BA0C12"/>
    <w:rsid w:val="00BA6C6B"/>
    <w:rsid w:val="00BD096F"/>
    <w:rsid w:val="00BE2440"/>
    <w:rsid w:val="00BF1144"/>
    <w:rsid w:val="00BF4CF5"/>
    <w:rsid w:val="00C22A6C"/>
    <w:rsid w:val="00C36D71"/>
    <w:rsid w:val="00C42BC3"/>
    <w:rsid w:val="00C56D9E"/>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D5C65"/>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DD4181"/>
    <w:rsid w:val="00E0165F"/>
    <w:rsid w:val="00E141F7"/>
    <w:rsid w:val="00E32FD5"/>
    <w:rsid w:val="00E37CF8"/>
    <w:rsid w:val="00E610E1"/>
    <w:rsid w:val="00E618C5"/>
    <w:rsid w:val="00E672DD"/>
    <w:rsid w:val="00E71722"/>
    <w:rsid w:val="00E85176"/>
    <w:rsid w:val="00E8638C"/>
    <w:rsid w:val="00EA5EF8"/>
    <w:rsid w:val="00EC3301"/>
    <w:rsid w:val="00EE48FE"/>
    <w:rsid w:val="00F0053A"/>
    <w:rsid w:val="00F035CD"/>
    <w:rsid w:val="00F068E1"/>
    <w:rsid w:val="00F07ED8"/>
    <w:rsid w:val="00F11BF5"/>
    <w:rsid w:val="00F21E08"/>
    <w:rsid w:val="00F32CC2"/>
    <w:rsid w:val="00F42840"/>
    <w:rsid w:val="00F5108B"/>
    <w:rsid w:val="00F54F92"/>
    <w:rsid w:val="00F6014E"/>
    <w:rsid w:val="00F64F26"/>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 w:val="00FF73E4"/>
    <w:rsid w:val="01764B3B"/>
    <w:rsid w:val="043919D2"/>
    <w:rsid w:val="14421C7B"/>
    <w:rsid w:val="1E59B736"/>
    <w:rsid w:val="1F9122E0"/>
    <w:rsid w:val="2441B1FE"/>
    <w:rsid w:val="28FE97B9"/>
    <w:rsid w:val="31081F31"/>
    <w:rsid w:val="3191FFAA"/>
    <w:rsid w:val="345BD084"/>
    <w:rsid w:val="41C385E0"/>
    <w:rsid w:val="46C39DD7"/>
    <w:rsid w:val="58E8B563"/>
    <w:rsid w:val="5B2C8469"/>
    <w:rsid w:val="60AB5C7A"/>
    <w:rsid w:val="6444D596"/>
    <w:rsid w:val="7776EB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D64B8"/>
  <w14:defaultImageDpi w14:val="330"/>
  <w15:chartTrackingRefBased/>
  <w15:docId w15:val="{C2019E94-86C8-4900-B976-91C33BA2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uiPriority w:val="9"/>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uiPriority w:val="9"/>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ui-provider">
    <w:name w:val="ui-provider"/>
    <w:basedOn w:val="DefaultParagraphFont"/>
    <w:rsid w:val="0064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psboard.org/index.php/the-co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gpsregs.org/index.php/regs-legislation/timeline-regulations-20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bsecretariat@loca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3/25/section/7" TargetMode="External"/><Relationship Id="rId5" Type="http://schemas.openxmlformats.org/officeDocument/2006/relationships/numbering" Target="numbering.xml"/><Relationship Id="rId15" Type="http://schemas.openxmlformats.org/officeDocument/2006/relationships/hyperlink" Target="https://www.nationallgpsframeworks.org/investment-management-consultancy-services-20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sa.co.uk/Policy-and-Research-Investment-Cost-Transparency-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DC5B70071C044AD3A28458262D543" ma:contentTypeVersion="20" ma:contentTypeDescription="Create a new document." ma:contentTypeScope="" ma:versionID="9e6ad03086073fd9a0a8c53fb556deea">
  <xsd:schema xmlns:xsd="http://www.w3.org/2001/XMLSchema" xmlns:xs="http://www.w3.org/2001/XMLSchema" xmlns:p="http://schemas.microsoft.com/office/2006/metadata/properties" xmlns:ns1="d6169fa9-7409-4fcd-a707-8498962b0e0f" xmlns:ns3="4c0fc6d1-1ff6-4501-9111-f8704c4ff172" targetNamespace="http://schemas.microsoft.com/office/2006/metadata/properties" ma:root="true" ma:fieldsID="b5cf8270d7f107ee51ef856ada94bc0b" ns1:_="" ns3:_="">
    <xsd:import namespace="d6169fa9-7409-4fcd-a707-8498962b0e0f"/>
    <xsd:import namespace="4c0fc6d1-1ff6-4501-9111-f8704c4ff172"/>
    <xsd:element name="properties">
      <xsd:complexType>
        <xsd:sequence>
          <xsd:element name="documentManagement">
            <xsd:complexType>
              <xsd:all>
                <xsd:element ref="ns1:Meeting"/>
                <xsd:element ref="ns1:subject"/>
                <xsd:element ref="ns1:MediaServiceMetadata" minOccurs="0"/>
                <xsd:element ref="ns1:MediaServiceFastMetadata" minOccurs="0"/>
                <xsd:element ref="ns1:MediaServiceAutoKeyPoints" minOccurs="0"/>
                <xsd:element ref="ns1:MediaServiceKeyPoints" minOccurs="0"/>
                <xsd:element ref="ns3:SharedWithUsers" minOccurs="0"/>
                <xsd:element ref="ns3:SharedWithDetails"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1:MediaServiceLocation" minOccurs="0"/>
                <xsd:element ref="ns1:lcf76f155ced4ddcb4097134ff3c332f" minOccurs="0"/>
                <xsd:element ref="ns3: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9fa9-7409-4fcd-a707-8498962b0e0f" elementFormDefault="qualified">
    <xsd:import namespace="http://schemas.microsoft.com/office/2006/documentManagement/types"/>
    <xsd:import namespace="http://schemas.microsoft.com/office/infopath/2007/PartnerControls"/>
    <xsd:element name="Meeting" ma:index="0" ma:displayName="Relevant Date" ma:default="[today]" ma:description="For meeting folders use the date of the meeting. For other folders use an appropriate relevant date other this defaults to today" ma:format="DateOnly" ma:internalName="Meeting">
      <xsd:simpleType>
        <xsd:restriction base="dms:DateTime"/>
      </xsd:simpleType>
    </xsd:element>
    <xsd:element name="subject" ma:index="1" ma:displayName="Subject" ma:default="Subject" ma:description="subject of meeting item - for example project name" ma:format="Dropdown" ma:internalName="subject">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 xmlns="d6169fa9-7409-4fcd-a707-8498962b0e0f">2024-04-26T16:10:22+00:00</Meeting>
    <lcf76f155ced4ddcb4097134ff3c332f xmlns="d6169fa9-7409-4fcd-a707-8498962b0e0f">
      <Terms xmlns="http://schemas.microsoft.com/office/infopath/2007/PartnerControls"/>
    </lcf76f155ced4ddcb4097134ff3c332f>
    <subject xmlns="d6169fa9-7409-4fcd-a707-8498962b0e0f">Subject</subject>
    <TaxCatchAll xmlns="4c0fc6d1-1ff6-4501-9111-f8704c4ff1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A5681-3652-4E8E-9CD4-640EA7C0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9fa9-7409-4fcd-a707-8498962b0e0f"/>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d6169fa9-7409-4fcd-a707-8498962b0e0f"/>
    <ds:schemaRef ds:uri="4c0fc6d1-1ff6-4501-9111-f8704c4ff172"/>
  </ds:schemaRefs>
</ds:datastoreItem>
</file>

<file path=customXml/itemProps4.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5031</Characters>
  <Application>Microsoft Office Word</Application>
  <DocSecurity>4</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Ehimuan</dc:creator>
  <cp:keywords/>
  <dc:description/>
  <cp:lastModifiedBy>Maisie Lynch</cp:lastModifiedBy>
  <cp:revision>2</cp:revision>
  <cp:lastPrinted>2022-07-21T08:46:00Z</cp:lastPrinted>
  <dcterms:created xsi:type="dcterms:W3CDTF">2024-06-28T13:53:00Z</dcterms:created>
  <dcterms:modified xsi:type="dcterms:W3CDTF">2024-06-28T13:53:00Z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0x010100AE4DC5B70071C044AD3A28458262D543</vt:lpwstr>
  </property>
  <property fmtid="{D5CDD505-2E9C-101B-9397-08002B2CF9AE}" pid="3" name="MediaServiceImageTags">
    <vt:lpwstr/>
  </property>
</Properties>
</file>