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578A" w14:textId="77777777" w:rsidR="00CA1712" w:rsidRDefault="00CA1712" w:rsidP="004D1053">
      <w:pPr>
        <w:jc w:val="both"/>
      </w:pPr>
    </w:p>
    <w:p w14:paraId="643631F5" w14:textId="4FC29454" w:rsidR="00F84384" w:rsidRDefault="00EA4286" w:rsidP="004D1053">
      <w:pPr>
        <w:jc w:val="both"/>
      </w:pPr>
      <w:r>
        <w:rPr>
          <w:noProof/>
        </w:rPr>
        <w:drawing>
          <wp:inline distT="0" distB="0" distL="0" distR="0" wp14:anchorId="72E508FB" wp14:editId="1B2E06AB">
            <wp:extent cx="1828800" cy="97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974725"/>
                    </a:xfrm>
                    <a:prstGeom prst="rect">
                      <a:avLst/>
                    </a:prstGeom>
                    <a:noFill/>
                    <a:ln>
                      <a:noFill/>
                    </a:ln>
                  </pic:spPr>
                </pic:pic>
              </a:graphicData>
            </a:graphic>
          </wp:inline>
        </w:drawing>
      </w:r>
    </w:p>
    <w:p w14:paraId="0E276258" w14:textId="77777777" w:rsidR="00CA1712" w:rsidRDefault="00CA1712"/>
    <w:p w14:paraId="17F47162" w14:textId="77777777" w:rsidR="00F84384" w:rsidRDefault="00F84384"/>
    <w:p w14:paraId="17AE84E9" w14:textId="77777777" w:rsidR="00F84384" w:rsidRPr="00F84384" w:rsidRDefault="00F84384" w:rsidP="00F84384">
      <w:pPr>
        <w:jc w:val="both"/>
        <w:rPr>
          <w:b/>
          <w:sz w:val="24"/>
        </w:rPr>
      </w:pPr>
      <w:r w:rsidRPr="00F84384">
        <w:rPr>
          <w:b/>
          <w:sz w:val="24"/>
        </w:rPr>
        <w:t>INVITATION TO TENDER LETTER</w:t>
      </w:r>
    </w:p>
    <w:p w14:paraId="1D2D9CFD" w14:textId="77777777" w:rsidR="00F84384" w:rsidRDefault="00F84384"/>
    <w:p w14:paraId="79EC4E2E" w14:textId="77777777" w:rsidR="00CA1712" w:rsidRDefault="00D54A9D">
      <w:r>
        <w:t>Social Mobility Commission</w:t>
      </w:r>
    </w:p>
    <w:p w14:paraId="7980245B" w14:textId="77777777" w:rsidR="00D54A9D" w:rsidRDefault="00D54A9D">
      <w:r>
        <w:t>Sanctuary Buildings,</w:t>
      </w:r>
    </w:p>
    <w:p w14:paraId="43FFBBC2" w14:textId="77777777" w:rsidR="00D54A9D" w:rsidRPr="004471E5" w:rsidRDefault="00D54A9D">
      <w:pPr>
        <w:rPr>
          <w:b/>
          <w:i/>
        </w:rPr>
      </w:pPr>
      <w:r>
        <w:t>Westminster, SW1</w:t>
      </w:r>
      <w:r w:rsidR="00CF17C7">
        <w:t>P 3BT</w:t>
      </w:r>
    </w:p>
    <w:p w14:paraId="44D2CF54" w14:textId="77777777" w:rsidR="00CA1712" w:rsidRDefault="00CA1712"/>
    <w:p w14:paraId="666898CA" w14:textId="77777777" w:rsidR="00CA1712" w:rsidRDefault="00CA1712">
      <w:pPr>
        <w:widowControl/>
      </w:pPr>
      <w:bookmarkStart w:id="0" w:name="Address"/>
      <w:bookmarkStart w:id="1" w:name="Sal"/>
      <w:bookmarkEnd w:id="0"/>
      <w:bookmarkEnd w:id="1"/>
    </w:p>
    <w:p w14:paraId="55BA5DF7" w14:textId="77777777" w:rsidR="00CA1712" w:rsidRDefault="00CA1712">
      <w:pPr>
        <w:widowControl/>
      </w:pPr>
      <w:r>
        <w:t>Dear</w:t>
      </w:r>
      <w:r w:rsidR="00CF17C7">
        <w:t xml:space="preserve"> Researcher,</w:t>
      </w:r>
    </w:p>
    <w:p w14:paraId="69B3ABBD" w14:textId="77777777" w:rsidR="00CA1712" w:rsidRDefault="00CA1712">
      <w:pPr>
        <w:widowControl/>
      </w:pPr>
    </w:p>
    <w:p w14:paraId="2CD057CA" w14:textId="77777777" w:rsidR="00CA1712" w:rsidRDefault="00CA1712">
      <w:pPr>
        <w:widowControl/>
      </w:pPr>
    </w:p>
    <w:p w14:paraId="4FC4A9F6" w14:textId="73AA37FC" w:rsidR="00CA1712" w:rsidRDefault="00CA1712">
      <w:pPr>
        <w:widowControl/>
      </w:pPr>
      <w:r>
        <w:rPr>
          <w:b/>
        </w:rPr>
        <w:t>INVITATION TO TENDER (ITT) for</w:t>
      </w:r>
      <w:r w:rsidR="002C24C8">
        <w:rPr>
          <w:b/>
        </w:rPr>
        <w:t xml:space="preserve"> </w:t>
      </w:r>
      <w:r w:rsidR="00E26059">
        <w:rPr>
          <w:b/>
        </w:rPr>
        <w:t>Apprenticeships and social mobility: fulfilling potential?</w:t>
      </w:r>
    </w:p>
    <w:p w14:paraId="46B92A71" w14:textId="77777777" w:rsidR="00CA1712" w:rsidRDefault="00CA1712">
      <w:pPr>
        <w:widowControl/>
      </w:pPr>
    </w:p>
    <w:p w14:paraId="489E165B" w14:textId="77777777" w:rsidR="00CA1712" w:rsidRDefault="00CA1712">
      <w:pPr>
        <w:widowControl/>
      </w:pPr>
    </w:p>
    <w:p w14:paraId="73CC6AB6"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t>Your organisation along with others is invited to offer a tender for provision of the above, to the specification outlined in the attached documents.  Enclosed are:</w:t>
      </w:r>
    </w:p>
    <w:p w14:paraId="0426B72A"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C4D813A"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1" w:history="1">
        <w:r w:rsidRPr="00F84384">
          <w:rPr>
            <w:rStyle w:val="Hyperlink"/>
          </w:rPr>
          <w:t>Document 1</w:t>
        </w:r>
        <w:r w:rsidRPr="00F84384">
          <w:rPr>
            <w:rStyle w:val="Hyperlink"/>
          </w:rPr>
          <w:tab/>
        </w:r>
        <w:r w:rsidR="00F84384" w:rsidRPr="00F84384">
          <w:rPr>
            <w:rStyle w:val="Hyperlink"/>
          </w:rPr>
          <w:t>Specification of the requirement.</w:t>
        </w:r>
      </w:hyperlink>
    </w:p>
    <w:p w14:paraId="2463660A" w14:textId="77777777" w:rsidR="000B145D" w:rsidRDefault="00CF7A0E" w:rsidP="004D10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2" w:history="1">
        <w:r w:rsidR="00FC4E46" w:rsidRPr="00F84384">
          <w:rPr>
            <w:rStyle w:val="Hyperlink"/>
          </w:rPr>
          <w:t>Document 2</w:t>
        </w:r>
        <w:r w:rsidR="00FC4E46" w:rsidRPr="00F84384">
          <w:rPr>
            <w:rStyle w:val="Hyperlink"/>
          </w:rPr>
          <w:tab/>
        </w:r>
        <w:r w:rsidR="00F84384" w:rsidRPr="00F84384">
          <w:rPr>
            <w:rStyle w:val="Hyperlink"/>
          </w:rPr>
          <w:t>Instructions on the tendering procedures.</w:t>
        </w:r>
      </w:hyperlink>
    </w:p>
    <w:p w14:paraId="144E4A8D" w14:textId="77777777" w:rsidR="00F84384" w:rsidRDefault="00CF7A0E" w:rsidP="00F84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3" w:history="1">
        <w:r w:rsidR="00CA1712" w:rsidRPr="00F84384">
          <w:rPr>
            <w:rStyle w:val="Hyperlink"/>
          </w:rPr>
          <w:t xml:space="preserve">Document </w:t>
        </w:r>
        <w:r w:rsidR="001B549A" w:rsidRPr="00F84384">
          <w:rPr>
            <w:rStyle w:val="Hyperlink"/>
          </w:rPr>
          <w:t>3</w:t>
        </w:r>
        <w:r w:rsidR="00CA1712" w:rsidRPr="00F84384">
          <w:rPr>
            <w:rStyle w:val="Hyperlink"/>
          </w:rPr>
          <w:tab/>
        </w:r>
        <w:r w:rsidR="00F84384" w:rsidRPr="00F84384">
          <w:rPr>
            <w:rStyle w:val="Hyperlink"/>
          </w:rPr>
          <w:t>Departmental standard requirements.</w:t>
        </w:r>
      </w:hyperlink>
    </w:p>
    <w:p w14:paraId="1A8ED08D"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4" w:history="1">
        <w:r w:rsidRPr="00F84384">
          <w:rPr>
            <w:rStyle w:val="Hyperlink"/>
          </w:rPr>
          <w:t xml:space="preserve">Document </w:t>
        </w:r>
        <w:r w:rsidR="001B549A" w:rsidRPr="00F84384">
          <w:rPr>
            <w:rStyle w:val="Hyperlink"/>
          </w:rPr>
          <w:t>4</w:t>
        </w:r>
        <w:r w:rsidRPr="00F84384">
          <w:rPr>
            <w:rStyle w:val="Hyperlink"/>
          </w:rPr>
          <w:tab/>
          <w:t>List of attachments.</w:t>
        </w:r>
      </w:hyperlink>
    </w:p>
    <w:p w14:paraId="109A67EC" w14:textId="0465DD10" w:rsidR="004C4417"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Pr>
      </w:pPr>
      <w:r>
        <w:tab/>
      </w:r>
      <w:hyperlink w:anchor="Document5" w:history="1">
        <w:r w:rsidRPr="00F84384">
          <w:rPr>
            <w:rStyle w:val="Hyperlink"/>
          </w:rPr>
          <w:t xml:space="preserve">Document </w:t>
        </w:r>
        <w:r w:rsidR="001B549A" w:rsidRPr="00F84384">
          <w:rPr>
            <w:rStyle w:val="Hyperlink"/>
          </w:rPr>
          <w:t>5</w:t>
        </w:r>
        <w:r w:rsidRPr="00F84384">
          <w:rPr>
            <w:rStyle w:val="Hyperlink"/>
          </w:rPr>
          <w:tab/>
          <w:t>Declaration and information to be provided by tenderer.</w:t>
        </w:r>
      </w:hyperlink>
    </w:p>
    <w:p w14:paraId="52DE5DA4" w14:textId="77777777" w:rsidR="00F16A26" w:rsidRDefault="00F16A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Pr>
      </w:pPr>
    </w:p>
    <w:p w14:paraId="0028A058" w14:textId="42766928" w:rsidR="004C4417" w:rsidRDefault="00CF7A0E" w:rsidP="002C2E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hanging="1440"/>
      </w:pPr>
      <w:hyperlink w:anchor="Attachment1" w:history="1">
        <w:r w:rsidR="004C4417" w:rsidRPr="004C4417">
          <w:rPr>
            <w:rStyle w:val="Hyperlink"/>
          </w:rPr>
          <w:t>Attachments</w:t>
        </w:r>
        <w:r w:rsidR="002C2E50">
          <w:rPr>
            <w:rStyle w:val="Hyperlink"/>
          </w:rPr>
          <w:tab/>
        </w:r>
        <w:r w:rsidR="004C4417" w:rsidRPr="004C4417">
          <w:rPr>
            <w:rStyle w:val="Hyperlink"/>
          </w:rPr>
          <w:t>Draft Terms and Conditions, Evaluation Criteria, Departmental Security Standards</w:t>
        </w:r>
      </w:hyperlink>
    </w:p>
    <w:p w14:paraId="7835DAB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4513BB33"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Please read the instructions on the tendering procedures carefully.  Failure to comply with them may invalidate your tender which must be returned by the date and time given below</w:t>
      </w:r>
      <w:r w:rsidR="00650775">
        <w:t>.</w:t>
      </w:r>
      <w:r>
        <w:t xml:space="preserve"> </w:t>
      </w:r>
    </w:p>
    <w:p w14:paraId="210179F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0B06B1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A1619A" w:rsidRPr="00CF17C7">
        <w:t>An electronic</w:t>
      </w:r>
      <w:r w:rsidR="00A1619A">
        <w:rPr>
          <w:b/>
        </w:rPr>
        <w:t xml:space="preserve"> </w:t>
      </w:r>
      <w:r>
        <w:t>cop</w:t>
      </w:r>
      <w:r w:rsidR="00A1619A">
        <w:t>y</w:t>
      </w:r>
      <w:r>
        <w:t xml:space="preserve"> of your tender must be </w:t>
      </w:r>
      <w:r w:rsidR="00A70FB2">
        <w:t xml:space="preserve">submitted to </w:t>
      </w:r>
      <w:r>
        <w:t xml:space="preserve"> </w:t>
      </w:r>
      <w:hyperlink r:id="rId12" w:history="1">
        <w:r w:rsidR="00CF17C7" w:rsidRPr="00AF729B">
          <w:rPr>
            <w:rStyle w:val="Hyperlink"/>
          </w:rPr>
          <w:t>contact@socialmobilitycommission.gov.uk</w:t>
        </w:r>
      </w:hyperlink>
      <w:r w:rsidR="00CF17C7">
        <w:t xml:space="preserve"> </w:t>
      </w:r>
      <w:r>
        <w:t xml:space="preserve">no later than </w:t>
      </w:r>
      <w:r w:rsidR="00F1449A" w:rsidRPr="001B5D8B">
        <w:rPr>
          <w:b/>
        </w:rPr>
        <w:t xml:space="preserve">12 </w:t>
      </w:r>
      <w:r w:rsidR="005D7D23">
        <w:rPr>
          <w:b/>
        </w:rPr>
        <w:t>n</w:t>
      </w:r>
      <w:r w:rsidR="001B5D8B" w:rsidRPr="001B5D8B">
        <w:rPr>
          <w:b/>
        </w:rPr>
        <w:t>oon on</w:t>
      </w:r>
      <w:r w:rsidR="00F1449A" w:rsidRPr="001B5D8B">
        <w:rPr>
          <w:b/>
        </w:rPr>
        <w:t xml:space="preserve"> </w:t>
      </w:r>
      <w:r w:rsidR="001B5D8B" w:rsidRPr="001B5D8B">
        <w:rPr>
          <w:b/>
        </w:rPr>
        <w:t>3</w:t>
      </w:r>
      <w:r w:rsidR="001B5D8B" w:rsidRPr="001B5D8B">
        <w:rPr>
          <w:b/>
          <w:vertAlign w:val="superscript"/>
        </w:rPr>
        <w:t>rd</w:t>
      </w:r>
      <w:r w:rsidR="00A1619A" w:rsidRPr="001B5D8B">
        <w:rPr>
          <w:b/>
        </w:rPr>
        <w:t xml:space="preserve"> </w:t>
      </w:r>
      <w:r w:rsidR="00F1449A" w:rsidRPr="001B5D8B">
        <w:rPr>
          <w:b/>
        </w:rPr>
        <w:t>May 2019</w:t>
      </w:r>
      <w:r w:rsidRPr="001B5D8B">
        <w:t>.  Late</w:t>
      </w:r>
      <w:r>
        <w:t xml:space="preserve"> tenders will </w:t>
      </w:r>
      <w:r>
        <w:rPr>
          <w:b/>
        </w:rPr>
        <w:t>not</w:t>
      </w:r>
      <w:r>
        <w:t xml:space="preserve"> be considered.</w:t>
      </w:r>
    </w:p>
    <w:p w14:paraId="1B094F5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F34708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tab/>
        <w:t xml:space="preserve">If having read the enclosed specification you decide not to submit a tender, I would be grateful if could send your reasons (though you are under no obligation to do so) to </w:t>
      </w:r>
      <w:hyperlink r:id="rId13" w:history="1">
        <w:r w:rsidR="00CF17C7" w:rsidRPr="00AF729B">
          <w:rPr>
            <w:rStyle w:val="Hyperlink"/>
          </w:rPr>
          <w:t>contact@socialmobilitycommission.gov.uk</w:t>
        </w:r>
      </w:hyperlink>
      <w:r w:rsidR="00CF17C7">
        <w:t xml:space="preserve">, </w:t>
      </w:r>
      <w:r>
        <w:t>at the above address marked 'No Tender'.</w:t>
      </w:r>
    </w:p>
    <w:p w14:paraId="29CCC06F"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EFF255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tab/>
        <w:t xml:space="preserve">Please contact me if you have any questions about the tendering procedure.  </w:t>
      </w:r>
    </w:p>
    <w:p w14:paraId="0D47306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F17A33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8DCAA9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A6648E">
        <w:t>,</w:t>
      </w:r>
    </w:p>
    <w:p w14:paraId="1C8EA94C" w14:textId="638D777C" w:rsidR="00A6648E" w:rsidRDefault="004C44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Sasha Morgan,</w:t>
      </w:r>
    </w:p>
    <w:p w14:paraId="28018321" w14:textId="5CA36780" w:rsidR="00A6648E" w:rsidRDefault="00A664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Head of </w:t>
      </w:r>
      <w:r w:rsidR="004C4417">
        <w:t>Secretariat</w:t>
      </w:r>
      <w:r>
        <w:t>, Social Mobility Commission</w:t>
      </w:r>
    </w:p>
    <w:p w14:paraId="5D105D8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bookmarkStart w:id="2" w:name="Document1"/>
      <w:bookmarkEnd w:id="2"/>
      <w:r>
        <w:rPr>
          <w:b/>
        </w:rPr>
        <w:lastRenderedPageBreak/>
        <w:t>DOCUMENT 1</w:t>
      </w:r>
    </w:p>
    <w:p w14:paraId="57E019D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4B4D4B17" w14:textId="77777777" w:rsidR="002F14C5" w:rsidRDefault="002F14C5" w:rsidP="002F14C5">
      <w:pPr>
        <w:pStyle w:val="Numbered"/>
        <w:widowControl/>
        <w:rPr>
          <w:b/>
        </w:rPr>
      </w:pPr>
      <w:r>
        <w:rPr>
          <w:b/>
        </w:rPr>
        <w:t>SPECIFICATION</w:t>
      </w:r>
    </w:p>
    <w:p w14:paraId="6F468B57" w14:textId="77777777" w:rsidR="002F14C5" w:rsidRDefault="002F14C5" w:rsidP="00686C76">
      <w:pPr>
        <w:pStyle w:val="Numbered"/>
        <w:widowControl/>
        <w:rPr>
          <w:color w:val="000000"/>
        </w:rPr>
      </w:pPr>
      <w:r>
        <w:rPr>
          <w:b/>
          <w:color w:val="000000"/>
        </w:rPr>
        <w:t>1</w:t>
      </w:r>
      <w:r>
        <w:rPr>
          <w:b/>
          <w:color w:val="000000"/>
        </w:rPr>
        <w:tab/>
        <w:t>Introduction/Background</w:t>
      </w:r>
    </w:p>
    <w:p w14:paraId="06BB1B39" w14:textId="77777777" w:rsidR="00E26059" w:rsidRDefault="00E26059" w:rsidP="00E26059">
      <w:pPr>
        <w:spacing w:line="276" w:lineRule="auto"/>
        <w:ind w:left="720"/>
        <w:rPr>
          <w:rFonts w:cs="Arial"/>
        </w:rPr>
      </w:pPr>
      <w:r w:rsidRPr="00BB07D1">
        <w:rPr>
          <w:rFonts w:cs="Arial"/>
        </w:rPr>
        <w:t xml:space="preserve">The </w:t>
      </w:r>
      <w:hyperlink r:id="rId14" w:history="1">
        <w:r w:rsidRPr="00BB07D1">
          <w:rPr>
            <w:rStyle w:val="Hyperlink"/>
            <w:rFonts w:cs="Arial"/>
          </w:rPr>
          <w:t>Social Mobility Commission</w:t>
        </w:r>
      </w:hyperlink>
      <w:r w:rsidRPr="00BB07D1">
        <w:rPr>
          <w:rFonts w:cs="Arial"/>
        </w:rPr>
        <w:t xml:space="preserve"> is inviting proposals for research</w:t>
      </w:r>
      <w:r>
        <w:rPr>
          <w:rFonts w:cs="Arial"/>
        </w:rPr>
        <w:t xml:space="preserve"> to understand whether apprenticeships are serving to enhance individual apprentices’ social mobility opportunities.</w:t>
      </w:r>
    </w:p>
    <w:p w14:paraId="530FFAD3" w14:textId="77777777" w:rsidR="00E26059" w:rsidRDefault="00E26059" w:rsidP="00E26059">
      <w:pPr>
        <w:spacing w:line="276" w:lineRule="auto"/>
        <w:rPr>
          <w:rFonts w:cs="Arial"/>
        </w:rPr>
      </w:pPr>
    </w:p>
    <w:p w14:paraId="2716556F" w14:textId="77777777" w:rsidR="00E26059" w:rsidRDefault="00E26059" w:rsidP="00E26059">
      <w:pPr>
        <w:spacing w:line="276" w:lineRule="auto"/>
        <w:ind w:left="720"/>
        <w:rPr>
          <w:rFonts w:cs="Arial"/>
          <w:color w:val="000000"/>
        </w:rPr>
      </w:pPr>
      <w:r>
        <w:rPr>
          <w:rFonts w:cs="Arial"/>
        </w:rPr>
        <w:t xml:space="preserve">Apprentices have great potential and promise to be a tool for social mobility. However, the reality may not be as clear cut. </w:t>
      </w:r>
      <w:r>
        <w:rPr>
          <w:rFonts w:cs="Arial"/>
          <w:color w:val="000000"/>
        </w:rPr>
        <w:t xml:space="preserve">The Commission’s analysis in its State of the Nation 2018 points to unforeseen consequences on social mobility after recent policy and funding reforms. These include: reduced offerings at Levels 2 and 3, which offer a ‘foot on the ladder’ for disadvantaged students; reduced entry-level routes for young people into employment; reduced support for SMEs who provide entry-level routes, and; poor retention and progression for disadvantaged students. </w:t>
      </w:r>
    </w:p>
    <w:p w14:paraId="1ED84291" w14:textId="77777777" w:rsidR="00E26059" w:rsidRDefault="00E26059" w:rsidP="00E26059">
      <w:pPr>
        <w:rPr>
          <w:rFonts w:cs="Arial"/>
          <w:color w:val="000000"/>
        </w:rPr>
      </w:pPr>
    </w:p>
    <w:p w14:paraId="697E73D7" w14:textId="77777777" w:rsidR="00E26059" w:rsidRDefault="00E26059" w:rsidP="00E26059">
      <w:pPr>
        <w:ind w:left="720"/>
        <w:rPr>
          <w:rFonts w:cs="Arial"/>
          <w:color w:val="000000"/>
        </w:rPr>
      </w:pPr>
      <w:r>
        <w:rPr>
          <w:rFonts w:cs="Arial"/>
          <w:color w:val="000000"/>
        </w:rPr>
        <w:t>The Commission is interested in apprenticeship selection, attrition, progression, quality of training, and outcomes by socioeconomic background. This research must include policy recommendations that could improve social mobility outcomes for apprentices.</w:t>
      </w:r>
    </w:p>
    <w:p w14:paraId="0A97D151" w14:textId="77777777" w:rsidR="002F14C5" w:rsidRPr="00F73DFA" w:rsidRDefault="002F14C5" w:rsidP="00686C76">
      <w:pPr>
        <w:pStyle w:val="Numbered"/>
        <w:widowControl/>
        <w:ind w:left="720"/>
        <w:rPr>
          <w:b/>
          <w:i/>
        </w:rPr>
      </w:pPr>
    </w:p>
    <w:p w14:paraId="7D45C313" w14:textId="77777777" w:rsidR="002F14C5" w:rsidRDefault="002F14C5" w:rsidP="00686C76">
      <w:pPr>
        <w:pStyle w:val="Numbered"/>
        <w:widowControl/>
        <w:rPr>
          <w:color w:val="000000"/>
        </w:rPr>
      </w:pPr>
      <w:r>
        <w:rPr>
          <w:b/>
          <w:color w:val="000000"/>
        </w:rPr>
        <w:t>2</w:t>
      </w:r>
      <w:r>
        <w:rPr>
          <w:b/>
          <w:color w:val="000000"/>
        </w:rPr>
        <w:tab/>
        <w:t>Purpose/Objectives</w:t>
      </w:r>
    </w:p>
    <w:p w14:paraId="7859A802" w14:textId="77777777" w:rsidR="002F14C5" w:rsidRDefault="002F14C5" w:rsidP="00686C76">
      <w:pPr>
        <w:ind w:left="360"/>
        <w:rPr>
          <w:rFonts w:cs="Arial"/>
        </w:rPr>
      </w:pPr>
      <w:r w:rsidRPr="00BB07D1">
        <w:rPr>
          <w:rFonts w:cs="Arial"/>
        </w:rPr>
        <w:t>The Commission</w:t>
      </w:r>
      <w:r>
        <w:rPr>
          <w:rFonts w:cs="Arial"/>
        </w:rPr>
        <w:t xml:space="preserve"> is interested in the following research questions:</w:t>
      </w:r>
    </w:p>
    <w:p w14:paraId="228F5B86" w14:textId="77777777" w:rsidR="002F14C5" w:rsidRDefault="002F14C5" w:rsidP="00E26059">
      <w:pPr>
        <w:ind w:left="720"/>
        <w:rPr>
          <w:rFonts w:cs="Arial"/>
        </w:rPr>
      </w:pPr>
    </w:p>
    <w:p w14:paraId="77817A8C" w14:textId="77777777" w:rsidR="00E26059" w:rsidRPr="006725F3" w:rsidRDefault="00E26059" w:rsidP="00E26059">
      <w:pPr>
        <w:pStyle w:val="ListParagraph"/>
        <w:widowControl/>
        <w:numPr>
          <w:ilvl w:val="0"/>
          <w:numId w:val="48"/>
        </w:numPr>
        <w:overflowPunct/>
        <w:autoSpaceDE/>
        <w:autoSpaceDN/>
        <w:adjustRightInd/>
        <w:spacing w:line="276" w:lineRule="auto"/>
        <w:ind w:left="720"/>
        <w:textAlignment w:val="auto"/>
        <w:rPr>
          <w:rFonts w:cs="Arial"/>
          <w:b/>
        </w:rPr>
      </w:pPr>
      <w:r w:rsidRPr="006725F3">
        <w:rPr>
          <w:rFonts w:cs="Arial"/>
          <w:b/>
        </w:rPr>
        <w:t>What is the impact of recent apprenticeship policy reforms</w:t>
      </w:r>
      <w:r w:rsidRPr="006725F3">
        <w:rPr>
          <w:rFonts w:cs="Arial"/>
        </w:rPr>
        <w:t xml:space="preserve"> (such as new standards and the levy) </w:t>
      </w:r>
      <w:r w:rsidRPr="006725F3">
        <w:rPr>
          <w:rFonts w:cs="Arial"/>
          <w:b/>
        </w:rPr>
        <w:t>on social mobility?</w:t>
      </w:r>
    </w:p>
    <w:p w14:paraId="3D473396" w14:textId="77777777" w:rsidR="00E26059" w:rsidRDefault="00E26059" w:rsidP="00E26059">
      <w:pPr>
        <w:pStyle w:val="ListParagraph"/>
        <w:widowControl/>
        <w:numPr>
          <w:ilvl w:val="0"/>
          <w:numId w:val="48"/>
        </w:numPr>
        <w:overflowPunct/>
        <w:autoSpaceDE/>
        <w:autoSpaceDN/>
        <w:adjustRightInd/>
        <w:spacing w:line="276" w:lineRule="auto"/>
        <w:ind w:left="720"/>
        <w:textAlignment w:val="auto"/>
        <w:rPr>
          <w:rFonts w:cs="Arial"/>
        </w:rPr>
      </w:pPr>
      <w:r w:rsidRPr="00CE1B8B">
        <w:rPr>
          <w:rFonts w:cs="Arial"/>
          <w:b/>
        </w:rPr>
        <w:t>Selection</w:t>
      </w:r>
      <w:r>
        <w:rPr>
          <w:rFonts w:cs="Arial"/>
        </w:rPr>
        <w:t>:</w:t>
      </w:r>
    </w:p>
    <w:p w14:paraId="6F92DC87"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 xml:space="preserve">What type of employers do disadvantaged apprentices work with through their apprenticeships compared to their non-disadvantaged peers? </w:t>
      </w:r>
    </w:p>
    <w:p w14:paraId="70231B7B"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 xml:space="preserve">How does this change, if at all, when controlled for level of apprenticeship? </w:t>
      </w:r>
    </w:p>
    <w:p w14:paraId="0DE22204"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Did the implementation of the levy change the type of employer disadvantaged apprentices work with?</w:t>
      </w:r>
    </w:p>
    <w:p w14:paraId="373FAF52"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Geographically, where do disadvantaged apprentices take up apprenticeships?</w:t>
      </w:r>
    </w:p>
    <w:p w14:paraId="2135BBA7" w14:textId="77777777" w:rsidR="00E26059" w:rsidRPr="00CE1B8B" w:rsidRDefault="00E26059" w:rsidP="00E26059">
      <w:pPr>
        <w:pStyle w:val="ListParagraph"/>
        <w:widowControl/>
        <w:numPr>
          <w:ilvl w:val="0"/>
          <w:numId w:val="48"/>
        </w:numPr>
        <w:overflowPunct/>
        <w:autoSpaceDE/>
        <w:autoSpaceDN/>
        <w:adjustRightInd/>
        <w:spacing w:line="276" w:lineRule="auto"/>
        <w:ind w:left="720"/>
        <w:textAlignment w:val="auto"/>
        <w:rPr>
          <w:rFonts w:cs="Arial"/>
          <w:b/>
        </w:rPr>
      </w:pPr>
      <w:r w:rsidRPr="00CE1B8B">
        <w:rPr>
          <w:rFonts w:cs="Arial"/>
          <w:b/>
        </w:rPr>
        <w:t>Training quality:</w:t>
      </w:r>
    </w:p>
    <w:p w14:paraId="256CA77F"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 xml:space="preserve">Do disadvantaged apprentices tend to work with firms who previously gave training prior to the levy? </w:t>
      </w:r>
    </w:p>
    <w:p w14:paraId="546284F5"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If not, are there differences in the quality of training or support that disadvantaged apprentices receive, as measured through relevant proxies?</w:t>
      </w:r>
    </w:p>
    <w:p w14:paraId="62939254" w14:textId="77777777" w:rsidR="00E26059" w:rsidRDefault="00E26059" w:rsidP="00E26059">
      <w:pPr>
        <w:pStyle w:val="ListParagraph"/>
        <w:widowControl/>
        <w:numPr>
          <w:ilvl w:val="0"/>
          <w:numId w:val="48"/>
        </w:numPr>
        <w:overflowPunct/>
        <w:autoSpaceDE/>
        <w:autoSpaceDN/>
        <w:adjustRightInd/>
        <w:spacing w:line="276" w:lineRule="auto"/>
        <w:ind w:left="720"/>
        <w:textAlignment w:val="auto"/>
        <w:rPr>
          <w:rFonts w:cs="Arial"/>
        </w:rPr>
      </w:pPr>
      <w:r w:rsidRPr="00A041C8">
        <w:rPr>
          <w:rFonts w:cs="Arial"/>
          <w:b/>
        </w:rPr>
        <w:t>Attrition:</w:t>
      </w:r>
      <w:r>
        <w:rPr>
          <w:rFonts w:cs="Arial"/>
        </w:rPr>
        <w:t xml:space="preserve"> </w:t>
      </w:r>
    </w:p>
    <w:p w14:paraId="52618CDC"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sidRPr="00A041C8">
        <w:rPr>
          <w:rFonts w:cs="Arial"/>
        </w:rPr>
        <w:t>Does attrition from apprenticeships vary by socioeconomic background</w:t>
      </w:r>
      <w:r>
        <w:rPr>
          <w:rFonts w:cs="Arial"/>
        </w:rPr>
        <w:t xml:space="preserve">? </w:t>
      </w:r>
    </w:p>
    <w:p w14:paraId="0365C6CA" w14:textId="77777777" w:rsidR="00E26059" w:rsidRPr="00A041C8"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 xml:space="preserve">Does this change, when controlling for or comparing </w:t>
      </w:r>
      <w:r w:rsidRPr="00A041C8">
        <w:rPr>
          <w:rFonts w:cs="Arial"/>
        </w:rPr>
        <w:t>by level of apprenticeship, and by age?</w:t>
      </w:r>
    </w:p>
    <w:p w14:paraId="7287F850" w14:textId="77777777" w:rsidR="00E26059" w:rsidRDefault="00E26059" w:rsidP="00E26059">
      <w:pPr>
        <w:pStyle w:val="ListParagraph"/>
        <w:widowControl/>
        <w:numPr>
          <w:ilvl w:val="0"/>
          <w:numId w:val="48"/>
        </w:numPr>
        <w:overflowPunct/>
        <w:autoSpaceDE/>
        <w:autoSpaceDN/>
        <w:adjustRightInd/>
        <w:spacing w:line="276" w:lineRule="auto"/>
        <w:ind w:left="720"/>
        <w:textAlignment w:val="auto"/>
        <w:rPr>
          <w:rFonts w:cs="Arial"/>
        </w:rPr>
      </w:pPr>
      <w:r w:rsidRPr="00CE1B8B">
        <w:rPr>
          <w:rFonts w:cs="Arial"/>
          <w:b/>
        </w:rPr>
        <w:t>Progression</w:t>
      </w:r>
      <w:r>
        <w:rPr>
          <w:rFonts w:cs="Arial"/>
        </w:rPr>
        <w:t>:</w:t>
      </w:r>
    </w:p>
    <w:p w14:paraId="654E1975"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lastRenderedPageBreak/>
        <w:t>Where does progression happen within apprenticeships? For whom does it happen, by socioeconomic background?</w:t>
      </w:r>
    </w:p>
    <w:p w14:paraId="00339C36"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Are there differential outcomes associated with progression in the labour market by social background after completing an apprenticeship? Does this change for older compared to younger apprentices?</w:t>
      </w:r>
    </w:p>
    <w:p w14:paraId="56FC7D03" w14:textId="77777777" w:rsidR="00E26059" w:rsidRDefault="00E26059" w:rsidP="00E26059">
      <w:pPr>
        <w:pStyle w:val="ListParagraph"/>
        <w:widowControl/>
        <w:numPr>
          <w:ilvl w:val="0"/>
          <w:numId w:val="48"/>
        </w:numPr>
        <w:overflowPunct/>
        <w:autoSpaceDE/>
        <w:autoSpaceDN/>
        <w:adjustRightInd/>
        <w:spacing w:line="276" w:lineRule="auto"/>
        <w:ind w:left="720"/>
        <w:textAlignment w:val="auto"/>
        <w:rPr>
          <w:rFonts w:cs="Arial"/>
        </w:rPr>
      </w:pPr>
      <w:r w:rsidRPr="00412A9C">
        <w:rPr>
          <w:rFonts w:cs="Arial"/>
          <w:b/>
        </w:rPr>
        <w:t>Outcomes</w:t>
      </w:r>
      <w:r>
        <w:rPr>
          <w:rFonts w:cs="Arial"/>
        </w:rPr>
        <w:t>:</w:t>
      </w:r>
    </w:p>
    <w:p w14:paraId="2F54BB2D" w14:textId="77777777" w:rsidR="00E26059"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What are the labour market outcomes for disadvantaged apprentices, by level of apprenticeship taken, by socioeconomic background, and by course both before and after policy reforms?</w:t>
      </w:r>
    </w:p>
    <w:p w14:paraId="609D8277" w14:textId="77777777" w:rsidR="00E26059" w:rsidRPr="00471C5C" w:rsidRDefault="00E26059" w:rsidP="00E26059">
      <w:pPr>
        <w:pStyle w:val="ListParagraph"/>
        <w:widowControl/>
        <w:numPr>
          <w:ilvl w:val="1"/>
          <w:numId w:val="48"/>
        </w:numPr>
        <w:overflowPunct/>
        <w:autoSpaceDE/>
        <w:autoSpaceDN/>
        <w:adjustRightInd/>
        <w:spacing w:line="276" w:lineRule="auto"/>
        <w:ind w:left="1440"/>
        <w:textAlignment w:val="auto"/>
        <w:rPr>
          <w:rFonts w:cs="Arial"/>
        </w:rPr>
      </w:pPr>
      <w:r>
        <w:rPr>
          <w:rFonts w:cs="Arial"/>
        </w:rPr>
        <w:t>Do apprentices who repeat qualification levels gain a labour market return by doing so (i.e. those who already have a Level 3 qualification and then do a Level 3 apprenticeship)?</w:t>
      </w:r>
    </w:p>
    <w:p w14:paraId="3EBEFCA4" w14:textId="77777777" w:rsidR="00E26059" w:rsidRDefault="00E26059" w:rsidP="00BC41D0">
      <w:pPr>
        <w:spacing w:after="160" w:line="259" w:lineRule="auto"/>
        <w:contextualSpacing/>
        <w:rPr>
          <w:rFonts w:cs="Arial"/>
          <w:b/>
          <w:u w:val="single"/>
        </w:rPr>
      </w:pPr>
    </w:p>
    <w:p w14:paraId="01629526" w14:textId="27A6A2C4" w:rsidR="00BC41D0" w:rsidRPr="00E47944" w:rsidRDefault="00BC41D0" w:rsidP="00E26059">
      <w:pPr>
        <w:spacing w:after="160" w:line="259" w:lineRule="auto"/>
        <w:ind w:left="720"/>
        <w:contextualSpacing/>
        <w:rPr>
          <w:rFonts w:cs="Arial"/>
        </w:rPr>
      </w:pPr>
      <w:r w:rsidRPr="00E47944">
        <w:rPr>
          <w:rFonts w:cs="Arial"/>
          <w:b/>
          <w:u w:val="single"/>
        </w:rPr>
        <w:t>Please note that we do not expect the researchers to answer every question in equal depth.</w:t>
      </w:r>
      <w:r w:rsidRPr="00E47944">
        <w:rPr>
          <w:rFonts w:cs="Arial"/>
        </w:rPr>
        <w:t xml:space="preserve"> </w:t>
      </w:r>
      <w:r w:rsidR="00046651">
        <w:rPr>
          <w:rFonts w:cs="Arial"/>
        </w:rPr>
        <w:t xml:space="preserve">We also acknowledge that some questions may not be possible to answer, dependent on data limitations. </w:t>
      </w:r>
      <w:r w:rsidRPr="00E47944">
        <w:rPr>
          <w:rFonts w:cs="Arial"/>
        </w:rPr>
        <w:t xml:space="preserve">We request that bidders indicate which questions and issues they will focus on primarily (using our suggestions from the ‘research considerations’ section below). </w:t>
      </w:r>
    </w:p>
    <w:p w14:paraId="7C4EE939" w14:textId="77777777" w:rsidR="00F67835" w:rsidRPr="005264BB" w:rsidRDefault="00F67835" w:rsidP="00E26059">
      <w:pPr>
        <w:ind w:left="1440"/>
        <w:rPr>
          <w:rFonts w:cs="Arial"/>
        </w:rPr>
      </w:pPr>
    </w:p>
    <w:p w14:paraId="61C61D6D" w14:textId="77777777" w:rsidR="00E26059" w:rsidRPr="00572F0E" w:rsidRDefault="00E26059" w:rsidP="00E26059">
      <w:pPr>
        <w:pStyle w:val="NoSpacing"/>
        <w:ind w:left="720"/>
        <w:rPr>
          <w:rFonts w:ascii="Arial" w:hAnsi="Arial" w:cs="Arial"/>
        </w:rPr>
      </w:pPr>
      <w:r w:rsidRPr="00572F0E">
        <w:rPr>
          <w:rFonts w:ascii="Arial" w:hAnsi="Arial" w:cs="Arial"/>
        </w:rPr>
        <w:t xml:space="preserve">We envisage that this project will </w:t>
      </w:r>
      <w:r>
        <w:rPr>
          <w:rFonts w:ascii="Arial" w:hAnsi="Arial" w:cs="Arial"/>
        </w:rPr>
        <w:t>be quantitative, using administrative datasets such as LEO or the NPD linked to the ILR. Access to administrative datasets is crucial for this project, in order to assess social mobility outcomes.</w:t>
      </w:r>
    </w:p>
    <w:p w14:paraId="0863BB70" w14:textId="77777777" w:rsidR="00E26059" w:rsidRDefault="00E26059" w:rsidP="00E26059">
      <w:pPr>
        <w:spacing w:line="276" w:lineRule="auto"/>
        <w:ind w:left="720"/>
        <w:rPr>
          <w:rFonts w:cs="Arial"/>
          <w:b/>
        </w:rPr>
      </w:pPr>
    </w:p>
    <w:p w14:paraId="751A6D2F" w14:textId="77777777" w:rsidR="00E26059" w:rsidRPr="004D0DF2" w:rsidRDefault="00E26059" w:rsidP="00E26059">
      <w:pPr>
        <w:spacing w:line="276" w:lineRule="auto"/>
        <w:ind w:left="720"/>
        <w:rPr>
          <w:rFonts w:cs="Arial"/>
        </w:rPr>
      </w:pPr>
      <w:r>
        <w:rPr>
          <w:rFonts w:cs="Arial"/>
        </w:rPr>
        <w:t>This research is intended to allow the Commission to publish several short reports on the topic, in addition to the full final report. For example, short briefings on a) apprentices’ labour market outcomes b) comparisons between younger and older apprentices and c) progression routes for older and younger apprentices.</w:t>
      </w:r>
    </w:p>
    <w:p w14:paraId="11DB9871" w14:textId="77777777" w:rsidR="00E26059" w:rsidRDefault="00E26059" w:rsidP="00E26059">
      <w:pPr>
        <w:spacing w:line="276" w:lineRule="auto"/>
        <w:ind w:left="720"/>
        <w:rPr>
          <w:rFonts w:cs="Arial"/>
          <w:b/>
        </w:rPr>
      </w:pPr>
    </w:p>
    <w:p w14:paraId="3073DDF9" w14:textId="77777777" w:rsidR="00E26059" w:rsidRPr="00E26059" w:rsidRDefault="00E26059" w:rsidP="00E26059">
      <w:pPr>
        <w:spacing w:line="276" w:lineRule="auto"/>
        <w:ind w:left="720"/>
        <w:rPr>
          <w:rFonts w:cs="Arial"/>
          <w:u w:val="single"/>
        </w:rPr>
      </w:pPr>
      <w:r w:rsidRPr="00E26059">
        <w:rPr>
          <w:rFonts w:cs="Arial"/>
          <w:u w:val="single"/>
        </w:rPr>
        <w:t>Research considerations and detail</w:t>
      </w:r>
    </w:p>
    <w:p w14:paraId="681778C4" w14:textId="77777777" w:rsidR="00E26059" w:rsidRPr="008F09AA" w:rsidRDefault="00E26059" w:rsidP="00E26059">
      <w:pPr>
        <w:spacing w:line="276" w:lineRule="auto"/>
        <w:ind w:left="720"/>
        <w:rPr>
          <w:rFonts w:cs="Arial"/>
          <w:b/>
        </w:rPr>
      </w:pPr>
    </w:p>
    <w:p w14:paraId="6780D2D7" w14:textId="77777777" w:rsidR="00E26059" w:rsidRDefault="00E26059" w:rsidP="00E26059">
      <w:pPr>
        <w:pStyle w:val="ListParagraph"/>
        <w:widowControl/>
        <w:numPr>
          <w:ilvl w:val="0"/>
          <w:numId w:val="29"/>
        </w:numPr>
        <w:overflowPunct/>
        <w:autoSpaceDE/>
        <w:autoSpaceDN/>
        <w:adjustRightInd/>
        <w:spacing w:line="276" w:lineRule="auto"/>
        <w:ind w:left="1080"/>
        <w:textAlignment w:val="auto"/>
        <w:rPr>
          <w:rFonts w:cs="Arial"/>
        </w:rPr>
      </w:pPr>
      <w:r>
        <w:rPr>
          <w:rFonts w:cs="Arial"/>
        </w:rPr>
        <w:t>Age range: All those 16 and older. Researchers must follow the Government’s classification groupings for apprentices (i.e. 16-18, 19-24, and 25+).</w:t>
      </w:r>
    </w:p>
    <w:p w14:paraId="54256190" w14:textId="77777777" w:rsidR="00E26059" w:rsidRPr="00D76CCD" w:rsidRDefault="00E26059" w:rsidP="00E26059">
      <w:pPr>
        <w:pStyle w:val="ListParagraph"/>
        <w:ind w:left="1440"/>
        <w:rPr>
          <w:rFonts w:cs="Arial"/>
        </w:rPr>
      </w:pPr>
    </w:p>
    <w:p w14:paraId="391CBAE3" w14:textId="77777777" w:rsidR="00E26059" w:rsidRDefault="00E26059" w:rsidP="00E26059">
      <w:pPr>
        <w:pStyle w:val="ListParagraph"/>
        <w:widowControl/>
        <w:numPr>
          <w:ilvl w:val="0"/>
          <w:numId w:val="29"/>
        </w:numPr>
        <w:overflowPunct/>
        <w:autoSpaceDE/>
        <w:autoSpaceDN/>
        <w:adjustRightInd/>
        <w:spacing w:line="276" w:lineRule="auto"/>
        <w:ind w:left="1080"/>
        <w:textAlignment w:val="auto"/>
        <w:rPr>
          <w:rFonts w:cs="Arial"/>
        </w:rPr>
      </w:pPr>
      <w:r>
        <w:rPr>
          <w:rFonts w:cs="Arial"/>
        </w:rPr>
        <w:t>Prior studies: this work must build upon a growing body of research analysing the labour market returns to apprenticeships. This includes work by the Department for Education and the Centre for Vocational Education Research, as well as work done by the Commission.</w:t>
      </w:r>
    </w:p>
    <w:p w14:paraId="1E3A6DAF" w14:textId="77777777" w:rsidR="00E26059" w:rsidRPr="00A85C05" w:rsidRDefault="00E26059" w:rsidP="00E26059">
      <w:pPr>
        <w:pStyle w:val="ListParagraph"/>
        <w:ind w:left="1440"/>
        <w:rPr>
          <w:rFonts w:cs="Arial"/>
        </w:rPr>
      </w:pPr>
    </w:p>
    <w:p w14:paraId="428E9689" w14:textId="77777777" w:rsidR="00E26059" w:rsidRDefault="00E26059" w:rsidP="00E26059">
      <w:pPr>
        <w:pStyle w:val="ListParagraph"/>
        <w:widowControl/>
        <w:numPr>
          <w:ilvl w:val="0"/>
          <w:numId w:val="29"/>
        </w:numPr>
        <w:overflowPunct/>
        <w:autoSpaceDE/>
        <w:autoSpaceDN/>
        <w:adjustRightInd/>
        <w:spacing w:line="276" w:lineRule="auto"/>
        <w:ind w:left="1080"/>
        <w:textAlignment w:val="auto"/>
        <w:rPr>
          <w:rFonts w:cs="Arial"/>
        </w:rPr>
      </w:pPr>
      <w:r w:rsidRPr="008F09AA">
        <w:rPr>
          <w:rFonts w:cs="Arial"/>
        </w:rPr>
        <w:t xml:space="preserve">Data analysis: This will form the bulk of the research. </w:t>
      </w:r>
      <w:r>
        <w:rPr>
          <w:rFonts w:cs="Arial"/>
        </w:rPr>
        <w:t xml:space="preserve">This will build upon the descriptive data and analysis that the Commission has done in its State of the Nation 2018 report.  More sophisticated analyses (e.g. regressions or Differences in Differences) will be needed and are at the discretion of the researcher to identify in bids. </w:t>
      </w:r>
    </w:p>
    <w:p w14:paraId="7331D5F1" w14:textId="77777777" w:rsidR="00E26059" w:rsidRPr="008D5AE2" w:rsidRDefault="00E26059" w:rsidP="00E26059">
      <w:pPr>
        <w:pStyle w:val="ListParagraph"/>
        <w:ind w:left="1440"/>
        <w:rPr>
          <w:rFonts w:cs="Arial"/>
          <w:sz w:val="10"/>
          <w:szCs w:val="10"/>
        </w:rPr>
      </w:pPr>
    </w:p>
    <w:p w14:paraId="59E96607" w14:textId="77777777" w:rsidR="00E26059" w:rsidRDefault="00E26059" w:rsidP="00E26059">
      <w:pPr>
        <w:pStyle w:val="ListParagraph"/>
        <w:widowControl/>
        <w:numPr>
          <w:ilvl w:val="0"/>
          <w:numId w:val="30"/>
        </w:numPr>
        <w:overflowPunct/>
        <w:autoSpaceDE/>
        <w:autoSpaceDN/>
        <w:adjustRightInd/>
        <w:spacing w:line="276" w:lineRule="auto"/>
        <w:ind w:left="1440"/>
        <w:textAlignment w:val="auto"/>
        <w:rPr>
          <w:rFonts w:cs="Arial"/>
        </w:rPr>
      </w:pPr>
      <w:r w:rsidRPr="004D16E4">
        <w:rPr>
          <w:rFonts w:cs="Arial"/>
        </w:rPr>
        <w:t>Outcomes: We are ultimately interested in social mobility</w:t>
      </w:r>
      <w:r>
        <w:rPr>
          <w:rFonts w:cs="Arial"/>
        </w:rPr>
        <w:t xml:space="preserve"> (i.e. the link between an individual’s eventual occupation or earnings and the occupation or earnings of their parents)</w:t>
      </w:r>
      <w:r w:rsidRPr="004D16E4">
        <w:rPr>
          <w:rFonts w:cs="Arial"/>
        </w:rPr>
        <w:t xml:space="preserve">. </w:t>
      </w:r>
    </w:p>
    <w:p w14:paraId="69FBEE89" w14:textId="77777777" w:rsidR="00E26059" w:rsidRPr="00E53491" w:rsidRDefault="00E26059" w:rsidP="00E26059">
      <w:pPr>
        <w:pStyle w:val="ListParagraph"/>
        <w:spacing w:line="276" w:lineRule="auto"/>
        <w:ind w:left="1440"/>
        <w:rPr>
          <w:rFonts w:cs="Arial"/>
          <w:sz w:val="10"/>
          <w:szCs w:val="10"/>
        </w:rPr>
      </w:pPr>
    </w:p>
    <w:p w14:paraId="00FAEF5D" w14:textId="77777777" w:rsidR="00E26059" w:rsidRDefault="00E26059" w:rsidP="00E26059">
      <w:pPr>
        <w:pStyle w:val="ListParagraph"/>
        <w:widowControl/>
        <w:numPr>
          <w:ilvl w:val="0"/>
          <w:numId w:val="30"/>
        </w:numPr>
        <w:overflowPunct/>
        <w:autoSpaceDE/>
        <w:autoSpaceDN/>
        <w:adjustRightInd/>
        <w:spacing w:line="276" w:lineRule="auto"/>
        <w:ind w:left="1440"/>
        <w:textAlignment w:val="auto"/>
        <w:rPr>
          <w:rFonts w:cs="Arial"/>
        </w:rPr>
      </w:pPr>
      <w:r>
        <w:rPr>
          <w:rFonts w:cs="Arial"/>
        </w:rPr>
        <w:lastRenderedPageBreak/>
        <w:t xml:space="preserve">Regions: Where possible, please cut the data by broad region and area deprivation. </w:t>
      </w:r>
    </w:p>
    <w:p w14:paraId="35BD8459" w14:textId="77777777" w:rsidR="00E26059" w:rsidRPr="004D16E4" w:rsidRDefault="00E26059" w:rsidP="00E26059">
      <w:pPr>
        <w:pStyle w:val="ListParagraph"/>
        <w:spacing w:line="276" w:lineRule="auto"/>
        <w:ind w:left="1440"/>
        <w:rPr>
          <w:rFonts w:cs="Arial"/>
          <w:sz w:val="10"/>
          <w:szCs w:val="10"/>
        </w:rPr>
      </w:pPr>
    </w:p>
    <w:p w14:paraId="428B21B3" w14:textId="77777777" w:rsidR="00E26059" w:rsidRPr="009225F0" w:rsidRDefault="00E26059" w:rsidP="00E26059">
      <w:pPr>
        <w:pStyle w:val="ListParagraph"/>
        <w:widowControl/>
        <w:numPr>
          <w:ilvl w:val="0"/>
          <w:numId w:val="30"/>
        </w:numPr>
        <w:overflowPunct/>
        <w:autoSpaceDE/>
        <w:autoSpaceDN/>
        <w:adjustRightInd/>
        <w:spacing w:line="276" w:lineRule="auto"/>
        <w:ind w:left="1440"/>
        <w:textAlignment w:val="auto"/>
        <w:rPr>
          <w:rFonts w:cs="Arial"/>
        </w:rPr>
      </w:pPr>
      <w:r w:rsidRPr="009225F0">
        <w:rPr>
          <w:rFonts w:cs="Arial"/>
        </w:rPr>
        <w:t xml:space="preserve">Controls: Appropriate controls will need to be in place to allow conclusions to be drawn about the impact of </w:t>
      </w:r>
      <w:r>
        <w:rPr>
          <w:rFonts w:cs="Arial"/>
        </w:rPr>
        <w:t xml:space="preserve">apprenticeships </w:t>
      </w:r>
      <w:r w:rsidRPr="009225F0">
        <w:rPr>
          <w:rFonts w:cs="Arial"/>
        </w:rPr>
        <w:t>on individuals’ attainment and employment outcomes.</w:t>
      </w:r>
    </w:p>
    <w:p w14:paraId="6E98AD63" w14:textId="77777777" w:rsidR="00E26059" w:rsidRPr="008D5AE2" w:rsidRDefault="00E26059" w:rsidP="00E26059">
      <w:pPr>
        <w:spacing w:line="276" w:lineRule="auto"/>
        <w:ind w:left="1080"/>
        <w:rPr>
          <w:rFonts w:cs="Arial"/>
          <w:sz w:val="10"/>
          <w:szCs w:val="10"/>
        </w:rPr>
      </w:pPr>
    </w:p>
    <w:p w14:paraId="7240953D" w14:textId="77777777" w:rsidR="00E26059" w:rsidRPr="009225F0" w:rsidRDefault="00E26059" w:rsidP="00E26059">
      <w:pPr>
        <w:pStyle w:val="ListParagraph"/>
        <w:widowControl/>
        <w:numPr>
          <w:ilvl w:val="0"/>
          <w:numId w:val="30"/>
        </w:numPr>
        <w:overflowPunct/>
        <w:autoSpaceDE/>
        <w:autoSpaceDN/>
        <w:adjustRightInd/>
        <w:spacing w:line="276" w:lineRule="auto"/>
        <w:ind w:left="1440"/>
        <w:textAlignment w:val="auto"/>
        <w:rPr>
          <w:rFonts w:cs="Arial"/>
        </w:rPr>
      </w:pPr>
      <w:r w:rsidRPr="009225F0">
        <w:rPr>
          <w:rFonts w:cs="Arial"/>
        </w:rPr>
        <w:t xml:space="preserve">Measures of socioeconomic background: </w:t>
      </w:r>
      <w:r>
        <w:rPr>
          <w:rFonts w:cs="Arial"/>
        </w:rPr>
        <w:t>These could include</w:t>
      </w:r>
      <w:r w:rsidRPr="009225F0">
        <w:rPr>
          <w:rFonts w:cs="Arial"/>
        </w:rPr>
        <w:t xml:space="preserve"> any of, or a combination of, the common measures used by government. These </w:t>
      </w:r>
      <w:proofErr w:type="gramStart"/>
      <w:r w:rsidRPr="009225F0">
        <w:rPr>
          <w:rFonts w:cs="Arial"/>
        </w:rPr>
        <w:t>include:</w:t>
      </w:r>
      <w:proofErr w:type="gramEnd"/>
      <w:r w:rsidRPr="009225F0">
        <w:rPr>
          <w:rFonts w:cs="Arial"/>
        </w:rPr>
        <w:t xml:space="preserve"> eligibility for Free School Meals, </w:t>
      </w:r>
      <w:r>
        <w:rPr>
          <w:rFonts w:cs="Arial"/>
        </w:rPr>
        <w:t xml:space="preserve">parental education, </w:t>
      </w:r>
      <w:r w:rsidRPr="009225F0">
        <w:rPr>
          <w:rFonts w:cs="Arial"/>
        </w:rPr>
        <w:t xml:space="preserve">parental occupation (measured by the NS-SEC), </w:t>
      </w:r>
      <w:r>
        <w:rPr>
          <w:rFonts w:cs="Arial"/>
        </w:rPr>
        <w:t xml:space="preserve">Indices of Multiple Deprivation, </w:t>
      </w:r>
      <w:r w:rsidRPr="009225F0">
        <w:rPr>
          <w:rFonts w:cs="Arial"/>
        </w:rPr>
        <w:t>parental income, type of school attended, name of school attended, home postcode.</w:t>
      </w:r>
    </w:p>
    <w:p w14:paraId="32AA431E" w14:textId="77777777" w:rsidR="00E26059" w:rsidRPr="008D5AE2" w:rsidRDefault="00E26059" w:rsidP="00E26059">
      <w:pPr>
        <w:pStyle w:val="ListParagraph"/>
        <w:ind w:left="1440"/>
        <w:rPr>
          <w:rFonts w:cs="Arial"/>
          <w:sz w:val="10"/>
          <w:szCs w:val="10"/>
        </w:rPr>
      </w:pPr>
    </w:p>
    <w:p w14:paraId="48DD9669" w14:textId="77777777" w:rsidR="00E26059" w:rsidRPr="008F09AA" w:rsidRDefault="00E26059" w:rsidP="00E26059">
      <w:pPr>
        <w:pStyle w:val="ListParagraph"/>
        <w:widowControl/>
        <w:numPr>
          <w:ilvl w:val="0"/>
          <w:numId w:val="30"/>
        </w:numPr>
        <w:overflowPunct/>
        <w:autoSpaceDE/>
        <w:autoSpaceDN/>
        <w:adjustRightInd/>
        <w:spacing w:line="276" w:lineRule="auto"/>
        <w:ind w:left="1440"/>
        <w:textAlignment w:val="auto"/>
        <w:rPr>
          <w:rFonts w:cs="Arial"/>
        </w:rPr>
      </w:pPr>
      <w:r w:rsidRPr="008F09AA">
        <w:rPr>
          <w:rFonts w:cs="Arial"/>
        </w:rPr>
        <w:t xml:space="preserve">Recommended data sources:  </w:t>
      </w:r>
    </w:p>
    <w:p w14:paraId="77E0230B" w14:textId="77777777" w:rsidR="00E26059" w:rsidRDefault="00E26059" w:rsidP="00E26059">
      <w:pPr>
        <w:pStyle w:val="ListParagraph"/>
        <w:widowControl/>
        <w:numPr>
          <w:ilvl w:val="0"/>
          <w:numId w:val="31"/>
        </w:numPr>
        <w:overflowPunct/>
        <w:autoSpaceDE/>
        <w:autoSpaceDN/>
        <w:adjustRightInd/>
        <w:ind w:left="1800"/>
        <w:textAlignment w:val="auto"/>
        <w:rPr>
          <w:rFonts w:cs="Arial"/>
        </w:rPr>
      </w:pPr>
      <w:r w:rsidRPr="005264BB">
        <w:rPr>
          <w:rFonts w:cs="Arial"/>
        </w:rPr>
        <w:t>NPD</w:t>
      </w:r>
      <w:r>
        <w:rPr>
          <w:rFonts w:cs="Arial"/>
        </w:rPr>
        <w:t xml:space="preserve"> linked to ILR</w:t>
      </w:r>
    </w:p>
    <w:p w14:paraId="6CAD4239" w14:textId="77777777" w:rsidR="00E26059" w:rsidRDefault="00E26059" w:rsidP="00E26059">
      <w:pPr>
        <w:pStyle w:val="ListParagraph"/>
        <w:widowControl/>
        <w:numPr>
          <w:ilvl w:val="0"/>
          <w:numId w:val="31"/>
        </w:numPr>
        <w:overflowPunct/>
        <w:autoSpaceDE/>
        <w:autoSpaceDN/>
        <w:adjustRightInd/>
        <w:ind w:left="1800"/>
        <w:textAlignment w:val="auto"/>
        <w:rPr>
          <w:rFonts w:cs="Arial"/>
        </w:rPr>
      </w:pPr>
      <w:r>
        <w:rPr>
          <w:rFonts w:cs="Arial"/>
        </w:rPr>
        <w:t>LEO</w:t>
      </w:r>
    </w:p>
    <w:p w14:paraId="4DD26DD5" w14:textId="77777777" w:rsidR="00E26059" w:rsidRPr="005264BB" w:rsidRDefault="00E26059" w:rsidP="00E26059">
      <w:pPr>
        <w:pStyle w:val="ListParagraph"/>
        <w:widowControl/>
        <w:numPr>
          <w:ilvl w:val="0"/>
          <w:numId w:val="31"/>
        </w:numPr>
        <w:overflowPunct/>
        <w:autoSpaceDE/>
        <w:autoSpaceDN/>
        <w:adjustRightInd/>
        <w:ind w:left="1800"/>
        <w:textAlignment w:val="auto"/>
        <w:rPr>
          <w:rFonts w:cs="Arial"/>
        </w:rPr>
      </w:pPr>
      <w:r>
        <w:rPr>
          <w:rFonts w:cs="Arial"/>
        </w:rPr>
        <w:t xml:space="preserve">Other datasets that researchers feel could appropriately answer the questions posed in </w:t>
      </w:r>
      <w:proofErr w:type="gramStart"/>
      <w:r>
        <w:rPr>
          <w:rFonts w:cs="Arial"/>
        </w:rPr>
        <w:t>sufficient</w:t>
      </w:r>
      <w:proofErr w:type="gramEnd"/>
      <w:r>
        <w:rPr>
          <w:rFonts w:cs="Arial"/>
        </w:rPr>
        <w:t xml:space="preserve"> depth.</w:t>
      </w:r>
    </w:p>
    <w:p w14:paraId="1CCC583A" w14:textId="77777777" w:rsidR="00E26059" w:rsidRPr="005264BB" w:rsidRDefault="00E26059" w:rsidP="00E26059">
      <w:pPr>
        <w:ind w:left="1080"/>
        <w:rPr>
          <w:rFonts w:cs="Arial"/>
        </w:rPr>
      </w:pPr>
    </w:p>
    <w:p w14:paraId="6661665C" w14:textId="77777777" w:rsidR="00E26059" w:rsidRPr="00CB47A7" w:rsidRDefault="00E26059" w:rsidP="00E26059">
      <w:pPr>
        <w:pStyle w:val="ListParagraph"/>
        <w:widowControl/>
        <w:numPr>
          <w:ilvl w:val="0"/>
          <w:numId w:val="32"/>
        </w:numPr>
        <w:overflowPunct/>
        <w:autoSpaceDE/>
        <w:autoSpaceDN/>
        <w:adjustRightInd/>
        <w:spacing w:line="276" w:lineRule="auto"/>
        <w:ind w:left="1080"/>
        <w:textAlignment w:val="auto"/>
        <w:rPr>
          <w:rFonts w:cs="Arial"/>
        </w:rPr>
      </w:pPr>
      <w:r w:rsidRPr="00CB47A7">
        <w:rPr>
          <w:rFonts w:cs="Arial"/>
        </w:rPr>
        <w:t xml:space="preserve">Bidders are </w:t>
      </w:r>
      <w:r>
        <w:rPr>
          <w:rFonts w:cs="Arial"/>
        </w:rPr>
        <w:t>permitted</w:t>
      </w:r>
      <w:r w:rsidRPr="00CB47A7">
        <w:rPr>
          <w:rFonts w:cs="Arial"/>
        </w:rPr>
        <w:t xml:space="preserve"> to </w:t>
      </w:r>
      <w:r>
        <w:rPr>
          <w:rFonts w:cs="Arial"/>
        </w:rPr>
        <w:t>sub-contract</w:t>
      </w:r>
      <w:r w:rsidRPr="00CB47A7">
        <w:rPr>
          <w:rFonts w:cs="Arial"/>
        </w:rPr>
        <w:t xml:space="preserve">, but should </w:t>
      </w:r>
      <w:r>
        <w:rPr>
          <w:rFonts w:cs="Arial"/>
        </w:rPr>
        <w:t>indicate this clearly, with rationales, in the bids</w:t>
      </w:r>
      <w:r w:rsidRPr="00CB47A7">
        <w:rPr>
          <w:rFonts w:cs="Arial"/>
        </w:rPr>
        <w:t xml:space="preserve">. </w:t>
      </w:r>
    </w:p>
    <w:p w14:paraId="41A0C797" w14:textId="77777777" w:rsidR="00E26059" w:rsidRPr="00C73AFE" w:rsidRDefault="00E26059" w:rsidP="00E26059">
      <w:pPr>
        <w:pStyle w:val="ListParagraph"/>
        <w:rPr>
          <w:rFonts w:cs="Arial"/>
        </w:rPr>
      </w:pPr>
    </w:p>
    <w:p w14:paraId="57E32A88" w14:textId="77777777" w:rsidR="002F14C5" w:rsidRPr="00892E53" w:rsidRDefault="002F14C5" w:rsidP="00CE05D3">
      <w:pPr>
        <w:pStyle w:val="BalloonText"/>
        <w:rPr>
          <w:rFonts w:cs="Arial"/>
          <w:sz w:val="22"/>
          <w:szCs w:val="22"/>
        </w:rPr>
      </w:pPr>
    </w:p>
    <w:p w14:paraId="40E37DD8" w14:textId="77777777" w:rsidR="002F14C5" w:rsidRDefault="002F14C5" w:rsidP="00686C76">
      <w:pPr>
        <w:pStyle w:val="Numbered"/>
        <w:widowControl/>
        <w:rPr>
          <w:i/>
          <w:color w:val="000000"/>
        </w:rPr>
      </w:pPr>
      <w:r>
        <w:rPr>
          <w:b/>
          <w:color w:val="000000"/>
        </w:rPr>
        <w:t>3</w:t>
      </w:r>
      <w:r>
        <w:rPr>
          <w:b/>
          <w:color w:val="000000"/>
        </w:rPr>
        <w:tab/>
        <w:t>Methodology</w:t>
      </w:r>
    </w:p>
    <w:p w14:paraId="725FAA85" w14:textId="77777777" w:rsidR="002F14C5" w:rsidRPr="0063440F" w:rsidRDefault="002F14C5" w:rsidP="00686C76">
      <w:pPr>
        <w:widowControl/>
        <w:overflowPunct/>
        <w:autoSpaceDE/>
        <w:autoSpaceDN/>
        <w:adjustRightInd/>
        <w:ind w:left="720"/>
        <w:textAlignment w:val="auto"/>
        <w:rPr>
          <w:rFonts w:eastAsia="Calibri" w:cs="Arial"/>
        </w:rPr>
      </w:pPr>
      <w:r w:rsidRPr="0063440F">
        <w:rPr>
          <w:rFonts w:eastAsia="Calibri" w:cs="Arial"/>
        </w:rPr>
        <w:t xml:space="preserve">Bidders are asked to set out the proposed methodology for answering the research questions. </w:t>
      </w:r>
      <w:r w:rsidRPr="0063440F">
        <w:rPr>
          <w:rFonts w:eastAsia="Calibri" w:cs="Arial"/>
          <w:u w:val="single"/>
        </w:rPr>
        <w:t>We do not expect every bid to answer each research question in a similar depth of detail.</w:t>
      </w:r>
      <w:r w:rsidRPr="0063440F">
        <w:rPr>
          <w:rFonts w:eastAsia="Calibri" w:cs="Arial"/>
          <w:b/>
        </w:rPr>
        <w:t xml:space="preserve"> </w:t>
      </w:r>
    </w:p>
    <w:p w14:paraId="5B1DB576" w14:textId="77777777" w:rsidR="002F14C5" w:rsidRPr="0063440F" w:rsidRDefault="002F14C5" w:rsidP="00686C76">
      <w:pPr>
        <w:widowControl/>
        <w:overflowPunct/>
        <w:autoSpaceDE/>
        <w:autoSpaceDN/>
        <w:adjustRightInd/>
        <w:ind w:left="720"/>
        <w:textAlignment w:val="auto"/>
        <w:rPr>
          <w:rFonts w:eastAsia="Calibri" w:cs="Arial"/>
        </w:rPr>
      </w:pPr>
    </w:p>
    <w:p w14:paraId="162A5065" w14:textId="77777777" w:rsidR="00E26059" w:rsidRDefault="00E26059" w:rsidP="00E26059">
      <w:pPr>
        <w:spacing w:line="276" w:lineRule="auto"/>
        <w:ind w:left="720"/>
        <w:rPr>
          <w:rFonts w:cs="Arial"/>
        </w:rPr>
      </w:pPr>
      <w:r>
        <w:rPr>
          <w:rFonts w:cs="Arial"/>
        </w:rPr>
        <w:t xml:space="preserve">While we do not restrict the quantitative methodology choices in this bid, we expect bidders to be clear on their selected methodological approaches. </w:t>
      </w:r>
      <w:proofErr w:type="gramStart"/>
      <w:r>
        <w:rPr>
          <w:rFonts w:cs="Arial"/>
        </w:rPr>
        <w:t>Sufficient</w:t>
      </w:r>
      <w:proofErr w:type="gramEnd"/>
      <w:r>
        <w:rPr>
          <w:rFonts w:cs="Arial"/>
        </w:rPr>
        <w:t xml:space="preserve"> methodological detail should be included in bids in order to show how research questions will be answered.</w:t>
      </w:r>
    </w:p>
    <w:p w14:paraId="705AF60D" w14:textId="77777777" w:rsidR="00E26059" w:rsidRDefault="00E26059" w:rsidP="00E26059">
      <w:pPr>
        <w:spacing w:line="276" w:lineRule="auto"/>
        <w:rPr>
          <w:rFonts w:cs="Arial"/>
        </w:rPr>
      </w:pPr>
    </w:p>
    <w:p w14:paraId="6C9E35E0" w14:textId="77777777" w:rsidR="00E26059" w:rsidRDefault="00E26059" w:rsidP="00E26059">
      <w:pPr>
        <w:spacing w:line="276" w:lineRule="auto"/>
        <w:ind w:left="720"/>
        <w:rPr>
          <w:rFonts w:cs="Arial"/>
        </w:rPr>
      </w:pPr>
      <w:r w:rsidRPr="00BB07D1">
        <w:rPr>
          <w:rFonts w:cs="Arial"/>
        </w:rPr>
        <w:t>The Commission seeks ambitious and robust proposals. Bids will be judged on the proposed approach, expertise of team</w:t>
      </w:r>
      <w:r>
        <w:rPr>
          <w:rFonts w:cs="Arial"/>
        </w:rPr>
        <w:t>,</w:t>
      </w:r>
      <w:r w:rsidRPr="00BB07D1">
        <w:rPr>
          <w:rFonts w:cs="Arial"/>
        </w:rPr>
        <w:t xml:space="preserve"> and value for money.</w:t>
      </w:r>
    </w:p>
    <w:p w14:paraId="797AC4D5" w14:textId="29C792AF" w:rsidR="002F14C5" w:rsidRPr="00F84384" w:rsidRDefault="00CE05D3" w:rsidP="00E26059">
      <w:pPr>
        <w:spacing w:line="276" w:lineRule="auto"/>
        <w:ind w:left="720"/>
        <w:rPr>
          <w:rFonts w:eastAsia="Calibri" w:cs="Arial"/>
          <w:u w:val="single"/>
        </w:rPr>
      </w:pPr>
      <w:r>
        <w:rPr>
          <w:rFonts w:cs="Arial"/>
        </w:rPr>
        <w:br/>
      </w:r>
      <w:r w:rsidR="002F14C5" w:rsidRPr="00F84384">
        <w:rPr>
          <w:rFonts w:eastAsia="Calibri" w:cs="Arial"/>
          <w:u w:val="single"/>
        </w:rPr>
        <w:t xml:space="preserve">Report drafting </w:t>
      </w:r>
    </w:p>
    <w:p w14:paraId="75DE2353" w14:textId="77777777" w:rsidR="002F14C5" w:rsidRPr="00F35218" w:rsidRDefault="002F14C5" w:rsidP="00686C76">
      <w:pPr>
        <w:widowControl/>
        <w:overflowPunct/>
        <w:autoSpaceDE/>
        <w:autoSpaceDN/>
        <w:adjustRightInd/>
        <w:ind w:left="720"/>
        <w:textAlignment w:val="auto"/>
        <w:rPr>
          <w:rFonts w:eastAsia="Calibri" w:cs="Arial"/>
        </w:rPr>
      </w:pPr>
    </w:p>
    <w:p w14:paraId="66A7F5D0" w14:textId="77777777" w:rsidR="00E26059" w:rsidRDefault="00E26059" w:rsidP="00E26059">
      <w:pPr>
        <w:spacing w:line="276" w:lineRule="auto"/>
        <w:ind w:left="720"/>
        <w:rPr>
          <w:rFonts w:cs="Arial"/>
        </w:rPr>
      </w:pPr>
      <w:r w:rsidRPr="00BB07D1">
        <w:rPr>
          <w:rFonts w:cs="Arial"/>
        </w:rPr>
        <w:t>The audience for this research will be UK policy makers</w:t>
      </w:r>
      <w:r>
        <w:rPr>
          <w:rFonts w:cs="Arial"/>
        </w:rPr>
        <w:t>, apprenticeship providers, employers, and stakeholders addressing social mobility issues, and the general public.</w:t>
      </w:r>
      <w:r w:rsidRPr="00BB07D1">
        <w:rPr>
          <w:rFonts w:cs="Arial"/>
        </w:rPr>
        <w:t xml:space="preserve"> </w:t>
      </w:r>
    </w:p>
    <w:p w14:paraId="548E1875" w14:textId="77777777" w:rsidR="00E26059" w:rsidRDefault="00E26059" w:rsidP="00E26059">
      <w:pPr>
        <w:spacing w:line="276" w:lineRule="auto"/>
        <w:ind w:left="720"/>
        <w:rPr>
          <w:rFonts w:cs="Arial"/>
        </w:rPr>
      </w:pPr>
    </w:p>
    <w:p w14:paraId="6A4D2FEC" w14:textId="77777777" w:rsidR="00E26059" w:rsidRDefault="00E26059" w:rsidP="00E26059">
      <w:pPr>
        <w:spacing w:line="276" w:lineRule="auto"/>
        <w:ind w:left="720"/>
        <w:rPr>
          <w:rFonts w:cs="Arial"/>
        </w:rPr>
      </w:pPr>
      <w:r>
        <w:rPr>
          <w:rFonts w:cs="Arial"/>
        </w:rPr>
        <w:t xml:space="preserve">In addition to the final report, we would ideally publish a few short briefings on specific issues – including a separate report on any primary research conducted and/or a briefing on key findings – as well as the full final report. We hope this will generate media coverage of key issues and increase the public’s understanding of social mobility. </w:t>
      </w:r>
    </w:p>
    <w:p w14:paraId="2E344E65" w14:textId="77777777" w:rsidR="00E26059" w:rsidRDefault="00E26059" w:rsidP="00E26059">
      <w:pPr>
        <w:spacing w:line="276" w:lineRule="auto"/>
        <w:ind w:left="720"/>
        <w:rPr>
          <w:rFonts w:cs="Arial"/>
        </w:rPr>
      </w:pPr>
    </w:p>
    <w:p w14:paraId="27B0547B" w14:textId="77777777" w:rsidR="00E26059" w:rsidRDefault="00E26059" w:rsidP="00E26059">
      <w:pPr>
        <w:spacing w:line="276" w:lineRule="auto"/>
        <w:ind w:left="720"/>
        <w:rPr>
          <w:rFonts w:cs="Arial"/>
        </w:rPr>
      </w:pPr>
      <w:r>
        <w:rPr>
          <w:rFonts w:cs="Arial"/>
        </w:rPr>
        <w:t xml:space="preserve">The final report should include full details of the methodology, data and analysis, and recommendations for policy changes. </w:t>
      </w:r>
      <w:r>
        <w:rPr>
          <w:rFonts w:cs="Arial"/>
          <w:u w:val="single"/>
        </w:rPr>
        <w:t xml:space="preserve">It is essential that proposed solutions </w:t>
      </w:r>
      <w:r>
        <w:rPr>
          <w:rFonts w:cs="Arial"/>
          <w:u w:val="single"/>
        </w:rPr>
        <w:lastRenderedPageBreak/>
        <w:t>to address any socio-economic gaps are included in the report.</w:t>
      </w:r>
    </w:p>
    <w:p w14:paraId="32A5B9B7" w14:textId="77777777" w:rsidR="00E26059" w:rsidRPr="00BB07D1" w:rsidRDefault="00E26059" w:rsidP="00E26059">
      <w:pPr>
        <w:spacing w:line="276" w:lineRule="auto"/>
        <w:ind w:left="720"/>
        <w:rPr>
          <w:rFonts w:cs="Arial"/>
        </w:rPr>
      </w:pPr>
    </w:p>
    <w:p w14:paraId="1AD282D1" w14:textId="77777777" w:rsidR="00E26059" w:rsidRPr="00BB07D1" w:rsidRDefault="00E26059" w:rsidP="00E26059">
      <w:pPr>
        <w:spacing w:line="276" w:lineRule="auto"/>
        <w:ind w:left="720"/>
        <w:rPr>
          <w:rFonts w:cs="Arial"/>
          <w:i/>
        </w:rPr>
      </w:pPr>
      <w:r>
        <w:rPr>
          <w:rFonts w:cs="Arial"/>
        </w:rPr>
        <w:t>All reports will</w:t>
      </w:r>
      <w:r w:rsidRPr="00BB07D1">
        <w:rPr>
          <w:rFonts w:cs="Arial"/>
        </w:rPr>
        <w:t xml:space="preserve"> be published on the Social Mobility Commission gov.uk website. This research will support the work of the Social Mobility Commission in developing our analysis and policy recommendations. </w:t>
      </w:r>
    </w:p>
    <w:p w14:paraId="0778A81B" w14:textId="77777777" w:rsidR="002F14C5" w:rsidRDefault="002F14C5" w:rsidP="00686C76">
      <w:pPr>
        <w:pStyle w:val="Numbered"/>
        <w:widowControl/>
        <w:ind w:left="720" w:firstLine="720"/>
        <w:rPr>
          <w:rFonts w:cs="Arial"/>
        </w:rPr>
      </w:pPr>
    </w:p>
    <w:p w14:paraId="3AD5BAEC" w14:textId="77777777" w:rsidR="002F14C5" w:rsidRDefault="002F14C5" w:rsidP="00686C76">
      <w:pPr>
        <w:pStyle w:val="Numbered"/>
        <w:widowControl/>
        <w:rPr>
          <w:i/>
          <w:color w:val="000000"/>
        </w:rPr>
      </w:pPr>
      <w:r>
        <w:rPr>
          <w:b/>
          <w:color w:val="000000"/>
        </w:rPr>
        <w:t>4</w:t>
      </w:r>
      <w:r>
        <w:rPr>
          <w:b/>
          <w:color w:val="000000"/>
        </w:rPr>
        <w:tab/>
        <w:t>Management Information</w:t>
      </w:r>
    </w:p>
    <w:p w14:paraId="3470C288" w14:textId="77777777" w:rsidR="002F14C5" w:rsidRDefault="002F14C5" w:rsidP="00686C76">
      <w:pPr>
        <w:pStyle w:val="Numbered"/>
        <w:widowControl/>
        <w:ind w:left="720" w:hanging="720"/>
        <w:rPr>
          <w:color w:val="000000"/>
        </w:rPr>
      </w:pPr>
      <w:r>
        <w:rPr>
          <w:b/>
          <w:color w:val="000000"/>
        </w:rPr>
        <w:tab/>
      </w:r>
      <w:r>
        <w:rPr>
          <w:color w:val="000000"/>
        </w:rPr>
        <w:t>The successful tenderer will be asked to provide management information to meet the needs of the Commission.  The minimum information needs are:</w:t>
      </w:r>
    </w:p>
    <w:p w14:paraId="64E3AA3B" w14:textId="77777777" w:rsidR="002F14C5" w:rsidRDefault="002F14C5" w:rsidP="00EA4286">
      <w:pPr>
        <w:pStyle w:val="Numbered"/>
        <w:widowControl/>
        <w:numPr>
          <w:ilvl w:val="0"/>
          <w:numId w:val="39"/>
        </w:numPr>
        <w:rPr>
          <w:color w:val="000000"/>
        </w:rPr>
      </w:pPr>
      <w:r>
        <w:rPr>
          <w:color w:val="000000"/>
        </w:rPr>
        <w:t>Three in-person meetings:</w:t>
      </w:r>
    </w:p>
    <w:p w14:paraId="0D067693" w14:textId="77777777" w:rsidR="002F14C5" w:rsidRDefault="002F14C5" w:rsidP="00EA4286">
      <w:pPr>
        <w:pStyle w:val="Numbered"/>
        <w:widowControl/>
        <w:numPr>
          <w:ilvl w:val="1"/>
          <w:numId w:val="39"/>
        </w:numPr>
        <w:rPr>
          <w:color w:val="000000"/>
        </w:rPr>
      </w:pPr>
      <w:r>
        <w:rPr>
          <w:color w:val="000000"/>
        </w:rPr>
        <w:t>Kick-off meeting at the start of the project (no documentation required)</w:t>
      </w:r>
    </w:p>
    <w:p w14:paraId="4BFF9069" w14:textId="77777777" w:rsidR="002F14C5" w:rsidRDefault="002F14C5" w:rsidP="00EA4286">
      <w:pPr>
        <w:pStyle w:val="Numbered"/>
        <w:widowControl/>
        <w:numPr>
          <w:ilvl w:val="1"/>
          <w:numId w:val="39"/>
        </w:numPr>
        <w:rPr>
          <w:color w:val="000000"/>
        </w:rPr>
      </w:pPr>
      <w:r>
        <w:rPr>
          <w:color w:val="000000"/>
        </w:rPr>
        <w:t>Mid-point review (requires a mid-point report)</w:t>
      </w:r>
      <w:r w:rsidR="00CE05D3">
        <w:rPr>
          <w:color w:val="000000"/>
        </w:rPr>
        <w:t xml:space="preserve"> </w:t>
      </w:r>
      <w:r w:rsidR="00CE05D3">
        <w:rPr>
          <w:rFonts w:cs="Arial"/>
        </w:rPr>
        <w:t>October 2019 to potentially feed into the Commission’s annual State of the Nation report</w:t>
      </w:r>
    </w:p>
    <w:p w14:paraId="2653F007" w14:textId="77777777" w:rsidR="002F14C5" w:rsidRDefault="002F14C5" w:rsidP="00EA4286">
      <w:pPr>
        <w:pStyle w:val="Numbered"/>
        <w:widowControl/>
        <w:numPr>
          <w:ilvl w:val="1"/>
          <w:numId w:val="39"/>
        </w:numPr>
        <w:rPr>
          <w:color w:val="000000"/>
        </w:rPr>
      </w:pPr>
      <w:r>
        <w:rPr>
          <w:color w:val="000000"/>
        </w:rPr>
        <w:t>Final report (requires final reports)</w:t>
      </w:r>
      <w:r w:rsidR="00CE05D3">
        <w:rPr>
          <w:color w:val="000000"/>
        </w:rPr>
        <w:t xml:space="preserve"> by </w:t>
      </w:r>
      <w:r w:rsidR="00CE05D3" w:rsidRPr="005E0699">
        <w:rPr>
          <w:rFonts w:cs="Arial"/>
        </w:rPr>
        <w:t>the second week of March 20</w:t>
      </w:r>
      <w:r w:rsidR="00CE05D3">
        <w:rPr>
          <w:rFonts w:cs="Arial"/>
        </w:rPr>
        <w:t>20</w:t>
      </w:r>
    </w:p>
    <w:p w14:paraId="7D2BF4E3" w14:textId="77777777" w:rsidR="002F14C5" w:rsidRDefault="002F14C5" w:rsidP="00EA4286">
      <w:pPr>
        <w:pStyle w:val="Numbered"/>
        <w:widowControl/>
        <w:numPr>
          <w:ilvl w:val="0"/>
          <w:numId w:val="39"/>
        </w:numPr>
        <w:rPr>
          <w:color w:val="000000"/>
        </w:rPr>
      </w:pPr>
      <w:r>
        <w:rPr>
          <w:color w:val="000000"/>
        </w:rPr>
        <w:t>Informal check-in meetings by phone or Skype every other month, in between the in-person meetings.</w:t>
      </w:r>
    </w:p>
    <w:p w14:paraId="1A5E9916" w14:textId="77777777" w:rsidR="000A26DF" w:rsidRDefault="000A26DF" w:rsidP="00EA4286">
      <w:pPr>
        <w:pStyle w:val="Numbered"/>
        <w:widowControl/>
        <w:numPr>
          <w:ilvl w:val="0"/>
          <w:numId w:val="39"/>
        </w:numPr>
        <w:rPr>
          <w:color w:val="000000"/>
        </w:rPr>
      </w:pPr>
      <w:r>
        <w:rPr>
          <w:color w:val="000000"/>
        </w:rPr>
        <w:t>A meeting(s), either in person or via phone or Skype to agree the structure and content of reports prior to their being drafted.</w:t>
      </w:r>
    </w:p>
    <w:p w14:paraId="3A2394C5" w14:textId="77777777" w:rsidR="002F14C5" w:rsidRDefault="002F14C5" w:rsidP="00EA4286">
      <w:pPr>
        <w:pStyle w:val="Numbered"/>
        <w:widowControl/>
        <w:numPr>
          <w:ilvl w:val="0"/>
          <w:numId w:val="39"/>
        </w:numPr>
        <w:rPr>
          <w:color w:val="000000"/>
        </w:rPr>
      </w:pPr>
      <w:r>
        <w:rPr>
          <w:color w:val="000000"/>
        </w:rPr>
        <w:t>Communication as needed, when barriers and challenges arise.</w:t>
      </w:r>
    </w:p>
    <w:p w14:paraId="020F10C1" w14:textId="77777777" w:rsidR="002F14C5" w:rsidRDefault="002F14C5" w:rsidP="00686C76">
      <w:pPr>
        <w:pStyle w:val="Numbered"/>
        <w:widowControl/>
        <w:rPr>
          <w:color w:val="000000"/>
        </w:rPr>
      </w:pPr>
      <w:r>
        <w:rPr>
          <w:b/>
          <w:color w:val="000000"/>
        </w:rPr>
        <w:t>5</w:t>
      </w:r>
      <w:r>
        <w:rPr>
          <w:b/>
          <w:color w:val="000000"/>
        </w:rPr>
        <w:tab/>
        <w:t>Security of Data</w:t>
      </w:r>
    </w:p>
    <w:p w14:paraId="17025EA8" w14:textId="77777777" w:rsidR="002F14C5" w:rsidRPr="00B37B0E" w:rsidRDefault="002F14C5" w:rsidP="00686C76">
      <w:pPr>
        <w:pStyle w:val="Numbered"/>
        <w:widowControl/>
        <w:ind w:left="720"/>
        <w:rPr>
          <w:color w:val="000000"/>
        </w:rPr>
      </w:pPr>
      <w:r w:rsidRPr="00B37B0E">
        <w:rPr>
          <w:color w:val="000000"/>
        </w:rPr>
        <w:t>Please submit a security plan that explains how you will ensure that departmental or personal data will be protected.</w:t>
      </w:r>
    </w:p>
    <w:p w14:paraId="50F622C2" w14:textId="77777777" w:rsidR="002F14C5" w:rsidRDefault="002F14C5" w:rsidP="00686C76">
      <w:pPr>
        <w:pStyle w:val="Numbered"/>
        <w:widowControl/>
        <w:rPr>
          <w:b/>
          <w:color w:val="000000"/>
        </w:rPr>
      </w:pPr>
      <w:r>
        <w:rPr>
          <w:b/>
          <w:color w:val="000000"/>
        </w:rPr>
        <w:t>6</w:t>
      </w:r>
      <w:r>
        <w:rPr>
          <w:b/>
          <w:color w:val="000000"/>
        </w:rPr>
        <w:tab/>
        <w:t>Risk Management</w:t>
      </w:r>
    </w:p>
    <w:p w14:paraId="0DA04126" w14:textId="77777777" w:rsidR="002F14C5" w:rsidRDefault="002F14C5" w:rsidP="00686C76">
      <w:pPr>
        <w:pStyle w:val="Numbered"/>
        <w:widowControl/>
        <w:ind w:left="720"/>
        <w:rPr>
          <w:rFonts w:cs="Arial"/>
          <w:color w:val="000000"/>
          <w:lang w:val="en-US"/>
        </w:rPr>
      </w:pPr>
      <w:r w:rsidRPr="00666F51">
        <w:rPr>
          <w:rFonts w:cs="Arial"/>
          <w:color w:val="000000"/>
          <w:lang w:val="en-US"/>
        </w:rPr>
        <w:t xml:space="preserve">Tenderers should submit as part of their proposal a one-page summary on what they believe will be the key risks to delivering the project and what contingencies they will put in place to deal with them. </w:t>
      </w:r>
    </w:p>
    <w:p w14:paraId="57F00C05" w14:textId="77777777" w:rsidR="002F14C5" w:rsidRDefault="002F14C5" w:rsidP="00686C76">
      <w:pPr>
        <w:pStyle w:val="Numbered"/>
        <w:widowControl/>
        <w:ind w:left="720"/>
        <w:rPr>
          <w:rFonts w:cs="Arial"/>
          <w:lang w:val="en-US"/>
        </w:rPr>
      </w:pPr>
      <w:r w:rsidRPr="00666F51">
        <w:rPr>
          <w:rFonts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14:paraId="2F0A0504" w14:textId="77777777" w:rsidR="002F14C5" w:rsidRPr="0033021D" w:rsidRDefault="002F14C5" w:rsidP="00686C76">
      <w:pPr>
        <w:pStyle w:val="Numbered"/>
        <w:widowControl/>
        <w:ind w:left="720"/>
        <w:rPr>
          <w:color w:val="000000"/>
        </w:rPr>
      </w:pPr>
      <w:r w:rsidRPr="00666F51">
        <w:rPr>
          <w:rFonts w:cs="Arial"/>
          <w:lang w:val="en-US"/>
        </w:rPr>
        <w:t xml:space="preserve">Typical areas of risk for a research project might include staffing, resource constraints, technical constraints, data access, timing, management and operational issues, but this is not an exhaustive list. </w:t>
      </w:r>
    </w:p>
    <w:p w14:paraId="2E6F4531" w14:textId="77777777" w:rsidR="002F14C5" w:rsidRDefault="002F14C5" w:rsidP="00686C76">
      <w:pPr>
        <w:pStyle w:val="Numbered"/>
        <w:widowControl/>
        <w:rPr>
          <w:b/>
          <w:color w:val="000000"/>
        </w:rPr>
      </w:pPr>
      <w:r>
        <w:rPr>
          <w:b/>
          <w:color w:val="000000"/>
        </w:rPr>
        <w:t>6</w:t>
      </w:r>
      <w:r>
        <w:rPr>
          <w:b/>
          <w:color w:val="000000"/>
        </w:rPr>
        <w:tab/>
        <w:t xml:space="preserve">Dependencies and </w:t>
      </w:r>
      <w:proofErr w:type="spellStart"/>
      <w:r>
        <w:rPr>
          <w:b/>
          <w:color w:val="000000"/>
        </w:rPr>
        <w:t>Liason</w:t>
      </w:r>
      <w:proofErr w:type="spellEnd"/>
    </w:p>
    <w:p w14:paraId="7DBE415D" w14:textId="77777777" w:rsidR="002F14C5" w:rsidRDefault="002F14C5" w:rsidP="00686C76">
      <w:pPr>
        <w:pStyle w:val="Numbered"/>
        <w:widowControl/>
        <w:ind w:left="720"/>
        <w:rPr>
          <w:rFonts w:cs="Arial"/>
          <w:lang w:val="en-US"/>
        </w:rPr>
      </w:pPr>
      <w:r>
        <w:rPr>
          <w:rFonts w:cs="Arial"/>
          <w:lang w:val="en-US"/>
        </w:rPr>
        <w:lastRenderedPageBreak/>
        <w:t>Tenderers should indicate if they</w:t>
      </w:r>
      <w:r w:rsidRPr="00666F51">
        <w:rPr>
          <w:rFonts w:cs="Arial"/>
          <w:lang w:val="en-US"/>
        </w:rPr>
        <w:t xml:space="preserve"> are reliant on any third party with any information, data or undertaking any of the work specified.</w:t>
      </w:r>
    </w:p>
    <w:p w14:paraId="06DE8174" w14:textId="77777777" w:rsidR="002F14C5" w:rsidRDefault="002F14C5" w:rsidP="00686C76">
      <w:pPr>
        <w:pStyle w:val="Numbered"/>
        <w:widowControl/>
        <w:rPr>
          <w:b/>
          <w:color w:val="000000"/>
        </w:rPr>
      </w:pPr>
      <w:r>
        <w:rPr>
          <w:b/>
          <w:color w:val="000000"/>
        </w:rPr>
        <w:t>7</w:t>
      </w:r>
      <w:r>
        <w:rPr>
          <w:b/>
          <w:color w:val="000000"/>
        </w:rPr>
        <w:tab/>
        <w:t>Monitoring Techniques</w:t>
      </w:r>
    </w:p>
    <w:p w14:paraId="2118EB93" w14:textId="77777777" w:rsidR="002F14C5" w:rsidRPr="00FD6A0B" w:rsidRDefault="002F14C5" w:rsidP="00686C76">
      <w:pPr>
        <w:pStyle w:val="Numbered"/>
        <w:widowControl/>
        <w:ind w:left="720"/>
        <w:rPr>
          <w:b/>
          <w:color w:val="000000"/>
        </w:rPr>
      </w:pPr>
      <w:r>
        <w:t xml:space="preserve">Tenderers </w:t>
      </w:r>
      <w:r w:rsidRPr="00666F51">
        <w:rPr>
          <w:rFonts w:cs="Arial"/>
          <w:lang w:val="en-US"/>
        </w:rPr>
        <w:t>should indicate how you will monitor the project to ensure it is delivered in terms of quality, timeliness and cost.</w:t>
      </w:r>
    </w:p>
    <w:p w14:paraId="5412353A" w14:textId="77777777" w:rsidR="002F14C5" w:rsidRPr="00FD6A0B" w:rsidRDefault="002F14C5" w:rsidP="00686C76">
      <w:pPr>
        <w:pStyle w:val="Numbered"/>
        <w:widowControl/>
        <w:rPr>
          <w:b/>
        </w:rPr>
      </w:pPr>
      <w:r w:rsidRPr="00FD6A0B">
        <w:rPr>
          <w:b/>
        </w:rPr>
        <w:t>8</w:t>
      </w:r>
      <w:r w:rsidRPr="00FD6A0B">
        <w:rPr>
          <w:b/>
        </w:rPr>
        <w:tab/>
        <w:t>Data Collection</w:t>
      </w:r>
    </w:p>
    <w:p w14:paraId="5990CF34" w14:textId="77777777" w:rsidR="002F14C5" w:rsidRPr="00666F51" w:rsidRDefault="002F14C5" w:rsidP="00686C76">
      <w:pPr>
        <w:ind w:left="720"/>
        <w:rPr>
          <w:rFonts w:cs="Arial"/>
          <w:lang w:val="en-US"/>
        </w:rPr>
      </w:pPr>
      <w:r w:rsidRPr="00666F51">
        <w:rPr>
          <w:rStyle w:val="Emphasis"/>
          <w:rFonts w:cs="Arial"/>
          <w:i w:val="0"/>
        </w:rPr>
        <w:t xml:space="preserve">Researchers will be expected to clear any data collection tools with the </w:t>
      </w:r>
      <w:r>
        <w:rPr>
          <w:rStyle w:val="Emphasis"/>
          <w:rFonts w:cs="Arial"/>
          <w:i w:val="0"/>
        </w:rPr>
        <w:t>Commission</w:t>
      </w:r>
      <w:r w:rsidRPr="00666F51">
        <w:rPr>
          <w:rStyle w:val="Emphasis"/>
          <w:rFonts w:cs="Arial"/>
          <w:i w:val="0"/>
        </w:rPr>
        <w:t xml:space="preserve"> before engaging in field work </w:t>
      </w:r>
      <w:r w:rsidRPr="00666F51">
        <w:rPr>
          <w:rFonts w:cs="Arial"/>
          <w:lang w:val="en-US"/>
        </w:rPr>
        <w:t xml:space="preserve">and ensure that in all cases the respondent documentation and/or interviewer briefing notes clearly state that the data is being collected for and on behalf of the </w:t>
      </w:r>
      <w:r>
        <w:rPr>
          <w:rFonts w:cs="Arial"/>
          <w:lang w:val="en-US"/>
        </w:rPr>
        <w:t>Commission</w:t>
      </w:r>
      <w:r w:rsidRPr="00666F51">
        <w:rPr>
          <w:rFonts w:cs="Arial"/>
          <w:lang w:val="en-US"/>
        </w:rPr>
        <w:t xml:space="preserve"> and that no reference is made, implied or otherwise, to the data being used solely by or available only to the Contractor. </w:t>
      </w:r>
    </w:p>
    <w:p w14:paraId="2369F5A1" w14:textId="77777777" w:rsidR="002F14C5" w:rsidRPr="00666F51" w:rsidRDefault="002F14C5" w:rsidP="00686C76">
      <w:pPr>
        <w:rPr>
          <w:rFonts w:cs="Arial"/>
          <w:lang w:val="en-US"/>
        </w:rPr>
      </w:pPr>
    </w:p>
    <w:p w14:paraId="3300DF01" w14:textId="77777777" w:rsidR="002F14C5" w:rsidRPr="00666F51" w:rsidRDefault="002F14C5" w:rsidP="00686C76">
      <w:pPr>
        <w:ind w:left="720"/>
        <w:rPr>
          <w:rFonts w:cs="Arial"/>
        </w:rPr>
      </w:pPr>
      <w:r w:rsidRPr="00666F51">
        <w:rPr>
          <w:rFonts w:cs="Arial"/>
          <w:lang w:val="en-US"/>
        </w:rPr>
        <w:t>The respondent documentation and/or interviewer shall ensure that the respondent clearly understands (before they give their consent to be interviewed) the purpose of the interview, that the information they provide will only be used for research purposes and, in the case of interviews (telephone or face-to-face), that they have the right to withdraw from the interview at any time.</w:t>
      </w:r>
    </w:p>
    <w:p w14:paraId="43780813" w14:textId="77777777" w:rsidR="002F14C5" w:rsidRPr="00666F51" w:rsidRDefault="002F14C5" w:rsidP="00686C76">
      <w:pPr>
        <w:rPr>
          <w:rFonts w:cs="Arial"/>
        </w:rPr>
      </w:pPr>
    </w:p>
    <w:p w14:paraId="6EDA8B27" w14:textId="77777777" w:rsidR="002F14C5" w:rsidRPr="00666F51" w:rsidRDefault="005D7D23" w:rsidP="00686C76">
      <w:pPr>
        <w:ind w:left="720"/>
        <w:rPr>
          <w:rFonts w:cs="Arial"/>
        </w:rPr>
      </w:pPr>
      <w:r>
        <w:rPr>
          <w:rStyle w:val="Emphasis"/>
          <w:rFonts w:cs="Arial"/>
          <w:i w:val="0"/>
        </w:rPr>
        <w:t>SMC</w:t>
      </w:r>
      <w:r w:rsidR="002F14C5" w:rsidRPr="00666F51">
        <w:rPr>
          <w:rStyle w:val="Emphasis"/>
          <w:rFonts w:cs="Arial"/>
          <w:i w:val="0"/>
        </w:rPr>
        <w:t xml:space="preserve"> seeks to minimise the burdens on schools and Local Authorities (LAs) taking part in surveys. It is therefore important that tenders should set out how the proposed methodology will minimise the burden on schools and/or LAs and a justification for the proposed sample size.</w:t>
      </w:r>
    </w:p>
    <w:p w14:paraId="51195798" w14:textId="77777777" w:rsidR="002F14C5" w:rsidRPr="00666F51" w:rsidRDefault="002F14C5" w:rsidP="00686C76">
      <w:pPr>
        <w:rPr>
          <w:rFonts w:cs="Arial"/>
        </w:rPr>
      </w:pPr>
    </w:p>
    <w:p w14:paraId="544248F2" w14:textId="77777777" w:rsidR="002F14C5" w:rsidRPr="00666F51" w:rsidRDefault="002F14C5" w:rsidP="00686C76">
      <w:pPr>
        <w:ind w:left="720"/>
        <w:rPr>
          <w:rStyle w:val="Emphasis"/>
          <w:rFonts w:cs="Arial"/>
          <w:i w:val="0"/>
        </w:rPr>
      </w:pPr>
      <w:r w:rsidRPr="00666F51">
        <w:rPr>
          <w:rStyle w:val="Emphasis"/>
          <w:rFonts w:cs="Arial"/>
          <w:i w:val="0"/>
        </w:rPr>
        <w:t xml:space="preserve">When assessing the relative merits of data collection </w:t>
      </w:r>
      <w:proofErr w:type="gramStart"/>
      <w:r w:rsidRPr="00666F51">
        <w:rPr>
          <w:rStyle w:val="Emphasis"/>
          <w:rFonts w:cs="Arial"/>
          <w:i w:val="0"/>
        </w:rPr>
        <w:t>methods</w:t>
      </w:r>
      <w:proofErr w:type="gramEnd"/>
      <w:r w:rsidRPr="00666F51">
        <w:rPr>
          <w:rStyle w:val="Emphasis"/>
          <w:rFonts w:cs="Arial"/>
          <w:i w:val="0"/>
        </w:rPr>
        <w:t xml:space="preserve"> the following issues should be considered:</w:t>
      </w:r>
      <w:r w:rsidRPr="00666F51">
        <w:rPr>
          <w:rStyle w:val="Emphasis"/>
          <w:rFonts w:cs="Arial"/>
          <w:i w:val="0"/>
        </w:rPr>
        <w:br/>
      </w:r>
    </w:p>
    <w:p w14:paraId="0DF546E1"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only data essential to the project shall be collected;</w:t>
      </w:r>
    </w:p>
    <w:p w14:paraId="15ACECD9"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data should be collected electronically where appropriate and where schools and/or LAs prefer this;</w:t>
      </w:r>
    </w:p>
    <w:p w14:paraId="260702C5"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iCs/>
        </w:rPr>
      </w:pPr>
      <w:r w:rsidRPr="00666F51">
        <w:rPr>
          <w:rStyle w:val="Emphasis"/>
          <w:i w:val="0"/>
        </w:rPr>
        <w:t>questionnaires should be pre-populated wherever possible and appropriate;</w:t>
      </w:r>
      <w:r w:rsidRPr="00666F51">
        <w:t xml:space="preserve"> </w:t>
      </w:r>
    </w:p>
    <w:p w14:paraId="76021368"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rPr>
      </w:pPr>
      <w:r w:rsidRPr="00666F51">
        <w:rPr>
          <w:rStyle w:val="Emphasis"/>
          <w:i w:val="0"/>
        </w:rPr>
        <w:t>schools must be given at least four working weeks to respond to the exercise from the date they receive the request; and</w:t>
      </w:r>
    </w:p>
    <w:p w14:paraId="48AF86CD"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 xml:space="preserve">LAs should receive at least two weeks, unless they need to approach schools in which </w:t>
      </w:r>
      <w:proofErr w:type="gramStart"/>
      <w:r w:rsidRPr="00666F51">
        <w:rPr>
          <w:rStyle w:val="Emphasis"/>
          <w:i w:val="0"/>
        </w:rPr>
        <w:t>case</w:t>
      </w:r>
      <w:proofErr w:type="gramEnd"/>
      <w:r w:rsidRPr="00666F51">
        <w:rPr>
          <w:rStyle w:val="Emphasis"/>
          <w:i w:val="0"/>
        </w:rPr>
        <w:t xml:space="preserve"> they too should receive 4 weeks to respond.</w:t>
      </w:r>
    </w:p>
    <w:p w14:paraId="10D3306E" w14:textId="77777777" w:rsidR="002F14C5" w:rsidRPr="00666F51" w:rsidRDefault="002F14C5" w:rsidP="002F14C5">
      <w:pPr>
        <w:ind w:left="720"/>
        <w:rPr>
          <w:rFonts w:cs="Arial"/>
          <w:lang w:val="en-US"/>
        </w:rPr>
      </w:pPr>
      <w:r w:rsidRPr="00666F51">
        <w:rPr>
          <w:rFonts w:cs="Arial"/>
          <w:lang w:val="en-US"/>
        </w:rPr>
        <w:t xml:space="preserve">The Contractor shall clear any data collection tools with the </w:t>
      </w:r>
      <w:r>
        <w:rPr>
          <w:rFonts w:cs="Arial"/>
          <w:lang w:val="en-US"/>
        </w:rPr>
        <w:t>Commission</w:t>
      </w:r>
      <w:r w:rsidRPr="00666F51">
        <w:rPr>
          <w:rFonts w:cs="Arial"/>
          <w:lang w:val="en-US"/>
        </w:rPr>
        <w:t xml:space="preserve"> before engaging in field work.</w:t>
      </w:r>
    </w:p>
    <w:p w14:paraId="10F5AA28" w14:textId="77777777" w:rsidR="002F14C5" w:rsidRPr="00666F51" w:rsidRDefault="002F14C5" w:rsidP="002F14C5">
      <w:pPr>
        <w:rPr>
          <w:rFonts w:cs="Arial"/>
          <w:lang w:val="en-US"/>
        </w:rPr>
      </w:pPr>
    </w:p>
    <w:p w14:paraId="3B8D6ADE" w14:textId="77777777" w:rsidR="002F14C5" w:rsidRDefault="002F14C5" w:rsidP="002F14C5">
      <w:pPr>
        <w:pStyle w:val="BodyText3"/>
        <w:spacing w:after="240"/>
        <w:ind w:left="720"/>
        <w:rPr>
          <w:rFonts w:cs="Arial"/>
          <w:sz w:val="22"/>
          <w:szCs w:val="22"/>
          <w:lang w:val="en-US"/>
        </w:rPr>
      </w:pPr>
      <w:r w:rsidRPr="00FD6A0B">
        <w:rPr>
          <w:rFonts w:cs="Arial"/>
          <w:sz w:val="22"/>
          <w:szCs w:val="22"/>
          <w:lang w:val="en-US"/>
        </w:rPr>
        <w:t xml:space="preserve">Researchers shall check with the </w:t>
      </w:r>
      <w:r>
        <w:rPr>
          <w:rFonts w:cs="Arial"/>
          <w:sz w:val="22"/>
          <w:szCs w:val="22"/>
          <w:lang w:val="en-US"/>
        </w:rPr>
        <w:t>Commission</w:t>
      </w:r>
      <w:r w:rsidRPr="00FD6A0B">
        <w:rPr>
          <w:rFonts w:cs="Arial"/>
          <w:sz w:val="22"/>
          <w:szCs w:val="22"/>
          <w:lang w:val="en-US"/>
        </w:rPr>
        <w:t xml:space="preserve"> whether any of the information that they are requesting from schools can be provided centrally from information already held. </w:t>
      </w:r>
    </w:p>
    <w:p w14:paraId="3B49922D" w14:textId="77777777" w:rsidR="002F14C5" w:rsidRDefault="002F14C5" w:rsidP="002F14C5">
      <w:pPr>
        <w:pStyle w:val="Numbered"/>
        <w:widowControl/>
        <w:rPr>
          <w:b/>
          <w:color w:val="000000"/>
        </w:rPr>
      </w:pPr>
      <w:r>
        <w:rPr>
          <w:b/>
          <w:color w:val="000000"/>
        </w:rPr>
        <w:t>9</w:t>
      </w:r>
      <w:r>
        <w:rPr>
          <w:b/>
          <w:color w:val="000000"/>
        </w:rPr>
        <w:tab/>
        <w:t>Consent Arrangements</w:t>
      </w:r>
    </w:p>
    <w:p w14:paraId="1079A5C9" w14:textId="77777777" w:rsidR="002F14C5" w:rsidRPr="00FD6A0B" w:rsidRDefault="002F14C5" w:rsidP="002F14C5">
      <w:pPr>
        <w:pStyle w:val="Numbered"/>
        <w:widowControl/>
        <w:ind w:left="720"/>
        <w:rPr>
          <w:b/>
          <w:color w:val="000000"/>
        </w:rPr>
      </w:pPr>
      <w:r w:rsidRPr="00666F51">
        <w:rPr>
          <w:rFonts w:cs="Arial"/>
        </w:rPr>
        <w:t xml:space="preserve">The </w:t>
      </w:r>
      <w:r>
        <w:rPr>
          <w:rFonts w:cs="Arial"/>
        </w:rPr>
        <w:t>Commission</w:t>
      </w:r>
      <w:r w:rsidRPr="00666F51">
        <w:rPr>
          <w:rFonts w:cs="Arial"/>
        </w:rPr>
        <w:t xml:space="preserve"> and the successful contractor shall agree in advance of any survey activity taking place the consent arrangements that shall apply for each of </w:t>
      </w:r>
      <w:r w:rsidRPr="00666F51">
        <w:rPr>
          <w:rFonts w:cs="Arial"/>
        </w:rPr>
        <w:lastRenderedPageBreak/>
        <w:t xml:space="preserve">the participant groups. All participants should be informed of the purpose of the research, that the Contractor is acting on behalf of the </w:t>
      </w:r>
      <w:r>
        <w:rPr>
          <w:rFonts w:cs="Arial"/>
        </w:rPr>
        <w:t>Commission</w:t>
      </w:r>
      <w:r w:rsidRPr="00666F51">
        <w:rPr>
          <w:rFonts w:cs="Arial"/>
        </w:rPr>
        <w:t xml:space="preserve"> and that they have the option to refuse to participate (opt out). Contact details should be provided including a contact person at the </w:t>
      </w:r>
      <w:r>
        <w:rPr>
          <w:rFonts w:cs="Arial"/>
        </w:rPr>
        <w:t>Commission</w:t>
      </w:r>
      <w:r w:rsidRPr="00666F51">
        <w:rPr>
          <w:rFonts w:cs="Arial"/>
        </w:rPr>
        <w:t xml:space="preserve">. Children who are 16 or over will usually be able to give their own consent but even where this is so, the Contractor, in consultation with the </w:t>
      </w:r>
      <w:r>
        <w:rPr>
          <w:rFonts w:cs="Arial"/>
        </w:rPr>
        <w:t>Commission</w:t>
      </w:r>
      <w:r w:rsidRPr="00666F51">
        <w:rPr>
          <w:rFonts w:cs="Arial"/>
        </w:rPr>
        <w:t>,  should consider whether it is also appropriate for parents, guardians or other appropriate gatekeepers (e.g. schools, Local Authorities) to be informed when a child has been invited to participate in research.</w:t>
      </w:r>
    </w:p>
    <w:p w14:paraId="25D9D6E7" w14:textId="77777777" w:rsidR="002F14C5" w:rsidRDefault="002F14C5" w:rsidP="002F14C5">
      <w:pPr>
        <w:pStyle w:val="Numbered"/>
        <w:widowControl/>
        <w:rPr>
          <w:b/>
          <w:color w:val="000000"/>
        </w:rPr>
      </w:pPr>
      <w:r>
        <w:rPr>
          <w:b/>
          <w:color w:val="000000"/>
        </w:rPr>
        <w:t>10</w:t>
      </w:r>
      <w:r>
        <w:rPr>
          <w:b/>
          <w:color w:val="000000"/>
        </w:rPr>
        <w:tab/>
        <w:t>Costs and Budget</w:t>
      </w:r>
    </w:p>
    <w:p w14:paraId="31162F50" w14:textId="0FDD1B8C" w:rsidR="00EA4286" w:rsidRPr="00BB07D1" w:rsidRDefault="002F14C5" w:rsidP="00EA4286">
      <w:pPr>
        <w:spacing w:line="276" w:lineRule="auto"/>
        <w:ind w:left="720"/>
        <w:rPr>
          <w:rFonts w:cs="Arial"/>
        </w:rPr>
      </w:pPr>
      <w:r w:rsidRPr="00F84384">
        <w:rPr>
          <w:i/>
          <w:iCs/>
        </w:rPr>
        <w:t xml:space="preserve"> </w:t>
      </w:r>
      <w:r w:rsidR="00EA4286" w:rsidRPr="00BB07D1">
        <w:rPr>
          <w:rFonts w:cs="Arial"/>
        </w:rPr>
        <w:t xml:space="preserve">We estimate the research should cost </w:t>
      </w:r>
      <w:r w:rsidR="00EA4286">
        <w:rPr>
          <w:rFonts w:cs="Arial"/>
        </w:rPr>
        <w:t>between £</w:t>
      </w:r>
      <w:r w:rsidR="00E26059">
        <w:rPr>
          <w:rFonts w:cs="Arial"/>
        </w:rPr>
        <w:t>8</w:t>
      </w:r>
      <w:r w:rsidR="00EA4286">
        <w:rPr>
          <w:rFonts w:cs="Arial"/>
        </w:rPr>
        <w:t>0,000-</w:t>
      </w:r>
      <w:r w:rsidR="00EA4286" w:rsidRPr="005E0699">
        <w:rPr>
          <w:rFonts w:cs="Arial"/>
        </w:rPr>
        <w:t>£</w:t>
      </w:r>
      <w:r w:rsidR="00EA4286">
        <w:rPr>
          <w:rFonts w:cs="Arial"/>
        </w:rPr>
        <w:t>100</w:t>
      </w:r>
      <w:r w:rsidR="00EA4286" w:rsidRPr="005E0699">
        <w:rPr>
          <w:rFonts w:cs="Arial"/>
        </w:rPr>
        <w:t>,000 in total (excluding VAT)</w:t>
      </w:r>
      <w:r w:rsidR="00EA4286">
        <w:rPr>
          <w:rFonts w:cs="Arial"/>
        </w:rPr>
        <w:t xml:space="preserve">. Please note that budget flexibility is provided for those wishing to include qualitative elements. Strong rationale for such qualitative pieces is necessary to determine </w:t>
      </w:r>
      <w:proofErr w:type="gramStart"/>
      <w:r w:rsidR="00EA4286">
        <w:rPr>
          <w:rFonts w:cs="Arial"/>
        </w:rPr>
        <w:t>sufficient</w:t>
      </w:r>
      <w:proofErr w:type="gramEnd"/>
      <w:r w:rsidR="00EA4286">
        <w:rPr>
          <w:rFonts w:cs="Arial"/>
        </w:rPr>
        <w:t xml:space="preserve"> value for money.</w:t>
      </w:r>
    </w:p>
    <w:p w14:paraId="3B21F045" w14:textId="77777777" w:rsidR="00EA4286" w:rsidRPr="00BB07D1" w:rsidRDefault="00EA4286" w:rsidP="00EA4286">
      <w:pPr>
        <w:spacing w:line="276" w:lineRule="auto"/>
        <w:ind w:left="720"/>
        <w:rPr>
          <w:rFonts w:cs="Arial"/>
          <w:b/>
          <w:bCs/>
          <w:u w:val="single"/>
        </w:rPr>
      </w:pPr>
    </w:p>
    <w:p w14:paraId="200B6999" w14:textId="77777777" w:rsidR="00EA4286" w:rsidRPr="00BB07D1" w:rsidRDefault="00EA4286" w:rsidP="00EA4286">
      <w:pPr>
        <w:spacing w:line="276" w:lineRule="auto"/>
        <w:ind w:left="720"/>
        <w:rPr>
          <w:rFonts w:cs="Arial"/>
        </w:rPr>
      </w:pPr>
      <w:r w:rsidRPr="00BB07D1">
        <w:rPr>
          <w:rFonts w:cs="Arial"/>
        </w:rPr>
        <w:t xml:space="preserve">All costs should be quoted exclusive of VAT but please indicate if the project will attract VAT.  </w:t>
      </w:r>
    </w:p>
    <w:p w14:paraId="70DEE6F3" w14:textId="77777777" w:rsidR="00EA4286" w:rsidRPr="00BB07D1" w:rsidRDefault="00EA4286" w:rsidP="00EA4286">
      <w:pPr>
        <w:spacing w:line="276" w:lineRule="auto"/>
        <w:ind w:left="720"/>
        <w:rPr>
          <w:rFonts w:cs="Arial"/>
        </w:rPr>
      </w:pPr>
    </w:p>
    <w:p w14:paraId="324EE659" w14:textId="77777777" w:rsidR="00EA4286" w:rsidRPr="00BB07D1" w:rsidRDefault="00EA4286" w:rsidP="00EA4286">
      <w:pPr>
        <w:spacing w:line="276" w:lineRule="auto"/>
        <w:ind w:left="720"/>
        <w:rPr>
          <w:rFonts w:cs="Arial"/>
        </w:rPr>
      </w:pPr>
      <w:r w:rsidRPr="00BB07D1">
        <w:rPr>
          <w:rFonts w:cs="Arial"/>
        </w:rPr>
        <w:t>If your proposal includes costs for sub-contractors these costs must be shown inclusive of any VAT element (e.g. sub-contractor’s costs to you are £5,000 plus VAT, your proposal should show sub-contractors costs as £6,000 inclusive of VAT @ 20%).</w:t>
      </w:r>
    </w:p>
    <w:p w14:paraId="17E7B7BB" w14:textId="77777777" w:rsidR="002F14C5" w:rsidRPr="00B37B0E" w:rsidRDefault="002F14C5" w:rsidP="00EA4286">
      <w:pPr>
        <w:pStyle w:val="Default"/>
        <w:ind w:left="720"/>
        <w:rPr>
          <w:iCs/>
        </w:rPr>
      </w:pPr>
    </w:p>
    <w:p w14:paraId="2F803AC8" w14:textId="77777777" w:rsidR="002F14C5" w:rsidRDefault="002F14C5" w:rsidP="002F14C5">
      <w:pPr>
        <w:pStyle w:val="Numbered"/>
        <w:widowControl/>
        <w:ind w:left="720" w:hanging="720"/>
        <w:rPr>
          <w:color w:val="000000"/>
        </w:rPr>
      </w:pPr>
      <w:r>
        <w:rPr>
          <w:b/>
          <w:color w:val="000000"/>
        </w:rPr>
        <w:t>10.1</w:t>
      </w:r>
      <w:r>
        <w:rPr>
          <w:b/>
          <w:color w:val="000000"/>
        </w:rPr>
        <w:tab/>
      </w:r>
      <w:r w:rsidRPr="00FD6A0B">
        <w:rPr>
          <w:iCs/>
        </w:rPr>
        <w:t xml:space="preserve">A detailed breakdown of costs is required within the proposal </w:t>
      </w:r>
      <w:r w:rsidRPr="00FD6A0B">
        <w:rPr>
          <w:color w:val="000000"/>
        </w:rPr>
        <w:t>(excluding VAT)</w:t>
      </w:r>
      <w:r>
        <w:rPr>
          <w:color w:val="000000"/>
        </w:rPr>
        <w:t xml:space="preserve">.  </w:t>
      </w:r>
    </w:p>
    <w:p w14:paraId="655BC6D2"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37B0E">
        <w:rPr>
          <w:rFonts w:cs="Arial"/>
          <w:b/>
          <w:i/>
        </w:rPr>
        <w:tab/>
      </w:r>
      <w:r w:rsidRPr="00B37B0E">
        <w:rPr>
          <w:rFonts w:cs="Arial"/>
        </w:rPr>
        <w:t xml:space="preserve">Your tender should provide a detailed breakdown of costs </w:t>
      </w:r>
      <w:proofErr w:type="gramStart"/>
      <w:r w:rsidRPr="00B37B0E">
        <w:rPr>
          <w:rFonts w:cs="Arial"/>
        </w:rPr>
        <w:t>on the basis of</w:t>
      </w:r>
      <w:proofErr w:type="gramEnd"/>
      <w:r w:rsidRPr="00B37B0E">
        <w:rPr>
          <w:rFonts w:cs="Arial"/>
        </w:rPr>
        <w:t xml:space="preserve">: </w:t>
      </w:r>
    </w:p>
    <w:p w14:paraId="0CE76106"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381EAE3"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project management and professional time;</w:t>
      </w:r>
    </w:p>
    <w:p w14:paraId="4A1CD9C9"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survey costs (if applicable);</w:t>
      </w:r>
    </w:p>
    <w:p w14:paraId="4FDBCD42"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secretarial and administrative costs;</w:t>
      </w:r>
    </w:p>
    <w:p w14:paraId="3E5E43A1"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travel and subsistence (please note details below);</w:t>
      </w:r>
    </w:p>
    <w:p w14:paraId="41554B7C"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stationery, postage and telephone; and</w:t>
      </w:r>
    </w:p>
    <w:p w14:paraId="003D9F47"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cs="Arial"/>
        </w:rPr>
      </w:pPr>
      <w:r w:rsidRPr="00B37B0E">
        <w:rPr>
          <w:rFonts w:cs="Arial"/>
        </w:rPr>
        <w:tab/>
        <w:t>publicity.</w:t>
      </w:r>
    </w:p>
    <w:p w14:paraId="5714285B" w14:textId="77777777" w:rsidR="002F14C5" w:rsidRPr="00B37B0E" w:rsidRDefault="002F14C5" w:rsidP="002F14C5">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p>
    <w:p w14:paraId="3B5D026D"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37B0E">
        <w:rPr>
          <w:rFonts w:cs="Arial"/>
        </w:rPr>
        <w:t xml:space="preserve">Costs should be shown separately by financial year and where more than one type of methodology is involved the costs need to be shown separately for each element, </w:t>
      </w:r>
      <w:proofErr w:type="spellStart"/>
      <w:r w:rsidRPr="00B37B0E">
        <w:rPr>
          <w:rFonts w:cs="Arial"/>
        </w:rPr>
        <w:t>e.g</w:t>
      </w:r>
      <w:proofErr w:type="spellEnd"/>
      <w:r w:rsidRPr="00B37B0E">
        <w:rPr>
          <w:rFonts w:cs="Arial"/>
        </w:rPr>
        <w:t>:</w:t>
      </w:r>
    </w:p>
    <w:p w14:paraId="7A32EFE1" w14:textId="77777777" w:rsidR="002F14C5" w:rsidRPr="00B37B0E" w:rsidRDefault="002F14C5" w:rsidP="00EA4286">
      <w:pPr>
        <w:pStyle w:val="DfESBullets"/>
        <w:numPr>
          <w:ilvl w:val="0"/>
          <w:numId w:val="28"/>
        </w:numPr>
        <w:tabs>
          <w:tab w:val="clear" w:pos="360"/>
        </w:tabs>
        <w:spacing w:after="0"/>
      </w:pPr>
      <w:r w:rsidRPr="00B37B0E">
        <w:t>group discussions;</w:t>
      </w:r>
    </w:p>
    <w:p w14:paraId="0F29743E" w14:textId="77777777" w:rsidR="002F14C5" w:rsidRPr="00B37B0E" w:rsidRDefault="002F14C5" w:rsidP="00EA4286">
      <w:pPr>
        <w:pStyle w:val="DfESBullets"/>
        <w:numPr>
          <w:ilvl w:val="0"/>
          <w:numId w:val="28"/>
        </w:numPr>
        <w:tabs>
          <w:tab w:val="clear" w:pos="360"/>
        </w:tabs>
        <w:spacing w:after="0"/>
      </w:pPr>
      <w:r w:rsidRPr="00B37B0E">
        <w:t>personal interview;</w:t>
      </w:r>
    </w:p>
    <w:p w14:paraId="445D1869" w14:textId="77777777" w:rsidR="002F14C5" w:rsidRPr="00B37B0E" w:rsidRDefault="002F14C5" w:rsidP="00EA4286">
      <w:pPr>
        <w:pStyle w:val="DfESBullets"/>
        <w:numPr>
          <w:ilvl w:val="0"/>
          <w:numId w:val="28"/>
        </w:numPr>
        <w:tabs>
          <w:tab w:val="clear" w:pos="360"/>
        </w:tabs>
        <w:spacing w:after="0"/>
      </w:pPr>
      <w:r w:rsidRPr="00B37B0E">
        <w:t>telephone survey;</w:t>
      </w:r>
    </w:p>
    <w:p w14:paraId="427E3C3A" w14:textId="77777777" w:rsidR="002F14C5" w:rsidRPr="00B37B0E" w:rsidRDefault="002F14C5" w:rsidP="00EA4286">
      <w:pPr>
        <w:pStyle w:val="DfESBullets"/>
        <w:numPr>
          <w:ilvl w:val="0"/>
          <w:numId w:val="28"/>
        </w:numPr>
        <w:tabs>
          <w:tab w:val="clear" w:pos="360"/>
        </w:tabs>
        <w:spacing w:after="0"/>
      </w:pPr>
      <w:r w:rsidRPr="00B37B0E">
        <w:t>postal survey; and</w:t>
      </w:r>
    </w:p>
    <w:p w14:paraId="7FD94CDE" w14:textId="77777777" w:rsidR="002F14C5" w:rsidRPr="00B37B0E" w:rsidRDefault="002F14C5" w:rsidP="00EA4286">
      <w:pPr>
        <w:pStyle w:val="DfESBullets"/>
        <w:numPr>
          <w:ilvl w:val="0"/>
          <w:numId w:val="28"/>
        </w:numPr>
        <w:tabs>
          <w:tab w:val="clear" w:pos="360"/>
        </w:tabs>
        <w:spacing w:after="0"/>
      </w:pPr>
      <w:r w:rsidRPr="00B37B0E">
        <w:t>desk research.</w:t>
      </w:r>
    </w:p>
    <w:p w14:paraId="4E66CBA5" w14:textId="77777777" w:rsidR="002F14C5" w:rsidRPr="00556F14" w:rsidRDefault="002F14C5" w:rsidP="002F14C5">
      <w:pPr>
        <w:pStyle w:val="DfESBullets"/>
        <w:numPr>
          <w:ilvl w:val="0"/>
          <w:numId w:val="0"/>
        </w:numPr>
        <w:tabs>
          <w:tab w:val="clear" w:pos="360"/>
        </w:tabs>
        <w:spacing w:after="0"/>
        <w:rPr>
          <w:i/>
          <w:color w:val="0000FF"/>
        </w:rPr>
      </w:pPr>
    </w:p>
    <w:p w14:paraId="589F6177" w14:textId="77777777" w:rsidR="002F14C5" w:rsidRDefault="002F14C5" w:rsidP="002F14C5">
      <w:pPr>
        <w:pStyle w:val="Numbered"/>
        <w:widowControl/>
        <w:rPr>
          <w:color w:val="000000"/>
        </w:rPr>
      </w:pPr>
      <w:r>
        <w:rPr>
          <w:b/>
          <w:color w:val="000000"/>
        </w:rPr>
        <w:t>10.2</w:t>
      </w:r>
      <w:r>
        <w:rPr>
          <w:b/>
          <w:color w:val="000000"/>
        </w:rPr>
        <w:tab/>
      </w:r>
      <w:r>
        <w:rPr>
          <w:color w:val="000000"/>
        </w:rPr>
        <w:t>Payments will be made by BACS transfer following receipt of a valid invoice.</w:t>
      </w:r>
    </w:p>
    <w:p w14:paraId="756AFAFA" w14:textId="77777777" w:rsidR="002F14C5" w:rsidRDefault="002F14C5" w:rsidP="002F14C5">
      <w:pPr>
        <w:pStyle w:val="Numbered"/>
        <w:widowControl/>
        <w:rPr>
          <w:color w:val="000000"/>
        </w:rPr>
      </w:pPr>
      <w:r>
        <w:rPr>
          <w:b/>
          <w:color w:val="000000"/>
        </w:rPr>
        <w:t>10.3</w:t>
      </w:r>
      <w:r>
        <w:rPr>
          <w:b/>
          <w:color w:val="000000"/>
        </w:rPr>
        <w:tab/>
      </w:r>
      <w:r>
        <w:rPr>
          <w:color w:val="000000"/>
        </w:rPr>
        <w:t>The successful tenderer should provide details of discounts for prompt payment.</w:t>
      </w:r>
    </w:p>
    <w:p w14:paraId="242B467A" w14:textId="77777777" w:rsidR="002F14C5" w:rsidRDefault="002F14C5" w:rsidP="002F14C5">
      <w:pPr>
        <w:widowControl/>
        <w:overflowPunct/>
        <w:autoSpaceDE/>
        <w:autoSpaceDN/>
        <w:adjustRightInd/>
        <w:ind w:left="720" w:hanging="720"/>
        <w:textAlignment w:val="auto"/>
        <w:rPr>
          <w:color w:val="000000"/>
        </w:rPr>
      </w:pPr>
      <w:r>
        <w:rPr>
          <w:b/>
          <w:color w:val="000000"/>
        </w:rPr>
        <w:t>11</w:t>
      </w:r>
      <w:r>
        <w:rPr>
          <w:b/>
          <w:color w:val="000000"/>
        </w:rPr>
        <w:tab/>
        <w:t>I</w:t>
      </w:r>
      <w:r w:rsidR="00F84384">
        <w:rPr>
          <w:b/>
          <w:color w:val="000000"/>
        </w:rPr>
        <w:t>ncentives</w:t>
      </w:r>
      <w:r>
        <w:rPr>
          <w:color w:val="000000"/>
        </w:rPr>
        <w:t xml:space="preserve"> </w:t>
      </w:r>
    </w:p>
    <w:p w14:paraId="2B3B8153" w14:textId="77777777" w:rsidR="002F14C5" w:rsidRDefault="002F14C5" w:rsidP="002F14C5">
      <w:pPr>
        <w:widowControl/>
        <w:overflowPunct/>
        <w:autoSpaceDE/>
        <w:autoSpaceDN/>
        <w:adjustRightInd/>
        <w:ind w:left="720" w:hanging="720"/>
        <w:textAlignment w:val="auto"/>
        <w:rPr>
          <w:rFonts w:cs="Arial"/>
          <w:iCs/>
          <w:color w:val="000000"/>
        </w:rPr>
      </w:pPr>
    </w:p>
    <w:p w14:paraId="24DD202D" w14:textId="77777777" w:rsidR="002F14C5" w:rsidRDefault="002F14C5" w:rsidP="002F14C5">
      <w:pPr>
        <w:widowControl/>
        <w:overflowPunct/>
        <w:autoSpaceDE/>
        <w:autoSpaceDN/>
        <w:adjustRightInd/>
        <w:ind w:left="720"/>
        <w:textAlignment w:val="auto"/>
        <w:rPr>
          <w:rFonts w:cs="Arial"/>
          <w:iCs/>
          <w:color w:val="000000"/>
        </w:rPr>
      </w:pPr>
      <w:r w:rsidRPr="00666F51">
        <w:rPr>
          <w:rFonts w:cs="Arial"/>
          <w:iCs/>
          <w:color w:val="000000"/>
        </w:rPr>
        <w:t xml:space="preserve">With some important exceptions, </w:t>
      </w:r>
      <w:r w:rsidR="005D7D23">
        <w:rPr>
          <w:rFonts w:cs="Arial"/>
          <w:iCs/>
          <w:color w:val="000000"/>
        </w:rPr>
        <w:t>SMC</w:t>
      </w:r>
      <w:r w:rsidRPr="00666F51">
        <w:rPr>
          <w:rFonts w:cs="Arial"/>
          <w:iCs/>
          <w:color w:val="000000"/>
        </w:rPr>
        <w:t xml:space="preserve"> believes that the routine use of respondent incentives in surveys is, in general, not justified as they are rarely cost effective in either increasing participation or reducing non-response biases. </w:t>
      </w:r>
      <w:r w:rsidRPr="00666F51">
        <w:rPr>
          <w:rFonts w:cs="Arial"/>
          <w:bCs/>
          <w:iCs/>
          <w:color w:val="000000"/>
        </w:rPr>
        <w:lastRenderedPageBreak/>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666F51">
        <w:rPr>
          <w:rFonts w:cs="Arial"/>
          <w:iCs/>
          <w:color w:val="0000FF"/>
        </w:rPr>
        <w:t xml:space="preserve">. </w:t>
      </w:r>
      <w:r w:rsidRPr="00666F51">
        <w:rPr>
          <w:rFonts w:cs="Arial"/>
          <w:iCs/>
          <w:color w:val="000000"/>
        </w:rPr>
        <w:t xml:space="preserve">Your arguments should be supported by empirical evidence from past use. The exceptions are payment for participation in group discussions or in-depth qualitative interviews, payment to cover respondent expenses e.g. travel and childcare costs, and compensation for excessive demand on respondents, e.g. taking basic skills tests, diary keeping, panel maintenance and compensating schools for the respondent’s time. If you wish to use a prize draw incentive then you must also set out in your tender how you will comply with all relevant legislation and codes of practice (e.g. the British Code of Advertising and Sales Promotion), state that you shall be solely liable for any breach of these and that you shall indemnify </w:t>
      </w:r>
      <w:r w:rsidR="005D7D23">
        <w:rPr>
          <w:rFonts w:cs="Arial"/>
          <w:iCs/>
          <w:color w:val="000000"/>
        </w:rPr>
        <w:t>SMC</w:t>
      </w:r>
      <w:r w:rsidRPr="00666F51">
        <w:rPr>
          <w:rFonts w:cs="Arial"/>
          <w:iCs/>
          <w:color w:val="000000"/>
        </w:rPr>
        <w:t xml:space="preserve"> against any claims that may be made under them.</w:t>
      </w:r>
    </w:p>
    <w:p w14:paraId="52281BB7" w14:textId="77777777" w:rsidR="002F14C5" w:rsidRPr="00FD6A0B" w:rsidRDefault="002F14C5" w:rsidP="002F14C5">
      <w:pPr>
        <w:widowControl/>
        <w:overflowPunct/>
        <w:autoSpaceDE/>
        <w:autoSpaceDN/>
        <w:adjustRightInd/>
        <w:ind w:left="720"/>
        <w:textAlignment w:val="auto"/>
        <w:rPr>
          <w:rFonts w:cs="Arial"/>
          <w:iCs/>
          <w:color w:val="000000"/>
        </w:rPr>
      </w:pPr>
    </w:p>
    <w:p w14:paraId="67BC0C40" w14:textId="77777777" w:rsidR="002F14C5" w:rsidRDefault="002F14C5" w:rsidP="002F14C5">
      <w:pPr>
        <w:pStyle w:val="Numbered"/>
        <w:widowControl/>
        <w:rPr>
          <w:b/>
          <w:color w:val="000000"/>
        </w:rPr>
      </w:pPr>
      <w:r>
        <w:rPr>
          <w:b/>
          <w:color w:val="000000"/>
        </w:rPr>
        <w:t>12</w:t>
      </w:r>
      <w:r>
        <w:rPr>
          <w:b/>
          <w:color w:val="000000"/>
        </w:rPr>
        <w:tab/>
        <w:t>VAT</w:t>
      </w:r>
    </w:p>
    <w:p w14:paraId="342EEC1C" w14:textId="77777777" w:rsidR="002F14C5" w:rsidRDefault="002F14C5" w:rsidP="002F14C5">
      <w:pPr>
        <w:pStyle w:val="Numbered"/>
        <w:widowControl/>
        <w:ind w:left="720" w:hanging="720"/>
        <w:rPr>
          <w:color w:val="000000"/>
        </w:rPr>
      </w:pPr>
      <w:r>
        <w:rPr>
          <w:color w:val="000000"/>
        </w:rPr>
        <w:t>12</w:t>
      </w:r>
      <w:r w:rsidRPr="003C7D82">
        <w:rPr>
          <w:color w:val="000000"/>
        </w:rPr>
        <w:t>.1</w:t>
      </w:r>
      <w:r>
        <w:rPr>
          <w:b/>
          <w:color w:val="000000"/>
        </w:rPr>
        <w:tab/>
      </w:r>
      <w:r>
        <w:rPr>
          <w:color w:val="000000"/>
        </w:rPr>
        <w:t xml:space="preserve">Please state clearly when submitting prices </w:t>
      </w:r>
      <w:proofErr w:type="gramStart"/>
      <w:r>
        <w:rPr>
          <w:color w:val="000000"/>
        </w:rPr>
        <w:t>whether or not</w:t>
      </w:r>
      <w:proofErr w:type="gramEnd"/>
      <w:r>
        <w:rPr>
          <w:color w:val="000000"/>
        </w:rPr>
        <w:t xml:space="preserve"> VAT will be charged.  </w:t>
      </w:r>
    </w:p>
    <w:p w14:paraId="0724C77D" w14:textId="77777777" w:rsidR="002F14C5" w:rsidRDefault="002F14C5" w:rsidP="002F14C5">
      <w:pPr>
        <w:pStyle w:val="Numbered"/>
        <w:widowControl/>
        <w:ind w:left="720" w:hanging="720"/>
        <w:rPr>
          <w:color w:val="000000"/>
        </w:rPr>
      </w:pPr>
      <w:r>
        <w:rPr>
          <w:color w:val="000000"/>
        </w:rPr>
        <w:t>12.2</w:t>
      </w:r>
      <w:r>
        <w:rPr>
          <w:color w:val="000000"/>
        </w:rPr>
        <w:tab/>
        <w:t>Where the</w:t>
      </w:r>
      <w:r w:rsidRPr="00A30EE0">
        <w:rPr>
          <w:color w:val="000000"/>
        </w:rPr>
        <w:t xml:space="preserve"> contract </w:t>
      </w:r>
      <w:r>
        <w:rPr>
          <w:color w:val="000000"/>
        </w:rPr>
        <w:t xml:space="preserve">price agreed between </w:t>
      </w:r>
      <w:r w:rsidR="005D7D23">
        <w:rPr>
          <w:color w:val="000000"/>
        </w:rPr>
        <w:t>SMC</w:t>
      </w:r>
      <w:r>
        <w:rPr>
          <w:color w:val="000000"/>
        </w:rPr>
        <w:t xml:space="preserve"> and contractor is</w:t>
      </w:r>
      <w:r w:rsidRPr="00A30EE0">
        <w:rPr>
          <w:color w:val="000000"/>
        </w:rPr>
        <w:t xml:space="preserve"> inclusive of </w:t>
      </w:r>
      <w:r>
        <w:rPr>
          <w:color w:val="000000"/>
        </w:rPr>
        <w:t>any VAT,</w:t>
      </w:r>
      <w:r w:rsidRPr="00A30EE0">
        <w:rPr>
          <w:color w:val="000000"/>
        </w:rPr>
        <w:t xml:space="preserve"> furth</w:t>
      </w:r>
      <w:r>
        <w:rPr>
          <w:color w:val="000000"/>
        </w:rPr>
        <w:t>er amounts will not be paid</w:t>
      </w:r>
      <w:r w:rsidRPr="00A30EE0">
        <w:rPr>
          <w:color w:val="000000"/>
        </w:rPr>
        <w:t xml:space="preserve"> </w:t>
      </w:r>
      <w:r>
        <w:rPr>
          <w:color w:val="000000"/>
        </w:rPr>
        <w:t xml:space="preserve">by </w:t>
      </w:r>
      <w:r w:rsidR="005D7D23">
        <w:rPr>
          <w:color w:val="000000"/>
        </w:rPr>
        <w:t>SMC</w:t>
      </w:r>
      <w:r>
        <w:rPr>
          <w:color w:val="000000"/>
        </w:rPr>
        <w:t xml:space="preserve"> </w:t>
      </w:r>
      <w:r w:rsidRPr="00A30EE0">
        <w:rPr>
          <w:color w:val="000000"/>
        </w:rPr>
        <w:t>should a vatable supply claim be made at any later stage.</w:t>
      </w:r>
    </w:p>
    <w:p w14:paraId="2905CDAB" w14:textId="77777777" w:rsidR="002F14C5" w:rsidRDefault="002F14C5" w:rsidP="002F14C5">
      <w:pPr>
        <w:pStyle w:val="Numbered"/>
        <w:widowControl/>
        <w:tabs>
          <w:tab w:val="left" w:pos="720"/>
          <w:tab w:val="left" w:pos="1440"/>
          <w:tab w:val="left" w:pos="2160"/>
          <w:tab w:val="left" w:pos="2880"/>
          <w:tab w:val="center" w:pos="4658"/>
        </w:tabs>
        <w:ind w:left="720" w:hanging="720"/>
        <w:rPr>
          <w:color w:val="000000"/>
        </w:rPr>
      </w:pPr>
      <w:r>
        <w:rPr>
          <w:color w:val="000000"/>
        </w:rPr>
        <w:t>12.3</w:t>
      </w:r>
      <w:r>
        <w:rPr>
          <w:color w:val="000000"/>
        </w:rPr>
        <w:tab/>
        <w:t xml:space="preserve">Where the overall contract price is exclusive of VAT, </w:t>
      </w:r>
      <w:r w:rsidR="005D7D23">
        <w:rPr>
          <w:color w:val="000000"/>
        </w:rPr>
        <w:t>SMC</w:t>
      </w:r>
      <w:r>
        <w:rPr>
          <w:color w:val="000000"/>
        </w:rPr>
        <w:t xml:space="preserve"> will pay any VAT incurred at the prevailing rate (currently 20%).  If the VAT rate changes </w:t>
      </w:r>
      <w:r w:rsidR="005D7D23">
        <w:rPr>
          <w:color w:val="000000"/>
        </w:rPr>
        <w:t>SMC</w:t>
      </w:r>
      <w:r>
        <w:rPr>
          <w:color w:val="000000"/>
        </w:rPr>
        <w:t xml:space="preserve"> will pay any VAT incurred at the new rate.</w:t>
      </w:r>
    </w:p>
    <w:p w14:paraId="5EAFE8FE" w14:textId="77777777" w:rsidR="002F14C5" w:rsidRDefault="002F14C5" w:rsidP="002F14C5">
      <w:pPr>
        <w:pStyle w:val="Numbered"/>
        <w:widowControl/>
        <w:ind w:left="720" w:hanging="720"/>
        <w:rPr>
          <w:color w:val="000000"/>
        </w:rPr>
      </w:pPr>
      <w:r>
        <w:rPr>
          <w:color w:val="000000"/>
        </w:rPr>
        <w:t>12.4</w:t>
      </w:r>
      <w:r>
        <w:rPr>
          <w:color w:val="000000"/>
        </w:rPr>
        <w:tab/>
        <w:t>It is the responsibility of tenderers to check the VAT</w:t>
      </w:r>
      <w:r w:rsidRPr="00A30EE0">
        <w:rPr>
          <w:color w:val="000000"/>
        </w:rPr>
        <w:t xml:space="preserve"> position with HMRC before submitting a bid</w:t>
      </w:r>
      <w:r>
        <w:rPr>
          <w:color w:val="000000"/>
        </w:rPr>
        <w:t xml:space="preserve">.  </w:t>
      </w:r>
    </w:p>
    <w:p w14:paraId="1D8A4A3E" w14:textId="77777777" w:rsidR="002F14C5" w:rsidRPr="004D1053" w:rsidRDefault="002F14C5" w:rsidP="002F14C5">
      <w:pPr>
        <w:pStyle w:val="Default"/>
        <w:ind w:left="720" w:hanging="720"/>
        <w:rPr>
          <w:sz w:val="22"/>
          <w:szCs w:val="22"/>
        </w:rPr>
      </w:pPr>
      <w:r>
        <w:rPr>
          <w:b/>
          <w:sz w:val="22"/>
          <w:szCs w:val="22"/>
        </w:rPr>
        <w:t>13</w:t>
      </w:r>
      <w:r w:rsidRPr="004D1053">
        <w:rPr>
          <w:b/>
          <w:sz w:val="22"/>
          <w:szCs w:val="22"/>
        </w:rPr>
        <w:tab/>
      </w:r>
      <w:r w:rsidR="001B5D8B" w:rsidRPr="001B5D8B">
        <w:rPr>
          <w:sz w:val="22"/>
          <w:szCs w:val="22"/>
        </w:rPr>
        <w:t>Not Used</w:t>
      </w:r>
    </w:p>
    <w:p w14:paraId="5D4EEA90" w14:textId="77777777" w:rsidR="002F14C5" w:rsidRPr="004D1053" w:rsidRDefault="002F14C5" w:rsidP="002F14C5">
      <w:pPr>
        <w:pStyle w:val="Default"/>
        <w:ind w:left="720" w:hanging="720"/>
        <w:rPr>
          <w:sz w:val="22"/>
          <w:szCs w:val="22"/>
        </w:rPr>
      </w:pPr>
    </w:p>
    <w:p w14:paraId="37897F70" w14:textId="77777777" w:rsidR="002F14C5" w:rsidRPr="00FD6A0B" w:rsidRDefault="002F14C5" w:rsidP="002F14C5">
      <w:pPr>
        <w:pStyle w:val="Default"/>
        <w:ind w:left="720"/>
        <w:rPr>
          <w:i/>
          <w:sz w:val="22"/>
          <w:szCs w:val="22"/>
        </w:rPr>
      </w:pPr>
    </w:p>
    <w:p w14:paraId="30EABF75" w14:textId="77777777" w:rsidR="002F14C5" w:rsidRPr="00697C31" w:rsidRDefault="002F14C5" w:rsidP="001B5D8B">
      <w:pPr>
        <w:pStyle w:val="Numbered"/>
        <w:rPr>
          <w:b/>
          <w:i/>
        </w:rPr>
      </w:pPr>
      <w:r>
        <w:rPr>
          <w:b/>
          <w:color w:val="000000"/>
        </w:rPr>
        <w:t>14</w:t>
      </w:r>
      <w:r>
        <w:rPr>
          <w:b/>
          <w:color w:val="000000"/>
        </w:rPr>
        <w:tab/>
      </w:r>
      <w:r w:rsidR="001B5D8B" w:rsidRPr="001B5D8B">
        <w:rPr>
          <w:color w:val="000000"/>
        </w:rPr>
        <w:t>Not Used</w:t>
      </w:r>
    </w:p>
    <w:p w14:paraId="38BFC831" w14:textId="77777777" w:rsidR="002F14C5" w:rsidRDefault="002F14C5">
      <w:pPr>
        <w:pStyle w:val="Numbered"/>
        <w:widowControl/>
        <w:rPr>
          <w:b/>
        </w:rPr>
      </w:pPr>
    </w:p>
    <w:p w14:paraId="306FCDBA" w14:textId="77777777" w:rsidR="002F14C5" w:rsidRDefault="002F14C5">
      <w:pPr>
        <w:pStyle w:val="Numbered"/>
        <w:widowControl/>
        <w:rPr>
          <w:b/>
        </w:rPr>
      </w:pPr>
    </w:p>
    <w:p w14:paraId="4C342ED0" w14:textId="77777777" w:rsidR="002F14C5" w:rsidRDefault="002F14C5">
      <w:pPr>
        <w:pStyle w:val="Numbered"/>
        <w:widowControl/>
        <w:rPr>
          <w:b/>
        </w:rPr>
      </w:pPr>
    </w:p>
    <w:p w14:paraId="08F4BE07" w14:textId="77777777" w:rsidR="00112CB4" w:rsidRDefault="000B145D" w:rsidP="004D1053">
      <w:pPr>
        <w:pStyle w:val="Numbered"/>
        <w:widowControl/>
        <w:ind w:left="720" w:hanging="720"/>
        <w:jc w:val="right"/>
        <w:rPr>
          <w:b/>
        </w:rPr>
      </w:pPr>
      <w:r>
        <w:br w:type="page"/>
      </w:r>
      <w:bookmarkStart w:id="3" w:name="Document2"/>
      <w:bookmarkEnd w:id="3"/>
      <w:r>
        <w:rPr>
          <w:b/>
        </w:rPr>
        <w:lastRenderedPageBreak/>
        <w:t>DOCUMENT 2</w:t>
      </w:r>
    </w:p>
    <w:p w14:paraId="302ACB91" w14:textId="77777777" w:rsidR="002F14C5" w:rsidRDefault="002F14C5" w:rsidP="002F14C5">
      <w:pPr>
        <w:pStyle w:val="Numbered"/>
        <w:widowControl/>
      </w:pPr>
      <w:r>
        <w:rPr>
          <w:b/>
        </w:rPr>
        <w:t>INSTRUCTIONS ON TENDERING PROCEDURES</w:t>
      </w:r>
    </w:p>
    <w:p w14:paraId="74D035EA" w14:textId="77777777" w:rsidR="002F14C5" w:rsidRDefault="002F14C5" w:rsidP="002F14C5">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contact </w:t>
      </w:r>
      <w:r>
        <w:rPr>
          <w:b/>
        </w:rPr>
        <w:t>contact@socialmobilitycommission.gov.uk</w:t>
      </w:r>
      <w:r>
        <w:t xml:space="preserve"> if you have any doubts as to what is </w:t>
      </w:r>
      <w:proofErr w:type="gramStart"/>
      <w:r>
        <w:t>required</w:t>
      </w:r>
      <w:proofErr w:type="gramEnd"/>
      <w:r>
        <w:t xml:space="preserve"> or you have difficulty in providing the information requested.  Pre-tender negotiations are</w:t>
      </w:r>
      <w:r w:rsidRPr="000826B8">
        <w:t xml:space="preserve"> </w:t>
      </w:r>
      <w:r w:rsidRPr="004D1053">
        <w:t>not</w:t>
      </w:r>
      <w:r>
        <w:rPr>
          <w:b/>
        </w:rPr>
        <w:t xml:space="preserve"> </w:t>
      </w:r>
      <w:r>
        <w:t>allowed.</w:t>
      </w:r>
    </w:p>
    <w:p w14:paraId="72B153B5" w14:textId="77777777" w:rsidR="002F14C5" w:rsidRDefault="002F14C5" w:rsidP="002F14C5">
      <w:pPr>
        <w:ind w:left="720" w:hanging="720"/>
      </w:pPr>
      <w:r>
        <w:t>2</w:t>
      </w:r>
      <w:r>
        <w:tab/>
        <w:t>Please note that references to the 'Department' or “Social Mobility Commission” or “the Commission” throughout these documents mean The Secretary of State for Education acting through his representatives in the Department for Education.</w:t>
      </w:r>
    </w:p>
    <w:p w14:paraId="17E530C8" w14:textId="77777777" w:rsidR="002F14C5" w:rsidRDefault="002F14C5" w:rsidP="002F14C5"/>
    <w:p w14:paraId="4E8D1D08" w14:textId="77777777" w:rsidR="002F14C5" w:rsidRPr="00B05807" w:rsidRDefault="002F14C5" w:rsidP="002F14C5">
      <w:pPr>
        <w:ind w:left="720" w:hanging="720"/>
      </w:pPr>
      <w:r>
        <w:t>3</w:t>
      </w:r>
      <w:r>
        <w:tab/>
      </w:r>
      <w:r w:rsidR="005D7D23">
        <w:t>SMC</w:t>
      </w:r>
      <w:r w:rsidRPr="00B05807">
        <w:t xml:space="preserve"> is happy to accept bids from single organisations or consortia of organisations. Where a consortium/Special Purpose Vehicle (SPV) is formed to submit a tender, this must only be submitted by and in the name of, the supplier chosen as the “Lead” supplier for that consortium/SPV.</w:t>
      </w:r>
    </w:p>
    <w:p w14:paraId="169F9479" w14:textId="77777777" w:rsidR="002F14C5" w:rsidRDefault="002F14C5" w:rsidP="002F14C5"/>
    <w:p w14:paraId="030FB443" w14:textId="77777777" w:rsidR="002F14C5" w:rsidRDefault="002F14C5" w:rsidP="002F14C5">
      <w:pPr>
        <w:pStyle w:val="Numbered"/>
        <w:widowControl/>
        <w:rPr>
          <w:b/>
        </w:rPr>
      </w:pPr>
      <w:r>
        <w:rPr>
          <w:b/>
        </w:rPr>
        <w:t>Contract Period</w:t>
      </w:r>
    </w:p>
    <w:p w14:paraId="0C831AB3" w14:textId="77777777" w:rsidR="002F14C5" w:rsidRDefault="002F14C5" w:rsidP="002F14C5">
      <w:pPr>
        <w:pStyle w:val="Numbered"/>
        <w:widowControl/>
        <w:ind w:left="720" w:hanging="720"/>
      </w:pPr>
      <w:r>
        <w:t>3</w:t>
      </w:r>
      <w:r>
        <w:tab/>
      </w:r>
      <w:r w:rsidR="00EA4286">
        <w:t>The contract is to be completed by March 2020, with the potential to renew for 6 months if negotiated and agreed between SMC, the supplier, and the Department.</w:t>
      </w:r>
    </w:p>
    <w:p w14:paraId="1CA40CE3" w14:textId="77777777" w:rsidR="002F14C5" w:rsidRDefault="002F14C5" w:rsidP="002F14C5">
      <w:pPr>
        <w:pStyle w:val="Numbered"/>
        <w:widowControl/>
        <w:rPr>
          <w:b/>
        </w:rPr>
      </w:pPr>
      <w:r>
        <w:rPr>
          <w:b/>
        </w:rPr>
        <w:t>Incomplete Tender</w:t>
      </w:r>
    </w:p>
    <w:p w14:paraId="5C8F325A" w14:textId="77777777" w:rsidR="002F14C5" w:rsidRDefault="002F14C5" w:rsidP="002F14C5">
      <w:pPr>
        <w:pStyle w:val="Numbered"/>
        <w:widowControl/>
        <w:ind w:left="720" w:hanging="720"/>
      </w:pPr>
      <w:r>
        <w:t>4</w:t>
      </w:r>
      <w:r>
        <w:tab/>
        <w:t>These instructions are designed to ensure that all tenders are given equal and fair consideration. Tenders may be rejected if the information asked for in the ITT and Specification is not given at the time of tendering.</w:t>
      </w:r>
    </w:p>
    <w:p w14:paraId="7C8B85BD" w14:textId="77777777" w:rsidR="002F14C5" w:rsidRDefault="002F14C5" w:rsidP="002F14C5">
      <w:pPr>
        <w:pStyle w:val="Numbered"/>
        <w:rPr>
          <w:b/>
        </w:rPr>
      </w:pPr>
      <w:r w:rsidRPr="000826B8">
        <w:rPr>
          <w:b/>
        </w:rPr>
        <w:t>Indicative procurement timetable</w:t>
      </w:r>
    </w:p>
    <w:p w14:paraId="0F96A07E" w14:textId="77777777" w:rsidR="002F14C5" w:rsidRPr="000826B8" w:rsidRDefault="002F14C5" w:rsidP="002F14C5">
      <w:pPr>
        <w:pStyle w:val="Numbered"/>
        <w:widowControl/>
        <w:ind w:left="720" w:hanging="720"/>
      </w:pPr>
      <w:r w:rsidRPr="000826B8">
        <w:t>5</w:t>
      </w:r>
      <w:r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2518"/>
      </w:tblGrid>
      <w:tr w:rsidR="002F14C5" w:rsidRPr="000826B8" w14:paraId="076CD194"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2097CCEE" w14:textId="77777777" w:rsidR="002F14C5" w:rsidRPr="000826B8" w:rsidRDefault="002F14C5" w:rsidP="00B47F69">
            <w:pPr>
              <w:pStyle w:val="Numbered"/>
            </w:pPr>
            <w:r w:rsidRPr="000826B8">
              <w:t>Tender documents issued</w:t>
            </w:r>
          </w:p>
        </w:tc>
        <w:tc>
          <w:tcPr>
            <w:tcW w:w="2594" w:type="dxa"/>
            <w:tcBorders>
              <w:top w:val="single" w:sz="4" w:space="0" w:color="auto"/>
              <w:left w:val="single" w:sz="4" w:space="0" w:color="auto"/>
              <w:bottom w:val="single" w:sz="4" w:space="0" w:color="auto"/>
              <w:right w:val="single" w:sz="4" w:space="0" w:color="auto"/>
            </w:tcBorders>
          </w:tcPr>
          <w:p w14:paraId="7A9D810D" w14:textId="77777777" w:rsidR="002F14C5" w:rsidRPr="000826B8" w:rsidRDefault="002F14C5" w:rsidP="00B47F69">
            <w:pPr>
              <w:pStyle w:val="Numbered"/>
            </w:pPr>
            <w:r>
              <w:t>5</w:t>
            </w:r>
            <w:r w:rsidRPr="00E14105">
              <w:rPr>
                <w:vertAlign w:val="superscript"/>
              </w:rPr>
              <w:t>th</w:t>
            </w:r>
            <w:r>
              <w:t xml:space="preserve"> April 2019</w:t>
            </w:r>
          </w:p>
        </w:tc>
      </w:tr>
      <w:tr w:rsidR="002F14C5" w:rsidRPr="000826B8" w14:paraId="30EAC195"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74B0C5FF" w14:textId="77777777" w:rsidR="002F14C5" w:rsidRPr="000826B8" w:rsidRDefault="002F14C5" w:rsidP="00B47F69">
            <w:pPr>
              <w:pStyle w:val="Numbered"/>
            </w:pPr>
            <w:r w:rsidRPr="000826B8">
              <w:t>Last day for submission of clarifications</w:t>
            </w:r>
          </w:p>
        </w:tc>
        <w:tc>
          <w:tcPr>
            <w:tcW w:w="2594" w:type="dxa"/>
            <w:tcBorders>
              <w:top w:val="single" w:sz="4" w:space="0" w:color="auto"/>
              <w:left w:val="single" w:sz="4" w:space="0" w:color="auto"/>
              <w:bottom w:val="single" w:sz="4" w:space="0" w:color="auto"/>
              <w:right w:val="single" w:sz="4" w:space="0" w:color="auto"/>
            </w:tcBorders>
          </w:tcPr>
          <w:p w14:paraId="3CA8C06C" w14:textId="77777777" w:rsidR="002F14C5" w:rsidRPr="000826B8" w:rsidRDefault="002F14C5" w:rsidP="00B47F69">
            <w:pPr>
              <w:pStyle w:val="Numbered"/>
            </w:pPr>
            <w:r>
              <w:t>24</w:t>
            </w:r>
            <w:r w:rsidRPr="00E14105">
              <w:rPr>
                <w:vertAlign w:val="superscript"/>
              </w:rPr>
              <w:t>th</w:t>
            </w:r>
            <w:r>
              <w:t xml:space="preserve"> April </w:t>
            </w:r>
          </w:p>
        </w:tc>
      </w:tr>
      <w:tr w:rsidR="002F14C5" w:rsidRPr="000826B8" w14:paraId="0CB3ACB3"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39113C82" w14:textId="77777777" w:rsidR="002F14C5" w:rsidRPr="000826B8" w:rsidRDefault="002F14C5" w:rsidP="00B47F69">
            <w:pPr>
              <w:pStyle w:val="Numbered"/>
            </w:pPr>
            <w:r w:rsidRPr="000826B8">
              <w:t xml:space="preserve">Last day for </w:t>
            </w:r>
            <w:r>
              <w:t xml:space="preserve">SMC </w:t>
            </w:r>
            <w:r w:rsidRPr="000826B8">
              <w:t>to respond to clarifications</w:t>
            </w:r>
          </w:p>
        </w:tc>
        <w:tc>
          <w:tcPr>
            <w:tcW w:w="2594" w:type="dxa"/>
            <w:tcBorders>
              <w:top w:val="single" w:sz="4" w:space="0" w:color="auto"/>
              <w:left w:val="single" w:sz="4" w:space="0" w:color="auto"/>
              <w:bottom w:val="single" w:sz="4" w:space="0" w:color="auto"/>
              <w:right w:val="single" w:sz="4" w:space="0" w:color="auto"/>
            </w:tcBorders>
          </w:tcPr>
          <w:p w14:paraId="654B16B9" w14:textId="77777777" w:rsidR="002F14C5" w:rsidRPr="000826B8" w:rsidRDefault="002F14C5" w:rsidP="00B47F69">
            <w:pPr>
              <w:pStyle w:val="Numbered"/>
            </w:pPr>
            <w:r>
              <w:t>26</w:t>
            </w:r>
            <w:r w:rsidRPr="00E14105">
              <w:rPr>
                <w:vertAlign w:val="superscript"/>
              </w:rPr>
              <w:t>th</w:t>
            </w:r>
            <w:r>
              <w:t xml:space="preserve"> April </w:t>
            </w:r>
          </w:p>
        </w:tc>
      </w:tr>
      <w:tr w:rsidR="002F14C5" w:rsidRPr="000826B8" w14:paraId="3CE40BA8"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63F4FB4F" w14:textId="77777777" w:rsidR="002F14C5" w:rsidRPr="000826B8" w:rsidRDefault="002F14C5" w:rsidP="00B47F69">
            <w:pPr>
              <w:pStyle w:val="Numbered"/>
            </w:pPr>
            <w:r w:rsidRPr="000826B8">
              <w:t>Deadline for tender responses to be received</w:t>
            </w:r>
          </w:p>
        </w:tc>
        <w:tc>
          <w:tcPr>
            <w:tcW w:w="2594" w:type="dxa"/>
            <w:tcBorders>
              <w:top w:val="single" w:sz="4" w:space="0" w:color="auto"/>
              <w:left w:val="single" w:sz="4" w:space="0" w:color="auto"/>
              <w:bottom w:val="single" w:sz="4" w:space="0" w:color="auto"/>
              <w:right w:val="single" w:sz="4" w:space="0" w:color="auto"/>
            </w:tcBorders>
          </w:tcPr>
          <w:p w14:paraId="4859ECF3" w14:textId="77777777" w:rsidR="002F14C5" w:rsidRPr="000826B8" w:rsidRDefault="001B5D8B" w:rsidP="00B47F69">
            <w:pPr>
              <w:pStyle w:val="Numbered"/>
            </w:pPr>
            <w:r>
              <w:t>3</w:t>
            </w:r>
            <w:r w:rsidRPr="001B5D8B">
              <w:rPr>
                <w:vertAlign w:val="superscript"/>
              </w:rPr>
              <w:t>rd</w:t>
            </w:r>
            <w:r>
              <w:t xml:space="preserve"> </w:t>
            </w:r>
            <w:r w:rsidR="002F14C5">
              <w:t xml:space="preserve">May </w:t>
            </w:r>
          </w:p>
        </w:tc>
      </w:tr>
      <w:tr w:rsidR="002F14C5" w:rsidRPr="000826B8" w14:paraId="235AEB6A" w14:textId="77777777" w:rsidTr="00B47F69">
        <w:tc>
          <w:tcPr>
            <w:tcW w:w="5527" w:type="dxa"/>
            <w:tcBorders>
              <w:top w:val="single" w:sz="4" w:space="0" w:color="auto"/>
              <w:left w:val="single" w:sz="4" w:space="0" w:color="auto"/>
              <w:bottom w:val="single" w:sz="4" w:space="0" w:color="auto"/>
              <w:right w:val="single" w:sz="4" w:space="0" w:color="auto"/>
            </w:tcBorders>
          </w:tcPr>
          <w:p w14:paraId="139FFCA8" w14:textId="77777777" w:rsidR="002F14C5" w:rsidRPr="000826B8" w:rsidRDefault="001B5D8B" w:rsidP="00B47F69">
            <w:pPr>
              <w:pStyle w:val="Numbered"/>
            </w:pPr>
            <w:r>
              <w:t xml:space="preserve">Tender </w:t>
            </w:r>
            <w:r w:rsidR="002F14C5" w:rsidRPr="000826B8">
              <w:t>Evaluation</w:t>
            </w:r>
            <w:r>
              <w:t>s</w:t>
            </w:r>
          </w:p>
        </w:tc>
        <w:tc>
          <w:tcPr>
            <w:tcW w:w="2594" w:type="dxa"/>
            <w:tcBorders>
              <w:top w:val="single" w:sz="4" w:space="0" w:color="auto"/>
              <w:left w:val="single" w:sz="4" w:space="0" w:color="auto"/>
              <w:bottom w:val="single" w:sz="4" w:space="0" w:color="auto"/>
              <w:right w:val="single" w:sz="4" w:space="0" w:color="auto"/>
            </w:tcBorders>
          </w:tcPr>
          <w:p w14:paraId="7BAC7D96" w14:textId="77777777" w:rsidR="002F14C5" w:rsidRPr="000826B8" w:rsidRDefault="001B5D8B" w:rsidP="00B47F69">
            <w:pPr>
              <w:pStyle w:val="Numbered"/>
            </w:pPr>
            <w:r>
              <w:t>3</w:t>
            </w:r>
            <w:r w:rsidRPr="001B5D8B">
              <w:rPr>
                <w:vertAlign w:val="superscript"/>
              </w:rPr>
              <w:t>rd</w:t>
            </w:r>
            <w:r>
              <w:t xml:space="preserve"> May – 2</w:t>
            </w:r>
            <w:r w:rsidR="002F14C5">
              <w:t>0</w:t>
            </w:r>
            <w:r w:rsidR="002F14C5" w:rsidRPr="00E14105">
              <w:rPr>
                <w:vertAlign w:val="superscript"/>
              </w:rPr>
              <w:t>th</w:t>
            </w:r>
            <w:r w:rsidR="002F14C5">
              <w:t xml:space="preserve"> May </w:t>
            </w:r>
          </w:p>
        </w:tc>
      </w:tr>
      <w:tr w:rsidR="002F14C5" w:rsidRPr="000826B8" w14:paraId="3CCDD6E5"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7206082A" w14:textId="77777777" w:rsidR="002F14C5" w:rsidRPr="000826B8" w:rsidRDefault="002F14C5" w:rsidP="00B47F69">
            <w:pPr>
              <w:pStyle w:val="Numbered"/>
            </w:pPr>
            <w:r w:rsidRPr="000826B8">
              <w:t>Department announcement of preferred bidder</w:t>
            </w:r>
          </w:p>
        </w:tc>
        <w:tc>
          <w:tcPr>
            <w:tcW w:w="2594" w:type="dxa"/>
            <w:tcBorders>
              <w:top w:val="single" w:sz="4" w:space="0" w:color="auto"/>
              <w:left w:val="single" w:sz="4" w:space="0" w:color="auto"/>
              <w:bottom w:val="single" w:sz="4" w:space="0" w:color="auto"/>
              <w:right w:val="single" w:sz="4" w:space="0" w:color="auto"/>
            </w:tcBorders>
          </w:tcPr>
          <w:p w14:paraId="6C74181C" w14:textId="77777777" w:rsidR="002F14C5" w:rsidRPr="000826B8" w:rsidRDefault="001B5D8B" w:rsidP="00B47F69">
            <w:pPr>
              <w:pStyle w:val="Numbered"/>
            </w:pPr>
            <w:r>
              <w:t xml:space="preserve">By w/c </w:t>
            </w:r>
            <w:r w:rsidR="002F14C5">
              <w:t>20</w:t>
            </w:r>
            <w:r w:rsidR="002F14C5" w:rsidRPr="00AD4741">
              <w:rPr>
                <w:vertAlign w:val="superscript"/>
              </w:rPr>
              <w:t>th</w:t>
            </w:r>
            <w:r w:rsidR="002F14C5">
              <w:t xml:space="preserve"> May </w:t>
            </w:r>
          </w:p>
        </w:tc>
      </w:tr>
      <w:tr w:rsidR="002F14C5" w:rsidRPr="000826B8" w14:paraId="2732C4A6"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3FB9D83F" w14:textId="77777777" w:rsidR="002F14C5" w:rsidRPr="000826B8" w:rsidRDefault="002F14C5" w:rsidP="00B47F69">
            <w:pPr>
              <w:pStyle w:val="Numbered"/>
            </w:pPr>
            <w:r w:rsidRPr="000826B8">
              <w:t>Contract fine-tuning with preferred bidder to take account of the solution</w:t>
            </w:r>
          </w:p>
        </w:tc>
        <w:tc>
          <w:tcPr>
            <w:tcW w:w="2594" w:type="dxa"/>
            <w:tcBorders>
              <w:top w:val="single" w:sz="4" w:space="0" w:color="auto"/>
              <w:left w:val="single" w:sz="4" w:space="0" w:color="auto"/>
              <w:bottom w:val="single" w:sz="4" w:space="0" w:color="auto"/>
              <w:right w:val="single" w:sz="4" w:space="0" w:color="auto"/>
            </w:tcBorders>
          </w:tcPr>
          <w:p w14:paraId="57A9C68C" w14:textId="77777777" w:rsidR="002F14C5" w:rsidRPr="000826B8" w:rsidRDefault="00A6648E" w:rsidP="00B47F69">
            <w:pPr>
              <w:pStyle w:val="Numbered"/>
            </w:pPr>
            <w:r>
              <w:t xml:space="preserve">By </w:t>
            </w:r>
            <w:r w:rsidR="002F14C5">
              <w:t>w/c 27</w:t>
            </w:r>
            <w:r w:rsidR="002F14C5" w:rsidRPr="00002578">
              <w:rPr>
                <w:vertAlign w:val="superscript"/>
              </w:rPr>
              <w:t>th</w:t>
            </w:r>
            <w:r w:rsidR="002F14C5">
              <w:t xml:space="preserve"> May</w:t>
            </w:r>
          </w:p>
        </w:tc>
      </w:tr>
      <w:tr w:rsidR="002F14C5" w:rsidRPr="000826B8" w14:paraId="7590065D"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61AEDB56" w14:textId="77777777" w:rsidR="002F14C5" w:rsidRPr="000826B8" w:rsidRDefault="002F14C5" w:rsidP="00B47F69">
            <w:pPr>
              <w:pStyle w:val="Numbered"/>
            </w:pPr>
            <w:r w:rsidRPr="000826B8">
              <w:t xml:space="preserve">Contract commencement </w:t>
            </w:r>
          </w:p>
        </w:tc>
        <w:tc>
          <w:tcPr>
            <w:tcW w:w="2594" w:type="dxa"/>
            <w:tcBorders>
              <w:top w:val="single" w:sz="4" w:space="0" w:color="auto"/>
              <w:left w:val="single" w:sz="4" w:space="0" w:color="auto"/>
              <w:bottom w:val="single" w:sz="4" w:space="0" w:color="auto"/>
              <w:right w:val="single" w:sz="4" w:space="0" w:color="auto"/>
            </w:tcBorders>
          </w:tcPr>
          <w:p w14:paraId="0C215394" w14:textId="77777777" w:rsidR="002F14C5" w:rsidRPr="000826B8" w:rsidRDefault="002F14C5" w:rsidP="00B47F69">
            <w:pPr>
              <w:pStyle w:val="Numbered"/>
            </w:pPr>
            <w:r>
              <w:t>3</w:t>
            </w:r>
            <w:r w:rsidRPr="00002578">
              <w:rPr>
                <w:vertAlign w:val="superscript"/>
              </w:rPr>
              <w:t>rd</w:t>
            </w:r>
            <w:r>
              <w:t xml:space="preserve"> June </w:t>
            </w:r>
          </w:p>
        </w:tc>
      </w:tr>
    </w:tbl>
    <w:p w14:paraId="3151276E" w14:textId="77777777" w:rsidR="002F14C5" w:rsidRDefault="002F14C5" w:rsidP="002F14C5">
      <w:pPr>
        <w:pStyle w:val="Numbered"/>
        <w:widowControl/>
        <w:ind w:left="720" w:hanging="720"/>
      </w:pPr>
    </w:p>
    <w:p w14:paraId="1162745D" w14:textId="77777777" w:rsidR="001B5D8B" w:rsidRDefault="001B5D8B" w:rsidP="002F14C5">
      <w:pPr>
        <w:pStyle w:val="Numbered"/>
        <w:widowControl/>
        <w:ind w:left="720" w:hanging="720"/>
      </w:pPr>
    </w:p>
    <w:p w14:paraId="0916DF9E" w14:textId="77777777" w:rsidR="002F14C5" w:rsidRDefault="002F14C5" w:rsidP="002F14C5">
      <w:pPr>
        <w:pStyle w:val="Numbered"/>
        <w:widowControl/>
        <w:ind w:left="720" w:hanging="720"/>
      </w:pPr>
      <w:r>
        <w:rPr>
          <w:b/>
        </w:rPr>
        <w:lastRenderedPageBreak/>
        <w:t>Returning Tenders</w:t>
      </w:r>
    </w:p>
    <w:p w14:paraId="4D8D5CFB" w14:textId="77777777" w:rsidR="009B5CBF" w:rsidRDefault="002F14C5" w:rsidP="00B73A7D">
      <w:pPr>
        <w:pStyle w:val="Numbered"/>
        <w:widowControl/>
        <w:ind w:left="720" w:hanging="720"/>
      </w:pPr>
      <w:r>
        <w:t>6</w:t>
      </w:r>
      <w:r>
        <w:tab/>
      </w:r>
      <w:r w:rsidRPr="00666F51">
        <w:rPr>
          <w:rFonts w:cs="Arial"/>
        </w:rPr>
        <w:t>Please send your proposal by email to</w:t>
      </w:r>
      <w:r w:rsidRPr="00F23A08">
        <w:rPr>
          <w:color w:val="0066FF"/>
        </w:rPr>
        <w:t xml:space="preserve">: </w:t>
      </w:r>
      <w:hyperlink r:id="rId15" w:history="1">
        <w:r w:rsidRPr="00AF729B">
          <w:rPr>
            <w:rStyle w:val="Hyperlink"/>
            <w:b/>
          </w:rPr>
          <w:t>contact@socialmobilitycommission.gov.uk</w:t>
        </w:r>
      </w:hyperlink>
      <w:r>
        <w:rPr>
          <w:rFonts w:cs="Arial"/>
        </w:rPr>
        <w:t xml:space="preserve"> Subject line of the email should read ‘Research Bid’. </w:t>
      </w:r>
      <w:r>
        <w:t xml:space="preserve">Tenders must be delivered by </w:t>
      </w:r>
      <w:r w:rsidR="001B5D8B" w:rsidRPr="001B5D8B">
        <w:rPr>
          <w:b/>
        </w:rPr>
        <w:t>3</w:t>
      </w:r>
      <w:r w:rsidR="001B5D8B" w:rsidRPr="001B5D8B">
        <w:rPr>
          <w:b/>
          <w:vertAlign w:val="superscript"/>
        </w:rPr>
        <w:t>rd</w:t>
      </w:r>
      <w:r w:rsidRPr="001B5D8B">
        <w:rPr>
          <w:b/>
        </w:rPr>
        <w:t xml:space="preserve"> May at 12 </w:t>
      </w:r>
      <w:r w:rsidR="00A6648E">
        <w:rPr>
          <w:b/>
        </w:rPr>
        <w:t>n</w:t>
      </w:r>
      <w:r w:rsidRPr="001B5D8B">
        <w:rPr>
          <w:b/>
        </w:rPr>
        <w:t xml:space="preserve">oon. </w:t>
      </w:r>
      <w:r w:rsidRPr="002E64C6">
        <w:t>Confirmations that bids have been received will be sent after the closing day.</w:t>
      </w:r>
      <w:r w:rsidR="00B73A7D">
        <w:t xml:space="preserve"> SMC will publish clarifications on </w:t>
      </w:r>
      <w:r w:rsidR="00A6648E">
        <w:t>Contracts Finder</w:t>
      </w:r>
      <w:r w:rsidR="00B73A7D">
        <w:t xml:space="preserve"> by </w:t>
      </w:r>
      <w:r w:rsidR="00A6648E">
        <w:t>26 April.</w:t>
      </w:r>
    </w:p>
    <w:p w14:paraId="4334E5F2" w14:textId="77777777" w:rsidR="002F14C5" w:rsidRDefault="002F14C5" w:rsidP="002F14C5">
      <w:pPr>
        <w:pStyle w:val="Numbered"/>
        <w:widowControl/>
        <w:ind w:left="720" w:hanging="720"/>
        <w:rPr>
          <w:b/>
        </w:rPr>
      </w:pPr>
      <w:r>
        <w:rPr>
          <w:b/>
        </w:rPr>
        <w:t>Receipt of Tenders</w:t>
      </w:r>
    </w:p>
    <w:p w14:paraId="5F6649CE" w14:textId="77777777" w:rsidR="002F14C5" w:rsidRDefault="002F14C5" w:rsidP="002F14C5">
      <w:pPr>
        <w:pStyle w:val="Numbered"/>
        <w:widowControl/>
        <w:ind w:left="720" w:hanging="720"/>
      </w:pPr>
      <w:r>
        <w:t>7</w:t>
      </w:r>
      <w:r>
        <w:tab/>
        <w:t>Tenders will be received up to the time and date stated.  Those received before the due date will be retained unopened until then.  It is the responsibility of the tenderer to ensure that their tender is delivered not later than the appointed time.</w:t>
      </w:r>
    </w:p>
    <w:p w14:paraId="722A5C51" w14:textId="77777777" w:rsidR="002F14C5" w:rsidRDefault="002F14C5" w:rsidP="002F14C5">
      <w:pPr>
        <w:pStyle w:val="Numbered"/>
        <w:widowControl/>
        <w:ind w:left="720" w:hanging="720"/>
      </w:pPr>
      <w:r>
        <w:rPr>
          <w:b/>
        </w:rPr>
        <w:t>Acceptance of Tenders</w:t>
      </w:r>
    </w:p>
    <w:p w14:paraId="5E2492A0" w14:textId="77777777" w:rsidR="002F14C5" w:rsidRDefault="002F14C5" w:rsidP="002F14C5">
      <w:pPr>
        <w:pStyle w:val="Numbered"/>
        <w:widowControl/>
        <w:ind w:left="720" w:hanging="720"/>
      </w:pPr>
      <w:r>
        <w:t>8</w:t>
      </w:r>
      <w:r>
        <w:tab/>
        <w:t xml:space="preserve">By issuing this invitation </w:t>
      </w:r>
      <w:r w:rsidR="005D7D23">
        <w:t>SMC</w:t>
      </w:r>
      <w:r>
        <w:t xml:space="preserve"> is not bound in any way and does not have to accept the lowest or any </w:t>
      </w:r>
      <w:proofErr w:type="gramStart"/>
      <w:r>
        <w:t>tender, and</w:t>
      </w:r>
      <w:proofErr w:type="gramEnd"/>
      <w:r>
        <w:t xml:space="preserve"> reserves the right to accept a portion of any tender, unless the tenderer expressly stipulates otherwise in their tender.</w:t>
      </w:r>
    </w:p>
    <w:p w14:paraId="3C19E010" w14:textId="77777777" w:rsidR="002F14C5" w:rsidRDefault="002F14C5" w:rsidP="002F14C5">
      <w:pPr>
        <w:pStyle w:val="Numbered"/>
        <w:widowControl/>
        <w:ind w:left="720" w:hanging="720"/>
      </w:pPr>
      <w:r>
        <w:t>9</w:t>
      </w:r>
      <w:r>
        <w:tab/>
      </w:r>
      <w:r w:rsidR="005D7D23">
        <w:t>SMC</w:t>
      </w:r>
      <w:r w:rsidRPr="00DD78E6">
        <w:t xml:space="preserve"> res</w:t>
      </w:r>
      <w:r>
        <w:t>erves the right to treat any tender</w:t>
      </w:r>
      <w:r w:rsidRPr="00DD78E6">
        <w:t xml:space="preserve"> which is caveated by reference to the UK exiting the EU with a deal or without a deal as non-compliant and, as with any procurement exercise, a bidder in submitting its price for evaluation does so in acceptance of all business risks and circumstances arising from time to time.</w:t>
      </w:r>
    </w:p>
    <w:p w14:paraId="47B59AC8" w14:textId="77777777" w:rsidR="002F14C5" w:rsidRDefault="002F14C5" w:rsidP="002F14C5">
      <w:pPr>
        <w:pStyle w:val="Numbered"/>
        <w:widowControl/>
        <w:ind w:left="720" w:hanging="720"/>
        <w:rPr>
          <w:b/>
        </w:rPr>
      </w:pPr>
      <w:r>
        <w:rPr>
          <w:b/>
        </w:rPr>
        <w:t>Inducements</w:t>
      </w:r>
    </w:p>
    <w:p w14:paraId="1CFFC3C0" w14:textId="77777777" w:rsidR="002F14C5" w:rsidRDefault="002F14C5" w:rsidP="002F14C5">
      <w:pPr>
        <w:pStyle w:val="Numbered"/>
        <w:widowControl/>
        <w:ind w:left="720" w:hanging="720"/>
      </w:pPr>
      <w:r>
        <w:t>10</w:t>
      </w:r>
      <w:r>
        <w:tab/>
        <w:t xml:space="preserve">Offering an inducement of any kind in relation to obtaining this or any other contract with </w:t>
      </w:r>
      <w:r w:rsidR="005D7D23">
        <w:t>SMC</w:t>
      </w:r>
      <w:r>
        <w:t xml:space="preserve"> will disqualify your tender from being considered and may constitute a criminal offence.</w:t>
      </w:r>
    </w:p>
    <w:p w14:paraId="1B054F1B" w14:textId="77777777" w:rsidR="002F14C5" w:rsidRDefault="002F14C5" w:rsidP="002F14C5">
      <w:pPr>
        <w:pStyle w:val="Numbered"/>
        <w:widowControl/>
      </w:pPr>
      <w:r>
        <w:rPr>
          <w:b/>
        </w:rPr>
        <w:t>Confidentiality of Tenders</w:t>
      </w:r>
    </w:p>
    <w:p w14:paraId="35B874AF" w14:textId="77777777" w:rsidR="002F14C5" w:rsidRDefault="002F14C5" w:rsidP="002F14C5">
      <w:pPr>
        <w:pStyle w:val="Numbered"/>
        <w:widowControl/>
      </w:pPr>
      <w:r>
        <w:t>11</w:t>
      </w:r>
      <w:r>
        <w:tab/>
        <w:t>Please note the following requirements, you must not:</w:t>
      </w:r>
    </w:p>
    <w:p w14:paraId="0061280F" w14:textId="77777777" w:rsidR="002F14C5" w:rsidRDefault="002F14C5" w:rsidP="002F14C5">
      <w:pPr>
        <w:pStyle w:val="Numbered"/>
        <w:widowControl/>
        <w:numPr>
          <w:ilvl w:val="0"/>
          <w:numId w:val="1"/>
        </w:numPr>
      </w:pPr>
      <w:r>
        <w:t>Tell anyone else what your tender price is or will be, before the time limit for delivery of tenders.</w:t>
      </w:r>
    </w:p>
    <w:p w14:paraId="2A4A69B1" w14:textId="77777777" w:rsidR="002F14C5" w:rsidRDefault="002F14C5" w:rsidP="002F14C5">
      <w:pPr>
        <w:pStyle w:val="Numbered"/>
        <w:widowControl/>
        <w:numPr>
          <w:ilvl w:val="0"/>
          <w:numId w:val="2"/>
        </w:numPr>
      </w:pPr>
      <w:r>
        <w:t>Try to obtain any information about anyone else's tender or proposed tender before the time limit for delivery of tenders.</w:t>
      </w:r>
    </w:p>
    <w:p w14:paraId="03C58585" w14:textId="77777777" w:rsidR="002F14C5" w:rsidRDefault="002F14C5" w:rsidP="002F14C5">
      <w:pPr>
        <w:pStyle w:val="Numbered"/>
        <w:widowControl/>
        <w:numPr>
          <w:ilvl w:val="0"/>
          <w:numId w:val="3"/>
        </w:numPr>
      </w:pPr>
      <w:r>
        <w:t xml:space="preserve">Make any arrangements with another organisation about </w:t>
      </w:r>
      <w:proofErr w:type="gramStart"/>
      <w:r>
        <w:t>whether or not</w:t>
      </w:r>
      <w:proofErr w:type="gramEnd"/>
      <w:r>
        <w:t xml:space="preserve"> they should tender, or about their or your tender price.</w:t>
      </w:r>
    </w:p>
    <w:p w14:paraId="4B9FF57D" w14:textId="77777777" w:rsidR="002F14C5" w:rsidRDefault="002F14C5" w:rsidP="002F14C5">
      <w:pPr>
        <w:pStyle w:val="Numbered"/>
        <w:widowControl/>
        <w:ind w:left="720"/>
      </w:pPr>
      <w:r>
        <w:t>Failure to comply with these conditions may disqualify your tender.</w:t>
      </w:r>
    </w:p>
    <w:p w14:paraId="5299A2C3" w14:textId="77777777" w:rsidR="002F14C5" w:rsidRDefault="002F14C5" w:rsidP="002F14C5">
      <w:pPr>
        <w:pStyle w:val="Numbered"/>
        <w:widowControl/>
        <w:rPr>
          <w:b/>
        </w:rPr>
      </w:pPr>
      <w:r>
        <w:rPr>
          <w:b/>
        </w:rPr>
        <w:t>Costs and Expenses</w:t>
      </w:r>
    </w:p>
    <w:p w14:paraId="6B05F152" w14:textId="77777777" w:rsidR="002F14C5" w:rsidRDefault="002F14C5" w:rsidP="002F14C5">
      <w:pPr>
        <w:pStyle w:val="Numbered"/>
        <w:widowControl/>
        <w:ind w:left="720" w:hanging="720"/>
      </w:pPr>
      <w:r>
        <w:t>12</w:t>
      </w:r>
      <w:r>
        <w:tab/>
        <w:t xml:space="preserve">You will not be entitled to claim from </w:t>
      </w:r>
      <w:r w:rsidR="005D7D23">
        <w:t>SMC</w:t>
      </w:r>
      <w:r>
        <w:t xml:space="preserve"> any costs or expenses which you may incur in preparing your tender </w:t>
      </w:r>
      <w:proofErr w:type="gramStart"/>
      <w:r>
        <w:t>whether or not</w:t>
      </w:r>
      <w:proofErr w:type="gramEnd"/>
      <w:r>
        <w:t xml:space="preserve"> your tender is successful.</w:t>
      </w:r>
    </w:p>
    <w:p w14:paraId="5E07D8DD" w14:textId="77777777" w:rsidR="00B73A7D" w:rsidRDefault="00B73A7D" w:rsidP="002F14C5">
      <w:pPr>
        <w:pStyle w:val="Numbered"/>
        <w:widowControl/>
        <w:rPr>
          <w:b/>
        </w:rPr>
      </w:pPr>
    </w:p>
    <w:p w14:paraId="6E177CB6" w14:textId="77777777" w:rsidR="002F14C5" w:rsidRDefault="002F14C5" w:rsidP="002F14C5">
      <w:pPr>
        <w:pStyle w:val="Numbered"/>
        <w:widowControl/>
        <w:rPr>
          <w:b/>
        </w:rPr>
      </w:pPr>
      <w:r>
        <w:rPr>
          <w:b/>
        </w:rPr>
        <w:t>Debriefing</w:t>
      </w:r>
    </w:p>
    <w:p w14:paraId="16183793" w14:textId="77777777" w:rsidR="002F14C5" w:rsidRDefault="002F14C5" w:rsidP="002F14C5">
      <w:pPr>
        <w:pStyle w:val="Numbered"/>
        <w:widowControl/>
        <w:ind w:left="720" w:hanging="720"/>
      </w:pPr>
      <w:r>
        <w:t>13</w:t>
      </w:r>
      <w:r>
        <w:tab/>
        <w:t>Following the award of contract, debriefing will be available to unsuccessful tenderers on request.</w:t>
      </w:r>
    </w:p>
    <w:p w14:paraId="3A18B3C8" w14:textId="77777777" w:rsidR="002F14C5" w:rsidRDefault="002F14C5" w:rsidP="002F14C5">
      <w:pPr>
        <w:pStyle w:val="Numbered"/>
        <w:widowControl/>
      </w:pPr>
      <w:r>
        <w:rPr>
          <w:b/>
        </w:rPr>
        <w:lastRenderedPageBreak/>
        <w:t>Evaluation Criteria</w:t>
      </w:r>
    </w:p>
    <w:p w14:paraId="60B5CE08" w14:textId="77777777" w:rsidR="002F14C5" w:rsidRPr="00F73DFA" w:rsidRDefault="002F14C5" w:rsidP="002F14C5">
      <w:pPr>
        <w:pStyle w:val="Numbered"/>
        <w:widowControl/>
        <w:ind w:left="720" w:hanging="720"/>
      </w:pPr>
      <w:r>
        <w:t>14</w:t>
      </w:r>
      <w:r>
        <w:tab/>
        <w:t>The tender process will be conducted in a manner that ensures tenders are evaluated fairly to ascertain the economically most advantageous tender.</w:t>
      </w:r>
    </w:p>
    <w:p w14:paraId="39ADE299" w14:textId="77777777" w:rsidR="002F14C5" w:rsidRDefault="002F14C5" w:rsidP="002F14C5">
      <w:pPr>
        <w:pStyle w:val="Numbered"/>
        <w:widowControl/>
        <w:ind w:left="720" w:hanging="720"/>
      </w:pPr>
      <w:r>
        <w:t>15</w:t>
      </w:r>
      <w:r>
        <w:tab/>
        <w:t>Not Used</w:t>
      </w:r>
    </w:p>
    <w:p w14:paraId="5EDACB51" w14:textId="77777777" w:rsidR="002F14C5" w:rsidRPr="00586ED8" w:rsidRDefault="002F14C5" w:rsidP="002F14C5">
      <w:pPr>
        <w:pStyle w:val="Numbered"/>
        <w:widowControl/>
        <w:ind w:left="720" w:hanging="720"/>
      </w:pPr>
      <w:r>
        <w:t>16</w:t>
      </w:r>
      <w:r>
        <w:tab/>
      </w:r>
      <w:r w:rsidRPr="00586ED8">
        <w:t>Your response to the tender specification will be evaluated</w:t>
      </w:r>
      <w:r>
        <w:t xml:space="preserve"> using the criteria set out in Document </w:t>
      </w:r>
      <w:r w:rsidR="00686C76">
        <w:t>4 Section</w:t>
      </w:r>
      <w:r>
        <w:t xml:space="preserve"> 2 - Evaluation Criteria.</w:t>
      </w:r>
    </w:p>
    <w:p w14:paraId="0AB6C410" w14:textId="77777777" w:rsidR="002F14C5" w:rsidRDefault="002F14C5" w:rsidP="002F14C5">
      <w:pPr>
        <w:pStyle w:val="Numbered"/>
        <w:widowControl/>
      </w:pPr>
      <w:r>
        <w:rPr>
          <w:b/>
        </w:rPr>
        <w:t>Tender Period</w:t>
      </w:r>
    </w:p>
    <w:p w14:paraId="208C40ED" w14:textId="77777777" w:rsidR="002F14C5" w:rsidRDefault="002F14C5" w:rsidP="002F14C5">
      <w:pPr>
        <w:pStyle w:val="Numbered"/>
        <w:widowControl/>
        <w:ind w:left="720" w:hanging="720"/>
      </w:pPr>
      <w:r>
        <w:t>17</w:t>
      </w:r>
      <w:r>
        <w:tab/>
        <w:t xml:space="preserve">Due to the intensive evaluation process </w:t>
      </w:r>
      <w:r w:rsidR="005D7D23">
        <w:t>SMC</w:t>
      </w:r>
      <w:r>
        <w:t xml:space="preserve"> requires tenders to remain valid for a period specified in Document 5.</w:t>
      </w:r>
    </w:p>
    <w:p w14:paraId="3FA396E5" w14:textId="77777777" w:rsidR="002F14C5" w:rsidRDefault="002F14C5" w:rsidP="002F14C5">
      <w:pPr>
        <w:pStyle w:val="Numbered"/>
        <w:widowControl/>
        <w:rPr>
          <w:b/>
        </w:rPr>
      </w:pPr>
      <w:r>
        <w:rPr>
          <w:b/>
        </w:rPr>
        <w:t>Basis of the Contract</w:t>
      </w:r>
    </w:p>
    <w:p w14:paraId="01E09E05" w14:textId="77777777" w:rsidR="002F14C5" w:rsidRDefault="002F14C5" w:rsidP="002F14C5">
      <w:pPr>
        <w:pStyle w:val="Numbered"/>
        <w:widowControl/>
        <w:ind w:left="720" w:hanging="720"/>
      </w:pPr>
      <w:r>
        <w:t>18</w:t>
      </w:r>
      <w:r>
        <w:tab/>
        <w:t xml:space="preserve">The specification in Document </w:t>
      </w:r>
      <w:r w:rsidR="00F84384">
        <w:t>1</w:t>
      </w:r>
      <w:r>
        <w:t>, and the terms and conditions in Document 4 Attachment 1, together with any special requirements, will form the basis of the contract between the successful tenderer and the Secretary of State for Education.</w:t>
      </w:r>
    </w:p>
    <w:p w14:paraId="211ADC97" w14:textId="77777777" w:rsidR="002F14C5" w:rsidRDefault="002F14C5" w:rsidP="002F14C5">
      <w:pPr>
        <w:pStyle w:val="Numbered"/>
        <w:widowControl/>
        <w:rPr>
          <w:b/>
        </w:rPr>
      </w:pPr>
      <w:r>
        <w:rPr>
          <w:b/>
        </w:rPr>
        <w:t>Format of Bids</w:t>
      </w:r>
    </w:p>
    <w:p w14:paraId="1E8D5E3B" w14:textId="77777777" w:rsidR="002F14C5" w:rsidRDefault="002F14C5" w:rsidP="002F14C5">
      <w:pPr>
        <w:pStyle w:val="Numbered"/>
        <w:widowControl/>
      </w:pPr>
      <w:r>
        <w:t>19</w:t>
      </w:r>
      <w:r>
        <w:tab/>
        <w:t>Tenderers should present their proposals in the following format:</w:t>
      </w:r>
    </w:p>
    <w:p w14:paraId="3064D1F4" w14:textId="77777777" w:rsidR="002F14C5" w:rsidRDefault="002F14C5" w:rsidP="002F14C5">
      <w:pPr>
        <w:pStyle w:val="Numbered"/>
        <w:widowControl/>
        <w:ind w:left="720"/>
        <w:rPr>
          <w:b/>
        </w:rPr>
      </w:pPr>
      <w:r>
        <w:rPr>
          <w:b/>
        </w:rPr>
        <w:t>Section 1</w:t>
      </w:r>
      <w:r>
        <w:rPr>
          <w:b/>
        </w:rPr>
        <w:tab/>
        <w:t>Summary of Proposal</w:t>
      </w:r>
    </w:p>
    <w:p w14:paraId="26D75349" w14:textId="77777777" w:rsidR="002F14C5" w:rsidRDefault="002F14C5" w:rsidP="002F14C5">
      <w:pPr>
        <w:pStyle w:val="Numbered"/>
        <w:widowControl/>
        <w:ind w:left="720"/>
        <w:rPr>
          <w:b/>
        </w:rPr>
      </w:pPr>
      <w:r>
        <w:rPr>
          <w:b/>
        </w:rPr>
        <w:t>Section 2</w:t>
      </w:r>
      <w:r>
        <w:rPr>
          <w:b/>
        </w:rPr>
        <w:tab/>
        <w:t>Meeting the Specification:</w:t>
      </w:r>
    </w:p>
    <w:p w14:paraId="2DA2E299" w14:textId="77777777" w:rsidR="002F14C5" w:rsidRPr="00666F51" w:rsidRDefault="002F14C5" w:rsidP="00EA4286">
      <w:pPr>
        <w:pStyle w:val="Numbered"/>
        <w:numPr>
          <w:ilvl w:val="0"/>
          <w:numId w:val="21"/>
        </w:numPr>
        <w:ind w:left="1980" w:hanging="540"/>
        <w:rPr>
          <w:rFonts w:cs="Arial"/>
        </w:rPr>
      </w:pPr>
      <w:r>
        <w:rPr>
          <w:rFonts w:cs="Arial"/>
        </w:rPr>
        <w:t>Details of proposed approach</w:t>
      </w:r>
      <w:r w:rsidRPr="00666F51">
        <w:rPr>
          <w:rFonts w:cs="Arial"/>
        </w:rPr>
        <w:t>;</w:t>
      </w:r>
    </w:p>
    <w:p w14:paraId="5CDBE192" w14:textId="77777777" w:rsidR="002F14C5" w:rsidRPr="00666F51" w:rsidRDefault="002F14C5" w:rsidP="00EA4286">
      <w:pPr>
        <w:pStyle w:val="Numbered"/>
        <w:numPr>
          <w:ilvl w:val="0"/>
          <w:numId w:val="22"/>
        </w:numPr>
        <w:ind w:left="1980" w:hanging="540"/>
        <w:rPr>
          <w:rFonts w:cs="Arial"/>
        </w:rPr>
      </w:pPr>
      <w:r w:rsidRPr="00666F51">
        <w:rPr>
          <w:rFonts w:cs="Arial"/>
        </w:rPr>
        <w:t>Methodology</w:t>
      </w:r>
      <w:r>
        <w:rPr>
          <w:rFonts w:cs="Arial"/>
        </w:rPr>
        <w:t>, including constraints and possible solutions</w:t>
      </w:r>
      <w:r w:rsidRPr="00666F51">
        <w:rPr>
          <w:rFonts w:cs="Arial"/>
        </w:rPr>
        <w:t>;</w:t>
      </w:r>
    </w:p>
    <w:p w14:paraId="7A697DA5" w14:textId="77777777" w:rsidR="002F14C5" w:rsidRPr="00666F51" w:rsidRDefault="002F14C5" w:rsidP="00EA4286">
      <w:pPr>
        <w:pStyle w:val="Numbered"/>
        <w:numPr>
          <w:ilvl w:val="0"/>
          <w:numId w:val="23"/>
        </w:numPr>
        <w:ind w:left="1980" w:hanging="540"/>
        <w:rPr>
          <w:rFonts w:cs="Arial"/>
        </w:rPr>
      </w:pPr>
      <w:r w:rsidRPr="00666F51">
        <w:rPr>
          <w:rFonts w:cs="Arial"/>
        </w:rPr>
        <w:t>Project management;</w:t>
      </w:r>
    </w:p>
    <w:p w14:paraId="3C061A74" w14:textId="77777777" w:rsidR="002F14C5" w:rsidRPr="00666F51" w:rsidRDefault="002F14C5" w:rsidP="00EA4286">
      <w:pPr>
        <w:pStyle w:val="Numbered"/>
        <w:numPr>
          <w:ilvl w:val="0"/>
          <w:numId w:val="24"/>
        </w:numPr>
        <w:ind w:left="1980" w:hanging="540"/>
        <w:rPr>
          <w:rFonts w:cs="Arial"/>
        </w:rPr>
      </w:pPr>
      <w:r w:rsidRPr="00666F51">
        <w:rPr>
          <w:rFonts w:cs="Arial"/>
        </w:rPr>
        <w:t>Staffing</w:t>
      </w:r>
      <w:r>
        <w:rPr>
          <w:rFonts w:cs="Arial"/>
        </w:rPr>
        <w:t>, including e</w:t>
      </w:r>
      <w:r w:rsidRPr="00BB07D1">
        <w:rPr>
          <w:rFonts w:cs="Arial"/>
        </w:rPr>
        <w:t>xamples of key relevant experience and individual/staff expertise and qualifications. Proposed distribution of duties should be clearly stated if the bid involves sub-contracting or collaboration between different providers</w:t>
      </w:r>
      <w:r w:rsidRPr="00666F51">
        <w:rPr>
          <w:rFonts w:cs="Arial"/>
        </w:rPr>
        <w:t>; and</w:t>
      </w:r>
    </w:p>
    <w:p w14:paraId="5131A330" w14:textId="77777777" w:rsidR="002F14C5" w:rsidRDefault="002F14C5" w:rsidP="00EA4286">
      <w:pPr>
        <w:pStyle w:val="Numbered"/>
        <w:numPr>
          <w:ilvl w:val="0"/>
          <w:numId w:val="25"/>
        </w:numPr>
        <w:ind w:left="1980" w:hanging="540"/>
        <w:rPr>
          <w:rFonts w:cs="Arial"/>
        </w:rPr>
      </w:pPr>
      <w:r w:rsidRPr="00666F51">
        <w:rPr>
          <w:rFonts w:cs="Arial"/>
        </w:rPr>
        <w:t>Outputs</w:t>
      </w:r>
      <w:r>
        <w:rPr>
          <w:rFonts w:cs="Arial"/>
        </w:rPr>
        <w:t>, including how the findings will be presented</w:t>
      </w:r>
      <w:r w:rsidRPr="00666F51">
        <w:rPr>
          <w:rFonts w:cs="Arial"/>
        </w:rPr>
        <w:t>.</w:t>
      </w:r>
    </w:p>
    <w:p w14:paraId="784E5A7A" w14:textId="77777777" w:rsidR="002F14C5" w:rsidRDefault="002F14C5" w:rsidP="002F14C5">
      <w:pPr>
        <w:pStyle w:val="Numbered"/>
        <w:widowControl/>
        <w:ind w:left="720"/>
        <w:rPr>
          <w:b/>
        </w:rPr>
      </w:pPr>
      <w:r>
        <w:rPr>
          <w:b/>
        </w:rPr>
        <w:t>Section 3</w:t>
      </w:r>
      <w:r>
        <w:rPr>
          <w:b/>
        </w:rPr>
        <w:tab/>
        <w:t>Cost and Charging Arrangements</w:t>
      </w:r>
    </w:p>
    <w:p w14:paraId="70F1E5B1" w14:textId="77777777" w:rsidR="002F14C5" w:rsidRPr="006725F3" w:rsidRDefault="002F14C5" w:rsidP="00EA4286">
      <w:pPr>
        <w:pStyle w:val="ListParagraph"/>
        <w:widowContro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rFonts w:cs="Arial"/>
        </w:rPr>
      </w:pPr>
      <w:r w:rsidRPr="006725F3">
        <w:rPr>
          <w:rFonts w:cs="Arial"/>
        </w:rPr>
        <w:t>Costs should be shown separately by financial year and where more than one type of methodology is involved the costs need to be shown separately for each element, e.g.:</w:t>
      </w:r>
    </w:p>
    <w:p w14:paraId="0B059C62" w14:textId="77777777" w:rsidR="002F14C5" w:rsidRPr="006725F3" w:rsidRDefault="002F14C5" w:rsidP="00EA4286">
      <w:pPr>
        <w:pStyle w:val="DfESBullets"/>
        <w:numPr>
          <w:ilvl w:val="0"/>
          <w:numId w:val="34"/>
        </w:numPr>
        <w:tabs>
          <w:tab w:val="clear" w:pos="360"/>
        </w:tabs>
        <w:spacing w:after="0"/>
        <w:ind w:left="2160" w:firstLine="0"/>
      </w:pPr>
      <w:r w:rsidRPr="006725F3">
        <w:t>group discussions;</w:t>
      </w:r>
    </w:p>
    <w:p w14:paraId="714D106C" w14:textId="77777777" w:rsidR="002F14C5" w:rsidRPr="006725F3" w:rsidRDefault="002F14C5" w:rsidP="00EA4286">
      <w:pPr>
        <w:pStyle w:val="DfESBullets"/>
        <w:numPr>
          <w:ilvl w:val="0"/>
          <w:numId w:val="35"/>
        </w:numPr>
        <w:tabs>
          <w:tab w:val="clear" w:pos="360"/>
        </w:tabs>
        <w:spacing w:after="0"/>
        <w:ind w:firstLine="0"/>
      </w:pPr>
      <w:r w:rsidRPr="006725F3">
        <w:t>personal interview;</w:t>
      </w:r>
    </w:p>
    <w:p w14:paraId="347C019C" w14:textId="77777777" w:rsidR="002F14C5" w:rsidRPr="006725F3" w:rsidRDefault="002F14C5" w:rsidP="00EA4286">
      <w:pPr>
        <w:pStyle w:val="DfESBullets"/>
        <w:numPr>
          <w:ilvl w:val="0"/>
          <w:numId w:val="36"/>
        </w:numPr>
        <w:tabs>
          <w:tab w:val="clear" w:pos="360"/>
        </w:tabs>
        <w:spacing w:after="0"/>
        <w:ind w:firstLine="0"/>
      </w:pPr>
      <w:r w:rsidRPr="006725F3">
        <w:t>telephone survey;</w:t>
      </w:r>
    </w:p>
    <w:p w14:paraId="1456999D" w14:textId="77777777" w:rsidR="002F14C5" w:rsidRPr="006725F3" w:rsidRDefault="002F14C5" w:rsidP="00EA4286">
      <w:pPr>
        <w:pStyle w:val="DfESBullets"/>
        <w:numPr>
          <w:ilvl w:val="0"/>
          <w:numId w:val="37"/>
        </w:numPr>
        <w:tabs>
          <w:tab w:val="clear" w:pos="360"/>
        </w:tabs>
        <w:spacing w:after="0"/>
        <w:ind w:firstLine="0"/>
      </w:pPr>
      <w:r w:rsidRPr="006725F3">
        <w:t>postal survey; and</w:t>
      </w:r>
    </w:p>
    <w:p w14:paraId="594FCAA4" w14:textId="77777777" w:rsidR="002F14C5" w:rsidRPr="006725F3" w:rsidRDefault="002F14C5" w:rsidP="00EA4286">
      <w:pPr>
        <w:pStyle w:val="DfESBullets"/>
        <w:numPr>
          <w:ilvl w:val="0"/>
          <w:numId w:val="38"/>
        </w:numPr>
        <w:tabs>
          <w:tab w:val="clear" w:pos="360"/>
        </w:tabs>
        <w:spacing w:after="0"/>
        <w:ind w:firstLine="0"/>
      </w:pPr>
      <w:r w:rsidRPr="006725F3">
        <w:t>desk research.</w:t>
      </w:r>
    </w:p>
    <w:p w14:paraId="651DCEAA" w14:textId="77777777" w:rsidR="002F14C5" w:rsidRDefault="002F14C5" w:rsidP="002F14C5">
      <w:pPr>
        <w:pStyle w:val="Numbered"/>
        <w:widowControl/>
        <w:ind w:left="720"/>
        <w:rPr>
          <w:b/>
        </w:rPr>
      </w:pPr>
    </w:p>
    <w:p w14:paraId="438E4ED6" w14:textId="77777777" w:rsidR="002F14C5" w:rsidRPr="00857A76" w:rsidRDefault="002F14C5" w:rsidP="002F14C5">
      <w:pPr>
        <w:pStyle w:val="Numbered"/>
        <w:ind w:left="720"/>
        <w:rPr>
          <w:rFonts w:cs="Arial"/>
          <w:b/>
        </w:rPr>
      </w:pPr>
      <w:r w:rsidRPr="00857A76">
        <w:rPr>
          <w:rFonts w:cs="Arial"/>
          <w:b/>
        </w:rPr>
        <w:t xml:space="preserve">Section </w:t>
      </w:r>
      <w:r>
        <w:rPr>
          <w:rFonts w:cs="Arial"/>
          <w:b/>
        </w:rPr>
        <w:t>4</w:t>
      </w:r>
      <w:r>
        <w:rPr>
          <w:rFonts w:cs="Arial"/>
          <w:b/>
        </w:rPr>
        <w:tab/>
        <w:t>Risk Management</w:t>
      </w:r>
    </w:p>
    <w:p w14:paraId="457343FB" w14:textId="77777777" w:rsidR="002F14C5" w:rsidRDefault="002F14C5" w:rsidP="002F14C5">
      <w:pPr>
        <w:pStyle w:val="Numbered"/>
        <w:widowControl/>
        <w:ind w:left="720"/>
        <w:rPr>
          <w:b/>
        </w:rPr>
      </w:pPr>
      <w:r>
        <w:rPr>
          <w:b/>
        </w:rPr>
        <w:lastRenderedPageBreak/>
        <w:t>Section 5</w:t>
      </w:r>
      <w:r>
        <w:rPr>
          <w:b/>
        </w:rPr>
        <w:tab/>
        <w:t>Data Security</w:t>
      </w:r>
    </w:p>
    <w:p w14:paraId="7203BEA9" w14:textId="77777777" w:rsidR="002F14C5" w:rsidRDefault="002F14C5" w:rsidP="002F14C5">
      <w:pPr>
        <w:pStyle w:val="Numbered"/>
        <w:widowControl/>
        <w:ind w:left="720"/>
        <w:rPr>
          <w:b/>
        </w:rPr>
      </w:pPr>
      <w:r>
        <w:rPr>
          <w:b/>
        </w:rPr>
        <w:t>Section 6</w:t>
      </w:r>
      <w:r>
        <w:rPr>
          <w:b/>
        </w:rPr>
        <w:tab/>
        <w:t xml:space="preserve">References </w:t>
      </w:r>
    </w:p>
    <w:p w14:paraId="14B6485E" w14:textId="77777777" w:rsidR="002F14C5" w:rsidRDefault="002F14C5" w:rsidP="002F14C5">
      <w:pPr>
        <w:pStyle w:val="Numbered"/>
        <w:widowControl/>
        <w:ind w:left="720"/>
      </w:pPr>
      <w:r>
        <w:rPr>
          <w:b/>
        </w:rPr>
        <w:t>Section 7</w:t>
      </w:r>
      <w:r>
        <w:rPr>
          <w:b/>
        </w:rPr>
        <w:tab/>
        <w:t xml:space="preserve">Declarations, Undertakings and Attachments </w:t>
      </w:r>
      <w:r>
        <w:t>(see Document 5)</w:t>
      </w:r>
    </w:p>
    <w:p w14:paraId="3002F213" w14:textId="77777777" w:rsidR="002F14C5" w:rsidRDefault="002F14C5" w:rsidP="00B73A7D">
      <w:pPr>
        <w:spacing w:line="276" w:lineRule="auto"/>
        <w:rPr>
          <w:rFonts w:cs="Arial"/>
        </w:rPr>
      </w:pPr>
      <w:r>
        <w:rPr>
          <w:rFonts w:cs="Arial"/>
        </w:rPr>
        <w:t>Sections 1 - 4 should not</w:t>
      </w:r>
      <w:r w:rsidRPr="006725F3">
        <w:rPr>
          <w:rFonts w:cs="Arial"/>
        </w:rPr>
        <w:t xml:space="preserve"> exceed 7 sides of A4</w:t>
      </w:r>
      <w:r>
        <w:rPr>
          <w:rFonts w:cs="Arial"/>
        </w:rPr>
        <w:t xml:space="preserve"> and sections 5 - 6 should not exceed 3 sides of A4, for a combined </w:t>
      </w:r>
      <w:r w:rsidRPr="00CF17C7">
        <w:rPr>
          <w:rFonts w:cs="Arial"/>
          <w:b/>
        </w:rPr>
        <w:t>total of 10 pages</w:t>
      </w:r>
      <w:r>
        <w:rPr>
          <w:rFonts w:cs="Arial"/>
        </w:rPr>
        <w:t>. Any bids above that</w:t>
      </w:r>
      <w:r w:rsidRPr="006725F3">
        <w:rPr>
          <w:rFonts w:cs="Arial"/>
        </w:rPr>
        <w:t xml:space="preserve"> will be not be considered.</w:t>
      </w:r>
      <w:r>
        <w:rPr>
          <w:rFonts w:cs="Arial"/>
        </w:rPr>
        <w:t xml:space="preserve"> </w:t>
      </w:r>
    </w:p>
    <w:p w14:paraId="7C0D9804" w14:textId="77777777" w:rsidR="00B73A7D" w:rsidRPr="00B73A7D" w:rsidRDefault="00B73A7D" w:rsidP="00B73A7D">
      <w:pPr>
        <w:spacing w:line="276" w:lineRule="auto"/>
        <w:rPr>
          <w:rFonts w:cs="Arial"/>
        </w:rPr>
      </w:pPr>
    </w:p>
    <w:p w14:paraId="308DDED8" w14:textId="77777777" w:rsidR="002F14C5" w:rsidRDefault="002F14C5" w:rsidP="002F14C5">
      <w:pPr>
        <w:pStyle w:val="Numbered"/>
        <w:widowControl/>
        <w:rPr>
          <w:b/>
        </w:rPr>
      </w:pPr>
      <w:r>
        <w:rPr>
          <w:b/>
        </w:rPr>
        <w:t>Conclusions</w:t>
      </w:r>
    </w:p>
    <w:p w14:paraId="4DAAD504" w14:textId="77777777" w:rsidR="002F14C5" w:rsidRDefault="002F14C5" w:rsidP="002F14C5">
      <w:pPr>
        <w:pStyle w:val="Numbered"/>
        <w:widowControl/>
        <w:ind w:left="720" w:hanging="720"/>
      </w:pPr>
      <w:r>
        <w:t>20</w:t>
      </w:r>
      <w:r>
        <w:tab/>
        <w:t>Whilst every endeavour has been made to give tenderers an accurate description of the Commission’s requirement, tenderers should make their own assessment about the methods and resources needed to meet those requirements.</w:t>
      </w:r>
    </w:p>
    <w:p w14:paraId="2DBADE69" w14:textId="77777777" w:rsidR="000846D5" w:rsidRPr="000846D5" w:rsidRDefault="000846D5" w:rsidP="00671556">
      <w:pPr>
        <w:pStyle w:val="Numbered"/>
        <w:widowControl/>
        <w:ind w:left="720" w:hanging="720"/>
      </w:pPr>
    </w:p>
    <w:p w14:paraId="74F32175" w14:textId="77777777" w:rsidR="00CA1712" w:rsidRDefault="00CA1712">
      <w:pPr>
        <w:pStyle w:val="Numbered"/>
        <w:widowControl/>
        <w:jc w:val="right"/>
        <w:rPr>
          <w:b/>
        </w:rPr>
      </w:pPr>
      <w:r>
        <w:br w:type="page"/>
      </w:r>
      <w:bookmarkStart w:id="4" w:name="Document3"/>
      <w:bookmarkEnd w:id="4"/>
      <w:r>
        <w:rPr>
          <w:b/>
        </w:rPr>
        <w:lastRenderedPageBreak/>
        <w:t xml:space="preserve">DOCUMENT </w:t>
      </w:r>
      <w:r w:rsidR="00671556">
        <w:rPr>
          <w:b/>
        </w:rPr>
        <w:t>3</w:t>
      </w:r>
    </w:p>
    <w:p w14:paraId="2E577200" w14:textId="77777777" w:rsidR="002F14C5" w:rsidRPr="004D1053" w:rsidRDefault="002F14C5" w:rsidP="002F14C5">
      <w:pPr>
        <w:pStyle w:val="Numbered"/>
        <w:widowControl/>
        <w:ind w:left="720" w:hanging="720"/>
        <w:rPr>
          <w:b/>
        </w:rPr>
      </w:pPr>
      <w:r>
        <w:rPr>
          <w:b/>
        </w:rPr>
        <w:t xml:space="preserve">DEPARTMENTAL STANDARD </w:t>
      </w:r>
      <w:r w:rsidRPr="000B145D">
        <w:rPr>
          <w:b/>
        </w:rPr>
        <w:t>REQUIREMENTS</w:t>
      </w:r>
    </w:p>
    <w:p w14:paraId="6BBD4470" w14:textId="77777777" w:rsidR="002F14C5" w:rsidRDefault="002F14C5" w:rsidP="002F14C5">
      <w:pPr>
        <w:pStyle w:val="Numbered"/>
        <w:widowControl/>
      </w:pPr>
      <w:r>
        <w:rPr>
          <w:b/>
        </w:rPr>
        <w:t xml:space="preserve">Freedom </w:t>
      </w:r>
      <w:proofErr w:type="gramStart"/>
      <w:r>
        <w:rPr>
          <w:b/>
        </w:rPr>
        <w:t>Of</w:t>
      </w:r>
      <w:proofErr w:type="gramEnd"/>
      <w:r>
        <w:rPr>
          <w:b/>
        </w:rPr>
        <w:t xml:space="preserve"> Information</w:t>
      </w:r>
    </w:p>
    <w:p w14:paraId="56F75FBE" w14:textId="77777777" w:rsidR="002F14C5" w:rsidRDefault="002F14C5" w:rsidP="002F14C5">
      <w:pPr>
        <w:pStyle w:val="Numbered"/>
        <w:widowControl/>
        <w:ind w:left="720" w:hanging="720"/>
      </w:pPr>
      <w:r>
        <w:t>1</w:t>
      </w:r>
      <w:r>
        <w:tab/>
      </w:r>
      <w:r w:rsidR="005D7D23">
        <w:t>SMC</w:t>
      </w:r>
      <w:r>
        <w:t xml:space="preserve"> is committed to open government and to meeting their responsibilities under the Freedom of Information Act 2000. Accordingly, all information submitted to </w:t>
      </w:r>
      <w:r w:rsidR="005D7D23">
        <w:t>SMC</w:t>
      </w:r>
      <w: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w:t>
      </w:r>
      <w:r w:rsidR="005D7D23">
        <w:t>SMC</w:t>
      </w:r>
      <w:r>
        <w:t xml:space="preserve"> should not be taken to mean that we accept any duty of confidence by virtue of that marking. If a request is received, we may also be required to disclose details of unsuccessful tenders.  </w:t>
      </w:r>
    </w:p>
    <w:p w14:paraId="6B20DAF5" w14:textId="77777777" w:rsidR="002F14C5" w:rsidRPr="000E2959" w:rsidRDefault="002F14C5" w:rsidP="002F14C5">
      <w:pPr>
        <w:pStyle w:val="Numbered"/>
        <w:widowControl/>
        <w:ind w:left="720" w:hanging="720"/>
        <w:rPr>
          <w:b/>
        </w:rPr>
      </w:pPr>
      <w:r>
        <w:rPr>
          <w:b/>
        </w:rPr>
        <w:t>Publication of Contract</w:t>
      </w:r>
    </w:p>
    <w:p w14:paraId="667CC829" w14:textId="77777777" w:rsidR="002F14C5" w:rsidRDefault="002F14C5" w:rsidP="002F14C5">
      <w:pPr>
        <w:pStyle w:val="Numbered"/>
        <w:widowControl/>
        <w:ind w:left="720" w:hanging="720"/>
      </w:pPr>
      <w:r>
        <w:t>2</w:t>
      </w:r>
      <w:r>
        <w:tab/>
        <w:t xml:space="preserve">Under the Government’s Transparency requirements we are obliged to publish the contract between </w:t>
      </w:r>
      <w:r w:rsidR="005D7D23">
        <w:t>SMC</w:t>
      </w:r>
      <w:r>
        <w:t xml:space="preserve">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6" w:history="1">
        <w:r w:rsidRPr="005418D4">
          <w:rPr>
            <w:rStyle w:val="Hyperlink"/>
          </w:rPr>
          <w:t>The Transparency of Suppliers and Government to the Public</w:t>
        </w:r>
      </w:hyperlink>
      <w:r>
        <w:t>’ for more detail.</w:t>
      </w:r>
    </w:p>
    <w:p w14:paraId="5C17C11B" w14:textId="77777777" w:rsidR="002F14C5" w:rsidRDefault="002F14C5" w:rsidP="002F14C5">
      <w:pPr>
        <w:pStyle w:val="Numbered"/>
        <w:widowControl/>
      </w:pPr>
      <w:r>
        <w:rPr>
          <w:b/>
        </w:rPr>
        <w:t>Information Sharing Across Government</w:t>
      </w:r>
    </w:p>
    <w:p w14:paraId="16581E73" w14:textId="77777777" w:rsidR="002F14C5" w:rsidRDefault="002F14C5" w:rsidP="002F14C5">
      <w:pPr>
        <w:pStyle w:val="Numbered"/>
        <w:widowControl/>
        <w:ind w:left="720" w:hanging="720"/>
      </w:pPr>
      <w:r>
        <w:t>3</w:t>
      </w:r>
      <w:r>
        <w:tab/>
        <w:t xml:space="preserve">All Central Government Departments and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4D94DBFF" w14:textId="77777777" w:rsidR="002F14C5" w:rsidRPr="009F0C94" w:rsidRDefault="002F14C5" w:rsidP="002F14C5">
      <w:pPr>
        <w:pStyle w:val="Numbered"/>
        <w:widowControl/>
        <w:ind w:left="720" w:hanging="720"/>
      </w:pPr>
      <w:r>
        <w:t>4</w:t>
      </w:r>
      <w:r>
        <w:tab/>
        <w:t xml:space="preserve">For these purposes, </w:t>
      </w:r>
      <w:r w:rsidR="005D7D23">
        <w:t>SMC</w:t>
      </w:r>
      <w:r>
        <w:t xml:space="preserve"> may disclose within Government any of the Contractor's documentation/information (including any that the Contractor considers to be confidential and/or commercially sensitive such as specific bid information) submitted by the Contractor to </w:t>
      </w:r>
      <w:r w:rsidR="005D7D23">
        <w:t>SMC</w:t>
      </w:r>
      <w:r>
        <w:t xml:space="preserve"> during this Procurement. The information will not be disclosed outside Government. Contractors taking part in this competition consent to these terms as part of the competition process.”</w:t>
      </w:r>
    </w:p>
    <w:p w14:paraId="62C8A4A5" w14:textId="77777777" w:rsidR="002F14C5" w:rsidRDefault="002F14C5" w:rsidP="002F14C5">
      <w:pPr>
        <w:pStyle w:val="Numbered"/>
        <w:widowControl/>
        <w:rPr>
          <w:b/>
        </w:rPr>
      </w:pPr>
      <w:r>
        <w:rPr>
          <w:b/>
        </w:rPr>
        <w:t xml:space="preserve">Cyber Essentials Scheme </w:t>
      </w:r>
    </w:p>
    <w:p w14:paraId="46613412" w14:textId="77777777" w:rsidR="002F14C5" w:rsidRPr="000C1EB1" w:rsidRDefault="002F14C5" w:rsidP="002F14C5">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its new Cyber Essentials Scheme</w:t>
      </w:r>
      <w:r>
        <w:t xml:space="preserve"> in consultation with industry</w:t>
      </w:r>
      <w:r w:rsidRPr="000C1EB1">
        <w:t xml:space="preserve"> to mitigate the risk from common </w:t>
      </w:r>
      <w:proofErr w:type="gramStart"/>
      <w:r w:rsidRPr="000C1EB1">
        <w:t>internet based</w:t>
      </w:r>
      <w:proofErr w:type="gramEnd"/>
      <w:r w:rsidRPr="000C1EB1">
        <w:t xml:space="preserve"> threats.</w:t>
      </w:r>
    </w:p>
    <w:p w14:paraId="1A17601F" w14:textId="77777777" w:rsidR="002F14C5" w:rsidRPr="000C1EB1" w:rsidRDefault="002F14C5" w:rsidP="002F14C5">
      <w:pPr>
        <w:pStyle w:val="Numbered"/>
        <w:widowControl/>
        <w:ind w:left="720" w:hanging="720"/>
      </w:pPr>
      <w:r>
        <w:t>6</w:t>
      </w:r>
      <w:r>
        <w:tab/>
        <w:t>It is m</w:t>
      </w:r>
      <w:r w:rsidRPr="000C1EB1">
        <w:t xml:space="preserve">andatory for new Central Government contracts, which feature characteristics involving the handling of personal data and ICT systems designed to store or process data at the OFFICIAL level of the </w:t>
      </w:r>
      <w:hyperlink r:id="rId17"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0DCF46FA" w14:textId="77777777" w:rsidR="002F14C5" w:rsidRDefault="002F14C5" w:rsidP="002F14C5">
      <w:pPr>
        <w:pStyle w:val="Numbered"/>
        <w:widowControl/>
        <w:ind w:left="720" w:hanging="720"/>
      </w:pPr>
      <w:r>
        <w:lastRenderedPageBreak/>
        <w:t>7</w:t>
      </w:r>
      <w:r>
        <w:tab/>
      </w:r>
      <w:r w:rsidRPr="000C1EB1">
        <w:t xml:space="preserve">All potential tenderers for Central Government contracts, featuring the above characteristics, should make themselves aware of </w:t>
      </w:r>
      <w:hyperlink r:id="rId18" w:history="1">
        <w:r w:rsidRPr="00016AF4">
          <w:rPr>
            <w:rStyle w:val="Hyperlink"/>
          </w:rPr>
          <w:t>Cyber Essentials</w:t>
        </w:r>
      </w:hyperlink>
      <w:r w:rsidRPr="000C1EB1">
        <w:t xml:space="preserve"> and the requirements for the appropriate level of certification “or equivalent”.  </w:t>
      </w:r>
    </w:p>
    <w:p w14:paraId="63E2A3C2" w14:textId="77777777" w:rsidR="002F14C5" w:rsidRPr="000C1EB1" w:rsidRDefault="002F14C5" w:rsidP="002F14C5">
      <w:pPr>
        <w:pStyle w:val="Numbered"/>
        <w:widowControl/>
        <w:ind w:left="720" w:hanging="720"/>
      </w:pPr>
      <w:r>
        <w:t>8</w:t>
      </w:r>
      <w:r>
        <w:tab/>
      </w:r>
      <w:r w:rsidRPr="000C1EB1">
        <w:t>As this requirement features the above characteristics, you are required to demonstrate in your tender response that:</w:t>
      </w:r>
    </w:p>
    <w:p w14:paraId="08B13980" w14:textId="77777777" w:rsidR="002F14C5" w:rsidRPr="000C1EB1" w:rsidRDefault="002F14C5" w:rsidP="00EA4286">
      <w:pPr>
        <w:pStyle w:val="Numbered"/>
        <w:widowControl/>
        <w:numPr>
          <w:ilvl w:val="0"/>
          <w:numId w:val="8"/>
        </w:numPr>
      </w:pPr>
      <w:r w:rsidRPr="000C1EB1">
        <w:t xml:space="preserve">Your organisation will be able to secure </w:t>
      </w:r>
      <w:r w:rsidRPr="00A81434">
        <w:rPr>
          <w:b/>
        </w:rPr>
        <w:t>Cyber Essentials</w:t>
      </w:r>
      <w:r w:rsidRPr="000C1EB1">
        <w:t xml:space="preserve"> certification prior to contract award; or</w:t>
      </w:r>
    </w:p>
    <w:p w14:paraId="11F785D2" w14:textId="77777777" w:rsidR="002F14C5" w:rsidRPr="000C1EB1" w:rsidRDefault="002F14C5" w:rsidP="00EA4286">
      <w:pPr>
        <w:pStyle w:val="Numbered"/>
        <w:widowControl/>
        <w:numPr>
          <w:ilvl w:val="0"/>
          <w:numId w:val="8"/>
        </w:numPr>
      </w:pPr>
      <w:r w:rsidRPr="000C1EB1">
        <w:t xml:space="preserve">Your organisation has equivalent evidence to support that you have appropriate technical and organisational measures to mitigate the risk from common </w:t>
      </w:r>
      <w:proofErr w:type="gramStart"/>
      <w:r w:rsidRPr="000C1EB1">
        <w:t>internet based</w:t>
      </w:r>
      <w:proofErr w:type="gramEnd"/>
      <w:r w:rsidRPr="000C1EB1">
        <w:t xml:space="preserve"> threats in respect to the following five technical areas:</w:t>
      </w:r>
    </w:p>
    <w:p w14:paraId="5FD5841B" w14:textId="77777777" w:rsidR="002F14C5" w:rsidRPr="000C1EB1" w:rsidRDefault="002F14C5" w:rsidP="00EA4286">
      <w:pPr>
        <w:pStyle w:val="Numbered"/>
        <w:widowControl/>
        <w:numPr>
          <w:ilvl w:val="0"/>
          <w:numId w:val="9"/>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1D39F034" w14:textId="77777777" w:rsidR="002F14C5" w:rsidRPr="000C1EB1" w:rsidRDefault="002F14C5" w:rsidP="00EA4286">
      <w:pPr>
        <w:pStyle w:val="Numbered"/>
        <w:widowControl/>
        <w:numPr>
          <w:ilvl w:val="0"/>
          <w:numId w:val="9"/>
        </w:numPr>
      </w:pPr>
      <w:r w:rsidRPr="000C1EB1">
        <w:t xml:space="preserve">Secure configuration – ensuring that systems are configured in the most secure way for the needs of the organisation </w:t>
      </w:r>
    </w:p>
    <w:p w14:paraId="52C0C00C" w14:textId="77777777" w:rsidR="002F14C5" w:rsidRPr="000C1EB1" w:rsidRDefault="002F14C5" w:rsidP="00EA4286">
      <w:pPr>
        <w:pStyle w:val="Numbered"/>
        <w:widowControl/>
        <w:numPr>
          <w:ilvl w:val="0"/>
          <w:numId w:val="9"/>
        </w:numPr>
      </w:pPr>
      <w:r w:rsidRPr="000C1EB1">
        <w:t xml:space="preserve">Access control – Ensuring only those who should have access to systems to have access and at the appropriate level. </w:t>
      </w:r>
    </w:p>
    <w:p w14:paraId="47947F4D" w14:textId="77777777" w:rsidR="002F14C5" w:rsidRPr="000C1EB1" w:rsidRDefault="002F14C5" w:rsidP="00EA4286">
      <w:pPr>
        <w:pStyle w:val="Numbered"/>
        <w:widowControl/>
        <w:numPr>
          <w:ilvl w:val="0"/>
          <w:numId w:val="9"/>
        </w:numPr>
      </w:pPr>
      <w:r w:rsidRPr="000C1EB1">
        <w:t xml:space="preserve">Malware protection – ensuring that virus and malware protection is installed and is up to date </w:t>
      </w:r>
    </w:p>
    <w:p w14:paraId="26E478E0" w14:textId="77777777" w:rsidR="002F14C5" w:rsidRPr="000C1EB1" w:rsidRDefault="002F14C5" w:rsidP="00EA4286">
      <w:pPr>
        <w:pStyle w:val="Numbered"/>
        <w:widowControl/>
        <w:numPr>
          <w:ilvl w:val="0"/>
          <w:numId w:val="9"/>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25FE034A" w14:textId="77777777" w:rsidR="002F14C5" w:rsidRPr="000C1EB1" w:rsidRDefault="002F14C5" w:rsidP="002F14C5">
      <w:pPr>
        <w:pStyle w:val="Numbered"/>
        <w:widowControl/>
        <w:ind w:left="720"/>
      </w:pPr>
      <w:r w:rsidRPr="000C1EB1">
        <w:t>Any equivalent evidence must be verified by a technically competent</w:t>
      </w:r>
      <w:r>
        <w:t xml:space="preserve"> </w:t>
      </w:r>
      <w:r w:rsidRPr="000C1EB1">
        <w:t>and independent third party.</w:t>
      </w:r>
    </w:p>
    <w:p w14:paraId="1CD10687" w14:textId="77777777" w:rsidR="002F14C5" w:rsidRPr="00A81434" w:rsidRDefault="002F14C5" w:rsidP="002F14C5">
      <w:pPr>
        <w:pStyle w:val="Numbered"/>
        <w:widowControl/>
        <w:ind w:left="720" w:hanging="720"/>
      </w:pPr>
      <w:r>
        <w:t>9</w:t>
      </w:r>
      <w:r>
        <w:tab/>
      </w:r>
      <w:r w:rsidRPr="000C1EB1">
        <w:t xml:space="preserve">The successful tenderer will be </w:t>
      </w:r>
      <w:r w:rsidRPr="00A81434">
        <w:t xml:space="preserve">required to provide evidence of </w:t>
      </w:r>
      <w:r w:rsidRPr="00A81434">
        <w:rPr>
          <w:b/>
        </w:rPr>
        <w:t>Cyber Essentials</w:t>
      </w:r>
      <w:r w:rsidRPr="00A81434">
        <w:t xml:space="preserve"> certification “or equivalent” (i.e. demonstrate they meet the five technical areas the Cyber Essentials Scheme covers) prior to contract award.</w:t>
      </w:r>
    </w:p>
    <w:p w14:paraId="19F417F3" w14:textId="77777777" w:rsidR="002F14C5" w:rsidRPr="000C1EB1" w:rsidRDefault="002F14C5" w:rsidP="002F14C5">
      <w:pPr>
        <w:pStyle w:val="Numbered"/>
        <w:widowControl/>
        <w:ind w:left="720" w:hanging="720"/>
      </w:pPr>
      <w:r w:rsidRPr="00A81434">
        <w:t>10</w:t>
      </w:r>
      <w:r w:rsidRPr="00A81434">
        <w:tab/>
        <w:t xml:space="preserve">The successful tenderer will be required to secure and provide evidence of </w:t>
      </w:r>
      <w:r w:rsidRPr="00A81434">
        <w:rPr>
          <w:b/>
        </w:rPr>
        <w:t>Cyber Essentials</w:t>
      </w:r>
      <w:r w:rsidRPr="00A81434">
        <w:t xml:space="preserve"> re-certification “or equivalent” (i.e. demonstrate they meet the five technical areas) on an annual basis.</w:t>
      </w:r>
    </w:p>
    <w:p w14:paraId="444793E1" w14:textId="77777777" w:rsidR="002F14C5" w:rsidRDefault="002F14C5" w:rsidP="002F14C5">
      <w:pPr>
        <w:pStyle w:val="Numbered"/>
        <w:widowControl/>
        <w:ind w:left="720" w:hanging="720"/>
      </w:pPr>
      <w:r>
        <w:t>11</w:t>
      </w:r>
      <w:r>
        <w:tab/>
      </w:r>
      <w:r w:rsidRPr="000C1EB1">
        <w:t>Details of certification bodies are available at:</w:t>
      </w:r>
      <w:r>
        <w:t xml:space="preserve"> </w:t>
      </w:r>
      <w:hyperlink r:id="rId19" w:history="1">
        <w:r w:rsidRPr="005E75A3">
          <w:rPr>
            <w:rStyle w:val="Hyperlink"/>
          </w:rPr>
          <w:t>https://www.cyberstreetwise.com/cyberessentials</w:t>
        </w:r>
      </w:hyperlink>
    </w:p>
    <w:p w14:paraId="0900E6F9" w14:textId="77777777" w:rsidR="00B73A7D" w:rsidRDefault="00B73A7D" w:rsidP="002F14C5">
      <w:pPr>
        <w:pStyle w:val="Numbered"/>
        <w:widowControl/>
        <w:rPr>
          <w:b/>
        </w:rPr>
      </w:pPr>
      <w:bookmarkStart w:id="5" w:name="_Hlk5101953"/>
    </w:p>
    <w:p w14:paraId="02A995D5" w14:textId="77777777" w:rsidR="00B73A7D" w:rsidRDefault="00B73A7D" w:rsidP="002F14C5">
      <w:pPr>
        <w:pStyle w:val="Numbered"/>
        <w:widowControl/>
        <w:rPr>
          <w:b/>
        </w:rPr>
      </w:pPr>
    </w:p>
    <w:p w14:paraId="3EE5C8C6" w14:textId="77777777" w:rsidR="002F14C5" w:rsidRPr="004C6ED5" w:rsidRDefault="002F14C5" w:rsidP="002F14C5">
      <w:pPr>
        <w:pStyle w:val="Numbered"/>
        <w:widowControl/>
        <w:rPr>
          <w:b/>
        </w:rPr>
      </w:pPr>
      <w:r>
        <w:rPr>
          <w:b/>
        </w:rPr>
        <w:t>Data Security Standards</w:t>
      </w:r>
    </w:p>
    <w:p w14:paraId="105416D9" w14:textId="77777777" w:rsidR="002F14C5" w:rsidRPr="004109BC" w:rsidRDefault="002F14C5" w:rsidP="002F14C5">
      <w:pPr>
        <w:pStyle w:val="Numbered"/>
        <w:widowControl/>
        <w:ind w:left="720" w:hanging="720"/>
      </w:pPr>
      <w:r>
        <w:t>12</w:t>
      </w:r>
      <w:r>
        <w:tab/>
        <w:t xml:space="preserve">For contracts which require the holding or processing of either personal data and/or OFFICIAL data the successful contractor will need to assure </w:t>
      </w:r>
      <w:r w:rsidR="005D7D23">
        <w:t>SMC</w:t>
      </w:r>
      <w:r>
        <w:t xml:space="preserve"> that they can comply with the Department’s security standards.  </w:t>
      </w:r>
    </w:p>
    <w:bookmarkEnd w:id="5"/>
    <w:p w14:paraId="04FD2ED2" w14:textId="77777777" w:rsidR="002F14C5" w:rsidRPr="00AE6726" w:rsidRDefault="002F14C5" w:rsidP="002F14C5">
      <w:pPr>
        <w:pStyle w:val="Numbered"/>
        <w:widowControl/>
        <w:ind w:left="720" w:hanging="720"/>
        <w:rPr>
          <w:b/>
          <w:i/>
        </w:rPr>
      </w:pPr>
      <w:r>
        <w:lastRenderedPageBreak/>
        <w:t>13</w:t>
      </w:r>
      <w:r>
        <w:tab/>
        <w:t>Departmental security standards are listed as contract clauses in an annex to this letter (see Document 4 – List of Attachments</w:t>
      </w:r>
      <w:r w:rsidRPr="00BE7EAD">
        <w:t xml:space="preserve">). </w:t>
      </w:r>
    </w:p>
    <w:p w14:paraId="7FF9D34D" w14:textId="77777777" w:rsidR="002F14C5" w:rsidRDefault="002F14C5" w:rsidP="002F14C5">
      <w:pPr>
        <w:pStyle w:val="Numbered"/>
        <w:widowControl/>
      </w:pPr>
      <w:r>
        <w:rPr>
          <w:b/>
        </w:rPr>
        <w:t>Prompt Payment Policy</w:t>
      </w:r>
    </w:p>
    <w:p w14:paraId="2E2C26D6" w14:textId="77777777" w:rsidR="002F14C5" w:rsidRDefault="002F14C5" w:rsidP="002F14C5">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6EDAAEF0" w14:textId="77777777" w:rsidR="002F14C5" w:rsidRPr="00C337BE" w:rsidRDefault="002F14C5" w:rsidP="002F14C5">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t xml:space="preserve"> or emailed to contact@socialmobilitycommission.gov.uk</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56762D2A" w14:textId="77777777" w:rsidR="002F14C5" w:rsidRPr="00C337BE" w:rsidRDefault="002F14C5" w:rsidP="002F14C5">
      <w:pPr>
        <w:pStyle w:val="Numbered"/>
      </w:pPr>
      <w:r>
        <w:t>16</w:t>
      </w:r>
      <w:r>
        <w:tab/>
      </w:r>
      <w:r w:rsidRPr="00C337BE">
        <w:t>A correct invoice is one that is:</w:t>
      </w:r>
    </w:p>
    <w:p w14:paraId="0EAF8764" w14:textId="77777777" w:rsidR="002F14C5" w:rsidRPr="00C337BE" w:rsidRDefault="002F14C5" w:rsidP="002F14C5">
      <w:pPr>
        <w:pStyle w:val="Numbered"/>
        <w:numPr>
          <w:ilvl w:val="0"/>
          <w:numId w:val="6"/>
        </w:numPr>
      </w:pPr>
      <w:r w:rsidRPr="00C337BE">
        <w:t xml:space="preserve">delivered in timing in accordance with the contract; </w:t>
      </w:r>
    </w:p>
    <w:p w14:paraId="7EE9C6B7" w14:textId="77777777" w:rsidR="002F14C5" w:rsidRPr="00C337BE" w:rsidRDefault="002F14C5" w:rsidP="002F14C5">
      <w:pPr>
        <w:pStyle w:val="Numbered"/>
        <w:numPr>
          <w:ilvl w:val="0"/>
          <w:numId w:val="6"/>
        </w:numPr>
      </w:pPr>
      <w:r w:rsidRPr="00C337BE">
        <w:t xml:space="preserve">that is for the correct sum; </w:t>
      </w:r>
    </w:p>
    <w:p w14:paraId="69794DF1" w14:textId="77777777" w:rsidR="002F14C5" w:rsidRPr="00C337BE" w:rsidRDefault="002F14C5" w:rsidP="002F14C5">
      <w:pPr>
        <w:pStyle w:val="Numbered"/>
        <w:numPr>
          <w:ilvl w:val="0"/>
          <w:numId w:val="6"/>
        </w:numPr>
      </w:pPr>
      <w:r w:rsidRPr="00C337BE">
        <w:t xml:space="preserve">In respect of goods / services supplied or delivered to the required quality (or are expected to be at the required quality); </w:t>
      </w:r>
    </w:p>
    <w:p w14:paraId="6DB0134E" w14:textId="77777777" w:rsidR="002F14C5" w:rsidRPr="00C337BE" w:rsidRDefault="002F14C5" w:rsidP="002F14C5">
      <w:pPr>
        <w:pStyle w:val="Numbered"/>
        <w:numPr>
          <w:ilvl w:val="0"/>
          <w:numId w:val="6"/>
        </w:numPr>
      </w:pPr>
      <w:r w:rsidRPr="00C337BE">
        <w:t>include the date, supplier name, contact details and bank details</w:t>
      </w:r>
      <w:r>
        <w:t>;</w:t>
      </w:r>
    </w:p>
    <w:p w14:paraId="16E181BD" w14:textId="77777777" w:rsidR="002F14C5" w:rsidRPr="00C337BE" w:rsidRDefault="002F14C5" w:rsidP="002F14C5">
      <w:pPr>
        <w:pStyle w:val="Numbered"/>
        <w:numPr>
          <w:ilvl w:val="0"/>
          <w:numId w:val="6"/>
        </w:numPr>
      </w:pPr>
      <w:r w:rsidRPr="00C337BE">
        <w:t xml:space="preserve">which quote the relevant purchase order / </w:t>
      </w:r>
      <w:r>
        <w:t>contract reference;</w:t>
      </w:r>
    </w:p>
    <w:p w14:paraId="643AE070" w14:textId="77777777" w:rsidR="002F14C5" w:rsidRPr="00C337BE" w:rsidRDefault="002F14C5" w:rsidP="002F14C5">
      <w:pPr>
        <w:pStyle w:val="Numbered"/>
        <w:numPr>
          <w:ilvl w:val="0"/>
          <w:numId w:val="6"/>
        </w:numPr>
      </w:pPr>
      <w:r w:rsidRPr="00C337BE">
        <w:t>which has been delivered to the nominated</w:t>
      </w:r>
      <w:r>
        <w:t xml:space="preserve"> address.</w:t>
      </w:r>
    </w:p>
    <w:p w14:paraId="41C10C0B" w14:textId="77777777" w:rsidR="002F14C5" w:rsidRPr="00A6648E" w:rsidRDefault="002F14C5" w:rsidP="002F14C5">
      <w:pPr>
        <w:pStyle w:val="Numbered"/>
        <w:ind w:left="720" w:hanging="720"/>
      </w:pPr>
      <w:r>
        <w:t>17</w:t>
      </w:r>
      <w:r>
        <w:tab/>
      </w:r>
      <w:r w:rsidRPr="00C337BE">
        <w:t>Any correctly submitted invoices that</w:t>
      </w:r>
      <w:r>
        <w:t xml:space="preserve"> are not paid within 30 days will</w:t>
      </w:r>
      <w:r w:rsidRPr="00C337BE">
        <w:t xml:space="preserve"> be subject </w:t>
      </w:r>
      <w:r w:rsidRPr="00A6648E">
        <w:t>to the provisions of the Late Payment of Commercial Debt (Interest) Act 1998.</w:t>
      </w:r>
    </w:p>
    <w:p w14:paraId="25F7D64B" w14:textId="77777777" w:rsidR="002F14C5" w:rsidRPr="00A6648E" w:rsidRDefault="002F14C5" w:rsidP="002F14C5">
      <w:pPr>
        <w:pStyle w:val="Numbered"/>
        <w:ind w:left="720" w:hanging="720"/>
        <w:rPr>
          <w:b/>
        </w:rPr>
      </w:pPr>
      <w:r w:rsidRPr="00A6648E">
        <w:rPr>
          <w:rFonts w:cs="Arial"/>
          <w:b/>
        </w:rPr>
        <w:t>Sub-contracting to Small and Medium Enterprises (SMEs)</w:t>
      </w:r>
    </w:p>
    <w:p w14:paraId="2FE4BBFC" w14:textId="77777777" w:rsidR="002F14C5" w:rsidRPr="00A6648E" w:rsidRDefault="002F14C5" w:rsidP="002F14C5">
      <w:pPr>
        <w:ind w:left="720" w:hanging="720"/>
        <w:rPr>
          <w:rFonts w:cs="Arial"/>
        </w:rPr>
      </w:pPr>
      <w:r w:rsidRPr="00A6648E">
        <w:t>18</w:t>
      </w:r>
      <w:r w:rsidRPr="00A6648E">
        <w:tab/>
      </w:r>
      <w:r w:rsidR="00A6648E">
        <w:rPr>
          <w:rFonts w:cs="Arial"/>
        </w:rPr>
        <w:t>SMC</w:t>
      </w:r>
      <w:r w:rsidRPr="00A6648E">
        <w:rPr>
          <w:rFonts w:cs="Arial"/>
        </w:rPr>
        <w:t xml:space="preserve"> is committed to removing barriers to SME participation in its </w:t>
      </w:r>
      <w:proofErr w:type="gramStart"/>
      <w:r w:rsidRPr="00A6648E">
        <w:rPr>
          <w:rFonts w:cs="Arial"/>
        </w:rPr>
        <w:t>contracts, and</w:t>
      </w:r>
      <w:proofErr w:type="gramEnd"/>
      <w:r w:rsidRPr="00A6648E">
        <w:rPr>
          <w:rFonts w:cs="Arial"/>
        </w:rPr>
        <w:t xml:space="preserve">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750C89FC" w14:textId="77777777" w:rsidR="002F14C5" w:rsidRPr="00A6648E" w:rsidRDefault="002F14C5" w:rsidP="002F14C5">
      <w:pPr>
        <w:ind w:left="720" w:hanging="720"/>
        <w:rPr>
          <w:rFonts w:cs="Arial"/>
        </w:rPr>
      </w:pPr>
    </w:p>
    <w:p w14:paraId="7D1687C6" w14:textId="77777777" w:rsidR="002F14C5" w:rsidRPr="00A6648E" w:rsidRDefault="002F14C5" w:rsidP="002F14C5">
      <w:pPr>
        <w:ind w:left="720" w:hanging="720"/>
        <w:rPr>
          <w:rFonts w:cs="Arial"/>
        </w:rPr>
      </w:pPr>
      <w:r w:rsidRPr="00A6648E">
        <w:rPr>
          <w:rFonts w:cs="Arial"/>
        </w:rPr>
        <w:t>19</w:t>
      </w:r>
      <w:r w:rsidRPr="00A6648E">
        <w:rPr>
          <w:rFonts w:cs="Arial"/>
        </w:rPr>
        <w:tab/>
        <w:t xml:space="preserve">To help us measure the volume of business we do with </w:t>
      </w:r>
      <w:proofErr w:type="gramStart"/>
      <w:r w:rsidRPr="00A6648E">
        <w:rPr>
          <w:rFonts w:cs="Arial"/>
        </w:rPr>
        <w:t>SMEs,</w:t>
      </w:r>
      <w:proofErr w:type="gramEnd"/>
      <w:r w:rsidRPr="00A6648E">
        <w:rPr>
          <w:rFonts w:cs="Arial"/>
        </w:rPr>
        <w:t xml:space="preserve"> we will be asking </w:t>
      </w:r>
      <w:r w:rsidR="00A6648E">
        <w:rPr>
          <w:rFonts w:cs="Arial"/>
        </w:rPr>
        <w:t>SMC</w:t>
      </w:r>
      <w:r w:rsidRPr="00A6648E">
        <w:rPr>
          <w:rFonts w:cs="Arial"/>
        </w:rPr>
        <w:t xml:space="preserve"> suppliers to provide us with information about the size of your own organisation and those in your supply chain.   We may ask about volumes of business that will flow from this contract down your supply </w:t>
      </w:r>
      <w:proofErr w:type="gramStart"/>
      <w:r w:rsidRPr="00A6648E">
        <w:rPr>
          <w:rFonts w:cs="Arial"/>
        </w:rPr>
        <w:t>chains, and</w:t>
      </w:r>
      <w:proofErr w:type="gramEnd"/>
      <w:r w:rsidRPr="00A6648E">
        <w:rPr>
          <w:rFonts w:cs="Arial"/>
        </w:rPr>
        <w:t xml:space="preserve"> ask you to quantify that for us.   This data will help us contribute towards Government targets on the use of SMEs. We may also publish success stories and examples of good practice on our website.</w:t>
      </w:r>
    </w:p>
    <w:p w14:paraId="6463A140" w14:textId="77777777" w:rsidR="002F14C5" w:rsidRDefault="002F14C5" w:rsidP="002F14C5">
      <w:pPr>
        <w:ind w:left="720" w:hanging="720"/>
        <w:rPr>
          <w:rFonts w:cs="Arial"/>
          <w:color w:val="4A452A"/>
        </w:rPr>
      </w:pPr>
    </w:p>
    <w:p w14:paraId="5D2E0ADC" w14:textId="77777777" w:rsidR="002F14C5" w:rsidRDefault="002F14C5" w:rsidP="002F14C5">
      <w:pPr>
        <w:ind w:left="720" w:hanging="720"/>
        <w:rPr>
          <w:rFonts w:cs="Arial"/>
          <w:color w:val="4A452A"/>
        </w:rPr>
      </w:pPr>
      <w:r>
        <w:rPr>
          <w:rFonts w:cs="Arial"/>
          <w:color w:val="4A452A"/>
        </w:rPr>
        <w:t>20</w:t>
      </w:r>
      <w:r>
        <w:rPr>
          <w:rFonts w:cs="Arial"/>
          <w:color w:val="4A452A"/>
        </w:rPr>
        <w:tab/>
      </w:r>
      <w:r w:rsidR="00417046" w:rsidRPr="00417046">
        <w:rPr>
          <w:rFonts w:cs="Arial"/>
          <w:color w:val="4A452A"/>
        </w:rPr>
        <w:t>Not Used</w:t>
      </w:r>
    </w:p>
    <w:p w14:paraId="4A63885E" w14:textId="77777777" w:rsidR="002F14C5" w:rsidRDefault="002F14C5" w:rsidP="002F14C5">
      <w:pPr>
        <w:ind w:left="720" w:hanging="720"/>
      </w:pPr>
    </w:p>
    <w:p w14:paraId="67734DF2" w14:textId="77777777" w:rsidR="002F14C5" w:rsidRPr="00041BFD" w:rsidRDefault="002F14C5" w:rsidP="002F14C5">
      <w:pPr>
        <w:pStyle w:val="Numbered"/>
        <w:rPr>
          <w:b/>
        </w:rPr>
      </w:pPr>
      <w:r w:rsidRPr="00041BFD">
        <w:rPr>
          <w:b/>
        </w:rPr>
        <w:t>Armed Forces</w:t>
      </w:r>
      <w:r>
        <w:rPr>
          <w:b/>
        </w:rPr>
        <w:t xml:space="preserve"> </w:t>
      </w:r>
      <w:r w:rsidRPr="00041BFD">
        <w:rPr>
          <w:b/>
        </w:rPr>
        <w:t>Covenant</w:t>
      </w:r>
    </w:p>
    <w:p w14:paraId="4D8227E9" w14:textId="77777777" w:rsidR="002F14C5" w:rsidRDefault="002F14C5" w:rsidP="002F14C5">
      <w:pPr>
        <w:pStyle w:val="Numbered"/>
        <w:ind w:left="720" w:hanging="720"/>
      </w:pPr>
      <w:r>
        <w:t>21</w:t>
      </w:r>
      <w:r>
        <w:tab/>
        <w:t xml:space="preserve">The Armed Forces Covenant is a public sector pledge from Government, businesses, charities and organisations to demonstrate their support for the </w:t>
      </w:r>
      <w:r>
        <w:lastRenderedPageBreak/>
        <w:t>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541FE2C" w14:textId="77777777" w:rsidR="002F14C5" w:rsidRDefault="002F14C5" w:rsidP="002F14C5">
      <w:pPr>
        <w:pStyle w:val="Numbered"/>
      </w:pPr>
      <w:r>
        <w:t>22</w:t>
      </w:r>
      <w:r>
        <w:tab/>
        <w:t>The Covenant’s 2 principles are that:</w:t>
      </w:r>
    </w:p>
    <w:p w14:paraId="1FC0A060" w14:textId="77777777" w:rsidR="002F14C5" w:rsidRDefault="002F14C5" w:rsidP="002F14C5">
      <w:pPr>
        <w:pStyle w:val="Numbered"/>
        <w:ind w:left="720"/>
      </w:pPr>
      <w:r>
        <w:t>• the armed forces community should not face disadvantages when compared to other citizens in the provision of public and commercial services.</w:t>
      </w:r>
    </w:p>
    <w:p w14:paraId="3BD533CE" w14:textId="77777777" w:rsidR="002F14C5" w:rsidRDefault="002F14C5" w:rsidP="002F14C5">
      <w:pPr>
        <w:pStyle w:val="Numbered"/>
        <w:ind w:left="720"/>
      </w:pPr>
      <w:r>
        <w:t>• special consideration is appropriate in some cases, especially for those who have given most such as the injured and the bereaved.</w:t>
      </w:r>
    </w:p>
    <w:p w14:paraId="7D3130C3" w14:textId="77777777" w:rsidR="002F14C5" w:rsidRDefault="002F14C5" w:rsidP="002F14C5">
      <w:pPr>
        <w:pStyle w:val="Numbered"/>
        <w:ind w:left="720" w:hanging="720"/>
      </w:pPr>
      <w:r>
        <w:t>23</w:t>
      </w:r>
      <w:r>
        <w:tab/>
        <w:t>The Department encourages all Tenderers, and their suppliers, to sign the Corporate Covenant, declaring their support for the Armed Forces community by displaying the values and behaviours set out therein.</w:t>
      </w:r>
    </w:p>
    <w:p w14:paraId="63289B41" w14:textId="77777777" w:rsidR="002F14C5" w:rsidRDefault="002F14C5" w:rsidP="002F14C5">
      <w:pPr>
        <w:pStyle w:val="Numbered"/>
        <w:ind w:left="720" w:hanging="720"/>
      </w:pPr>
      <w:r>
        <w:t>24</w:t>
      </w:r>
      <w:r>
        <w:tab/>
        <w:t xml:space="preserve">Guidance on the various ways you can demonstrate your support through the Corporate Covenant is at </w:t>
      </w:r>
      <w:hyperlink r:id="rId20" w:history="1">
        <w:r w:rsidRPr="00041BFD">
          <w:rPr>
            <w:rStyle w:val="Hyperlink"/>
          </w:rPr>
          <w:t>The Corporate Covenant</w:t>
        </w:r>
      </w:hyperlink>
      <w:r>
        <w:t>.</w:t>
      </w:r>
    </w:p>
    <w:p w14:paraId="27D8F48A" w14:textId="77777777" w:rsidR="002F14C5" w:rsidRDefault="002F14C5" w:rsidP="002F14C5">
      <w:pPr>
        <w:pStyle w:val="Numbered"/>
        <w:ind w:left="720" w:hanging="720"/>
      </w:pPr>
      <w:r>
        <w:t>25</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92A2980" w14:textId="77777777" w:rsidR="002F14C5" w:rsidRDefault="002F14C5" w:rsidP="002F14C5">
      <w:pPr>
        <w:pStyle w:val="Numbered"/>
        <w:ind w:left="720"/>
      </w:pPr>
      <w:r>
        <w:t>Email address: covenant-mailbox@mod.uk</w:t>
      </w:r>
    </w:p>
    <w:p w14:paraId="7186E565" w14:textId="77777777" w:rsidR="002F14C5" w:rsidRDefault="002F14C5" w:rsidP="002F14C5">
      <w:pPr>
        <w:pStyle w:val="Numbered"/>
        <w:ind w:left="720"/>
      </w:pPr>
      <w:r>
        <w:t>Address: Armed Forces Covenant Team</w:t>
      </w:r>
    </w:p>
    <w:p w14:paraId="5F1B41FC" w14:textId="77777777" w:rsidR="002F14C5" w:rsidRDefault="002F14C5" w:rsidP="002F14C5">
      <w:pPr>
        <w:pStyle w:val="Numbered"/>
        <w:ind w:left="720"/>
      </w:pPr>
      <w:r>
        <w:t>Zone D, 6th Floor, Ministry of Defence,</w:t>
      </w:r>
    </w:p>
    <w:p w14:paraId="33BF48C6" w14:textId="77777777" w:rsidR="002F14C5" w:rsidRDefault="002F14C5" w:rsidP="002F14C5">
      <w:pPr>
        <w:pStyle w:val="Numbered"/>
        <w:ind w:left="720"/>
      </w:pPr>
      <w:r>
        <w:t>Main Building, Whitehall, London, SW1A 2HB</w:t>
      </w:r>
    </w:p>
    <w:p w14:paraId="4C57A0CE" w14:textId="77777777" w:rsidR="002F14C5" w:rsidRDefault="002F14C5" w:rsidP="002F14C5">
      <w:pPr>
        <w:pStyle w:val="Numbered"/>
        <w:ind w:left="720" w:hanging="720"/>
      </w:pPr>
      <w:r>
        <w:t>26</w:t>
      </w:r>
      <w:r>
        <w:tab/>
        <w:t xml:space="preserve">Paragraphs 20-25 above are not a condition of working with </w:t>
      </w:r>
      <w:r w:rsidR="005D7D23">
        <w:t>SMC</w:t>
      </w:r>
      <w:r>
        <w:t xml:space="preserve"> now or in the future, nor will this issue form any part of the tender evaluation, contract award procedure or any resulting contract. However, </w:t>
      </w:r>
      <w:r w:rsidR="005D7D23">
        <w:t>SMC</w:t>
      </w:r>
      <w:r>
        <w:t xml:space="preserve"> very much hopes you will want to provide your support.</w:t>
      </w:r>
    </w:p>
    <w:p w14:paraId="58C0E69C" w14:textId="77777777"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7B5BDE76" w14:textId="77777777"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p>
    <w:p w14:paraId="0E72555F" w14:textId="77777777" w:rsidR="002F14C5" w:rsidRPr="002B6384" w:rsidRDefault="002F14C5" w:rsidP="002F14C5">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27</w:t>
      </w:r>
      <w:r>
        <w:rPr>
          <w:rFonts w:eastAsia="Arial" w:cs="Arial"/>
          <w:color w:val="000000"/>
          <w:szCs w:val="20"/>
        </w:rPr>
        <w:tab/>
      </w:r>
      <w:r w:rsidR="005D7D23">
        <w:rPr>
          <w:rFonts w:eastAsia="Arial" w:cs="Arial"/>
          <w:color w:val="000000"/>
          <w:szCs w:val="20"/>
        </w:rPr>
        <w:t>SMC</w:t>
      </w:r>
      <w:r>
        <w:rPr>
          <w:rFonts w:eastAsia="Arial" w:cs="Arial"/>
          <w:color w:val="000000"/>
          <w:szCs w:val="20"/>
        </w:rPr>
        <w:t xml:space="preserve">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341E4C5" w14:textId="77777777" w:rsidR="002F14C5" w:rsidRPr="002B6384" w:rsidRDefault="002F14C5" w:rsidP="002F14C5">
      <w:pPr>
        <w:widowControl/>
        <w:suppressAutoHyphens/>
        <w:overflowPunct/>
        <w:autoSpaceDE/>
        <w:adjustRightInd/>
        <w:jc w:val="both"/>
        <w:rPr>
          <w:rFonts w:ascii="Calibri" w:eastAsia="Calibri" w:hAnsi="Calibri" w:cs="Calibri"/>
          <w:color w:val="000000"/>
          <w:szCs w:val="20"/>
        </w:rPr>
      </w:pPr>
    </w:p>
    <w:p w14:paraId="21F22971" w14:textId="77777777" w:rsidR="002F14C5" w:rsidRDefault="002F14C5" w:rsidP="002F14C5">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28</w:t>
      </w:r>
      <w:r>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w:t>
      </w:r>
      <w:r w:rsidR="005D7D23">
        <w:rPr>
          <w:rFonts w:eastAsia="Arial" w:cs="Arial"/>
          <w:color w:val="000000"/>
          <w:szCs w:val="20"/>
        </w:rPr>
        <w:t>SMC</w:t>
      </w:r>
      <w:r w:rsidRPr="002B6384">
        <w:rPr>
          <w:rFonts w:eastAsia="Arial" w:cs="Arial"/>
          <w:color w:val="000000"/>
          <w:szCs w:val="20"/>
        </w:rPr>
        <w:t xml:space="preserve">, detailing the conflict in a separate Appendix. Provided that it has been carried out in a transparent manner, routine pre-market engagement carried out by </w:t>
      </w:r>
      <w:r w:rsidR="005D7D23">
        <w:rPr>
          <w:rFonts w:eastAsia="Arial" w:cs="Arial"/>
          <w:color w:val="000000"/>
          <w:szCs w:val="20"/>
        </w:rPr>
        <w:t>SMC</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622C9FA7" w14:textId="77777777" w:rsidR="002F14C5" w:rsidRDefault="002F14C5" w:rsidP="002F14C5">
      <w:pPr>
        <w:widowControl/>
        <w:suppressAutoHyphens/>
        <w:overflowPunct/>
        <w:autoSpaceDE/>
        <w:adjustRightInd/>
        <w:ind w:left="720" w:hanging="720"/>
        <w:jc w:val="both"/>
        <w:rPr>
          <w:rFonts w:eastAsia="Arial" w:cs="Arial"/>
          <w:color w:val="000000"/>
          <w:szCs w:val="20"/>
        </w:rPr>
      </w:pPr>
    </w:p>
    <w:p w14:paraId="64F5AE12" w14:textId="77777777" w:rsidR="002F14C5" w:rsidRDefault="002F14C5" w:rsidP="002F14C5">
      <w:pPr>
        <w:pStyle w:val="Numbered"/>
        <w:ind w:left="720" w:hanging="720"/>
        <w:rPr>
          <w:rFonts w:cs="Arial"/>
          <w:b/>
          <w:bCs/>
        </w:rPr>
      </w:pPr>
      <w:r>
        <w:rPr>
          <w:b/>
          <w:bCs/>
        </w:rPr>
        <w:t>Disability Confident Scheme</w:t>
      </w:r>
    </w:p>
    <w:p w14:paraId="4023D1AA" w14:textId="77777777" w:rsidR="002F14C5" w:rsidRDefault="002F14C5" w:rsidP="002F14C5">
      <w:pPr>
        <w:ind w:left="720" w:hanging="720"/>
        <w:rPr>
          <w:rFonts w:cs="Arial"/>
        </w:rPr>
      </w:pPr>
      <w:r>
        <w:rPr>
          <w:rFonts w:cs="Arial"/>
        </w:rPr>
        <w:t>29</w:t>
      </w:r>
      <w:r>
        <w:rPr>
          <w:rFonts w:cs="Arial"/>
        </w:rPr>
        <w:tab/>
        <w:t xml:space="preserve">The Department for Education is a Disability Confident leader. Through the Disability Confident campaign, the government is working with employers to </w:t>
      </w:r>
      <w:r>
        <w:rPr>
          <w:rFonts w:cs="Arial"/>
        </w:rPr>
        <w:lastRenderedPageBreak/>
        <w:t xml:space="preserve">remove barriers, increase understanding and ensure that disabled people </w:t>
      </w:r>
      <w:proofErr w:type="gramStart"/>
      <w:r>
        <w:rPr>
          <w:rFonts w:cs="Arial"/>
        </w:rPr>
        <w:t>have the opportunities to</w:t>
      </w:r>
      <w:proofErr w:type="gramEnd"/>
      <w:r>
        <w:rPr>
          <w:rFonts w:cs="Arial"/>
        </w:rPr>
        <w:t xml:space="preserve"> fulfil their potential and realise their aspirations.</w:t>
      </w:r>
    </w:p>
    <w:p w14:paraId="392F3A87" w14:textId="77777777" w:rsidR="002F14C5" w:rsidRDefault="002F14C5" w:rsidP="002F14C5">
      <w:pPr>
        <w:rPr>
          <w:rFonts w:cs="Arial"/>
        </w:rPr>
      </w:pPr>
    </w:p>
    <w:p w14:paraId="63E529BA" w14:textId="77777777" w:rsidR="002F14C5" w:rsidRDefault="002F14C5" w:rsidP="002F14C5">
      <w:pPr>
        <w:pStyle w:val="Numbered"/>
        <w:ind w:left="720" w:hanging="720"/>
        <w:rPr>
          <w:rFonts w:cs="Arial"/>
        </w:rPr>
      </w:pPr>
      <w:r>
        <w:t>30</w:t>
      </w:r>
      <w:r>
        <w:tab/>
      </w:r>
      <w:r w:rsidR="005D7D23">
        <w:t>SMC</w:t>
      </w:r>
      <w:r>
        <w:t xml:space="preserve"> encourage other employers to sign up to the disability confident scheme. It is open to all employers and there are three levels ranging from ‘Committed’ to ‘Leader’ with employers having to meet certain criteria to reach each level.</w:t>
      </w:r>
    </w:p>
    <w:p w14:paraId="697EB8DB" w14:textId="77777777" w:rsidR="002F14C5" w:rsidRDefault="002F14C5" w:rsidP="002F14C5">
      <w:pPr>
        <w:ind w:left="720" w:hanging="720"/>
        <w:rPr>
          <w:rFonts w:cs="Arial"/>
        </w:rPr>
      </w:pPr>
      <w:r>
        <w:rPr>
          <w:rFonts w:cs="Arial"/>
        </w:rPr>
        <w:t>31</w:t>
      </w:r>
      <w:r>
        <w:rPr>
          <w:rFonts w:cs="Arial"/>
        </w:rPr>
        <w:tab/>
        <w:t xml:space="preserve">Employers who sign up to the disability confident scheme ensure that they can: </w:t>
      </w:r>
    </w:p>
    <w:p w14:paraId="3D86A62A" w14:textId="77777777" w:rsidR="002F14C5" w:rsidRDefault="002F14C5" w:rsidP="002F14C5">
      <w:pPr>
        <w:ind w:left="720" w:hanging="720"/>
        <w:rPr>
          <w:rFonts w:cs="Arial"/>
        </w:rPr>
      </w:pPr>
    </w:p>
    <w:p w14:paraId="71A175B7"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draw from the widest possible pool of talent; </w:t>
      </w:r>
    </w:p>
    <w:p w14:paraId="5A2DF33A"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w:t>
      </w:r>
      <w:proofErr w:type="spellStart"/>
      <w:r>
        <w:rPr>
          <w:rFonts w:cs="Arial"/>
        </w:rPr>
        <w:t>hard working</w:t>
      </w:r>
      <w:proofErr w:type="spellEnd"/>
      <w:r>
        <w:rPr>
          <w:rFonts w:cs="Arial"/>
        </w:rPr>
        <w:t xml:space="preserve">; </w:t>
      </w:r>
    </w:p>
    <w:p w14:paraId="2FD8DAC1"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turnover; </w:t>
      </w:r>
    </w:p>
    <w:p w14:paraId="2D4CDA0F"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keep valuable skills and experience; </w:t>
      </w:r>
    </w:p>
    <w:p w14:paraId="785630E9"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reduce the levels and costs of sickness absences; improve employee morale and commitment by demonstrating that they treat all employees fairly. </w:t>
      </w:r>
    </w:p>
    <w:p w14:paraId="1D9F5514" w14:textId="77777777" w:rsidR="002F14C5" w:rsidRDefault="002F14C5" w:rsidP="002F14C5">
      <w:pPr>
        <w:pStyle w:val="ListParagraph"/>
        <w:rPr>
          <w:rFonts w:cs="Arial"/>
        </w:rPr>
      </w:pPr>
    </w:p>
    <w:p w14:paraId="048FB29E" w14:textId="77777777" w:rsidR="002F14C5" w:rsidRDefault="002F14C5" w:rsidP="002F14C5">
      <w:pPr>
        <w:pStyle w:val="ListParagraph"/>
        <w:ind w:hanging="720"/>
        <w:rPr>
          <w:rFonts w:cs="Arial"/>
        </w:rPr>
      </w:pPr>
      <w:r>
        <w:rPr>
          <w:rFonts w:cs="Arial"/>
        </w:rPr>
        <w:t>32</w:t>
      </w:r>
      <w:r>
        <w:rPr>
          <w:rFonts w:cs="Arial"/>
        </w:rPr>
        <w:tab/>
        <w:t xml:space="preserve">Disability confident employers can use the disability confident branding in their communications and when advertising jobs. </w:t>
      </w:r>
    </w:p>
    <w:p w14:paraId="17C3FC6A" w14:textId="77777777" w:rsidR="002F14C5" w:rsidRDefault="002F14C5" w:rsidP="002F14C5">
      <w:pPr>
        <w:pStyle w:val="ListParagraph"/>
        <w:ind w:left="0"/>
        <w:rPr>
          <w:rFonts w:cs="Arial"/>
        </w:rPr>
      </w:pPr>
    </w:p>
    <w:p w14:paraId="54B73E01" w14:textId="77777777" w:rsidR="002F14C5" w:rsidRDefault="002F14C5" w:rsidP="002F14C5">
      <w:pPr>
        <w:widowControl/>
        <w:suppressAutoHyphens/>
        <w:overflowPunct/>
        <w:autoSpaceDE/>
        <w:adjustRightInd/>
        <w:ind w:left="720" w:hanging="720"/>
        <w:jc w:val="both"/>
        <w:rPr>
          <w:rFonts w:cs="Arial"/>
        </w:rPr>
      </w:pPr>
      <w:r>
        <w:rPr>
          <w:rFonts w:cs="Arial"/>
        </w:rPr>
        <w:t>33</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1" w:history="1">
        <w:r>
          <w:rPr>
            <w:rStyle w:val="Hyperlink"/>
            <w:rFonts w:cs="Arial"/>
          </w:rPr>
          <w:t>here</w:t>
        </w:r>
      </w:hyperlink>
      <w:r>
        <w:rPr>
          <w:rFonts w:cs="Arial"/>
        </w:rPr>
        <w:t>.</w:t>
      </w:r>
    </w:p>
    <w:p w14:paraId="14D2A1DB" w14:textId="77777777" w:rsidR="00E91E19" w:rsidRDefault="00E91E19" w:rsidP="002F14C5">
      <w:pPr>
        <w:widowControl/>
        <w:suppressAutoHyphens/>
        <w:overflowPunct/>
        <w:autoSpaceDE/>
        <w:adjustRightInd/>
        <w:ind w:left="720" w:hanging="720"/>
        <w:jc w:val="both"/>
        <w:rPr>
          <w:rFonts w:cs="Arial"/>
        </w:rPr>
      </w:pPr>
    </w:p>
    <w:p w14:paraId="6F97FAD7" w14:textId="77777777" w:rsidR="00E91E19" w:rsidRPr="00E91E19" w:rsidRDefault="00E91E19" w:rsidP="00E91E19">
      <w:pPr>
        <w:widowControl/>
        <w:suppressAutoHyphens/>
        <w:overflowPunct/>
        <w:autoSpaceDE/>
        <w:adjustRightInd/>
        <w:ind w:left="720" w:hanging="720"/>
        <w:jc w:val="both"/>
        <w:rPr>
          <w:b/>
          <w:color w:val="000000"/>
        </w:rPr>
      </w:pPr>
      <w:r w:rsidRPr="00E91E19">
        <w:rPr>
          <w:b/>
          <w:color w:val="000000"/>
        </w:rPr>
        <w:t>Safe Guarding Children and Vulnerable Adults</w:t>
      </w:r>
    </w:p>
    <w:p w14:paraId="347EF15C" w14:textId="77777777" w:rsidR="00E91E19" w:rsidRPr="00E91E19" w:rsidRDefault="00E91E19" w:rsidP="00E91E19">
      <w:pPr>
        <w:numPr>
          <w:ilvl w:val="1"/>
          <w:numId w:val="0"/>
        </w:numPr>
        <w:tabs>
          <w:tab w:val="num" w:pos="720"/>
        </w:tabs>
        <w:overflowPunct/>
        <w:autoSpaceDE/>
        <w:autoSpaceDN/>
        <w:adjustRightInd/>
        <w:spacing w:before="280"/>
        <w:ind w:left="720" w:hanging="720"/>
        <w:textAlignment w:val="auto"/>
        <w:outlineLvl w:val="1"/>
        <w:rPr>
          <w:rFonts w:cs="Arial"/>
          <w:color w:val="000000"/>
        </w:rPr>
      </w:pPr>
      <w:r w:rsidRPr="00E91E19">
        <w:rPr>
          <w:color w:val="000000"/>
        </w:rPr>
        <w:t>34</w:t>
      </w:r>
      <w:r w:rsidRPr="00E91E19">
        <w:rPr>
          <w:color w:val="000000"/>
        </w:rPr>
        <w:tab/>
      </w:r>
      <w:r>
        <w:rPr>
          <w:rFonts w:cs="Arial"/>
          <w:color w:val="000000"/>
        </w:rPr>
        <w:t>The standard Terms and Conditions include provisions to</w:t>
      </w:r>
      <w:r w:rsidRPr="00E91E19">
        <w:rPr>
          <w:rFonts w:cs="Arial"/>
          <w:color w:val="000000"/>
        </w:rPr>
        <w:t xml:space="preserve"> put in place safeguards to protect children and vulnerable adults from a risk of significant harm which could arise from the performance of this Contract. The</w:t>
      </w:r>
      <w:r>
        <w:rPr>
          <w:rFonts w:cs="Arial"/>
          <w:color w:val="000000"/>
        </w:rPr>
        <w:t xml:space="preserve"> potential</w:t>
      </w:r>
      <w:r w:rsidRPr="00E91E19">
        <w:rPr>
          <w:rFonts w:cs="Arial"/>
          <w:color w:val="000000"/>
        </w:rPr>
        <w:t xml:space="preserve"> Contractor will agree these safeguards with </w:t>
      </w:r>
      <w:r w:rsidR="005D7D23">
        <w:rPr>
          <w:rFonts w:cs="Arial"/>
          <w:color w:val="000000"/>
        </w:rPr>
        <w:t>SMC</w:t>
      </w:r>
      <w:r w:rsidRPr="00E91E19">
        <w:rPr>
          <w:rFonts w:cs="Arial"/>
          <w:color w:val="000000"/>
        </w:rPr>
        <w:t xml:space="preserve"> before commencing work on the Contract.</w:t>
      </w:r>
    </w:p>
    <w:p w14:paraId="04FE1597" w14:textId="77777777" w:rsidR="00E91E19" w:rsidRDefault="00E91E19" w:rsidP="00E91E19">
      <w:pPr>
        <w:numPr>
          <w:ilvl w:val="1"/>
          <w:numId w:val="0"/>
        </w:numPr>
        <w:tabs>
          <w:tab w:val="num" w:pos="720"/>
        </w:tabs>
        <w:overflowPunct/>
        <w:autoSpaceDE/>
        <w:autoSpaceDN/>
        <w:adjustRightInd/>
        <w:ind w:left="720" w:hanging="720"/>
        <w:textAlignment w:val="auto"/>
        <w:outlineLvl w:val="1"/>
        <w:rPr>
          <w:rFonts w:cs="Arial"/>
          <w:color w:val="000000"/>
        </w:rPr>
      </w:pPr>
    </w:p>
    <w:p w14:paraId="228EFA0E" w14:textId="77777777" w:rsidR="00E91E19" w:rsidRPr="00E91E19" w:rsidRDefault="00E91E19" w:rsidP="00E91E19">
      <w:pPr>
        <w:numPr>
          <w:ilvl w:val="1"/>
          <w:numId w:val="0"/>
        </w:numPr>
        <w:tabs>
          <w:tab w:val="num" w:pos="720"/>
        </w:tabs>
        <w:overflowPunct/>
        <w:autoSpaceDE/>
        <w:autoSpaceDN/>
        <w:adjustRightInd/>
        <w:spacing w:after="120"/>
        <w:ind w:left="720" w:hanging="720"/>
        <w:textAlignment w:val="auto"/>
        <w:outlineLvl w:val="1"/>
        <w:rPr>
          <w:rFonts w:cs="Arial"/>
          <w:color w:val="000000"/>
        </w:rPr>
      </w:pPr>
      <w:r w:rsidRPr="00E91E19">
        <w:rPr>
          <w:rFonts w:cs="Arial"/>
          <w:color w:val="000000"/>
        </w:rPr>
        <w:t>35</w:t>
      </w:r>
      <w:r w:rsidRPr="00E91E19">
        <w:rPr>
          <w:rFonts w:cs="Arial"/>
          <w:color w:val="000000"/>
        </w:rPr>
        <w:tab/>
        <w:t>In addition, the</w:t>
      </w:r>
      <w:r>
        <w:rPr>
          <w:rFonts w:cs="Arial"/>
          <w:color w:val="000000"/>
        </w:rPr>
        <w:t xml:space="preserve"> potential</w:t>
      </w:r>
      <w:r w:rsidRPr="00E91E19">
        <w:rPr>
          <w:rFonts w:cs="Arial"/>
          <w:color w:val="000000"/>
        </w:rPr>
        <w:t xml:space="preserve"> Contractor will carry out checks with the Disclosure and Barring Service (DBS checks) on all staff employed on the Contract in a Regulated Activity. The DBS check must be completed before any of the Contractor’s employees work with children in Regulated Activity.</w:t>
      </w:r>
    </w:p>
    <w:p w14:paraId="621BA767" w14:textId="77777777" w:rsidR="00E91E19" w:rsidRPr="00E91E19" w:rsidRDefault="00E91E19" w:rsidP="00E91E19">
      <w:pPr>
        <w:pStyle w:val="Numbered"/>
        <w:rPr>
          <w:color w:val="000000"/>
        </w:rPr>
      </w:pPr>
    </w:p>
    <w:p w14:paraId="59F1FCB9" w14:textId="77777777" w:rsidR="00CA1712" w:rsidRPr="000826B8" w:rsidRDefault="00CA4548" w:rsidP="001F0B38">
      <w:pPr>
        <w:pStyle w:val="Numbered"/>
        <w:ind w:left="1440"/>
        <w:jc w:val="right"/>
        <w:rPr>
          <w:b/>
        </w:rPr>
      </w:pPr>
      <w:r>
        <w:rPr>
          <w:b/>
          <w:color w:val="000000"/>
        </w:rPr>
        <w:br w:type="page"/>
      </w:r>
      <w:bookmarkStart w:id="6" w:name="Document4"/>
      <w:bookmarkEnd w:id="6"/>
      <w:r w:rsidR="001F0B38">
        <w:rPr>
          <w:b/>
        </w:rPr>
        <w:lastRenderedPageBreak/>
        <w:t>DOCUMENT 4</w:t>
      </w:r>
    </w:p>
    <w:p w14:paraId="33792B09" w14:textId="77777777" w:rsidR="00CA1712" w:rsidRPr="004D1053" w:rsidRDefault="00CA1712">
      <w:pPr>
        <w:pStyle w:val="Numbered"/>
        <w:widowControl/>
        <w:rPr>
          <w:b/>
        </w:rPr>
      </w:pPr>
      <w:r w:rsidRPr="000826B8">
        <w:rPr>
          <w:b/>
        </w:rPr>
        <w:t>LIST OF ATTACHMENTS</w:t>
      </w:r>
    </w:p>
    <w:p w14:paraId="4A74CC57" w14:textId="77777777" w:rsidR="009A47B9" w:rsidRPr="007C63BC" w:rsidRDefault="00B73A7D" w:rsidP="00EA4286">
      <w:pPr>
        <w:pStyle w:val="Numbered"/>
        <w:widowControl/>
        <w:numPr>
          <w:ilvl w:val="0"/>
          <w:numId w:val="16"/>
        </w:numPr>
        <w:rPr>
          <w:b/>
        </w:rPr>
      </w:pPr>
      <w:r>
        <w:rPr>
          <w:b/>
        </w:rPr>
        <w:t>DRAFT TERMS AND CONDITIONS</w:t>
      </w:r>
      <w:r w:rsidR="00697C31">
        <w:rPr>
          <w:b/>
        </w:rPr>
        <w:t xml:space="preserve"> </w:t>
      </w:r>
    </w:p>
    <w:p w14:paraId="7DCFF7CC" w14:textId="77777777" w:rsidR="007C63BC" w:rsidRPr="007C63BC" w:rsidRDefault="00F45645" w:rsidP="00B37B0E">
      <w:pPr>
        <w:pStyle w:val="Default"/>
        <w:ind w:left="720" w:hanging="360"/>
        <w:rPr>
          <w:i/>
          <w:sz w:val="22"/>
          <w:szCs w:val="22"/>
        </w:rPr>
      </w:pPr>
      <w:r>
        <w:rPr>
          <w:b/>
          <w:sz w:val="22"/>
          <w:szCs w:val="22"/>
        </w:rPr>
        <w:t>2</w:t>
      </w:r>
      <w:r>
        <w:rPr>
          <w:b/>
          <w:sz w:val="22"/>
          <w:szCs w:val="22"/>
        </w:rPr>
        <w:tab/>
      </w:r>
      <w:r w:rsidR="009B70BE" w:rsidRPr="00F45645">
        <w:rPr>
          <w:b/>
          <w:sz w:val="22"/>
          <w:szCs w:val="22"/>
        </w:rPr>
        <w:t>EVALUATION CRITERIA</w:t>
      </w:r>
      <w:r w:rsidRPr="00F45645">
        <w:rPr>
          <w:b/>
          <w:sz w:val="22"/>
          <w:szCs w:val="22"/>
        </w:rPr>
        <w:t xml:space="preserve"> </w:t>
      </w:r>
    </w:p>
    <w:p w14:paraId="2E625747" w14:textId="77777777" w:rsidR="007C63BC" w:rsidRDefault="007C63BC" w:rsidP="00F45645">
      <w:pPr>
        <w:pStyle w:val="Default"/>
        <w:ind w:left="720" w:hanging="360"/>
        <w:rPr>
          <w:b/>
          <w:sz w:val="22"/>
          <w:szCs w:val="22"/>
        </w:rPr>
      </w:pPr>
    </w:p>
    <w:p w14:paraId="0DBB168A" w14:textId="77777777" w:rsidR="00916D17" w:rsidRDefault="00916D17" w:rsidP="00916D17">
      <w:pPr>
        <w:pStyle w:val="Numbered"/>
        <w:widowControl/>
        <w:ind w:left="720" w:hanging="720"/>
      </w:pPr>
      <w:r>
        <w:t>Scoring scale</w:t>
      </w:r>
    </w:p>
    <w:tbl>
      <w:tblPr>
        <w:tblW w:w="8222"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0"/>
        <w:gridCol w:w="7342"/>
      </w:tblGrid>
      <w:tr w:rsidR="00916D17" w:rsidRPr="002426EE" w14:paraId="4F408116" w14:textId="77777777" w:rsidTr="002A2F2F">
        <w:tc>
          <w:tcPr>
            <w:tcW w:w="880" w:type="dxa"/>
            <w:shd w:val="clear" w:color="auto" w:fill="auto"/>
          </w:tcPr>
          <w:p w14:paraId="5D5C5425" w14:textId="77777777" w:rsidR="00916D17" w:rsidRPr="005827DC" w:rsidRDefault="00916D17" w:rsidP="002A2F2F">
            <w:pPr>
              <w:rPr>
                <w:rFonts w:eastAsia="Calibri"/>
                <w:i/>
              </w:rPr>
            </w:pPr>
            <w:r w:rsidRPr="005827DC">
              <w:rPr>
                <w:rFonts w:eastAsia="Calibri"/>
                <w:i/>
              </w:rPr>
              <w:t xml:space="preserve">0 </w:t>
            </w:r>
          </w:p>
        </w:tc>
        <w:tc>
          <w:tcPr>
            <w:tcW w:w="7342" w:type="dxa"/>
            <w:shd w:val="clear" w:color="auto" w:fill="auto"/>
          </w:tcPr>
          <w:p w14:paraId="3A14E922" w14:textId="77777777" w:rsidR="00916D17" w:rsidRPr="005827DC" w:rsidRDefault="00916D17" w:rsidP="002A2F2F">
            <w:pPr>
              <w:rPr>
                <w:rFonts w:eastAsia="Calibri"/>
              </w:rPr>
            </w:pPr>
            <w:r w:rsidRPr="005827DC">
              <w:rPr>
                <w:rFonts w:eastAsia="Calibri"/>
              </w:rPr>
              <w:t>Nil or inadequate response. Fails to demonstrate an ability to meet the requirement.</w:t>
            </w:r>
          </w:p>
        </w:tc>
      </w:tr>
      <w:tr w:rsidR="00916D17" w:rsidRPr="002426EE" w14:paraId="75010BE3" w14:textId="77777777" w:rsidTr="002A2F2F">
        <w:tc>
          <w:tcPr>
            <w:tcW w:w="880" w:type="dxa"/>
            <w:shd w:val="clear" w:color="auto" w:fill="auto"/>
          </w:tcPr>
          <w:p w14:paraId="78A50A9F" w14:textId="77777777" w:rsidR="00916D17" w:rsidRPr="005827DC" w:rsidRDefault="00916D17" w:rsidP="002A2F2F">
            <w:pPr>
              <w:rPr>
                <w:rFonts w:eastAsia="Calibri"/>
                <w:i/>
              </w:rPr>
            </w:pPr>
            <w:r w:rsidRPr="005827DC">
              <w:rPr>
                <w:rFonts w:eastAsia="Calibri"/>
                <w:i/>
              </w:rPr>
              <w:t xml:space="preserve">1 </w:t>
            </w:r>
          </w:p>
        </w:tc>
        <w:tc>
          <w:tcPr>
            <w:tcW w:w="7342" w:type="dxa"/>
            <w:shd w:val="clear" w:color="auto" w:fill="auto"/>
          </w:tcPr>
          <w:p w14:paraId="6E956999" w14:textId="77777777" w:rsidR="00916D17" w:rsidRPr="005827DC" w:rsidRDefault="00916D17" w:rsidP="002A2F2F">
            <w:pPr>
              <w:rPr>
                <w:rFonts w:eastAsia="Calibri"/>
              </w:rPr>
            </w:pPr>
            <w:r w:rsidRPr="005827DC">
              <w:rPr>
                <w:rFonts w:eastAsia="Calibri"/>
              </w:rPr>
              <w:t>Response meets less than half the stated requirement. It is partially relevant but generally poor and lacks relevant detail.</w:t>
            </w:r>
          </w:p>
        </w:tc>
      </w:tr>
      <w:tr w:rsidR="00916D17" w:rsidRPr="002426EE" w14:paraId="1C6718A3" w14:textId="77777777" w:rsidTr="002A2F2F">
        <w:tc>
          <w:tcPr>
            <w:tcW w:w="880" w:type="dxa"/>
            <w:shd w:val="clear" w:color="auto" w:fill="auto"/>
          </w:tcPr>
          <w:p w14:paraId="443206AA" w14:textId="77777777" w:rsidR="00916D17" w:rsidRPr="005827DC" w:rsidRDefault="00916D17" w:rsidP="002A2F2F">
            <w:pPr>
              <w:rPr>
                <w:rFonts w:eastAsia="Calibri"/>
                <w:i/>
              </w:rPr>
            </w:pPr>
            <w:r w:rsidRPr="005827DC">
              <w:rPr>
                <w:rFonts w:eastAsia="Calibri"/>
                <w:i/>
              </w:rPr>
              <w:t>2</w:t>
            </w:r>
          </w:p>
        </w:tc>
        <w:tc>
          <w:tcPr>
            <w:tcW w:w="7342" w:type="dxa"/>
            <w:shd w:val="clear" w:color="auto" w:fill="auto"/>
          </w:tcPr>
          <w:p w14:paraId="4E3683B2" w14:textId="77777777" w:rsidR="00916D17" w:rsidRPr="005827DC" w:rsidRDefault="00916D17" w:rsidP="002A2F2F">
            <w:pPr>
              <w:rPr>
                <w:rFonts w:eastAsia="Calibri"/>
              </w:rPr>
            </w:pPr>
            <w:r w:rsidRPr="005827DC">
              <w:rPr>
                <w:rFonts w:eastAsia="Calibri"/>
              </w:rPr>
              <w:t xml:space="preserve">Response meets some but not </w:t>
            </w:r>
            <w:proofErr w:type="gramStart"/>
            <w:r w:rsidRPr="005827DC">
              <w:rPr>
                <w:rFonts w:eastAsia="Calibri"/>
              </w:rPr>
              <w:t>all of</w:t>
            </w:r>
            <w:proofErr w:type="gramEnd"/>
            <w:r w:rsidRPr="005827DC">
              <w:rPr>
                <w:rFonts w:eastAsia="Calibri"/>
              </w:rPr>
              <w:t xml:space="preserve"> the stated requirement. Lacks detail on how the requirement will be fulfilled in several areas.</w:t>
            </w:r>
          </w:p>
        </w:tc>
      </w:tr>
      <w:tr w:rsidR="00916D17" w:rsidRPr="002426EE" w14:paraId="7A3039F0" w14:textId="77777777" w:rsidTr="002A2F2F">
        <w:tc>
          <w:tcPr>
            <w:tcW w:w="880" w:type="dxa"/>
            <w:shd w:val="clear" w:color="auto" w:fill="auto"/>
          </w:tcPr>
          <w:p w14:paraId="3A28D7F1" w14:textId="77777777" w:rsidR="00916D17" w:rsidRPr="005827DC" w:rsidRDefault="00916D17" w:rsidP="002A2F2F">
            <w:pPr>
              <w:rPr>
                <w:rFonts w:eastAsia="Calibri"/>
                <w:i/>
              </w:rPr>
            </w:pPr>
            <w:r w:rsidRPr="005827DC">
              <w:rPr>
                <w:rFonts w:eastAsia="Calibri"/>
                <w:i/>
              </w:rPr>
              <w:t xml:space="preserve">3 </w:t>
            </w:r>
          </w:p>
        </w:tc>
        <w:tc>
          <w:tcPr>
            <w:tcW w:w="7342" w:type="dxa"/>
            <w:shd w:val="clear" w:color="auto" w:fill="auto"/>
          </w:tcPr>
          <w:p w14:paraId="4BF11144" w14:textId="77777777" w:rsidR="00916D17" w:rsidRPr="005827DC" w:rsidRDefault="00916D17" w:rsidP="002A2F2F">
            <w:pPr>
              <w:rPr>
                <w:rFonts w:eastAsia="Calibri"/>
              </w:rPr>
            </w:pPr>
            <w:r w:rsidRPr="005827DC">
              <w:rPr>
                <w:rFonts w:eastAsia="Calibri"/>
              </w:rPr>
              <w:t>The response meets the stated requirement. Answers are relevant and acceptable but may lack some detail.</w:t>
            </w:r>
          </w:p>
        </w:tc>
      </w:tr>
      <w:tr w:rsidR="00916D17" w:rsidRPr="002426EE" w14:paraId="19A3AF8C" w14:textId="77777777" w:rsidTr="002A2F2F">
        <w:tc>
          <w:tcPr>
            <w:tcW w:w="880" w:type="dxa"/>
            <w:shd w:val="clear" w:color="auto" w:fill="auto"/>
          </w:tcPr>
          <w:p w14:paraId="272B9D08" w14:textId="77777777" w:rsidR="00916D17" w:rsidRPr="005827DC" w:rsidRDefault="00916D17" w:rsidP="002A2F2F">
            <w:pPr>
              <w:rPr>
                <w:rFonts w:eastAsia="Calibri"/>
                <w:i/>
              </w:rPr>
            </w:pPr>
            <w:r w:rsidRPr="005827DC">
              <w:rPr>
                <w:rFonts w:eastAsia="Calibri"/>
                <w:i/>
              </w:rPr>
              <w:t>4</w:t>
            </w:r>
          </w:p>
        </w:tc>
        <w:tc>
          <w:tcPr>
            <w:tcW w:w="7342" w:type="dxa"/>
            <w:shd w:val="clear" w:color="auto" w:fill="auto"/>
          </w:tcPr>
          <w:p w14:paraId="4F3404A9" w14:textId="77777777" w:rsidR="00916D17" w:rsidRPr="005827DC" w:rsidRDefault="00916D17" w:rsidP="002A2F2F">
            <w:pPr>
              <w:rPr>
                <w:rFonts w:eastAsia="Calibri"/>
              </w:rPr>
            </w:pPr>
            <w:r w:rsidRPr="005827DC">
              <w:rPr>
                <w:rFonts w:eastAsia="Calibri"/>
              </w:rPr>
              <w:t>The response fully meets the stated requirement in all areas.  Answers are clear, relevant and elements of the response exceed the requirement by offering some added value.</w:t>
            </w:r>
          </w:p>
        </w:tc>
      </w:tr>
      <w:tr w:rsidR="00916D17" w:rsidRPr="002426EE" w14:paraId="56BA1880" w14:textId="77777777" w:rsidTr="002A2F2F">
        <w:tc>
          <w:tcPr>
            <w:tcW w:w="880" w:type="dxa"/>
            <w:shd w:val="clear" w:color="auto" w:fill="auto"/>
          </w:tcPr>
          <w:p w14:paraId="379253C5" w14:textId="77777777" w:rsidR="00916D17" w:rsidRPr="005827DC" w:rsidRDefault="00916D17" w:rsidP="002A2F2F">
            <w:pPr>
              <w:rPr>
                <w:rFonts w:eastAsia="Calibri"/>
                <w:i/>
              </w:rPr>
            </w:pPr>
            <w:r w:rsidRPr="005827DC">
              <w:rPr>
                <w:rFonts w:eastAsia="Calibri"/>
                <w:i/>
              </w:rPr>
              <w:t>5</w:t>
            </w:r>
          </w:p>
        </w:tc>
        <w:tc>
          <w:tcPr>
            <w:tcW w:w="7342" w:type="dxa"/>
            <w:shd w:val="clear" w:color="auto" w:fill="auto"/>
          </w:tcPr>
          <w:p w14:paraId="03A4721B" w14:textId="77777777" w:rsidR="00916D17" w:rsidRPr="005827DC" w:rsidRDefault="00916D17" w:rsidP="002A2F2F">
            <w:pPr>
              <w:rPr>
                <w:rFonts w:eastAsia="Calibri"/>
              </w:rPr>
            </w:pPr>
            <w:r w:rsidRPr="005827DC">
              <w:rPr>
                <w:rFonts w:eastAsia="Calibri"/>
              </w:rPr>
              <w:t xml:space="preserve">The response exceeds the requirement in all areas.  Answers are comprehensive, unambiguous and offer significant added value to the </w:t>
            </w:r>
            <w:r>
              <w:rPr>
                <w:rFonts w:eastAsia="Calibri"/>
              </w:rPr>
              <w:t xml:space="preserve">requirement which benefits </w:t>
            </w:r>
            <w:r w:rsidR="005D7D23">
              <w:rPr>
                <w:rFonts w:eastAsia="Calibri"/>
              </w:rPr>
              <w:t>SMC</w:t>
            </w:r>
            <w:r w:rsidRPr="005827DC">
              <w:rPr>
                <w:rFonts w:eastAsia="Calibri"/>
              </w:rPr>
              <w:t>.</w:t>
            </w:r>
          </w:p>
        </w:tc>
      </w:tr>
    </w:tbl>
    <w:p w14:paraId="3C4AC429" w14:textId="77777777" w:rsidR="00916D17" w:rsidRDefault="00916D17" w:rsidP="00F45645">
      <w:pPr>
        <w:pStyle w:val="Default"/>
        <w:ind w:left="720" w:hanging="360"/>
        <w:rPr>
          <w:b/>
          <w:sz w:val="22"/>
          <w:szCs w:val="22"/>
        </w:rPr>
      </w:pPr>
    </w:p>
    <w:p w14:paraId="1B5434AF" w14:textId="77777777" w:rsidR="00F25148" w:rsidRPr="00D331A3" w:rsidRDefault="00F25148" w:rsidP="00D331A3"/>
    <w:tbl>
      <w:tblPr>
        <w:tblW w:w="8647"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94"/>
        <w:gridCol w:w="1533"/>
        <w:gridCol w:w="4394"/>
        <w:gridCol w:w="992"/>
        <w:gridCol w:w="1134"/>
      </w:tblGrid>
      <w:tr w:rsidR="00F802E5" w:rsidRPr="00856EA2" w14:paraId="6C0C409E" w14:textId="77777777" w:rsidTr="00A6648E">
        <w:tc>
          <w:tcPr>
            <w:tcW w:w="594" w:type="dxa"/>
            <w:tcMar>
              <w:top w:w="0" w:type="dxa"/>
              <w:left w:w="108" w:type="dxa"/>
              <w:bottom w:w="0" w:type="dxa"/>
              <w:right w:w="108" w:type="dxa"/>
            </w:tcMar>
          </w:tcPr>
          <w:p w14:paraId="0875E49C" w14:textId="77777777"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Ref</w:t>
            </w:r>
          </w:p>
        </w:tc>
        <w:tc>
          <w:tcPr>
            <w:tcW w:w="1533" w:type="dxa"/>
            <w:tcMar>
              <w:top w:w="0" w:type="dxa"/>
              <w:left w:w="108" w:type="dxa"/>
              <w:bottom w:w="0" w:type="dxa"/>
              <w:right w:w="108" w:type="dxa"/>
            </w:tcMar>
          </w:tcPr>
          <w:p w14:paraId="2DCFEFA4" w14:textId="77777777"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Question</w:t>
            </w:r>
            <w:r>
              <w:rPr>
                <w:rFonts w:cs="Arial"/>
                <w:sz w:val="24"/>
                <w:szCs w:val="24"/>
              </w:rPr>
              <w:t xml:space="preserve"> </w:t>
            </w:r>
          </w:p>
        </w:tc>
        <w:tc>
          <w:tcPr>
            <w:tcW w:w="4394" w:type="dxa"/>
          </w:tcPr>
          <w:p w14:paraId="1D293E8C" w14:textId="77777777" w:rsidR="00F802E5" w:rsidRPr="00571609" w:rsidRDefault="00F802E5" w:rsidP="002A2F2F">
            <w:pPr>
              <w:widowControl/>
              <w:overflowPunct/>
              <w:autoSpaceDE/>
              <w:autoSpaceDN/>
              <w:adjustRightInd/>
              <w:textAlignment w:val="auto"/>
              <w:rPr>
                <w:rFonts w:cs="Arial"/>
                <w:sz w:val="24"/>
                <w:szCs w:val="24"/>
              </w:rPr>
            </w:pPr>
            <w:r>
              <w:rPr>
                <w:rFonts w:cs="Arial"/>
                <w:sz w:val="24"/>
                <w:szCs w:val="24"/>
              </w:rPr>
              <w:t xml:space="preserve"> Look </w:t>
            </w:r>
            <w:proofErr w:type="spellStart"/>
            <w:r>
              <w:rPr>
                <w:rFonts w:cs="Arial"/>
                <w:sz w:val="24"/>
                <w:szCs w:val="24"/>
              </w:rPr>
              <w:t>for’s</w:t>
            </w:r>
            <w:proofErr w:type="spellEnd"/>
          </w:p>
        </w:tc>
        <w:tc>
          <w:tcPr>
            <w:tcW w:w="992" w:type="dxa"/>
            <w:tcMar>
              <w:top w:w="0" w:type="dxa"/>
              <w:left w:w="108" w:type="dxa"/>
              <w:bottom w:w="0" w:type="dxa"/>
              <w:right w:w="108" w:type="dxa"/>
            </w:tcMar>
          </w:tcPr>
          <w:p w14:paraId="52513DC6" w14:textId="77777777" w:rsidR="00F802E5" w:rsidRPr="00571609" w:rsidRDefault="00F802E5" w:rsidP="002A2F2F">
            <w:pPr>
              <w:widowControl/>
              <w:overflowPunct/>
              <w:autoSpaceDE/>
              <w:autoSpaceDN/>
              <w:adjustRightInd/>
              <w:jc w:val="center"/>
              <w:textAlignment w:val="auto"/>
              <w:rPr>
                <w:rFonts w:cs="Arial"/>
                <w:sz w:val="24"/>
                <w:szCs w:val="24"/>
              </w:rPr>
            </w:pPr>
            <w:r w:rsidRPr="00571609">
              <w:rPr>
                <w:rFonts w:cs="Arial"/>
                <w:sz w:val="24"/>
                <w:szCs w:val="24"/>
              </w:rPr>
              <w:t>Weight</w:t>
            </w:r>
          </w:p>
        </w:tc>
        <w:tc>
          <w:tcPr>
            <w:tcW w:w="1134" w:type="dxa"/>
          </w:tcPr>
          <w:p w14:paraId="11BBC89F" w14:textId="77777777" w:rsidR="00F802E5" w:rsidRPr="00856EA2" w:rsidRDefault="00F802E5" w:rsidP="002A2F2F">
            <w:pPr>
              <w:widowControl/>
              <w:overflowPunct/>
              <w:autoSpaceDE/>
              <w:autoSpaceDN/>
              <w:adjustRightInd/>
              <w:jc w:val="center"/>
              <w:textAlignment w:val="auto"/>
              <w:rPr>
                <w:rFonts w:cs="Arial"/>
                <w:sz w:val="24"/>
                <w:szCs w:val="24"/>
              </w:rPr>
            </w:pPr>
            <w:r w:rsidRPr="00856EA2">
              <w:rPr>
                <w:rFonts w:cs="Arial"/>
                <w:sz w:val="24"/>
                <w:szCs w:val="24"/>
              </w:rPr>
              <w:t xml:space="preserve">Maximum possible score </w:t>
            </w:r>
          </w:p>
        </w:tc>
      </w:tr>
      <w:tr w:rsidR="00F802E5" w:rsidRPr="00571609" w14:paraId="77F063CD" w14:textId="77777777" w:rsidTr="00A6648E">
        <w:tc>
          <w:tcPr>
            <w:tcW w:w="594" w:type="dxa"/>
            <w:tcMar>
              <w:top w:w="0" w:type="dxa"/>
              <w:left w:w="108" w:type="dxa"/>
              <w:bottom w:w="0" w:type="dxa"/>
              <w:right w:w="108" w:type="dxa"/>
            </w:tcMar>
            <w:hideMark/>
          </w:tcPr>
          <w:p w14:paraId="2D17EAD4" w14:textId="77777777" w:rsidR="00F802E5" w:rsidRPr="006B7882" w:rsidRDefault="00F802E5" w:rsidP="002A2F2F">
            <w:pPr>
              <w:widowControl/>
              <w:overflowPunct/>
              <w:autoSpaceDE/>
              <w:autoSpaceDN/>
              <w:adjustRightInd/>
              <w:textAlignment w:val="auto"/>
              <w:rPr>
                <w:rFonts w:cs="Arial"/>
              </w:rPr>
            </w:pPr>
            <w:r w:rsidRPr="006B7882">
              <w:rPr>
                <w:rFonts w:cs="Arial"/>
              </w:rPr>
              <w:t>1</w:t>
            </w:r>
          </w:p>
        </w:tc>
        <w:tc>
          <w:tcPr>
            <w:tcW w:w="1533" w:type="dxa"/>
            <w:tcMar>
              <w:top w:w="0" w:type="dxa"/>
              <w:left w:w="108" w:type="dxa"/>
              <w:bottom w:w="0" w:type="dxa"/>
              <w:right w:w="108" w:type="dxa"/>
            </w:tcMar>
          </w:tcPr>
          <w:p w14:paraId="0998A38E" w14:textId="77777777" w:rsidR="00F802E5" w:rsidRPr="00856EA2" w:rsidRDefault="00F802E5" w:rsidP="005B6E47">
            <w:pPr>
              <w:widowControl/>
              <w:overflowPunct/>
              <w:autoSpaceDE/>
              <w:autoSpaceDN/>
              <w:adjustRightInd/>
              <w:textAlignment w:val="auto"/>
              <w:rPr>
                <w:rFonts w:cs="Arial"/>
              </w:rPr>
            </w:pPr>
            <w:r>
              <w:rPr>
                <w:rFonts w:cs="Arial"/>
              </w:rPr>
              <w:t xml:space="preserve">Does the </w:t>
            </w:r>
            <w:proofErr w:type="gramStart"/>
            <w:r>
              <w:rPr>
                <w:rFonts w:cs="Arial"/>
              </w:rPr>
              <w:t>proposal  describe</w:t>
            </w:r>
            <w:proofErr w:type="gramEnd"/>
            <w:r>
              <w:rPr>
                <w:rFonts w:cs="Arial"/>
              </w:rPr>
              <w:t xml:space="preserve"> a robust</w:t>
            </w:r>
            <w:r w:rsidR="005B6E47">
              <w:rPr>
                <w:rFonts w:cs="Arial"/>
              </w:rPr>
              <w:t xml:space="preserve"> method / suitable approach?</w:t>
            </w:r>
          </w:p>
        </w:tc>
        <w:tc>
          <w:tcPr>
            <w:tcW w:w="4394" w:type="dxa"/>
          </w:tcPr>
          <w:p w14:paraId="3FC73E93" w14:textId="77777777" w:rsidR="00A6648E" w:rsidRDefault="00A6648E" w:rsidP="00EA4286">
            <w:pPr>
              <w:numPr>
                <w:ilvl w:val="0"/>
                <w:numId w:val="42"/>
              </w:numPr>
              <w:rPr>
                <w:rFonts w:cs="Arial"/>
              </w:rPr>
            </w:pPr>
            <w:r w:rsidRPr="00731D5C">
              <w:rPr>
                <w:rFonts w:cs="Arial"/>
              </w:rPr>
              <w:t>Demonstrates a clear understanding of the policy area</w:t>
            </w:r>
            <w:r>
              <w:rPr>
                <w:rFonts w:cs="Arial"/>
              </w:rPr>
              <w:t>, the requirements of this type of study, and role it provides</w:t>
            </w:r>
          </w:p>
          <w:p w14:paraId="59B86BE3" w14:textId="77777777" w:rsidR="00A6648E" w:rsidRPr="00731D5C" w:rsidRDefault="00A6648E" w:rsidP="00A6648E">
            <w:pPr>
              <w:ind w:left="360"/>
              <w:rPr>
                <w:rFonts w:cs="Arial"/>
              </w:rPr>
            </w:pPr>
          </w:p>
          <w:p w14:paraId="130FBF2E" w14:textId="77777777" w:rsidR="00A6648E" w:rsidRDefault="00A6648E" w:rsidP="00EA4286">
            <w:pPr>
              <w:numPr>
                <w:ilvl w:val="0"/>
                <w:numId w:val="41"/>
              </w:numPr>
              <w:ind w:left="357" w:hanging="357"/>
              <w:rPr>
                <w:rFonts w:cs="Arial"/>
              </w:rPr>
            </w:pPr>
            <w:r w:rsidRPr="00731D5C">
              <w:rPr>
                <w:rFonts w:cs="Arial"/>
              </w:rPr>
              <w:t>Constructive thinking demonstrated by the proposed methodological approach to this project in meeting the objectives (including identifying and addressing risks)</w:t>
            </w:r>
          </w:p>
          <w:p w14:paraId="5E2607C6" w14:textId="77777777" w:rsidR="00A6648E" w:rsidRDefault="00A6648E" w:rsidP="00A6648E">
            <w:pPr>
              <w:ind w:left="357"/>
              <w:rPr>
                <w:rFonts w:cs="Arial"/>
              </w:rPr>
            </w:pPr>
          </w:p>
          <w:p w14:paraId="74051C61" w14:textId="77777777" w:rsidR="00A6648E" w:rsidRDefault="00A6648E" w:rsidP="00EA4286">
            <w:pPr>
              <w:pStyle w:val="Numbered"/>
              <w:widowControl/>
              <w:numPr>
                <w:ilvl w:val="0"/>
                <w:numId w:val="41"/>
              </w:numPr>
              <w:overflowPunct/>
              <w:autoSpaceDE/>
              <w:autoSpaceDN/>
              <w:adjustRightInd/>
              <w:spacing w:after="0"/>
              <w:ind w:left="357" w:hanging="357"/>
              <w:textAlignment w:val="auto"/>
              <w:rPr>
                <w:rFonts w:cs="Arial"/>
              </w:rPr>
            </w:pPr>
            <w:r w:rsidRPr="00FA54B5">
              <w:rPr>
                <w:rFonts w:cs="Arial"/>
              </w:rPr>
              <w:t>The suitability of the proposed approach to deliver against requirements of the study, and iden</w:t>
            </w:r>
            <w:r>
              <w:rPr>
                <w:rFonts w:cs="Arial"/>
              </w:rPr>
              <w:t>tificati</w:t>
            </w:r>
            <w:r w:rsidRPr="00FA54B5">
              <w:rPr>
                <w:rFonts w:cs="Arial"/>
              </w:rPr>
              <w:t xml:space="preserve">on of any </w:t>
            </w:r>
            <w:r>
              <w:rPr>
                <w:rFonts w:cs="Arial"/>
              </w:rPr>
              <w:t>o</w:t>
            </w:r>
            <w:r w:rsidRPr="00FA54B5">
              <w:rPr>
                <w:rFonts w:cs="Arial"/>
              </w:rPr>
              <w:t>pportunities to add value to this</w:t>
            </w:r>
          </w:p>
          <w:p w14:paraId="031EB332" w14:textId="77777777" w:rsidR="00A6648E" w:rsidRDefault="00A6648E" w:rsidP="00A6648E">
            <w:pPr>
              <w:pStyle w:val="Numbered"/>
              <w:widowControl/>
              <w:overflowPunct/>
              <w:autoSpaceDE/>
              <w:autoSpaceDN/>
              <w:adjustRightInd/>
              <w:spacing w:after="0"/>
              <w:textAlignment w:val="auto"/>
              <w:rPr>
                <w:rFonts w:cs="Arial"/>
              </w:rPr>
            </w:pPr>
          </w:p>
          <w:p w14:paraId="4BCD45AD" w14:textId="77777777" w:rsidR="00A6648E" w:rsidRDefault="00A6648E" w:rsidP="00EA4286">
            <w:pPr>
              <w:pStyle w:val="Numbered"/>
              <w:widowControl/>
              <w:numPr>
                <w:ilvl w:val="0"/>
                <w:numId w:val="41"/>
              </w:numPr>
              <w:overflowPunct/>
              <w:autoSpaceDE/>
              <w:autoSpaceDN/>
              <w:adjustRightInd/>
              <w:spacing w:after="0"/>
              <w:ind w:left="357" w:hanging="357"/>
              <w:textAlignment w:val="auto"/>
              <w:rPr>
                <w:rFonts w:cs="Arial"/>
              </w:rPr>
            </w:pPr>
            <w:r w:rsidRPr="00FA54B5">
              <w:rPr>
                <w:rFonts w:cs="Arial"/>
              </w:rPr>
              <w:t>Consideration of ethical, confidentiality and data protection issues</w:t>
            </w:r>
          </w:p>
          <w:p w14:paraId="1CF6E6C1" w14:textId="77777777" w:rsidR="00A6648E" w:rsidRPr="00FA54B5" w:rsidRDefault="00A6648E" w:rsidP="00A6648E">
            <w:pPr>
              <w:pStyle w:val="Numbered"/>
              <w:widowControl/>
              <w:overflowPunct/>
              <w:autoSpaceDE/>
              <w:autoSpaceDN/>
              <w:adjustRightInd/>
              <w:spacing w:after="0"/>
              <w:textAlignment w:val="auto"/>
              <w:rPr>
                <w:rFonts w:cs="Arial"/>
              </w:rPr>
            </w:pPr>
          </w:p>
          <w:p w14:paraId="46FF299E" w14:textId="77777777" w:rsidR="00A6648E" w:rsidRDefault="00A6648E" w:rsidP="00EA4286">
            <w:pPr>
              <w:widowControl/>
              <w:numPr>
                <w:ilvl w:val="0"/>
                <w:numId w:val="41"/>
              </w:numPr>
              <w:overflowPunct/>
              <w:autoSpaceDE/>
              <w:autoSpaceDN/>
              <w:adjustRightInd/>
              <w:ind w:left="357" w:hanging="357"/>
              <w:textAlignment w:val="auto"/>
              <w:rPr>
                <w:rFonts w:cs="Arial"/>
              </w:rPr>
            </w:pPr>
            <w:r w:rsidRPr="00731D5C">
              <w:rPr>
                <w:rFonts w:cs="Arial"/>
              </w:rPr>
              <w:t xml:space="preserve">That the risks and challenges are </w:t>
            </w:r>
            <w:proofErr w:type="gramStart"/>
            <w:r w:rsidRPr="00731D5C">
              <w:rPr>
                <w:rFonts w:cs="Arial"/>
              </w:rPr>
              <w:t>considered</w:t>
            </w:r>
            <w:proofErr w:type="gramEnd"/>
            <w:r w:rsidRPr="00731D5C">
              <w:rPr>
                <w:rFonts w:cs="Arial"/>
              </w:rPr>
              <w:t xml:space="preserve"> and mitigation integrated into the proposed methodology </w:t>
            </w:r>
          </w:p>
          <w:p w14:paraId="45EC7262" w14:textId="77777777" w:rsidR="00A6648E" w:rsidRDefault="00A6648E" w:rsidP="00A6648E">
            <w:pPr>
              <w:widowControl/>
              <w:overflowPunct/>
              <w:autoSpaceDE/>
              <w:autoSpaceDN/>
              <w:adjustRightInd/>
              <w:textAlignment w:val="auto"/>
              <w:rPr>
                <w:rFonts w:cs="Arial"/>
              </w:rPr>
            </w:pPr>
          </w:p>
          <w:p w14:paraId="1AECE73B" w14:textId="77777777" w:rsidR="00A6648E" w:rsidRPr="00536B95" w:rsidRDefault="00A6648E" w:rsidP="00EA4286">
            <w:pPr>
              <w:widowControl/>
              <w:numPr>
                <w:ilvl w:val="0"/>
                <w:numId w:val="41"/>
              </w:numPr>
              <w:overflowPunct/>
              <w:autoSpaceDE/>
              <w:autoSpaceDN/>
              <w:adjustRightInd/>
              <w:ind w:left="357" w:hanging="357"/>
              <w:textAlignment w:val="auto"/>
              <w:rPr>
                <w:rFonts w:cs="Arial"/>
              </w:rPr>
            </w:pPr>
            <w:r w:rsidRPr="00536B95">
              <w:rPr>
                <w:rFonts w:cs="Arial"/>
              </w:rPr>
              <w:t>The quality</w:t>
            </w:r>
            <w:r>
              <w:rPr>
                <w:rFonts w:cs="Arial"/>
              </w:rPr>
              <w:t>, timing</w:t>
            </w:r>
            <w:r w:rsidRPr="00536B95">
              <w:rPr>
                <w:rFonts w:cs="Arial"/>
              </w:rPr>
              <w:t xml:space="preserve"> and suitability of </w:t>
            </w:r>
            <w:r>
              <w:rPr>
                <w:rFonts w:cs="Arial"/>
              </w:rPr>
              <w:t xml:space="preserve">proposed </w:t>
            </w:r>
            <w:r w:rsidRPr="00536B95">
              <w:rPr>
                <w:rFonts w:cs="Arial"/>
              </w:rPr>
              <w:t>outputs</w:t>
            </w:r>
            <w:r>
              <w:rPr>
                <w:rFonts w:cs="Arial"/>
              </w:rPr>
              <w:t xml:space="preserve">, </w:t>
            </w:r>
            <w:r w:rsidRPr="00536B95">
              <w:rPr>
                <w:rFonts w:cs="Arial"/>
              </w:rPr>
              <w:t>and potential to inform and influence both policy and delivery</w:t>
            </w:r>
          </w:p>
          <w:p w14:paraId="0D6F7CCE" w14:textId="77777777" w:rsidR="00F802E5" w:rsidRPr="00856EA2" w:rsidRDefault="00F802E5" w:rsidP="002A2F2F">
            <w:pPr>
              <w:widowControl/>
              <w:overflowPunct/>
              <w:autoSpaceDE/>
              <w:autoSpaceDN/>
              <w:adjustRightInd/>
              <w:textAlignment w:val="auto"/>
              <w:rPr>
                <w:rFonts w:cs="Arial"/>
              </w:rPr>
            </w:pPr>
          </w:p>
        </w:tc>
        <w:tc>
          <w:tcPr>
            <w:tcW w:w="992" w:type="dxa"/>
            <w:tcMar>
              <w:top w:w="0" w:type="dxa"/>
              <w:left w:w="108" w:type="dxa"/>
              <w:bottom w:w="0" w:type="dxa"/>
              <w:right w:w="108" w:type="dxa"/>
            </w:tcMar>
          </w:tcPr>
          <w:p w14:paraId="0913B16C" w14:textId="77777777"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14:paraId="538A33C1" w14:textId="77777777"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5B6E47" w:rsidRPr="00571609" w14:paraId="2E0214E1" w14:textId="77777777" w:rsidTr="00A6648E">
        <w:tc>
          <w:tcPr>
            <w:tcW w:w="594" w:type="dxa"/>
            <w:tcMar>
              <w:top w:w="0" w:type="dxa"/>
              <w:left w:w="108" w:type="dxa"/>
              <w:bottom w:w="0" w:type="dxa"/>
              <w:right w:w="108" w:type="dxa"/>
            </w:tcMar>
          </w:tcPr>
          <w:p w14:paraId="5C31B6DE" w14:textId="77777777" w:rsidR="005B6E47" w:rsidRPr="006B7882" w:rsidRDefault="005B6E47" w:rsidP="002A2F2F">
            <w:pPr>
              <w:widowControl/>
              <w:overflowPunct/>
              <w:autoSpaceDE/>
              <w:autoSpaceDN/>
              <w:adjustRightInd/>
              <w:textAlignment w:val="auto"/>
              <w:rPr>
                <w:rFonts w:cs="Arial"/>
              </w:rPr>
            </w:pPr>
            <w:r>
              <w:rPr>
                <w:rFonts w:cs="Arial"/>
              </w:rPr>
              <w:lastRenderedPageBreak/>
              <w:t>2</w:t>
            </w:r>
          </w:p>
        </w:tc>
        <w:tc>
          <w:tcPr>
            <w:tcW w:w="1533" w:type="dxa"/>
            <w:tcMar>
              <w:top w:w="0" w:type="dxa"/>
              <w:left w:w="108" w:type="dxa"/>
              <w:bottom w:w="0" w:type="dxa"/>
              <w:right w:w="108" w:type="dxa"/>
            </w:tcMar>
          </w:tcPr>
          <w:p w14:paraId="7A41452D" w14:textId="77777777" w:rsidR="005B6E47" w:rsidRDefault="00BB7E68" w:rsidP="005B6E47">
            <w:pPr>
              <w:widowControl/>
              <w:overflowPunct/>
              <w:autoSpaceDE/>
              <w:autoSpaceDN/>
              <w:adjustRightInd/>
              <w:textAlignment w:val="auto"/>
              <w:rPr>
                <w:rFonts w:cs="Arial"/>
              </w:rPr>
            </w:pPr>
            <w:r>
              <w:rPr>
                <w:rFonts w:cs="Arial"/>
              </w:rPr>
              <w:t>Team and organisational experience in conducting research</w:t>
            </w:r>
          </w:p>
        </w:tc>
        <w:tc>
          <w:tcPr>
            <w:tcW w:w="4394" w:type="dxa"/>
          </w:tcPr>
          <w:p w14:paraId="3507CA15" w14:textId="77777777" w:rsidR="00A6648E" w:rsidRDefault="00BB7E68" w:rsidP="00EA4286">
            <w:pPr>
              <w:numPr>
                <w:ilvl w:val="0"/>
                <w:numId w:val="43"/>
              </w:numPr>
              <w:ind w:left="360"/>
            </w:pPr>
            <w:r w:rsidRPr="00BB07D1">
              <w:t>Experience of staff in relevant research techniques</w:t>
            </w:r>
          </w:p>
          <w:p w14:paraId="06E04F7D" w14:textId="77777777" w:rsidR="00A6648E" w:rsidRPr="00A6648E" w:rsidRDefault="00BB7E68" w:rsidP="00EA4286">
            <w:pPr>
              <w:numPr>
                <w:ilvl w:val="0"/>
                <w:numId w:val="43"/>
              </w:numPr>
              <w:spacing w:before="240"/>
              <w:ind w:left="360"/>
              <w:rPr>
                <w:rFonts w:cs="Arial"/>
              </w:rPr>
            </w:pPr>
            <w:r w:rsidRPr="00BB07D1">
              <w:rPr>
                <w:rFonts w:cs="Arial"/>
              </w:rPr>
              <w:t>Experience of specific research in this area and familiarity with subject area</w:t>
            </w:r>
          </w:p>
          <w:p w14:paraId="6656294D" w14:textId="77777777" w:rsidR="00A6648E" w:rsidRDefault="00A6648E" w:rsidP="00A6648E">
            <w:pPr>
              <w:rPr>
                <w:rFonts w:cs="Arial"/>
              </w:rPr>
            </w:pPr>
          </w:p>
          <w:p w14:paraId="127B6656" w14:textId="77777777" w:rsidR="00A6648E" w:rsidRPr="00A6648E" w:rsidRDefault="00A6648E" w:rsidP="00EA4286">
            <w:pPr>
              <w:numPr>
                <w:ilvl w:val="0"/>
                <w:numId w:val="43"/>
              </w:numPr>
              <w:ind w:left="360"/>
              <w:rPr>
                <w:rFonts w:cs="Arial"/>
              </w:rPr>
            </w:pPr>
            <w:r w:rsidRPr="00731D5C">
              <w:rPr>
                <w:rFonts w:cs="Arial"/>
              </w:rPr>
              <w:t>Evidence of experience in the challenges</w:t>
            </w:r>
            <w:r>
              <w:rPr>
                <w:rFonts w:cs="Arial"/>
              </w:rPr>
              <w:t xml:space="preserve"> and considerations involved in the relevant type of research</w:t>
            </w:r>
          </w:p>
          <w:p w14:paraId="2311B248" w14:textId="77777777" w:rsidR="00A6648E" w:rsidRDefault="00A6648E" w:rsidP="00A6648E">
            <w:pPr>
              <w:rPr>
                <w:rFonts w:cs="Arial"/>
              </w:rPr>
            </w:pPr>
          </w:p>
          <w:p w14:paraId="78F1411B" w14:textId="77777777" w:rsidR="00A6648E" w:rsidRDefault="00A6648E" w:rsidP="00EA4286">
            <w:pPr>
              <w:numPr>
                <w:ilvl w:val="0"/>
                <w:numId w:val="43"/>
              </w:numPr>
              <w:ind w:left="360"/>
              <w:rPr>
                <w:rFonts w:cs="Arial"/>
              </w:rPr>
            </w:pPr>
            <w:r w:rsidRPr="00FA54B5">
              <w:rPr>
                <w:rFonts w:cs="Arial"/>
              </w:rPr>
              <w:t xml:space="preserve">How the skills and experience of the team will be used and managed to best effect (where there is a partnership please include specific about how this will </w:t>
            </w:r>
            <w:r>
              <w:rPr>
                <w:rFonts w:cs="Arial"/>
              </w:rPr>
              <w:t>be managed, add value and any experience of successful collaboration</w:t>
            </w:r>
            <w:r w:rsidRPr="00FA54B5">
              <w:rPr>
                <w:rFonts w:cs="Arial"/>
              </w:rPr>
              <w:t>)</w:t>
            </w:r>
          </w:p>
          <w:p w14:paraId="5A5B978D" w14:textId="77777777" w:rsidR="00A6648E" w:rsidRDefault="00A6648E" w:rsidP="00A6648E">
            <w:pPr>
              <w:pStyle w:val="ListParagraph"/>
              <w:ind w:left="360"/>
              <w:rPr>
                <w:rFonts w:cs="Arial"/>
              </w:rPr>
            </w:pPr>
          </w:p>
          <w:p w14:paraId="06D1E80C" w14:textId="77777777" w:rsidR="00A6648E" w:rsidRDefault="00A6648E" w:rsidP="00EA4286">
            <w:pPr>
              <w:numPr>
                <w:ilvl w:val="0"/>
                <w:numId w:val="43"/>
              </w:numPr>
              <w:ind w:left="360"/>
              <w:rPr>
                <w:rFonts w:cs="Arial"/>
              </w:rPr>
            </w:pPr>
            <w:r>
              <w:rPr>
                <w:rFonts w:cs="Arial"/>
              </w:rPr>
              <w:t>Clear plan for communication and d</w:t>
            </w:r>
            <w:r w:rsidRPr="00731D5C">
              <w:rPr>
                <w:rFonts w:cs="Arial"/>
              </w:rPr>
              <w:t xml:space="preserve">emonstration of a collaborative approach to taking the work forward, working closely with </w:t>
            </w:r>
            <w:r>
              <w:rPr>
                <w:rFonts w:cs="Arial"/>
              </w:rPr>
              <w:t xml:space="preserve">SMC </w:t>
            </w:r>
            <w:r w:rsidRPr="00731D5C">
              <w:rPr>
                <w:rFonts w:cs="Arial"/>
              </w:rPr>
              <w:t>as appropriate</w:t>
            </w:r>
          </w:p>
          <w:p w14:paraId="3DBFD672" w14:textId="77777777" w:rsidR="00A6648E" w:rsidRDefault="00A6648E" w:rsidP="00A6648E">
            <w:pPr>
              <w:ind w:left="720"/>
              <w:rPr>
                <w:rFonts w:cs="Arial"/>
              </w:rPr>
            </w:pPr>
          </w:p>
          <w:p w14:paraId="0392B533" w14:textId="77777777" w:rsidR="00A6648E" w:rsidRDefault="00A6648E" w:rsidP="00EA4286">
            <w:pPr>
              <w:numPr>
                <w:ilvl w:val="0"/>
                <w:numId w:val="42"/>
              </w:numPr>
              <w:rPr>
                <w:rFonts w:cs="Arial"/>
              </w:rPr>
            </w:pPr>
            <w:r w:rsidRPr="00731D5C">
              <w:rPr>
                <w:rFonts w:cs="Arial"/>
              </w:rPr>
              <w:t>Evidence of organisational capacity</w:t>
            </w:r>
            <w:r>
              <w:rPr>
                <w:rFonts w:cs="Arial"/>
              </w:rPr>
              <w:t xml:space="preserve">, </w:t>
            </w:r>
            <w:r w:rsidRPr="00731D5C">
              <w:rPr>
                <w:rFonts w:cs="Arial"/>
              </w:rPr>
              <w:t>project management and risk-management processes</w:t>
            </w:r>
            <w:r>
              <w:rPr>
                <w:rFonts w:cs="Arial"/>
              </w:rPr>
              <w:t xml:space="preserve">, and </w:t>
            </w:r>
            <w:r w:rsidRPr="00731D5C">
              <w:rPr>
                <w:rFonts w:cs="Arial"/>
              </w:rPr>
              <w:t>quality assurance procedures</w:t>
            </w:r>
            <w:r>
              <w:rPr>
                <w:rFonts w:cs="Arial"/>
              </w:rPr>
              <w:t>,</w:t>
            </w:r>
            <w:r w:rsidRPr="00731D5C">
              <w:rPr>
                <w:rFonts w:cs="Arial"/>
              </w:rPr>
              <w:t xml:space="preserve"> to deliver the project in the specified timescales and quality</w:t>
            </w:r>
          </w:p>
          <w:p w14:paraId="2E3E1A94" w14:textId="77777777" w:rsidR="00A6648E" w:rsidRPr="00A6648E" w:rsidRDefault="00A6648E" w:rsidP="00A6648E">
            <w:pPr>
              <w:rPr>
                <w:rFonts w:cs="Arial"/>
              </w:rPr>
            </w:pPr>
          </w:p>
        </w:tc>
        <w:tc>
          <w:tcPr>
            <w:tcW w:w="992" w:type="dxa"/>
            <w:tcMar>
              <w:top w:w="0" w:type="dxa"/>
              <w:left w:w="108" w:type="dxa"/>
              <w:bottom w:w="0" w:type="dxa"/>
              <w:right w:w="108" w:type="dxa"/>
            </w:tcMar>
          </w:tcPr>
          <w:p w14:paraId="1F8E6A52" w14:textId="77777777"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14:paraId="35919B5D" w14:textId="77777777"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657CEE" w:rsidRPr="00571609" w14:paraId="7E2B3A74" w14:textId="77777777" w:rsidTr="00A6648E">
        <w:tc>
          <w:tcPr>
            <w:tcW w:w="594" w:type="dxa"/>
            <w:tcMar>
              <w:top w:w="0" w:type="dxa"/>
              <w:left w:w="108" w:type="dxa"/>
              <w:bottom w:w="0" w:type="dxa"/>
              <w:right w:w="108" w:type="dxa"/>
            </w:tcMar>
          </w:tcPr>
          <w:p w14:paraId="20E7CA44" w14:textId="77777777" w:rsidR="00657CEE" w:rsidRDefault="00CF17C7" w:rsidP="002A2F2F">
            <w:pPr>
              <w:widowControl/>
              <w:overflowPunct/>
              <w:autoSpaceDE/>
              <w:autoSpaceDN/>
              <w:adjustRightInd/>
              <w:textAlignment w:val="auto"/>
              <w:rPr>
                <w:rFonts w:cs="Arial"/>
              </w:rPr>
            </w:pPr>
            <w:r>
              <w:rPr>
                <w:rFonts w:cs="Arial"/>
              </w:rPr>
              <w:t>3</w:t>
            </w:r>
          </w:p>
        </w:tc>
        <w:tc>
          <w:tcPr>
            <w:tcW w:w="1533" w:type="dxa"/>
            <w:tcMar>
              <w:top w:w="0" w:type="dxa"/>
              <w:left w:w="108" w:type="dxa"/>
              <w:bottom w:w="0" w:type="dxa"/>
              <w:right w:w="108" w:type="dxa"/>
            </w:tcMar>
          </w:tcPr>
          <w:p w14:paraId="774753F6" w14:textId="77777777" w:rsidR="00657CEE" w:rsidRDefault="00657CEE" w:rsidP="005B6E47">
            <w:pPr>
              <w:widowControl/>
              <w:overflowPunct/>
              <w:autoSpaceDE/>
              <w:autoSpaceDN/>
              <w:adjustRightInd/>
              <w:textAlignment w:val="auto"/>
              <w:rPr>
                <w:rFonts w:cs="Arial"/>
              </w:rPr>
            </w:pPr>
            <w:r>
              <w:rPr>
                <w:rFonts w:cs="Arial"/>
              </w:rPr>
              <w:t>Presentation of data, findings and recommendations</w:t>
            </w:r>
          </w:p>
        </w:tc>
        <w:tc>
          <w:tcPr>
            <w:tcW w:w="4394" w:type="dxa"/>
          </w:tcPr>
          <w:p w14:paraId="066D0C97" w14:textId="77777777" w:rsidR="00A6648E" w:rsidRDefault="00657CEE" w:rsidP="00EA4286">
            <w:pPr>
              <w:numPr>
                <w:ilvl w:val="0"/>
                <w:numId w:val="44"/>
              </w:numPr>
            </w:pPr>
            <w:r>
              <w:t>Clear articulation of plans for presenting the findings in clear and eye-catching ways</w:t>
            </w:r>
          </w:p>
          <w:p w14:paraId="2088B906" w14:textId="77777777" w:rsidR="00A6648E" w:rsidRDefault="00A6648E" w:rsidP="00A6648E">
            <w:pPr>
              <w:ind w:left="360"/>
            </w:pPr>
          </w:p>
          <w:p w14:paraId="382EEF8D" w14:textId="77777777" w:rsidR="00A6648E" w:rsidRDefault="00A6648E" w:rsidP="00EA4286">
            <w:pPr>
              <w:numPr>
                <w:ilvl w:val="0"/>
                <w:numId w:val="42"/>
              </w:numPr>
              <w:rPr>
                <w:rFonts w:cs="Arial"/>
              </w:rPr>
            </w:pPr>
            <w:r w:rsidRPr="00731D5C">
              <w:rPr>
                <w:rFonts w:cs="Arial"/>
              </w:rPr>
              <w:t>Evidence of ability to deliver high quality research, fieldwork and outputs</w:t>
            </w:r>
          </w:p>
          <w:p w14:paraId="7BA8BBED" w14:textId="77777777" w:rsidR="00A6648E" w:rsidRPr="00731D5C" w:rsidRDefault="00A6648E" w:rsidP="00A6648E">
            <w:pPr>
              <w:rPr>
                <w:rFonts w:cs="Arial"/>
              </w:rPr>
            </w:pPr>
          </w:p>
          <w:p w14:paraId="133E6CC9" w14:textId="77777777" w:rsidR="00A6648E" w:rsidRPr="00A6648E" w:rsidRDefault="00A6648E" w:rsidP="00EA4286">
            <w:pPr>
              <w:numPr>
                <w:ilvl w:val="0"/>
                <w:numId w:val="42"/>
              </w:numPr>
              <w:rPr>
                <w:rFonts w:cs="Arial"/>
              </w:rPr>
            </w:pPr>
            <w:r w:rsidRPr="00731D5C">
              <w:rPr>
                <w:rFonts w:cs="Arial"/>
              </w:rPr>
              <w:t xml:space="preserve">Ability to </w:t>
            </w:r>
            <w:r w:rsidRPr="00731D5C">
              <w:t>write good quality reports with clear findings and workable recommendations, tailored to their audiences</w:t>
            </w:r>
          </w:p>
          <w:p w14:paraId="5CE00DE5" w14:textId="77777777" w:rsidR="00A6648E" w:rsidRDefault="00A6648E" w:rsidP="00A6648E"/>
        </w:tc>
        <w:tc>
          <w:tcPr>
            <w:tcW w:w="992" w:type="dxa"/>
            <w:tcMar>
              <w:top w:w="0" w:type="dxa"/>
              <w:left w:w="108" w:type="dxa"/>
              <w:bottom w:w="0" w:type="dxa"/>
              <w:right w:w="108" w:type="dxa"/>
            </w:tcMar>
          </w:tcPr>
          <w:p w14:paraId="1A81F0D9" w14:textId="77777777"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14:paraId="06016278" w14:textId="77777777"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20</w:t>
            </w:r>
          </w:p>
        </w:tc>
      </w:tr>
      <w:tr w:rsidR="00CF17C7" w:rsidRPr="00571609" w14:paraId="4E7E9E52" w14:textId="77777777" w:rsidTr="00A6648E">
        <w:tc>
          <w:tcPr>
            <w:tcW w:w="594" w:type="dxa"/>
            <w:tcMar>
              <w:top w:w="0" w:type="dxa"/>
              <w:left w:w="108" w:type="dxa"/>
              <w:bottom w:w="0" w:type="dxa"/>
              <w:right w:w="108" w:type="dxa"/>
            </w:tcMar>
          </w:tcPr>
          <w:p w14:paraId="5B6E826E" w14:textId="77777777" w:rsidR="00CF17C7" w:rsidRDefault="00CF17C7" w:rsidP="00B47F69">
            <w:pPr>
              <w:widowControl/>
              <w:overflowPunct/>
              <w:autoSpaceDE/>
              <w:autoSpaceDN/>
              <w:adjustRightInd/>
              <w:textAlignment w:val="auto"/>
              <w:rPr>
                <w:rFonts w:cs="Arial"/>
              </w:rPr>
            </w:pPr>
            <w:r>
              <w:rPr>
                <w:rFonts w:cs="Arial"/>
              </w:rPr>
              <w:t>4</w:t>
            </w:r>
          </w:p>
        </w:tc>
        <w:tc>
          <w:tcPr>
            <w:tcW w:w="1533" w:type="dxa"/>
            <w:tcMar>
              <w:top w:w="0" w:type="dxa"/>
              <w:left w:w="108" w:type="dxa"/>
              <w:bottom w:w="0" w:type="dxa"/>
              <w:right w:w="108" w:type="dxa"/>
            </w:tcMar>
          </w:tcPr>
          <w:p w14:paraId="398E8D67" w14:textId="77777777" w:rsidR="00CF17C7" w:rsidRDefault="00CF17C7" w:rsidP="00B47F69">
            <w:pPr>
              <w:widowControl/>
              <w:overflowPunct/>
              <w:autoSpaceDE/>
              <w:autoSpaceDN/>
              <w:adjustRightInd/>
              <w:textAlignment w:val="auto"/>
              <w:rPr>
                <w:rFonts w:cs="Arial"/>
              </w:rPr>
            </w:pPr>
            <w:r>
              <w:rPr>
                <w:rFonts w:cs="Arial"/>
              </w:rPr>
              <w:t>Cost and value for money</w:t>
            </w:r>
          </w:p>
        </w:tc>
        <w:tc>
          <w:tcPr>
            <w:tcW w:w="4394" w:type="dxa"/>
          </w:tcPr>
          <w:p w14:paraId="2CD38149" w14:textId="77777777" w:rsidR="00A6648E" w:rsidRDefault="00A6648E" w:rsidP="00EA4286">
            <w:pPr>
              <w:numPr>
                <w:ilvl w:val="0"/>
                <w:numId w:val="40"/>
              </w:numPr>
              <w:rPr>
                <w:rFonts w:cs="Arial"/>
              </w:rPr>
            </w:pPr>
            <w:r w:rsidRPr="00731D5C">
              <w:rPr>
                <w:rFonts w:cs="Arial"/>
              </w:rPr>
              <w:t>Overall scope, quality and timeliness of the project for the given costs</w:t>
            </w:r>
          </w:p>
          <w:p w14:paraId="49139154" w14:textId="77777777" w:rsidR="00A6648E" w:rsidRPr="00731D5C" w:rsidRDefault="00A6648E" w:rsidP="00A6648E">
            <w:pPr>
              <w:ind w:left="360"/>
              <w:rPr>
                <w:rFonts w:cs="Arial"/>
              </w:rPr>
            </w:pPr>
          </w:p>
          <w:p w14:paraId="0EBB2C1E" w14:textId="77777777" w:rsidR="00CF17C7" w:rsidRPr="00A6648E" w:rsidRDefault="00A6648E" w:rsidP="00EA4286">
            <w:pPr>
              <w:numPr>
                <w:ilvl w:val="0"/>
                <w:numId w:val="40"/>
              </w:numPr>
              <w:rPr>
                <w:rFonts w:cs="Arial"/>
              </w:rPr>
            </w:pPr>
            <w:r w:rsidRPr="00731D5C">
              <w:rPr>
                <w:rFonts w:cs="Arial"/>
              </w:rPr>
              <w:t>Proposed costs are expected to be commensurate with the potential to deliver quality, capacity and timeliness, and meets and / or exceeds the requirements (provides added value), and value for money will be assessed as such</w:t>
            </w:r>
          </w:p>
        </w:tc>
        <w:tc>
          <w:tcPr>
            <w:tcW w:w="992" w:type="dxa"/>
            <w:tcMar>
              <w:top w:w="0" w:type="dxa"/>
              <w:left w:w="108" w:type="dxa"/>
              <w:bottom w:w="0" w:type="dxa"/>
              <w:right w:w="108" w:type="dxa"/>
            </w:tcMar>
          </w:tcPr>
          <w:p w14:paraId="3D984441" w14:textId="77777777"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14:paraId="157F44C9" w14:textId="77777777"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20</w:t>
            </w:r>
          </w:p>
        </w:tc>
      </w:tr>
    </w:tbl>
    <w:p w14:paraId="6A8C9EAE" w14:textId="77777777" w:rsidR="00DA7839" w:rsidRDefault="00DA7839" w:rsidP="007C63BC">
      <w:pPr>
        <w:pStyle w:val="Numbered"/>
        <w:widowControl/>
      </w:pPr>
    </w:p>
    <w:p w14:paraId="2FB072D2" w14:textId="77777777" w:rsidR="00634091" w:rsidRDefault="00634091" w:rsidP="007C63BC">
      <w:pPr>
        <w:pStyle w:val="Numbered"/>
        <w:widowControl/>
      </w:pPr>
      <w:r w:rsidRPr="00634091">
        <w:t>S</w:t>
      </w:r>
      <w:r w:rsidR="00143A00">
        <w:t>coring</w:t>
      </w:r>
      <w:r w:rsidRPr="00634091">
        <w:t xml:space="preserve"> Example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860"/>
        <w:gridCol w:w="2835"/>
        <w:gridCol w:w="2551"/>
      </w:tblGrid>
      <w:tr w:rsidR="00634091" w14:paraId="29CB345F" w14:textId="77777777" w:rsidTr="00EE64BD">
        <w:tc>
          <w:tcPr>
            <w:tcW w:w="2210" w:type="dxa"/>
            <w:tcBorders>
              <w:top w:val="nil"/>
              <w:left w:val="nil"/>
            </w:tcBorders>
            <w:shd w:val="clear" w:color="auto" w:fill="auto"/>
          </w:tcPr>
          <w:p w14:paraId="1F31B490" w14:textId="77777777" w:rsidR="00634091" w:rsidRPr="00EE64BD" w:rsidRDefault="00634091" w:rsidP="00EE64BD">
            <w:pPr>
              <w:pStyle w:val="Numbered"/>
              <w:widowControl/>
              <w:spacing w:after="0"/>
              <w:rPr>
                <w:sz w:val="20"/>
                <w:szCs w:val="20"/>
              </w:rPr>
            </w:pPr>
          </w:p>
        </w:tc>
        <w:tc>
          <w:tcPr>
            <w:tcW w:w="2860" w:type="dxa"/>
            <w:shd w:val="clear" w:color="auto" w:fill="D9D9D9"/>
          </w:tcPr>
          <w:p w14:paraId="50E8BCB9" w14:textId="77777777" w:rsidR="00634091" w:rsidRPr="00EE64BD" w:rsidRDefault="00634091" w:rsidP="00EE64BD">
            <w:pPr>
              <w:pStyle w:val="Numbered"/>
              <w:widowControl/>
              <w:spacing w:after="0"/>
              <w:rPr>
                <w:b/>
                <w:sz w:val="20"/>
                <w:szCs w:val="20"/>
              </w:rPr>
            </w:pPr>
            <w:r w:rsidRPr="00EE64BD">
              <w:rPr>
                <w:b/>
                <w:sz w:val="20"/>
                <w:szCs w:val="20"/>
              </w:rPr>
              <w:t>Supplier A</w:t>
            </w:r>
            <w:r w:rsidR="00143A00" w:rsidRPr="00EE64BD">
              <w:rPr>
                <w:b/>
                <w:sz w:val="20"/>
                <w:szCs w:val="20"/>
              </w:rPr>
              <w:t xml:space="preserve"> Score</w:t>
            </w:r>
          </w:p>
        </w:tc>
        <w:tc>
          <w:tcPr>
            <w:tcW w:w="2835" w:type="dxa"/>
            <w:shd w:val="clear" w:color="auto" w:fill="D9D9D9"/>
          </w:tcPr>
          <w:p w14:paraId="0B9CD8D5" w14:textId="77777777" w:rsidR="00634091" w:rsidRPr="00EE64BD" w:rsidRDefault="00634091" w:rsidP="00EE64BD">
            <w:pPr>
              <w:pStyle w:val="Numbered"/>
              <w:widowControl/>
              <w:spacing w:after="0"/>
              <w:rPr>
                <w:b/>
                <w:sz w:val="20"/>
                <w:szCs w:val="20"/>
              </w:rPr>
            </w:pPr>
            <w:r w:rsidRPr="00EE64BD">
              <w:rPr>
                <w:b/>
                <w:sz w:val="20"/>
                <w:szCs w:val="20"/>
              </w:rPr>
              <w:t>Supplier B</w:t>
            </w:r>
            <w:r w:rsidR="00143A00" w:rsidRPr="00EE64BD">
              <w:rPr>
                <w:b/>
                <w:sz w:val="20"/>
                <w:szCs w:val="20"/>
              </w:rPr>
              <w:t xml:space="preserve"> Score</w:t>
            </w:r>
          </w:p>
        </w:tc>
        <w:tc>
          <w:tcPr>
            <w:tcW w:w="2551" w:type="dxa"/>
            <w:shd w:val="clear" w:color="auto" w:fill="D9D9D9"/>
          </w:tcPr>
          <w:p w14:paraId="1B370BC5" w14:textId="77777777" w:rsidR="00634091" w:rsidRPr="00EE64BD" w:rsidRDefault="00634091" w:rsidP="00EE64BD">
            <w:pPr>
              <w:pStyle w:val="Numbered"/>
              <w:widowControl/>
              <w:spacing w:after="0"/>
              <w:rPr>
                <w:b/>
                <w:sz w:val="20"/>
                <w:szCs w:val="20"/>
              </w:rPr>
            </w:pPr>
            <w:r w:rsidRPr="00EE64BD">
              <w:rPr>
                <w:b/>
                <w:sz w:val="20"/>
                <w:szCs w:val="20"/>
              </w:rPr>
              <w:t>Supplier</w:t>
            </w:r>
            <w:r w:rsidR="00143A00" w:rsidRPr="00EE64BD">
              <w:rPr>
                <w:b/>
                <w:sz w:val="20"/>
                <w:szCs w:val="20"/>
              </w:rPr>
              <w:t xml:space="preserve"> Score</w:t>
            </w:r>
          </w:p>
        </w:tc>
      </w:tr>
      <w:tr w:rsidR="00634091" w14:paraId="528E1CEC" w14:textId="77777777" w:rsidTr="00EE64BD">
        <w:tc>
          <w:tcPr>
            <w:tcW w:w="2210" w:type="dxa"/>
            <w:shd w:val="clear" w:color="auto" w:fill="D9D9D9"/>
          </w:tcPr>
          <w:p w14:paraId="73A4F601" w14:textId="77777777" w:rsidR="00634091" w:rsidRPr="00EE64BD" w:rsidRDefault="00143A00" w:rsidP="00EE64BD">
            <w:pPr>
              <w:pStyle w:val="Numbered"/>
              <w:widowControl/>
              <w:spacing w:after="0"/>
              <w:rPr>
                <w:sz w:val="20"/>
                <w:szCs w:val="20"/>
              </w:rPr>
            </w:pPr>
            <w:r w:rsidRPr="00EE64BD">
              <w:rPr>
                <w:sz w:val="20"/>
                <w:szCs w:val="20"/>
              </w:rPr>
              <w:t>Proposal</w:t>
            </w:r>
          </w:p>
        </w:tc>
        <w:tc>
          <w:tcPr>
            <w:tcW w:w="2860" w:type="dxa"/>
            <w:shd w:val="clear" w:color="auto" w:fill="auto"/>
          </w:tcPr>
          <w:p w14:paraId="1A7E67DF" w14:textId="77777777" w:rsidR="00634091"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14:paraId="7E6391E0" w14:textId="77777777" w:rsidR="00634091"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14:paraId="4CE04399" w14:textId="77777777" w:rsidR="00634091" w:rsidRPr="00EE64BD" w:rsidRDefault="00DA7839" w:rsidP="00EE64BD">
            <w:pPr>
              <w:pStyle w:val="Numbered"/>
              <w:widowControl/>
              <w:spacing w:after="0"/>
              <w:rPr>
                <w:sz w:val="20"/>
                <w:szCs w:val="20"/>
              </w:rPr>
            </w:pPr>
            <w:r w:rsidRPr="00EE64BD">
              <w:rPr>
                <w:sz w:val="20"/>
                <w:szCs w:val="20"/>
              </w:rPr>
              <w:t>5</w:t>
            </w:r>
            <w:r w:rsidR="00143A00" w:rsidRPr="00EE64BD">
              <w:rPr>
                <w:sz w:val="20"/>
                <w:szCs w:val="20"/>
              </w:rPr>
              <w:t xml:space="preserve"> (score) x (we</w:t>
            </w:r>
            <w:r w:rsidRPr="00EE64BD">
              <w:rPr>
                <w:sz w:val="20"/>
                <w:szCs w:val="20"/>
              </w:rPr>
              <w:t>ight) 6 = 30</w:t>
            </w:r>
          </w:p>
        </w:tc>
      </w:tr>
      <w:tr w:rsidR="00143A00" w14:paraId="1AB034DD" w14:textId="77777777" w:rsidTr="00EE64BD">
        <w:tc>
          <w:tcPr>
            <w:tcW w:w="2210" w:type="dxa"/>
            <w:shd w:val="clear" w:color="auto" w:fill="D9D9D9"/>
          </w:tcPr>
          <w:p w14:paraId="30F8697E" w14:textId="77777777" w:rsidR="00143A00" w:rsidRPr="00EE64BD" w:rsidRDefault="00143A00" w:rsidP="00EE64BD">
            <w:pPr>
              <w:pStyle w:val="Numbered"/>
              <w:widowControl/>
              <w:spacing w:after="0"/>
              <w:rPr>
                <w:sz w:val="20"/>
                <w:szCs w:val="20"/>
              </w:rPr>
            </w:pPr>
            <w:r w:rsidRPr="00EE64BD">
              <w:rPr>
                <w:sz w:val="20"/>
                <w:szCs w:val="20"/>
              </w:rPr>
              <w:t>Experience</w:t>
            </w:r>
          </w:p>
        </w:tc>
        <w:tc>
          <w:tcPr>
            <w:tcW w:w="2860" w:type="dxa"/>
            <w:shd w:val="clear" w:color="auto" w:fill="auto"/>
          </w:tcPr>
          <w:p w14:paraId="44F3E5DC" w14:textId="77777777" w:rsidR="00143A00"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14:paraId="5BC5EFA7" w14:textId="77777777" w:rsidR="00143A00"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14:paraId="5387C57D" w14:textId="77777777" w:rsidR="00143A00" w:rsidRPr="00EE64BD" w:rsidRDefault="00143A00" w:rsidP="00EE64BD">
            <w:pPr>
              <w:pStyle w:val="Numbered"/>
              <w:widowControl/>
              <w:spacing w:after="0"/>
              <w:rPr>
                <w:sz w:val="20"/>
                <w:szCs w:val="20"/>
              </w:rPr>
            </w:pPr>
            <w:r w:rsidRPr="00EE64BD">
              <w:rPr>
                <w:sz w:val="20"/>
                <w:szCs w:val="20"/>
              </w:rPr>
              <w:t>3 (score) x (weight) 6 = 18</w:t>
            </w:r>
          </w:p>
        </w:tc>
      </w:tr>
      <w:tr w:rsidR="00143A00" w14:paraId="53EB5502" w14:textId="77777777" w:rsidTr="00EE64BD">
        <w:tc>
          <w:tcPr>
            <w:tcW w:w="2210" w:type="dxa"/>
            <w:shd w:val="clear" w:color="auto" w:fill="D9D9D9"/>
          </w:tcPr>
          <w:p w14:paraId="74E8BDB3" w14:textId="77777777" w:rsidR="00143A00" w:rsidRPr="00EE64BD" w:rsidRDefault="00143A00" w:rsidP="00EE64BD">
            <w:pPr>
              <w:pStyle w:val="Numbered"/>
              <w:widowControl/>
              <w:spacing w:after="0"/>
              <w:rPr>
                <w:sz w:val="20"/>
                <w:szCs w:val="20"/>
              </w:rPr>
            </w:pPr>
            <w:r w:rsidRPr="00EE64BD">
              <w:rPr>
                <w:sz w:val="20"/>
                <w:szCs w:val="20"/>
              </w:rPr>
              <w:t>Presentation</w:t>
            </w:r>
          </w:p>
        </w:tc>
        <w:tc>
          <w:tcPr>
            <w:tcW w:w="2860" w:type="dxa"/>
            <w:shd w:val="clear" w:color="auto" w:fill="auto"/>
          </w:tcPr>
          <w:p w14:paraId="1FC27DCE"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835" w:type="dxa"/>
            <w:shd w:val="clear" w:color="auto" w:fill="auto"/>
          </w:tcPr>
          <w:p w14:paraId="03611265"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14:paraId="3E0B55E7" w14:textId="77777777" w:rsidR="00143A00" w:rsidRPr="00EE64BD" w:rsidRDefault="00DA7839" w:rsidP="00EE64BD">
            <w:pPr>
              <w:pStyle w:val="Numbered"/>
              <w:widowControl/>
              <w:spacing w:after="0"/>
              <w:rPr>
                <w:sz w:val="20"/>
                <w:szCs w:val="20"/>
              </w:rPr>
            </w:pPr>
            <w:r w:rsidRPr="00EE64BD">
              <w:rPr>
                <w:sz w:val="20"/>
                <w:szCs w:val="20"/>
              </w:rPr>
              <w:t>4</w:t>
            </w:r>
            <w:r w:rsidR="00143A00" w:rsidRPr="00EE64BD">
              <w:rPr>
                <w:sz w:val="20"/>
                <w:szCs w:val="20"/>
              </w:rPr>
              <w:t xml:space="preserve"> (score) x (weight) 4 = 1</w:t>
            </w:r>
            <w:r w:rsidRPr="00EE64BD">
              <w:rPr>
                <w:sz w:val="20"/>
                <w:szCs w:val="20"/>
              </w:rPr>
              <w:t>6</w:t>
            </w:r>
          </w:p>
        </w:tc>
      </w:tr>
      <w:tr w:rsidR="00143A00" w14:paraId="55544719" w14:textId="77777777" w:rsidTr="00EE64BD">
        <w:tc>
          <w:tcPr>
            <w:tcW w:w="2210" w:type="dxa"/>
            <w:shd w:val="clear" w:color="auto" w:fill="D9D9D9"/>
          </w:tcPr>
          <w:p w14:paraId="0629229E" w14:textId="77777777" w:rsidR="00143A00" w:rsidRPr="00EE64BD" w:rsidRDefault="00143A00" w:rsidP="00EE64BD">
            <w:pPr>
              <w:pStyle w:val="Numbered"/>
              <w:widowControl/>
              <w:spacing w:after="0"/>
              <w:rPr>
                <w:sz w:val="20"/>
                <w:szCs w:val="20"/>
              </w:rPr>
            </w:pPr>
            <w:r w:rsidRPr="00EE64BD">
              <w:rPr>
                <w:sz w:val="20"/>
                <w:szCs w:val="20"/>
              </w:rPr>
              <w:t>Value for Money</w:t>
            </w:r>
          </w:p>
        </w:tc>
        <w:tc>
          <w:tcPr>
            <w:tcW w:w="2860" w:type="dxa"/>
            <w:shd w:val="clear" w:color="auto" w:fill="auto"/>
          </w:tcPr>
          <w:p w14:paraId="7321C8A8" w14:textId="77777777" w:rsidR="00143A00" w:rsidRPr="00EE64BD" w:rsidRDefault="00143A00" w:rsidP="00EE64BD">
            <w:pPr>
              <w:pStyle w:val="Numbered"/>
              <w:widowControl/>
              <w:spacing w:after="0"/>
              <w:rPr>
                <w:sz w:val="20"/>
                <w:szCs w:val="20"/>
              </w:rPr>
            </w:pPr>
            <w:r w:rsidRPr="00EE64BD">
              <w:rPr>
                <w:sz w:val="20"/>
                <w:szCs w:val="20"/>
              </w:rPr>
              <w:t>2 (score) x (weight) 4 = 8</w:t>
            </w:r>
          </w:p>
        </w:tc>
        <w:tc>
          <w:tcPr>
            <w:tcW w:w="2835" w:type="dxa"/>
            <w:shd w:val="clear" w:color="auto" w:fill="auto"/>
          </w:tcPr>
          <w:p w14:paraId="721BDD40"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14:paraId="3203C2C8" w14:textId="77777777" w:rsidR="00143A00" w:rsidRPr="00EE64BD" w:rsidRDefault="00143A00" w:rsidP="00EE64BD">
            <w:pPr>
              <w:pStyle w:val="Numbered"/>
              <w:widowControl/>
              <w:spacing w:after="0"/>
              <w:rPr>
                <w:sz w:val="20"/>
                <w:szCs w:val="20"/>
              </w:rPr>
            </w:pPr>
            <w:r w:rsidRPr="00EE64BD">
              <w:rPr>
                <w:sz w:val="20"/>
                <w:szCs w:val="20"/>
              </w:rPr>
              <w:t>3 (score) x (weight) 4 = 1</w:t>
            </w:r>
            <w:r w:rsidR="00DA7839" w:rsidRPr="00EE64BD">
              <w:rPr>
                <w:sz w:val="20"/>
                <w:szCs w:val="20"/>
              </w:rPr>
              <w:t>2</w:t>
            </w:r>
          </w:p>
        </w:tc>
      </w:tr>
      <w:tr w:rsidR="00143A00" w14:paraId="25233964" w14:textId="77777777" w:rsidTr="00EE64BD">
        <w:tc>
          <w:tcPr>
            <w:tcW w:w="2210" w:type="dxa"/>
            <w:shd w:val="clear" w:color="auto" w:fill="D9D9D9"/>
          </w:tcPr>
          <w:p w14:paraId="1D387F1F" w14:textId="77777777" w:rsidR="00143A00" w:rsidRPr="00EE64BD" w:rsidRDefault="00143A00" w:rsidP="00EE64BD">
            <w:pPr>
              <w:pStyle w:val="Numbered"/>
              <w:widowControl/>
              <w:spacing w:after="0"/>
              <w:jc w:val="right"/>
              <w:rPr>
                <w:b/>
                <w:sz w:val="20"/>
                <w:szCs w:val="20"/>
              </w:rPr>
            </w:pPr>
            <w:r w:rsidRPr="00EE64BD">
              <w:rPr>
                <w:b/>
                <w:sz w:val="20"/>
                <w:szCs w:val="20"/>
              </w:rPr>
              <w:t>Total</w:t>
            </w:r>
          </w:p>
        </w:tc>
        <w:tc>
          <w:tcPr>
            <w:tcW w:w="2860" w:type="dxa"/>
            <w:shd w:val="clear" w:color="auto" w:fill="auto"/>
          </w:tcPr>
          <w:p w14:paraId="1B719777" w14:textId="77777777" w:rsidR="00143A00" w:rsidRPr="00EE64BD" w:rsidRDefault="00143A00" w:rsidP="00EE64BD">
            <w:pPr>
              <w:pStyle w:val="Numbered"/>
              <w:widowControl/>
              <w:spacing w:after="0"/>
              <w:jc w:val="center"/>
              <w:rPr>
                <w:sz w:val="20"/>
                <w:szCs w:val="20"/>
              </w:rPr>
            </w:pPr>
            <w:r w:rsidRPr="00EE64BD">
              <w:rPr>
                <w:sz w:val="20"/>
                <w:szCs w:val="20"/>
              </w:rPr>
              <w:t>60</w:t>
            </w:r>
          </w:p>
        </w:tc>
        <w:tc>
          <w:tcPr>
            <w:tcW w:w="2835" w:type="dxa"/>
            <w:shd w:val="clear" w:color="auto" w:fill="auto"/>
          </w:tcPr>
          <w:p w14:paraId="6FCC637B" w14:textId="77777777" w:rsidR="00143A00" w:rsidRPr="00EE64BD" w:rsidRDefault="00143A00" w:rsidP="00EE64BD">
            <w:pPr>
              <w:pStyle w:val="Numbered"/>
              <w:widowControl/>
              <w:spacing w:after="0"/>
              <w:jc w:val="center"/>
              <w:rPr>
                <w:b/>
                <w:sz w:val="20"/>
                <w:szCs w:val="20"/>
              </w:rPr>
            </w:pPr>
            <w:r w:rsidRPr="00EE64BD">
              <w:rPr>
                <w:b/>
                <w:sz w:val="20"/>
                <w:szCs w:val="20"/>
              </w:rPr>
              <w:t>80</w:t>
            </w:r>
            <w:r w:rsidR="00DA7839" w:rsidRPr="00EE64BD">
              <w:rPr>
                <w:b/>
                <w:sz w:val="20"/>
                <w:szCs w:val="20"/>
              </w:rPr>
              <w:t xml:space="preserve"> (Highest Score)</w:t>
            </w:r>
          </w:p>
        </w:tc>
        <w:tc>
          <w:tcPr>
            <w:tcW w:w="2551" w:type="dxa"/>
            <w:shd w:val="clear" w:color="auto" w:fill="auto"/>
          </w:tcPr>
          <w:p w14:paraId="0F1148D1" w14:textId="77777777" w:rsidR="00143A00" w:rsidRPr="00EE64BD" w:rsidRDefault="00DA7839" w:rsidP="00EE64BD">
            <w:pPr>
              <w:pStyle w:val="Numbered"/>
              <w:widowControl/>
              <w:spacing w:after="0"/>
              <w:jc w:val="center"/>
              <w:rPr>
                <w:sz w:val="20"/>
                <w:szCs w:val="20"/>
              </w:rPr>
            </w:pPr>
            <w:r w:rsidRPr="00EE64BD">
              <w:rPr>
                <w:sz w:val="20"/>
                <w:szCs w:val="20"/>
              </w:rPr>
              <w:t>76</w:t>
            </w:r>
          </w:p>
        </w:tc>
      </w:tr>
    </w:tbl>
    <w:p w14:paraId="535D8566" w14:textId="77777777" w:rsidR="00634091" w:rsidRPr="00634091" w:rsidRDefault="00634091" w:rsidP="007C63BC">
      <w:pPr>
        <w:pStyle w:val="Numbered"/>
        <w:widowControl/>
      </w:pPr>
    </w:p>
    <w:p w14:paraId="45D36C40" w14:textId="77777777" w:rsidR="00713EE2" w:rsidRDefault="00713EE2" w:rsidP="00B47F69">
      <w:pPr>
        <w:pStyle w:val="Numbered"/>
        <w:widowControl/>
        <w:rPr>
          <w:b/>
        </w:rPr>
      </w:pPr>
    </w:p>
    <w:p w14:paraId="5AECB70E" w14:textId="77777777" w:rsidR="00F802E5" w:rsidRPr="000826B8" w:rsidRDefault="00F802E5" w:rsidP="007C63BC">
      <w:pPr>
        <w:pStyle w:val="Numbered"/>
        <w:widowControl/>
        <w:rPr>
          <w:b/>
        </w:rPr>
      </w:pPr>
    </w:p>
    <w:p w14:paraId="46376BD4" w14:textId="77777777" w:rsidR="00CA1712" w:rsidRDefault="00CA1712">
      <w:pPr>
        <w:pStyle w:val="Numbered"/>
        <w:widowControl/>
        <w:jc w:val="right"/>
        <w:rPr>
          <w:b/>
        </w:rPr>
      </w:pPr>
      <w:r>
        <w:br w:type="page"/>
      </w:r>
      <w:bookmarkStart w:id="7" w:name="Document5"/>
      <w:bookmarkEnd w:id="7"/>
      <w:r w:rsidR="001F0B38">
        <w:rPr>
          <w:b/>
        </w:rPr>
        <w:lastRenderedPageBreak/>
        <w:t>DOCUMENT 5</w:t>
      </w:r>
    </w:p>
    <w:p w14:paraId="57307264" w14:textId="77777777" w:rsidR="00CA1712" w:rsidRDefault="00CA1712" w:rsidP="00DA7839">
      <w:pPr>
        <w:pStyle w:val="Numbered"/>
        <w:widowControl/>
      </w:pPr>
      <w:r>
        <w:rPr>
          <w:b/>
        </w:rPr>
        <w:t>DECLARATIONS AND INFORMATION TO BE PROVIDED BY THE TENDERER</w:t>
      </w:r>
    </w:p>
    <w:p w14:paraId="78A14004" w14:textId="77777777" w:rsidR="00E66D86" w:rsidRPr="00E66D86" w:rsidRDefault="00E66D86" w:rsidP="00DA7839">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5D21C38D" w14:textId="77777777" w:rsidR="00E66D86" w:rsidRDefault="00E66D86" w:rsidP="00DA7839">
      <w:pPr>
        <w:widowControl/>
        <w:suppressAutoHyphens/>
        <w:overflowPunct/>
        <w:autoSpaceDE/>
        <w:adjustRightInd/>
        <w:jc w:val="both"/>
        <w:rPr>
          <w:rFonts w:eastAsia="Arial" w:cs="Arial"/>
          <w:color w:val="000000"/>
          <w:szCs w:val="20"/>
        </w:rPr>
      </w:pPr>
    </w:p>
    <w:p w14:paraId="7357D9DA"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C4D740A"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12695038" w14:textId="77777777" w:rsidR="00E65535" w:rsidRDefault="00E65535" w:rsidP="00DA7839">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6D372ABD" w14:textId="77777777" w:rsidR="00E65535" w:rsidRDefault="00E65535" w:rsidP="00DA7839">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3A162A8E" w14:textId="77777777" w:rsidTr="005D5770">
        <w:trPr>
          <w:trHeight w:val="500"/>
        </w:trPr>
        <w:tc>
          <w:tcPr>
            <w:tcW w:w="1364" w:type="dxa"/>
            <w:tcBorders>
              <w:top w:val="single" w:sz="8" w:space="0" w:color="000000"/>
              <w:bottom w:val="single" w:sz="6" w:space="0" w:color="000000"/>
            </w:tcBorders>
            <w:shd w:val="clear" w:color="auto" w:fill="CCFFFF"/>
          </w:tcPr>
          <w:p w14:paraId="786F8FEA" w14:textId="77777777" w:rsidR="00E65535" w:rsidRDefault="00E65535" w:rsidP="00DA7839">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6AF0FC91" w14:textId="77777777" w:rsidR="00E65535" w:rsidRDefault="00E65535" w:rsidP="00DA7839">
            <w:pPr>
              <w:pStyle w:val="Normal1"/>
              <w:spacing w:before="100"/>
              <w:jc w:val="both"/>
            </w:pPr>
            <w:r>
              <w:rPr>
                <w:rFonts w:ascii="Arial" w:eastAsia="Arial" w:hAnsi="Arial" w:cs="Arial"/>
                <w:sz w:val="22"/>
                <w:szCs w:val="22"/>
              </w:rPr>
              <w:t>Grounds for mandatory exclusion</w:t>
            </w:r>
          </w:p>
        </w:tc>
      </w:tr>
      <w:tr w:rsidR="00E65535" w14:paraId="2177021D" w14:textId="77777777" w:rsidTr="005D5770">
        <w:trPr>
          <w:trHeight w:val="40"/>
        </w:trPr>
        <w:tc>
          <w:tcPr>
            <w:tcW w:w="1364" w:type="dxa"/>
            <w:tcBorders>
              <w:top w:val="single" w:sz="6" w:space="0" w:color="000000"/>
              <w:bottom w:val="single" w:sz="6" w:space="0" w:color="000000"/>
            </w:tcBorders>
            <w:shd w:val="clear" w:color="auto" w:fill="CCFFFF"/>
          </w:tcPr>
          <w:p w14:paraId="7F6B685E" w14:textId="77777777" w:rsidR="00E65535" w:rsidRDefault="00E65535" w:rsidP="00DA783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568FD5BC" w14:textId="77777777" w:rsidR="00E65535" w:rsidRDefault="00E65535" w:rsidP="00DA783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707633D" w14:textId="77777777" w:rsidR="00E65535" w:rsidRDefault="00E65535" w:rsidP="00DA7839">
            <w:pPr>
              <w:pStyle w:val="Normal1"/>
              <w:spacing w:before="100"/>
              <w:jc w:val="both"/>
            </w:pPr>
            <w:r>
              <w:rPr>
                <w:rFonts w:ascii="Arial" w:eastAsia="Arial" w:hAnsi="Arial" w:cs="Arial"/>
                <w:sz w:val="20"/>
                <w:szCs w:val="20"/>
              </w:rPr>
              <w:t>Response</w:t>
            </w:r>
          </w:p>
        </w:tc>
      </w:tr>
      <w:tr w:rsidR="00E65535" w14:paraId="385082A2" w14:textId="77777777" w:rsidTr="005D5770">
        <w:trPr>
          <w:trHeight w:val="1340"/>
        </w:trPr>
        <w:tc>
          <w:tcPr>
            <w:tcW w:w="1364" w:type="dxa"/>
            <w:tcBorders>
              <w:top w:val="single" w:sz="6" w:space="0" w:color="000000"/>
            </w:tcBorders>
          </w:tcPr>
          <w:p w14:paraId="6D98DC0A" w14:textId="77777777" w:rsidR="00E65535" w:rsidRDefault="00E65535" w:rsidP="00DA783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C3E4CBE" w14:textId="77777777" w:rsidR="00E65535" w:rsidRDefault="00E65535" w:rsidP="00DA7839">
            <w:pPr>
              <w:pStyle w:val="Normal1"/>
              <w:jc w:val="both"/>
            </w:pPr>
            <w:r>
              <w:rPr>
                <w:rFonts w:ascii="Arial" w:eastAsia="Arial" w:hAnsi="Arial" w:cs="Arial"/>
                <w:b/>
                <w:sz w:val="22"/>
                <w:szCs w:val="22"/>
              </w:rPr>
              <w:t xml:space="preserve">Regulations 57(1) and (2) </w:t>
            </w:r>
          </w:p>
          <w:p w14:paraId="1D12D816" w14:textId="77777777" w:rsidR="00E65535" w:rsidRDefault="00E65535" w:rsidP="00DA7839">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6F88D45" w14:textId="77777777" w:rsidR="00E65535" w:rsidRDefault="00E65535" w:rsidP="00DA783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5867D5DA" w14:textId="77777777" w:rsidTr="005D5770">
        <w:tc>
          <w:tcPr>
            <w:tcW w:w="1364" w:type="dxa"/>
          </w:tcPr>
          <w:p w14:paraId="03B0505B" w14:textId="77777777" w:rsidR="00E65535" w:rsidRDefault="00E65535" w:rsidP="00DA7839">
            <w:pPr>
              <w:pStyle w:val="Normal1"/>
              <w:tabs>
                <w:tab w:val="left" w:pos="0"/>
              </w:tabs>
              <w:spacing w:before="100"/>
              <w:jc w:val="both"/>
            </w:pPr>
          </w:p>
        </w:tc>
        <w:tc>
          <w:tcPr>
            <w:tcW w:w="4444" w:type="dxa"/>
          </w:tcPr>
          <w:p w14:paraId="1E075BD2" w14:textId="77777777" w:rsidR="00E65535" w:rsidRDefault="00E65535" w:rsidP="00DA783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B5A59F0" w14:textId="77777777" w:rsidR="00E65535" w:rsidRDefault="00E65535" w:rsidP="00DA7839">
            <w:pPr>
              <w:pStyle w:val="Normal1"/>
              <w:jc w:val="both"/>
            </w:pPr>
            <w:bookmarkStart w:id="8" w:name="_17dp8vu"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74390D13" w14:textId="77777777" w:rsidR="00E65535" w:rsidRDefault="00E65535" w:rsidP="00DA7839">
            <w:pPr>
              <w:pStyle w:val="Normal1"/>
              <w:jc w:val="both"/>
            </w:pPr>
            <w:bookmarkStart w:id="9" w:name="_3rdcrjn" w:colFirst="0" w:colLast="0"/>
            <w:bookmarkEnd w:id="9"/>
            <w:r>
              <w:rPr>
                <w:rFonts w:ascii="Arial" w:eastAsia="Arial" w:hAnsi="Arial" w:cs="Arial"/>
                <w:sz w:val="22"/>
                <w:szCs w:val="22"/>
              </w:rPr>
              <w:t xml:space="preserve">No   </w:t>
            </w:r>
            <w:r>
              <w:rPr>
                <w:rFonts w:ascii="Menlo Regular" w:eastAsia="Arial" w:hAnsi="Menlo Regular" w:cs="Menlo Regular"/>
                <w:sz w:val="22"/>
                <w:szCs w:val="22"/>
              </w:rPr>
              <w:t>☐</w:t>
            </w:r>
          </w:p>
          <w:p w14:paraId="4BB77748"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19BE6C4F" w14:textId="77777777" w:rsidTr="005D5770">
        <w:tc>
          <w:tcPr>
            <w:tcW w:w="1364" w:type="dxa"/>
          </w:tcPr>
          <w:p w14:paraId="2283FE17" w14:textId="77777777" w:rsidR="00E65535" w:rsidRDefault="00E65535" w:rsidP="00DA7839">
            <w:pPr>
              <w:pStyle w:val="Normal1"/>
              <w:tabs>
                <w:tab w:val="left" w:pos="743"/>
              </w:tabs>
              <w:spacing w:before="100"/>
              <w:jc w:val="both"/>
            </w:pPr>
          </w:p>
        </w:tc>
        <w:tc>
          <w:tcPr>
            <w:tcW w:w="4444" w:type="dxa"/>
          </w:tcPr>
          <w:p w14:paraId="3CB76F6E" w14:textId="77777777" w:rsidR="00E65535" w:rsidRDefault="00E65535" w:rsidP="00DA783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43A95D7" w14:textId="77777777" w:rsidR="00E65535" w:rsidRDefault="00E65535" w:rsidP="00DA7839">
            <w:pPr>
              <w:pStyle w:val="Normal1"/>
              <w:jc w:val="both"/>
            </w:pPr>
            <w:bookmarkStart w:id="10" w:name="_26in1rg"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369352DD" w14:textId="77777777" w:rsidR="00E65535" w:rsidRDefault="00E65535" w:rsidP="00DA7839">
            <w:pPr>
              <w:pStyle w:val="Normal1"/>
              <w:jc w:val="both"/>
            </w:pPr>
            <w:bookmarkStart w:id="11" w:name="_lnxbz9"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4CDEC87E"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02526480" w14:textId="77777777" w:rsidTr="005D5770">
        <w:trPr>
          <w:trHeight w:val="240"/>
        </w:trPr>
        <w:tc>
          <w:tcPr>
            <w:tcW w:w="1364" w:type="dxa"/>
          </w:tcPr>
          <w:p w14:paraId="394DC0B5" w14:textId="77777777" w:rsidR="00E65535" w:rsidRDefault="00E65535" w:rsidP="00DA7839">
            <w:pPr>
              <w:pStyle w:val="Normal1"/>
              <w:tabs>
                <w:tab w:val="left" w:pos="34"/>
              </w:tabs>
              <w:spacing w:before="100"/>
              <w:jc w:val="both"/>
            </w:pPr>
          </w:p>
        </w:tc>
        <w:tc>
          <w:tcPr>
            <w:tcW w:w="4444" w:type="dxa"/>
          </w:tcPr>
          <w:p w14:paraId="76E6A775" w14:textId="77777777" w:rsidR="00E65535" w:rsidRDefault="00E65535" w:rsidP="00DA7839">
            <w:pPr>
              <w:pStyle w:val="Normal1"/>
              <w:tabs>
                <w:tab w:val="left" w:pos="34"/>
              </w:tabs>
              <w:spacing w:before="100"/>
              <w:jc w:val="both"/>
            </w:pPr>
            <w:r>
              <w:rPr>
                <w:rFonts w:ascii="Arial" w:eastAsia="Arial" w:hAnsi="Arial" w:cs="Arial"/>
                <w:sz w:val="22"/>
                <w:szCs w:val="22"/>
              </w:rPr>
              <w:t xml:space="preserve">Fraud. </w:t>
            </w:r>
          </w:p>
        </w:tc>
        <w:tc>
          <w:tcPr>
            <w:tcW w:w="3548" w:type="dxa"/>
          </w:tcPr>
          <w:p w14:paraId="09B32D31" w14:textId="77777777" w:rsidR="00E65535" w:rsidRDefault="00E65535" w:rsidP="00DA7839">
            <w:pPr>
              <w:pStyle w:val="Normal1"/>
              <w:jc w:val="both"/>
            </w:pPr>
            <w:bookmarkStart w:id="12" w:name="_35nkun2"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39D963AE" w14:textId="77777777" w:rsidR="00E65535" w:rsidRDefault="00E65535" w:rsidP="00DA7839">
            <w:pPr>
              <w:pStyle w:val="Normal1"/>
              <w:jc w:val="both"/>
            </w:pPr>
            <w:bookmarkStart w:id="13" w:name="_1ksv4uv"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63D1CA7F"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51F406B4" w14:textId="77777777" w:rsidTr="005D5770">
        <w:tc>
          <w:tcPr>
            <w:tcW w:w="1364" w:type="dxa"/>
          </w:tcPr>
          <w:p w14:paraId="2DE6275E" w14:textId="77777777" w:rsidR="00E65535" w:rsidRDefault="00E65535" w:rsidP="00DA7839">
            <w:pPr>
              <w:pStyle w:val="Normal1"/>
              <w:spacing w:before="100"/>
              <w:jc w:val="both"/>
            </w:pPr>
          </w:p>
        </w:tc>
        <w:tc>
          <w:tcPr>
            <w:tcW w:w="4444" w:type="dxa"/>
          </w:tcPr>
          <w:p w14:paraId="718102B6" w14:textId="77777777" w:rsidR="00E65535" w:rsidRDefault="00E65535" w:rsidP="00DA783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7D51EE7C" w14:textId="77777777" w:rsidR="00E65535" w:rsidRDefault="00E65535" w:rsidP="00DA7839">
            <w:pPr>
              <w:pStyle w:val="Normal1"/>
              <w:jc w:val="both"/>
            </w:pPr>
            <w:bookmarkStart w:id="14" w:name="_44sinio"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B36FA51" w14:textId="77777777" w:rsidR="00E65535" w:rsidRDefault="00E65535" w:rsidP="00DA7839">
            <w:pPr>
              <w:pStyle w:val="Normal1"/>
              <w:jc w:val="both"/>
            </w:pPr>
            <w:bookmarkStart w:id="15" w:name="_2jxsxqh"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72DC53A"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1F73A64A" w14:textId="77777777" w:rsidTr="005D5770">
        <w:tc>
          <w:tcPr>
            <w:tcW w:w="1364" w:type="dxa"/>
          </w:tcPr>
          <w:p w14:paraId="19B20FEB" w14:textId="77777777" w:rsidR="00E65535" w:rsidRDefault="00E65535" w:rsidP="00DA7839">
            <w:pPr>
              <w:pStyle w:val="Normal1"/>
              <w:jc w:val="both"/>
            </w:pPr>
          </w:p>
        </w:tc>
        <w:tc>
          <w:tcPr>
            <w:tcW w:w="4444" w:type="dxa"/>
          </w:tcPr>
          <w:p w14:paraId="5F196CC2" w14:textId="77777777" w:rsidR="00E65535" w:rsidRDefault="00E65535" w:rsidP="00DA7839">
            <w:pPr>
              <w:pStyle w:val="Normal1"/>
              <w:jc w:val="both"/>
            </w:pPr>
            <w:r>
              <w:rPr>
                <w:rFonts w:ascii="Arial" w:eastAsia="Arial" w:hAnsi="Arial" w:cs="Arial"/>
                <w:sz w:val="22"/>
                <w:szCs w:val="22"/>
              </w:rPr>
              <w:t>Money laundering or terrorist financing</w:t>
            </w:r>
          </w:p>
        </w:tc>
        <w:tc>
          <w:tcPr>
            <w:tcW w:w="3548" w:type="dxa"/>
          </w:tcPr>
          <w:p w14:paraId="6D6E25C4" w14:textId="77777777" w:rsidR="00E65535" w:rsidRDefault="00E65535" w:rsidP="00DA7839">
            <w:pPr>
              <w:pStyle w:val="Normal1"/>
              <w:jc w:val="both"/>
            </w:pPr>
            <w:bookmarkStart w:id="16" w:name="_z337ya"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35ABC17F" w14:textId="77777777" w:rsidR="00E65535" w:rsidRDefault="00E65535" w:rsidP="00DA7839">
            <w:pPr>
              <w:pStyle w:val="Normal1"/>
              <w:jc w:val="both"/>
            </w:pPr>
            <w:bookmarkStart w:id="17" w:name="_3j2qqm3"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192AF131"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3128697E" w14:textId="77777777" w:rsidTr="005D5770">
        <w:trPr>
          <w:trHeight w:val="560"/>
        </w:trPr>
        <w:tc>
          <w:tcPr>
            <w:tcW w:w="1364" w:type="dxa"/>
          </w:tcPr>
          <w:p w14:paraId="32BF3548" w14:textId="77777777" w:rsidR="00E65535" w:rsidRDefault="00E65535" w:rsidP="00DA7839">
            <w:pPr>
              <w:pStyle w:val="Normal1"/>
              <w:spacing w:before="100"/>
              <w:ind w:right="317"/>
              <w:jc w:val="both"/>
            </w:pPr>
          </w:p>
        </w:tc>
        <w:tc>
          <w:tcPr>
            <w:tcW w:w="4444" w:type="dxa"/>
          </w:tcPr>
          <w:p w14:paraId="6C6BE12C" w14:textId="77777777" w:rsidR="00E65535" w:rsidRDefault="00E65535" w:rsidP="00DA783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1AA42E9" w14:textId="77777777" w:rsidR="00E65535" w:rsidRDefault="00E65535" w:rsidP="00DA7839">
            <w:pPr>
              <w:pStyle w:val="Normal1"/>
              <w:jc w:val="both"/>
            </w:pPr>
            <w:bookmarkStart w:id="18" w:name="_1y810tw"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BD583BD" w14:textId="77777777" w:rsidR="00E65535" w:rsidRDefault="00E65535" w:rsidP="00DA7839">
            <w:pPr>
              <w:pStyle w:val="Normal1"/>
              <w:jc w:val="both"/>
            </w:pPr>
            <w:bookmarkStart w:id="19" w:name="_4i7ojhp"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92BD21C"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65535" w14:paraId="1722F03C" w14:textId="77777777" w:rsidTr="005D5770">
        <w:tc>
          <w:tcPr>
            <w:tcW w:w="1364" w:type="dxa"/>
          </w:tcPr>
          <w:p w14:paraId="7663E122" w14:textId="77777777" w:rsidR="00E65535" w:rsidRDefault="00E65535" w:rsidP="00DA7839">
            <w:pPr>
              <w:pStyle w:val="Normal1"/>
              <w:keepLines/>
              <w:widowControl w:val="0"/>
              <w:spacing w:before="100"/>
              <w:jc w:val="both"/>
            </w:pPr>
            <w:r>
              <w:rPr>
                <w:rFonts w:ascii="Arial" w:eastAsia="Arial" w:hAnsi="Arial" w:cs="Arial"/>
                <w:sz w:val="22"/>
                <w:szCs w:val="22"/>
              </w:rPr>
              <w:t>2.1(b)</w:t>
            </w:r>
          </w:p>
        </w:tc>
        <w:tc>
          <w:tcPr>
            <w:tcW w:w="4444" w:type="dxa"/>
          </w:tcPr>
          <w:p w14:paraId="70C0D7CD" w14:textId="77777777" w:rsidR="00E65535" w:rsidRDefault="00E65535" w:rsidP="00DA7839">
            <w:pPr>
              <w:pStyle w:val="Normal1"/>
              <w:keepLines/>
              <w:widowControl w:val="0"/>
              <w:jc w:val="both"/>
            </w:pPr>
            <w:r>
              <w:rPr>
                <w:rFonts w:ascii="Arial" w:eastAsia="Arial" w:hAnsi="Arial" w:cs="Arial"/>
                <w:sz w:val="22"/>
                <w:szCs w:val="22"/>
              </w:rPr>
              <w:t>If you have answered yes to question 2.1(a), please provide further details.</w:t>
            </w:r>
          </w:p>
          <w:p w14:paraId="3123B674" w14:textId="77777777" w:rsidR="00E65535" w:rsidRDefault="00E65535" w:rsidP="00DA783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21B5808" w14:textId="77777777" w:rsidR="00E65535" w:rsidRDefault="00E65535" w:rsidP="00DA7839">
            <w:pPr>
              <w:pStyle w:val="Normal1"/>
              <w:keepLines/>
              <w:widowControl w:val="0"/>
              <w:spacing w:before="100"/>
              <w:jc w:val="both"/>
            </w:pPr>
            <w:r>
              <w:rPr>
                <w:rFonts w:ascii="Arial" w:eastAsia="Arial" w:hAnsi="Arial" w:cs="Arial"/>
                <w:sz w:val="22"/>
                <w:szCs w:val="22"/>
              </w:rPr>
              <w:t>Identity of who has been convicted</w:t>
            </w:r>
          </w:p>
          <w:p w14:paraId="2E0D0738" w14:textId="77777777" w:rsidR="00E65535" w:rsidRDefault="00E65535" w:rsidP="00DA7839">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44DAC0CA" w14:textId="77777777" w:rsidR="00E65535" w:rsidRDefault="00E65535" w:rsidP="00DA7839">
            <w:pPr>
              <w:pStyle w:val="Normal1"/>
              <w:keepLines/>
              <w:widowControl w:val="0"/>
              <w:jc w:val="both"/>
            </w:pPr>
          </w:p>
        </w:tc>
      </w:tr>
      <w:tr w:rsidR="00E65535" w14:paraId="4B9C87E0" w14:textId="77777777" w:rsidTr="005D5770">
        <w:tc>
          <w:tcPr>
            <w:tcW w:w="1364" w:type="dxa"/>
          </w:tcPr>
          <w:p w14:paraId="3266E206" w14:textId="77777777" w:rsidR="00E65535" w:rsidRDefault="00E65535" w:rsidP="00DA7839">
            <w:pPr>
              <w:pStyle w:val="Normal1"/>
              <w:keepLines/>
              <w:widowControl w:val="0"/>
              <w:spacing w:before="100"/>
              <w:jc w:val="both"/>
            </w:pPr>
            <w:r>
              <w:rPr>
                <w:rFonts w:ascii="Arial" w:eastAsia="Arial" w:hAnsi="Arial" w:cs="Arial"/>
                <w:sz w:val="22"/>
                <w:szCs w:val="22"/>
              </w:rPr>
              <w:t>2.2</w:t>
            </w:r>
          </w:p>
        </w:tc>
        <w:tc>
          <w:tcPr>
            <w:tcW w:w="4444" w:type="dxa"/>
          </w:tcPr>
          <w:p w14:paraId="2FF9CACF" w14:textId="77777777" w:rsidR="00E65535" w:rsidRDefault="00E65535" w:rsidP="00DA783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CE63DBE" w14:textId="77777777" w:rsidR="00E65535" w:rsidRDefault="00E65535" w:rsidP="00DA7839">
            <w:pPr>
              <w:pStyle w:val="Normal1"/>
              <w:keepLines/>
              <w:widowControl w:val="0"/>
              <w:jc w:val="both"/>
            </w:pPr>
            <w:bookmarkStart w:id="20" w:name="_2xcytpi" w:colFirst="0" w:colLast="0"/>
            <w:bookmarkEnd w:id="20"/>
            <w:r>
              <w:rPr>
                <w:rFonts w:ascii="Arial" w:eastAsia="Arial" w:hAnsi="Arial" w:cs="Arial"/>
                <w:sz w:val="20"/>
                <w:szCs w:val="20"/>
              </w:rPr>
              <w:t xml:space="preserve">Yes </w:t>
            </w:r>
            <w:r>
              <w:rPr>
                <w:rFonts w:ascii="Menlo Regular" w:eastAsia="Menlo Regular" w:hAnsi="Menlo Regular" w:cs="Menlo Regular"/>
                <w:sz w:val="20"/>
                <w:szCs w:val="20"/>
              </w:rPr>
              <w:t>☐</w:t>
            </w:r>
          </w:p>
          <w:p w14:paraId="47DB73FF" w14:textId="77777777" w:rsidR="00E65535" w:rsidRDefault="00E65535" w:rsidP="00DA7839">
            <w:pPr>
              <w:pStyle w:val="Normal1"/>
              <w:keepLines/>
              <w:widowControl w:val="0"/>
              <w:jc w:val="both"/>
            </w:pPr>
            <w:bookmarkStart w:id="21" w:name="_1ci93xb" w:colFirst="0" w:colLast="0"/>
            <w:bookmarkEnd w:id="21"/>
            <w:r>
              <w:rPr>
                <w:rFonts w:ascii="Arial" w:eastAsia="Arial" w:hAnsi="Arial" w:cs="Arial"/>
                <w:sz w:val="20"/>
                <w:szCs w:val="20"/>
              </w:rPr>
              <w:t xml:space="preserve">No   </w:t>
            </w:r>
            <w:r>
              <w:rPr>
                <w:rFonts w:ascii="Menlo Regular" w:eastAsia="Menlo Regular" w:hAnsi="Menlo Regular" w:cs="Menlo Regular"/>
                <w:sz w:val="20"/>
                <w:szCs w:val="20"/>
              </w:rPr>
              <w:t>☐</w:t>
            </w:r>
          </w:p>
          <w:p w14:paraId="48FDCC89" w14:textId="77777777" w:rsidR="00E65535" w:rsidRDefault="00E65535" w:rsidP="00DA7839">
            <w:pPr>
              <w:pStyle w:val="Normal1"/>
              <w:keepLines/>
              <w:widowControl w:val="0"/>
              <w:jc w:val="both"/>
            </w:pPr>
          </w:p>
        </w:tc>
      </w:tr>
      <w:tr w:rsidR="00E65535" w14:paraId="0CAAC7BB" w14:textId="77777777" w:rsidTr="005D5770">
        <w:tc>
          <w:tcPr>
            <w:tcW w:w="1364" w:type="dxa"/>
          </w:tcPr>
          <w:p w14:paraId="4F1569A0" w14:textId="77777777" w:rsidR="00E65535" w:rsidRDefault="00E65535" w:rsidP="00DA7839">
            <w:pPr>
              <w:pStyle w:val="Normal1"/>
              <w:spacing w:before="100"/>
              <w:jc w:val="both"/>
            </w:pPr>
            <w:r>
              <w:rPr>
                <w:rFonts w:ascii="Arial" w:eastAsia="Arial" w:hAnsi="Arial" w:cs="Arial"/>
                <w:sz w:val="22"/>
                <w:szCs w:val="22"/>
              </w:rPr>
              <w:t>2.3(a)</w:t>
            </w:r>
          </w:p>
        </w:tc>
        <w:tc>
          <w:tcPr>
            <w:tcW w:w="4444" w:type="dxa"/>
          </w:tcPr>
          <w:p w14:paraId="03820362" w14:textId="77777777" w:rsidR="00E65535" w:rsidRDefault="00E65535" w:rsidP="00DA7839">
            <w:pPr>
              <w:pStyle w:val="Normal1"/>
              <w:spacing w:before="100"/>
              <w:jc w:val="both"/>
            </w:pPr>
            <w:r>
              <w:rPr>
                <w:rFonts w:ascii="Arial" w:eastAsia="Arial" w:hAnsi="Arial" w:cs="Arial"/>
                <w:b/>
                <w:sz w:val="22"/>
                <w:szCs w:val="22"/>
              </w:rPr>
              <w:t>Regulation 57(3)</w:t>
            </w:r>
          </w:p>
          <w:p w14:paraId="2DC87B6D" w14:textId="77777777" w:rsidR="00E65535" w:rsidRDefault="00E65535" w:rsidP="00DA783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F33E09B" w14:textId="77777777" w:rsidR="00E65535" w:rsidRDefault="00E65535" w:rsidP="00DA7839">
            <w:pPr>
              <w:pStyle w:val="Normal1"/>
              <w:spacing w:before="100"/>
              <w:jc w:val="both"/>
            </w:pPr>
          </w:p>
        </w:tc>
        <w:tc>
          <w:tcPr>
            <w:tcW w:w="3548" w:type="dxa"/>
          </w:tcPr>
          <w:p w14:paraId="043C9C9D" w14:textId="77777777" w:rsidR="00E65535" w:rsidRDefault="00E65535" w:rsidP="00DA7839">
            <w:pPr>
              <w:pStyle w:val="Normal1"/>
              <w:jc w:val="both"/>
            </w:pPr>
            <w:bookmarkStart w:id="22" w:name="_3whwml4"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2450E1B8" w14:textId="77777777" w:rsidR="00E65535" w:rsidRDefault="00E65535" w:rsidP="00DA7839">
            <w:pPr>
              <w:pStyle w:val="Normal1"/>
              <w:jc w:val="both"/>
            </w:pPr>
            <w:bookmarkStart w:id="23" w:name="_2bn6wsx"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4DF0098A" w14:textId="77777777" w:rsidR="00E65535" w:rsidRDefault="00E65535" w:rsidP="00DA7839">
            <w:pPr>
              <w:pStyle w:val="Normal1"/>
              <w:jc w:val="both"/>
            </w:pPr>
          </w:p>
        </w:tc>
      </w:tr>
      <w:tr w:rsidR="00E65535" w14:paraId="53E2F127" w14:textId="77777777" w:rsidTr="005D5770">
        <w:tc>
          <w:tcPr>
            <w:tcW w:w="1364" w:type="dxa"/>
          </w:tcPr>
          <w:p w14:paraId="0EBD072F" w14:textId="77777777" w:rsidR="00E65535" w:rsidRDefault="00E65535" w:rsidP="00DA7839">
            <w:pPr>
              <w:pStyle w:val="Normal1"/>
              <w:spacing w:before="100"/>
              <w:jc w:val="both"/>
            </w:pPr>
            <w:r>
              <w:rPr>
                <w:rFonts w:ascii="Arial" w:eastAsia="Arial" w:hAnsi="Arial" w:cs="Arial"/>
                <w:sz w:val="22"/>
                <w:szCs w:val="22"/>
              </w:rPr>
              <w:t>2.3(b)</w:t>
            </w:r>
          </w:p>
        </w:tc>
        <w:tc>
          <w:tcPr>
            <w:tcW w:w="4444" w:type="dxa"/>
          </w:tcPr>
          <w:p w14:paraId="04C95D09" w14:textId="77777777" w:rsidR="00E65535" w:rsidRDefault="00E65535" w:rsidP="00DA7839">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C02D645" w14:textId="77777777" w:rsidR="00E65535" w:rsidRDefault="00E65535" w:rsidP="00DA7839">
            <w:pPr>
              <w:pStyle w:val="Normal1"/>
              <w:spacing w:before="100"/>
              <w:jc w:val="both"/>
            </w:pPr>
          </w:p>
        </w:tc>
      </w:tr>
    </w:tbl>
    <w:p w14:paraId="444A4813" w14:textId="77777777" w:rsidR="00E65535" w:rsidRDefault="00E65535" w:rsidP="00DA7839">
      <w:pPr>
        <w:widowControl/>
        <w:suppressAutoHyphens/>
        <w:overflowPunct/>
        <w:autoSpaceDE/>
        <w:adjustRightInd/>
        <w:jc w:val="both"/>
        <w:rPr>
          <w:rFonts w:ascii="Calibri" w:eastAsia="Calibri" w:hAnsi="Calibri" w:cs="Calibri"/>
          <w:color w:val="000000"/>
          <w:szCs w:val="20"/>
        </w:rPr>
      </w:pPr>
    </w:p>
    <w:p w14:paraId="70BBD1BF" w14:textId="77777777" w:rsidR="00E65535" w:rsidRDefault="00E65535" w:rsidP="00DA7839">
      <w:pPr>
        <w:pStyle w:val="Normal1"/>
        <w:spacing w:after="160"/>
      </w:pPr>
      <w:r>
        <w:rPr>
          <w:rFonts w:ascii="Arial" w:eastAsia="Arial" w:hAnsi="Arial" w:cs="Arial"/>
          <w:sz w:val="22"/>
          <w:szCs w:val="22"/>
        </w:rPr>
        <w:t xml:space="preserve">Please Note: </w:t>
      </w:r>
      <w:r w:rsidR="005D7D23">
        <w:rPr>
          <w:rFonts w:ascii="Arial" w:eastAsia="Arial" w:hAnsi="Arial" w:cs="Arial"/>
          <w:sz w:val="22"/>
          <w:szCs w:val="22"/>
        </w:rPr>
        <w:t>SMC</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65535" w14:paraId="739718CB" w14:textId="77777777" w:rsidTr="005D5770">
        <w:trPr>
          <w:trHeight w:val="400"/>
        </w:trPr>
        <w:tc>
          <w:tcPr>
            <w:tcW w:w="1230" w:type="dxa"/>
            <w:tcBorders>
              <w:top w:val="single" w:sz="8" w:space="0" w:color="000000"/>
              <w:bottom w:val="single" w:sz="6" w:space="0" w:color="000000"/>
            </w:tcBorders>
            <w:shd w:val="clear" w:color="auto" w:fill="CCFFFF"/>
          </w:tcPr>
          <w:p w14:paraId="706A8C36" w14:textId="77777777" w:rsidR="00E65535" w:rsidRDefault="00E65535" w:rsidP="00DA7839">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14:paraId="4291EF53" w14:textId="77777777" w:rsidR="00E65535" w:rsidRDefault="00E65535" w:rsidP="00DA7839">
            <w:pPr>
              <w:pStyle w:val="Normal1"/>
              <w:spacing w:before="100"/>
              <w:jc w:val="both"/>
            </w:pPr>
            <w:r>
              <w:rPr>
                <w:rFonts w:ascii="Arial" w:eastAsia="Arial" w:hAnsi="Arial" w:cs="Arial"/>
                <w:sz w:val="22"/>
                <w:szCs w:val="22"/>
              </w:rPr>
              <w:t xml:space="preserve">Grounds for discretionary exclusion </w:t>
            </w:r>
          </w:p>
        </w:tc>
      </w:tr>
      <w:tr w:rsidR="00E65535" w14:paraId="237AE32F" w14:textId="77777777" w:rsidTr="005D5770">
        <w:trPr>
          <w:trHeight w:val="400"/>
        </w:trPr>
        <w:tc>
          <w:tcPr>
            <w:tcW w:w="1230" w:type="dxa"/>
            <w:tcBorders>
              <w:top w:val="single" w:sz="6" w:space="0" w:color="000000"/>
              <w:bottom w:val="single" w:sz="6" w:space="0" w:color="000000"/>
            </w:tcBorders>
            <w:shd w:val="clear" w:color="auto" w:fill="CCFFFF"/>
          </w:tcPr>
          <w:p w14:paraId="069F1531" w14:textId="77777777" w:rsidR="00E65535" w:rsidRDefault="00E65535" w:rsidP="00DA7839">
            <w:pPr>
              <w:pStyle w:val="Normal1"/>
              <w:spacing w:before="100"/>
              <w:ind w:right="306"/>
            </w:pPr>
          </w:p>
        </w:tc>
        <w:tc>
          <w:tcPr>
            <w:tcW w:w="4575" w:type="dxa"/>
            <w:tcBorders>
              <w:top w:val="single" w:sz="6" w:space="0" w:color="000000"/>
              <w:bottom w:val="single" w:sz="6" w:space="0" w:color="000000"/>
            </w:tcBorders>
            <w:shd w:val="clear" w:color="auto" w:fill="CCFFFF"/>
          </w:tcPr>
          <w:p w14:paraId="1FFCAC94" w14:textId="77777777" w:rsidR="00E65535" w:rsidRDefault="00E65535" w:rsidP="00DA783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B7570F3" w14:textId="77777777" w:rsidR="00E65535" w:rsidRDefault="00E65535" w:rsidP="00DA7839">
            <w:pPr>
              <w:pStyle w:val="Normal1"/>
              <w:spacing w:before="100"/>
              <w:jc w:val="both"/>
            </w:pPr>
            <w:r>
              <w:rPr>
                <w:rFonts w:ascii="Arial" w:eastAsia="Arial" w:hAnsi="Arial" w:cs="Arial"/>
                <w:sz w:val="22"/>
                <w:szCs w:val="22"/>
              </w:rPr>
              <w:t>Response</w:t>
            </w:r>
          </w:p>
        </w:tc>
      </w:tr>
      <w:tr w:rsidR="00E65535" w14:paraId="2192EBED" w14:textId="77777777" w:rsidTr="005D5770">
        <w:trPr>
          <w:trHeight w:val="400"/>
        </w:trPr>
        <w:tc>
          <w:tcPr>
            <w:tcW w:w="1230" w:type="dxa"/>
            <w:tcBorders>
              <w:top w:val="single" w:sz="6" w:space="0" w:color="000000"/>
            </w:tcBorders>
          </w:tcPr>
          <w:p w14:paraId="3C6A51CC" w14:textId="77777777" w:rsidR="00E65535" w:rsidRDefault="00E65535" w:rsidP="00DA783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55D0E323" w14:textId="77777777" w:rsidR="00E65535" w:rsidRDefault="00E65535" w:rsidP="00DA7839">
            <w:pPr>
              <w:pStyle w:val="Normal1"/>
              <w:spacing w:before="100"/>
              <w:jc w:val="both"/>
            </w:pPr>
            <w:r>
              <w:rPr>
                <w:rFonts w:ascii="Arial" w:eastAsia="Arial" w:hAnsi="Arial" w:cs="Arial"/>
                <w:b/>
                <w:sz w:val="22"/>
                <w:szCs w:val="22"/>
              </w:rPr>
              <w:t>Regulation 57 (8)</w:t>
            </w:r>
          </w:p>
          <w:p w14:paraId="49A6A25C" w14:textId="77777777" w:rsidR="00E65535" w:rsidRDefault="00E65535" w:rsidP="00DA783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8AF8BCD" w14:textId="77777777" w:rsidR="00E65535" w:rsidRDefault="00E65535" w:rsidP="00DA783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65535" w14:paraId="59E03A9E" w14:textId="77777777" w:rsidTr="005D5770">
        <w:tc>
          <w:tcPr>
            <w:tcW w:w="1230" w:type="dxa"/>
          </w:tcPr>
          <w:p w14:paraId="1C719C45" w14:textId="77777777" w:rsidR="00E65535" w:rsidRDefault="00E65535" w:rsidP="00DA7839">
            <w:pPr>
              <w:pStyle w:val="Normal1"/>
              <w:tabs>
                <w:tab w:val="left" w:pos="0"/>
              </w:tabs>
              <w:jc w:val="both"/>
            </w:pPr>
            <w:r>
              <w:rPr>
                <w:rFonts w:ascii="Arial" w:eastAsia="Arial" w:hAnsi="Arial" w:cs="Arial"/>
                <w:sz w:val="22"/>
                <w:szCs w:val="22"/>
              </w:rPr>
              <w:t>3.1(a)</w:t>
            </w:r>
          </w:p>
          <w:p w14:paraId="4D84CD3F" w14:textId="77777777" w:rsidR="00E65535" w:rsidRDefault="00E65535" w:rsidP="00DA7839">
            <w:pPr>
              <w:pStyle w:val="Normal1"/>
              <w:tabs>
                <w:tab w:val="left" w:pos="0"/>
              </w:tabs>
              <w:jc w:val="both"/>
            </w:pPr>
          </w:p>
          <w:p w14:paraId="7AC2BCFB" w14:textId="77777777" w:rsidR="00E65535" w:rsidRDefault="00E65535" w:rsidP="00DA7839">
            <w:pPr>
              <w:pStyle w:val="Normal1"/>
              <w:tabs>
                <w:tab w:val="left" w:pos="0"/>
              </w:tabs>
              <w:jc w:val="both"/>
            </w:pPr>
          </w:p>
        </w:tc>
        <w:tc>
          <w:tcPr>
            <w:tcW w:w="4575" w:type="dxa"/>
          </w:tcPr>
          <w:p w14:paraId="1BD8D3E2" w14:textId="77777777" w:rsidR="00E65535" w:rsidRDefault="00E65535" w:rsidP="00DA7839">
            <w:pPr>
              <w:pStyle w:val="Normal1"/>
              <w:jc w:val="both"/>
            </w:pPr>
            <w:r>
              <w:rPr>
                <w:rFonts w:ascii="Arial" w:eastAsia="Arial" w:hAnsi="Arial" w:cs="Arial"/>
                <w:sz w:val="22"/>
                <w:szCs w:val="22"/>
              </w:rPr>
              <w:t xml:space="preserve">Breach of environmental obligations? </w:t>
            </w:r>
          </w:p>
        </w:tc>
        <w:tc>
          <w:tcPr>
            <w:tcW w:w="3547" w:type="dxa"/>
          </w:tcPr>
          <w:p w14:paraId="684551C0" w14:textId="77777777" w:rsidR="00E65535" w:rsidRDefault="00E65535" w:rsidP="00DA7839">
            <w:pPr>
              <w:pStyle w:val="Normal1"/>
              <w:jc w:val="both"/>
            </w:pPr>
            <w:bookmarkStart w:id="24" w:name="_qsh70q"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465E2BFC" w14:textId="77777777" w:rsidR="00E65535" w:rsidRDefault="00E65535" w:rsidP="00DA7839">
            <w:pPr>
              <w:pStyle w:val="Normal1"/>
              <w:jc w:val="both"/>
            </w:pPr>
            <w:bookmarkStart w:id="25" w:name="_3as4poj"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25CA3857"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35B34AF" w14:textId="77777777" w:rsidTr="005D5770">
        <w:tc>
          <w:tcPr>
            <w:tcW w:w="1230" w:type="dxa"/>
          </w:tcPr>
          <w:p w14:paraId="0A35B783" w14:textId="77777777" w:rsidR="00E65535" w:rsidRDefault="00E65535" w:rsidP="00DA7839">
            <w:pPr>
              <w:pStyle w:val="Normal1"/>
              <w:tabs>
                <w:tab w:val="left" w:pos="0"/>
              </w:tabs>
              <w:jc w:val="both"/>
            </w:pPr>
            <w:r>
              <w:rPr>
                <w:rFonts w:ascii="Arial" w:eastAsia="Arial" w:hAnsi="Arial" w:cs="Arial"/>
                <w:sz w:val="22"/>
                <w:szCs w:val="22"/>
              </w:rPr>
              <w:t>3.1 (b)</w:t>
            </w:r>
          </w:p>
        </w:tc>
        <w:tc>
          <w:tcPr>
            <w:tcW w:w="4575" w:type="dxa"/>
          </w:tcPr>
          <w:p w14:paraId="49CDD696" w14:textId="77777777" w:rsidR="00E65535" w:rsidRDefault="00E65535" w:rsidP="00DA7839">
            <w:pPr>
              <w:pStyle w:val="Normal1"/>
              <w:jc w:val="both"/>
            </w:pPr>
            <w:r>
              <w:rPr>
                <w:rFonts w:ascii="Arial" w:eastAsia="Arial" w:hAnsi="Arial" w:cs="Arial"/>
                <w:sz w:val="22"/>
                <w:szCs w:val="22"/>
              </w:rPr>
              <w:t xml:space="preserve">Breach of social obligations?  </w:t>
            </w:r>
          </w:p>
        </w:tc>
        <w:tc>
          <w:tcPr>
            <w:tcW w:w="3547" w:type="dxa"/>
          </w:tcPr>
          <w:p w14:paraId="78AE0298" w14:textId="77777777" w:rsidR="00E65535" w:rsidRDefault="00E65535" w:rsidP="00DA7839">
            <w:pPr>
              <w:pStyle w:val="Normal1"/>
              <w:jc w:val="both"/>
            </w:pPr>
            <w:bookmarkStart w:id="26" w:name="_1pxezwc"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46A673B6" w14:textId="77777777" w:rsidR="00E65535" w:rsidRDefault="00E65535" w:rsidP="00DA7839">
            <w:pPr>
              <w:pStyle w:val="Normal1"/>
              <w:jc w:val="both"/>
            </w:pPr>
            <w:bookmarkStart w:id="27" w:name="_49x2ik5"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7AB1D592"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2E58A29" w14:textId="77777777" w:rsidTr="005D5770">
        <w:tc>
          <w:tcPr>
            <w:tcW w:w="1230" w:type="dxa"/>
          </w:tcPr>
          <w:p w14:paraId="2D00CDC1" w14:textId="77777777" w:rsidR="00E65535" w:rsidRDefault="00E65535" w:rsidP="00DA7839">
            <w:pPr>
              <w:pStyle w:val="Normal1"/>
              <w:tabs>
                <w:tab w:val="left" w:pos="0"/>
              </w:tabs>
              <w:jc w:val="both"/>
            </w:pPr>
            <w:r>
              <w:rPr>
                <w:rFonts w:ascii="Arial" w:eastAsia="Arial" w:hAnsi="Arial" w:cs="Arial"/>
                <w:sz w:val="22"/>
                <w:szCs w:val="22"/>
              </w:rPr>
              <w:t>3.1 (c)</w:t>
            </w:r>
          </w:p>
        </w:tc>
        <w:tc>
          <w:tcPr>
            <w:tcW w:w="4575" w:type="dxa"/>
          </w:tcPr>
          <w:p w14:paraId="12E23717" w14:textId="77777777" w:rsidR="00E65535" w:rsidRDefault="00E65535" w:rsidP="00DA7839">
            <w:pPr>
              <w:pStyle w:val="Normal1"/>
              <w:jc w:val="both"/>
            </w:pPr>
            <w:r>
              <w:rPr>
                <w:rFonts w:ascii="Arial" w:eastAsia="Arial" w:hAnsi="Arial" w:cs="Arial"/>
                <w:sz w:val="22"/>
                <w:szCs w:val="22"/>
              </w:rPr>
              <w:t xml:space="preserve">Breach of labour law obligations? </w:t>
            </w:r>
          </w:p>
        </w:tc>
        <w:tc>
          <w:tcPr>
            <w:tcW w:w="3547" w:type="dxa"/>
          </w:tcPr>
          <w:p w14:paraId="0B6815E5" w14:textId="77777777" w:rsidR="00E65535" w:rsidRDefault="00E65535" w:rsidP="00DA7839">
            <w:pPr>
              <w:pStyle w:val="Normal1"/>
              <w:jc w:val="both"/>
            </w:pPr>
            <w:bookmarkStart w:id="28" w:name="_2p2csry"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31CAFEF" w14:textId="77777777" w:rsidR="00E65535" w:rsidRDefault="00E65535" w:rsidP="00DA7839">
            <w:pPr>
              <w:pStyle w:val="Normal1"/>
              <w:jc w:val="both"/>
            </w:pPr>
            <w:bookmarkStart w:id="29" w:name="_147n2zr" w:colFirst="0" w:colLast="0"/>
            <w:bookmarkEnd w:id="29"/>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6E963113"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2902B198" w14:textId="77777777" w:rsidTr="005D5770">
        <w:tc>
          <w:tcPr>
            <w:tcW w:w="1230" w:type="dxa"/>
          </w:tcPr>
          <w:p w14:paraId="0AF1FBDF" w14:textId="77777777" w:rsidR="00E65535" w:rsidRDefault="00E65535" w:rsidP="00DA7839">
            <w:pPr>
              <w:pStyle w:val="Normal1"/>
              <w:tabs>
                <w:tab w:val="left" w:pos="743"/>
              </w:tabs>
              <w:spacing w:before="100"/>
              <w:jc w:val="both"/>
            </w:pPr>
            <w:r>
              <w:rPr>
                <w:rFonts w:ascii="Arial" w:eastAsia="Arial" w:hAnsi="Arial" w:cs="Arial"/>
                <w:sz w:val="22"/>
                <w:szCs w:val="22"/>
              </w:rPr>
              <w:lastRenderedPageBreak/>
              <w:t>3.1(d)</w:t>
            </w:r>
          </w:p>
        </w:tc>
        <w:tc>
          <w:tcPr>
            <w:tcW w:w="4575" w:type="dxa"/>
          </w:tcPr>
          <w:p w14:paraId="00585D9A" w14:textId="77777777" w:rsidR="00E65535" w:rsidRDefault="00E65535" w:rsidP="00DA783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90B8A47" w14:textId="77777777" w:rsidR="00E65535" w:rsidRDefault="00E65535" w:rsidP="00DA7839">
            <w:pPr>
              <w:pStyle w:val="Normal1"/>
              <w:jc w:val="both"/>
            </w:pPr>
            <w:bookmarkStart w:id="30" w:name="_3o7alnk"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2AC49B84" w14:textId="77777777" w:rsidR="00E65535" w:rsidRDefault="00E65535" w:rsidP="00DA7839">
            <w:pPr>
              <w:pStyle w:val="Normal1"/>
              <w:jc w:val="both"/>
            </w:pPr>
            <w:bookmarkStart w:id="31" w:name="_23ckvvd"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538ED106"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8F5A441" w14:textId="77777777" w:rsidR="00E65535" w:rsidRDefault="00E65535" w:rsidP="00DA7839">
            <w:pPr>
              <w:pStyle w:val="Normal1"/>
              <w:spacing w:before="100"/>
              <w:jc w:val="both"/>
            </w:pPr>
          </w:p>
          <w:p w14:paraId="72AB199E" w14:textId="77777777" w:rsidR="00E65535" w:rsidRDefault="00E65535" w:rsidP="00DA7839">
            <w:pPr>
              <w:pStyle w:val="Normal1"/>
              <w:spacing w:before="100"/>
              <w:jc w:val="both"/>
            </w:pPr>
          </w:p>
        </w:tc>
      </w:tr>
      <w:tr w:rsidR="00E65535" w14:paraId="081A0FFD" w14:textId="77777777" w:rsidTr="005D5770">
        <w:trPr>
          <w:trHeight w:val="240"/>
        </w:trPr>
        <w:tc>
          <w:tcPr>
            <w:tcW w:w="1230" w:type="dxa"/>
          </w:tcPr>
          <w:p w14:paraId="6763DCF9" w14:textId="77777777" w:rsidR="00E65535" w:rsidRDefault="00E65535" w:rsidP="00DA7839">
            <w:pPr>
              <w:pStyle w:val="Normal1"/>
              <w:tabs>
                <w:tab w:val="left" w:pos="34"/>
              </w:tabs>
              <w:spacing w:before="100"/>
              <w:jc w:val="both"/>
            </w:pPr>
            <w:r>
              <w:rPr>
                <w:rFonts w:ascii="Arial" w:eastAsia="Arial" w:hAnsi="Arial" w:cs="Arial"/>
                <w:sz w:val="22"/>
                <w:szCs w:val="22"/>
              </w:rPr>
              <w:t>3.1(e)</w:t>
            </w:r>
          </w:p>
        </w:tc>
        <w:tc>
          <w:tcPr>
            <w:tcW w:w="4575" w:type="dxa"/>
          </w:tcPr>
          <w:p w14:paraId="7D21249B" w14:textId="77777777" w:rsidR="00E65535" w:rsidRDefault="00E65535" w:rsidP="00DA7839">
            <w:pPr>
              <w:pStyle w:val="Normal1"/>
              <w:spacing w:before="100"/>
              <w:jc w:val="both"/>
            </w:pPr>
            <w:r>
              <w:rPr>
                <w:rFonts w:ascii="Arial" w:eastAsia="Arial" w:hAnsi="Arial" w:cs="Arial"/>
                <w:sz w:val="22"/>
                <w:szCs w:val="22"/>
              </w:rPr>
              <w:t>Guilty of grave professional misconduct?</w:t>
            </w:r>
          </w:p>
        </w:tc>
        <w:tc>
          <w:tcPr>
            <w:tcW w:w="3547" w:type="dxa"/>
          </w:tcPr>
          <w:p w14:paraId="7B863A94" w14:textId="77777777" w:rsidR="00E65535" w:rsidRDefault="00E65535" w:rsidP="00DA7839">
            <w:pPr>
              <w:pStyle w:val="Normal1"/>
              <w:jc w:val="both"/>
            </w:pPr>
            <w:bookmarkStart w:id="32" w:name="_ihv636"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7822BBC" w14:textId="77777777" w:rsidR="00E65535" w:rsidRDefault="00E65535" w:rsidP="00DA7839">
            <w:pPr>
              <w:pStyle w:val="Normal1"/>
              <w:jc w:val="both"/>
            </w:pPr>
            <w:bookmarkStart w:id="33" w:name="_32hioqz"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07D4C1C3"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51D9EF20" w14:textId="77777777" w:rsidTr="005D5770">
        <w:tc>
          <w:tcPr>
            <w:tcW w:w="1230" w:type="dxa"/>
          </w:tcPr>
          <w:p w14:paraId="6AE40E96" w14:textId="77777777" w:rsidR="00E65535" w:rsidRDefault="00E65535" w:rsidP="00DA7839">
            <w:pPr>
              <w:pStyle w:val="Normal1"/>
              <w:spacing w:before="100"/>
              <w:jc w:val="both"/>
            </w:pPr>
            <w:r>
              <w:rPr>
                <w:rFonts w:ascii="Arial" w:eastAsia="Arial" w:hAnsi="Arial" w:cs="Arial"/>
                <w:sz w:val="22"/>
                <w:szCs w:val="22"/>
              </w:rPr>
              <w:t>3.1(f)</w:t>
            </w:r>
          </w:p>
        </w:tc>
        <w:tc>
          <w:tcPr>
            <w:tcW w:w="4575" w:type="dxa"/>
          </w:tcPr>
          <w:p w14:paraId="4A107ABD" w14:textId="77777777" w:rsidR="00E65535" w:rsidRDefault="00E65535" w:rsidP="00DA783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5419460" w14:textId="77777777" w:rsidR="00E65535" w:rsidRDefault="00E65535" w:rsidP="00DA7839">
            <w:pPr>
              <w:pStyle w:val="Normal1"/>
              <w:jc w:val="both"/>
            </w:pPr>
            <w:bookmarkStart w:id="34" w:name="_1hmsyys"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FE62068" w14:textId="77777777" w:rsidR="00E65535" w:rsidRDefault="00E65535" w:rsidP="00DA7839">
            <w:pPr>
              <w:pStyle w:val="Normal1"/>
              <w:jc w:val="both"/>
            </w:pPr>
            <w:bookmarkStart w:id="35" w:name="_41mghml"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6A762798"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99E8501" w14:textId="77777777" w:rsidTr="005D5770">
        <w:tc>
          <w:tcPr>
            <w:tcW w:w="1230" w:type="dxa"/>
          </w:tcPr>
          <w:p w14:paraId="30B77099" w14:textId="77777777" w:rsidR="00E65535" w:rsidRDefault="00E65535" w:rsidP="00DA7839">
            <w:pPr>
              <w:pStyle w:val="Normal1"/>
              <w:spacing w:before="100"/>
              <w:jc w:val="both"/>
            </w:pPr>
            <w:r>
              <w:rPr>
                <w:rFonts w:ascii="Arial" w:eastAsia="Arial" w:hAnsi="Arial" w:cs="Arial"/>
                <w:sz w:val="22"/>
                <w:szCs w:val="22"/>
              </w:rPr>
              <w:t>3.1(g)</w:t>
            </w:r>
          </w:p>
        </w:tc>
        <w:tc>
          <w:tcPr>
            <w:tcW w:w="4575" w:type="dxa"/>
          </w:tcPr>
          <w:p w14:paraId="08676C7C" w14:textId="77777777" w:rsidR="00E65535" w:rsidRDefault="00E65535" w:rsidP="00DA783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02B98ECB" w14:textId="77777777" w:rsidR="00E65535" w:rsidRDefault="00E65535" w:rsidP="00DA7839">
            <w:pPr>
              <w:pStyle w:val="Normal1"/>
              <w:jc w:val="both"/>
            </w:pPr>
            <w:bookmarkStart w:id="36" w:name="_2grqrue"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23A7A8A3" w14:textId="77777777" w:rsidR="00E65535" w:rsidRDefault="00E65535" w:rsidP="00DA7839">
            <w:pPr>
              <w:pStyle w:val="Normal1"/>
              <w:jc w:val="both"/>
            </w:pPr>
            <w:bookmarkStart w:id="37" w:name="_vx1227"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1FD331B"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66C1170F" w14:textId="77777777" w:rsidTr="005D5770">
        <w:tc>
          <w:tcPr>
            <w:tcW w:w="1230" w:type="dxa"/>
          </w:tcPr>
          <w:p w14:paraId="716123F1" w14:textId="77777777" w:rsidR="00E65535" w:rsidRDefault="00E65535" w:rsidP="00DA7839">
            <w:pPr>
              <w:pStyle w:val="Normal1"/>
              <w:spacing w:before="100"/>
              <w:jc w:val="both"/>
            </w:pPr>
            <w:r>
              <w:rPr>
                <w:rFonts w:ascii="Arial" w:eastAsia="Arial" w:hAnsi="Arial" w:cs="Arial"/>
                <w:sz w:val="22"/>
                <w:szCs w:val="22"/>
              </w:rPr>
              <w:t>3.1(h)</w:t>
            </w:r>
          </w:p>
        </w:tc>
        <w:tc>
          <w:tcPr>
            <w:tcW w:w="4575" w:type="dxa"/>
          </w:tcPr>
          <w:p w14:paraId="36ACD7AD" w14:textId="77777777" w:rsidR="00E65535" w:rsidRDefault="00E65535" w:rsidP="00DA783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1FDADCE5" w14:textId="77777777" w:rsidR="00E65535" w:rsidRDefault="00E65535" w:rsidP="00DA7839">
            <w:pPr>
              <w:pStyle w:val="Normal1"/>
              <w:jc w:val="both"/>
            </w:pPr>
            <w:bookmarkStart w:id="38" w:name="_3fwokq0"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2A58F6E3" w14:textId="77777777" w:rsidR="00E65535" w:rsidRDefault="00E65535" w:rsidP="00DA7839">
            <w:pPr>
              <w:pStyle w:val="Normal1"/>
              <w:jc w:val="both"/>
            </w:pPr>
            <w:bookmarkStart w:id="39" w:name="_1v1yuxt"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3204370F"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619BE92F" w14:textId="77777777" w:rsidTr="005D5770">
        <w:tc>
          <w:tcPr>
            <w:tcW w:w="1230" w:type="dxa"/>
          </w:tcPr>
          <w:p w14:paraId="189E87C6" w14:textId="77777777" w:rsidR="00E65535" w:rsidRDefault="00E65535" w:rsidP="00DA783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14CB6AEF" w14:textId="77777777" w:rsidR="00E65535" w:rsidRDefault="00E65535" w:rsidP="00DA783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5AD2088C" w14:textId="77777777" w:rsidR="00E65535" w:rsidRDefault="00E65535" w:rsidP="00DA7839">
            <w:pPr>
              <w:pStyle w:val="Normal1"/>
              <w:jc w:val="both"/>
            </w:pPr>
            <w:bookmarkStart w:id="40" w:name="_4f1mdlm"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69EC5C4" w14:textId="77777777" w:rsidR="00E65535" w:rsidRDefault="00E65535" w:rsidP="00DA7839">
            <w:pPr>
              <w:pStyle w:val="Normal1"/>
              <w:jc w:val="both"/>
            </w:pPr>
            <w:bookmarkStart w:id="41" w:name="_2u6wntf"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5415C10D"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0B37CE85" w14:textId="77777777" w:rsidTr="005D5770">
        <w:trPr>
          <w:trHeight w:val="580"/>
        </w:trPr>
        <w:tc>
          <w:tcPr>
            <w:tcW w:w="1230" w:type="dxa"/>
          </w:tcPr>
          <w:p w14:paraId="354DABA2" w14:textId="77777777" w:rsidR="00E65535" w:rsidRDefault="00E65535" w:rsidP="00DA7839">
            <w:pPr>
              <w:pStyle w:val="Normal1"/>
              <w:jc w:val="both"/>
            </w:pPr>
            <w:r>
              <w:rPr>
                <w:rFonts w:ascii="Arial" w:eastAsia="Arial" w:hAnsi="Arial" w:cs="Arial"/>
                <w:sz w:val="22"/>
                <w:szCs w:val="22"/>
              </w:rPr>
              <w:t>3.1(j)</w:t>
            </w:r>
          </w:p>
          <w:p w14:paraId="7FBE2D7B" w14:textId="77777777" w:rsidR="00E65535" w:rsidRDefault="00E65535" w:rsidP="00DA7839">
            <w:pPr>
              <w:pStyle w:val="Normal1"/>
              <w:jc w:val="both"/>
            </w:pPr>
          </w:p>
          <w:p w14:paraId="3DE3BA66" w14:textId="77777777" w:rsidR="00E65535" w:rsidRDefault="00E65535" w:rsidP="00DA783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472B87D" w14:textId="77777777" w:rsidR="00E65535" w:rsidRDefault="00E65535" w:rsidP="00DA7839">
            <w:pPr>
              <w:pStyle w:val="Normal1"/>
              <w:jc w:val="both"/>
            </w:pPr>
          </w:p>
          <w:p w14:paraId="201C80A8" w14:textId="77777777" w:rsidR="00E65535" w:rsidRDefault="00E65535" w:rsidP="00DA7839">
            <w:pPr>
              <w:pStyle w:val="Normal1"/>
              <w:jc w:val="both"/>
            </w:pPr>
          </w:p>
          <w:p w14:paraId="0080806E" w14:textId="77777777" w:rsidR="00E65535" w:rsidRDefault="00E65535" w:rsidP="00DA7839">
            <w:pPr>
              <w:pStyle w:val="Normal1"/>
              <w:jc w:val="both"/>
            </w:pPr>
          </w:p>
          <w:p w14:paraId="5CCBB5CE" w14:textId="77777777" w:rsidR="00E65535" w:rsidRDefault="00E65535" w:rsidP="00DA7839">
            <w:pPr>
              <w:pStyle w:val="Normal1"/>
              <w:jc w:val="both"/>
            </w:pPr>
          </w:p>
          <w:p w14:paraId="0E0A825F" w14:textId="77777777" w:rsidR="00E65535" w:rsidRDefault="00E65535" w:rsidP="00DA7839">
            <w:pPr>
              <w:pStyle w:val="Normal1"/>
              <w:jc w:val="both"/>
            </w:pPr>
          </w:p>
          <w:p w14:paraId="44382FFB" w14:textId="77777777" w:rsidR="00E65535" w:rsidRDefault="00E65535" w:rsidP="00DA7839">
            <w:pPr>
              <w:pStyle w:val="Normal1"/>
              <w:jc w:val="both"/>
            </w:pPr>
            <w:r>
              <w:rPr>
                <w:rFonts w:ascii="Arial" w:eastAsia="Arial" w:hAnsi="Arial" w:cs="Arial"/>
                <w:sz w:val="22"/>
                <w:szCs w:val="22"/>
              </w:rPr>
              <w:t>3.1(j) - (ii)</w:t>
            </w:r>
          </w:p>
          <w:p w14:paraId="3A95963D" w14:textId="77777777" w:rsidR="00E65535" w:rsidRDefault="00E65535" w:rsidP="00DA7839">
            <w:pPr>
              <w:pStyle w:val="Normal1"/>
              <w:jc w:val="both"/>
            </w:pPr>
          </w:p>
          <w:p w14:paraId="17B164C6" w14:textId="77777777" w:rsidR="00E65535" w:rsidRDefault="00E65535" w:rsidP="00DA7839">
            <w:pPr>
              <w:pStyle w:val="Normal1"/>
              <w:jc w:val="both"/>
            </w:pPr>
          </w:p>
          <w:p w14:paraId="0B73C5C4" w14:textId="77777777" w:rsidR="00E65535" w:rsidRDefault="00E65535" w:rsidP="00DA7839">
            <w:pPr>
              <w:pStyle w:val="Normal1"/>
              <w:jc w:val="both"/>
            </w:pPr>
          </w:p>
          <w:p w14:paraId="7376AEC4" w14:textId="77777777" w:rsidR="00E65535" w:rsidRDefault="00E65535" w:rsidP="00DA7839">
            <w:pPr>
              <w:pStyle w:val="Normal1"/>
              <w:jc w:val="both"/>
            </w:pPr>
            <w:r>
              <w:rPr>
                <w:rFonts w:ascii="Arial" w:eastAsia="Arial" w:hAnsi="Arial" w:cs="Arial"/>
                <w:sz w:val="22"/>
                <w:szCs w:val="22"/>
              </w:rPr>
              <w:t>3.1(j) –(iii)</w:t>
            </w:r>
          </w:p>
          <w:p w14:paraId="2B1B88BF" w14:textId="77777777" w:rsidR="00E65535" w:rsidRDefault="00E65535" w:rsidP="00DA7839">
            <w:pPr>
              <w:pStyle w:val="Normal1"/>
              <w:jc w:val="both"/>
            </w:pPr>
          </w:p>
          <w:p w14:paraId="5A59BE75" w14:textId="77777777" w:rsidR="00E65535" w:rsidRDefault="00E65535" w:rsidP="00DA7839">
            <w:pPr>
              <w:pStyle w:val="Normal1"/>
              <w:jc w:val="both"/>
            </w:pPr>
          </w:p>
          <w:p w14:paraId="3FEC7BC0" w14:textId="77777777" w:rsidR="00E65535" w:rsidRDefault="00E65535" w:rsidP="00DA7839">
            <w:pPr>
              <w:pStyle w:val="Normal1"/>
              <w:jc w:val="both"/>
            </w:pPr>
          </w:p>
          <w:p w14:paraId="6E544825" w14:textId="77777777" w:rsidR="00E65535" w:rsidRDefault="00E65535" w:rsidP="00DA7839">
            <w:pPr>
              <w:pStyle w:val="Normal1"/>
              <w:jc w:val="both"/>
            </w:pPr>
          </w:p>
          <w:p w14:paraId="326093A7" w14:textId="77777777" w:rsidR="00E65535" w:rsidRDefault="00E65535" w:rsidP="00DA7839">
            <w:pPr>
              <w:pStyle w:val="Normal1"/>
              <w:jc w:val="both"/>
            </w:pPr>
            <w:r>
              <w:rPr>
                <w:rFonts w:ascii="Arial" w:eastAsia="Arial" w:hAnsi="Arial" w:cs="Arial"/>
                <w:sz w:val="22"/>
                <w:szCs w:val="22"/>
              </w:rPr>
              <w:t>3.1(j)-(iv)</w:t>
            </w:r>
          </w:p>
          <w:p w14:paraId="3E0D29D6" w14:textId="77777777" w:rsidR="00E65535" w:rsidRDefault="00E65535" w:rsidP="00DA7839">
            <w:pPr>
              <w:pStyle w:val="Normal1"/>
              <w:jc w:val="both"/>
            </w:pPr>
          </w:p>
          <w:p w14:paraId="1A0ACB1D" w14:textId="77777777" w:rsidR="00E65535" w:rsidRDefault="00E65535" w:rsidP="00DA7839">
            <w:pPr>
              <w:pStyle w:val="Normal1"/>
              <w:jc w:val="both"/>
            </w:pPr>
          </w:p>
          <w:p w14:paraId="2B1EDF3E" w14:textId="77777777" w:rsidR="00E65535" w:rsidRDefault="00E65535" w:rsidP="00DA7839">
            <w:pPr>
              <w:pStyle w:val="Normal1"/>
              <w:jc w:val="both"/>
            </w:pPr>
          </w:p>
          <w:p w14:paraId="5A6720D8" w14:textId="77777777" w:rsidR="00E65535" w:rsidRDefault="00E65535" w:rsidP="00DA7839">
            <w:pPr>
              <w:pStyle w:val="Normal1"/>
              <w:jc w:val="both"/>
            </w:pPr>
          </w:p>
          <w:p w14:paraId="4163D7B5" w14:textId="77777777" w:rsidR="00E65535" w:rsidRDefault="00E65535" w:rsidP="00DA7839">
            <w:pPr>
              <w:pStyle w:val="Normal1"/>
              <w:jc w:val="both"/>
            </w:pPr>
          </w:p>
        </w:tc>
        <w:tc>
          <w:tcPr>
            <w:tcW w:w="4575" w:type="dxa"/>
          </w:tcPr>
          <w:p w14:paraId="2E572168" w14:textId="77777777" w:rsidR="00E65535" w:rsidRDefault="00E65535" w:rsidP="00DA7839">
            <w:pPr>
              <w:pStyle w:val="Normal1"/>
              <w:jc w:val="both"/>
            </w:pPr>
            <w:r>
              <w:rPr>
                <w:rFonts w:ascii="Arial" w:eastAsia="Arial" w:hAnsi="Arial" w:cs="Arial"/>
                <w:sz w:val="22"/>
                <w:szCs w:val="22"/>
              </w:rPr>
              <w:lastRenderedPageBreak/>
              <w:t>Please answer the following statements</w:t>
            </w:r>
          </w:p>
          <w:p w14:paraId="5FA966C6" w14:textId="77777777" w:rsidR="00E65535" w:rsidRDefault="00E65535" w:rsidP="00DA7839">
            <w:pPr>
              <w:pStyle w:val="Normal1"/>
              <w:jc w:val="both"/>
            </w:pPr>
          </w:p>
          <w:p w14:paraId="00D8AB86" w14:textId="77777777" w:rsidR="00E65535" w:rsidRDefault="00E65535" w:rsidP="00DA783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338F53F" w14:textId="77777777" w:rsidR="00E65535" w:rsidRDefault="00E65535" w:rsidP="00DA7839">
            <w:pPr>
              <w:pStyle w:val="Normal1"/>
              <w:jc w:val="both"/>
            </w:pPr>
          </w:p>
          <w:p w14:paraId="0B2522E5" w14:textId="77777777" w:rsidR="00E65535" w:rsidRDefault="00E65535" w:rsidP="00DA7839">
            <w:pPr>
              <w:pStyle w:val="Normal1"/>
              <w:jc w:val="both"/>
            </w:pPr>
            <w:r>
              <w:rPr>
                <w:rFonts w:ascii="Arial" w:eastAsia="Arial" w:hAnsi="Arial" w:cs="Arial"/>
                <w:sz w:val="22"/>
                <w:szCs w:val="22"/>
              </w:rPr>
              <w:t>The organisation has withheld such information.</w:t>
            </w:r>
          </w:p>
          <w:p w14:paraId="2AB8623A" w14:textId="77777777" w:rsidR="00E65535" w:rsidRDefault="00E65535" w:rsidP="00DA7839">
            <w:pPr>
              <w:pStyle w:val="Normal1"/>
              <w:jc w:val="both"/>
            </w:pPr>
          </w:p>
          <w:p w14:paraId="7E9D21A5" w14:textId="77777777" w:rsidR="00E65535" w:rsidRDefault="00E65535" w:rsidP="00DA7839">
            <w:pPr>
              <w:pStyle w:val="Normal1"/>
              <w:jc w:val="both"/>
            </w:pPr>
          </w:p>
          <w:p w14:paraId="6D20C5F1" w14:textId="77777777" w:rsidR="00E65535" w:rsidRDefault="00E65535" w:rsidP="00DA783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1D568EB0" w14:textId="77777777" w:rsidR="00E65535" w:rsidRDefault="00E65535" w:rsidP="00DA7839">
            <w:pPr>
              <w:pStyle w:val="Normal1"/>
              <w:jc w:val="both"/>
            </w:pPr>
          </w:p>
          <w:p w14:paraId="1CACAB37" w14:textId="77777777" w:rsidR="00E65535" w:rsidRDefault="00E65535" w:rsidP="00DA783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w:t>
            </w:r>
            <w:r>
              <w:rPr>
                <w:rFonts w:ascii="Arial" w:eastAsia="Arial" w:hAnsi="Arial" w:cs="Arial"/>
                <w:sz w:val="22"/>
                <w:szCs w:val="22"/>
              </w:rPr>
              <w:lastRenderedPageBreak/>
              <w:t>to negligently provided misleading information that may have a material influence on decisions concerning exclusion, selection or award.</w:t>
            </w:r>
          </w:p>
        </w:tc>
        <w:tc>
          <w:tcPr>
            <w:tcW w:w="3547" w:type="dxa"/>
          </w:tcPr>
          <w:p w14:paraId="27311614" w14:textId="77777777" w:rsidR="00E65535" w:rsidRDefault="00E65535" w:rsidP="00DA7839">
            <w:pPr>
              <w:pStyle w:val="Normal1"/>
              <w:spacing w:before="100"/>
              <w:jc w:val="both"/>
            </w:pPr>
          </w:p>
          <w:p w14:paraId="2128C07A" w14:textId="77777777" w:rsidR="00E65535" w:rsidRDefault="00E65535" w:rsidP="00DA7839">
            <w:pPr>
              <w:pStyle w:val="Normal1"/>
              <w:jc w:val="both"/>
            </w:pPr>
            <w:bookmarkStart w:id="42" w:name="_19c6y18"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36CDF8A" w14:textId="77777777" w:rsidR="00E65535" w:rsidRDefault="00E65535" w:rsidP="00DA7839">
            <w:pPr>
              <w:pStyle w:val="Normal1"/>
              <w:jc w:val="both"/>
            </w:pPr>
            <w:bookmarkStart w:id="43" w:name="_3tbugp1"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2C87517"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F40E9E5" w14:textId="77777777" w:rsidR="00E65535" w:rsidRDefault="00E65535" w:rsidP="00DA7839">
            <w:pPr>
              <w:pStyle w:val="Normal1"/>
              <w:jc w:val="both"/>
            </w:pPr>
          </w:p>
          <w:p w14:paraId="4859B774" w14:textId="77777777" w:rsidR="00E65535" w:rsidRDefault="00E65535" w:rsidP="00DA7839">
            <w:pPr>
              <w:pStyle w:val="Normal1"/>
              <w:jc w:val="both"/>
            </w:pPr>
          </w:p>
          <w:p w14:paraId="34DFBEFF" w14:textId="77777777" w:rsidR="00E65535" w:rsidRDefault="00E65535" w:rsidP="00DA7839">
            <w:pPr>
              <w:pStyle w:val="Normal1"/>
              <w:jc w:val="both"/>
            </w:pPr>
            <w:bookmarkStart w:id="44" w:name="_28h4qwu"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06AF1F05" w14:textId="77777777" w:rsidR="00E65535" w:rsidRDefault="00E65535" w:rsidP="00DA7839">
            <w:pPr>
              <w:pStyle w:val="Normal1"/>
              <w:jc w:val="both"/>
            </w:pPr>
            <w:bookmarkStart w:id="45" w:name="_nmf14n"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0745C941"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B466C33" w14:textId="77777777" w:rsidR="00E65535" w:rsidRDefault="00E65535" w:rsidP="00DA7839">
            <w:pPr>
              <w:pStyle w:val="Normal1"/>
              <w:jc w:val="both"/>
            </w:pPr>
          </w:p>
          <w:p w14:paraId="77B1B318" w14:textId="77777777"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30A65D" w14:textId="77777777"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06B275D"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D1CBB7" w14:textId="77777777" w:rsidR="00E65535" w:rsidRDefault="00E65535" w:rsidP="00DA7839">
            <w:pPr>
              <w:pStyle w:val="Normal1"/>
              <w:jc w:val="both"/>
            </w:pPr>
          </w:p>
          <w:p w14:paraId="1080F669" w14:textId="77777777" w:rsidR="00E65535" w:rsidRDefault="00E65535" w:rsidP="00DA7839">
            <w:pPr>
              <w:pStyle w:val="Normal1"/>
              <w:jc w:val="both"/>
            </w:pPr>
          </w:p>
          <w:p w14:paraId="3E79E632" w14:textId="77777777"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580F403" w14:textId="77777777"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F1E0DDB"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F063A36" w14:textId="77777777" w:rsidR="00E65535" w:rsidRDefault="00E65535" w:rsidP="00DA7839">
            <w:pPr>
              <w:pStyle w:val="Normal1"/>
              <w:jc w:val="both"/>
            </w:pPr>
          </w:p>
          <w:p w14:paraId="0CF4178A" w14:textId="77777777" w:rsidR="00E65535" w:rsidRDefault="00E65535" w:rsidP="00DA7839">
            <w:pPr>
              <w:pStyle w:val="Normal1"/>
              <w:jc w:val="both"/>
            </w:pPr>
          </w:p>
        </w:tc>
      </w:tr>
    </w:tbl>
    <w:p w14:paraId="76FA7F6F" w14:textId="77777777" w:rsidR="00E65535" w:rsidRDefault="00E65535" w:rsidP="00DA7839">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65535" w14:paraId="13F8AF26" w14:textId="77777777" w:rsidTr="005D5770">
        <w:tc>
          <w:tcPr>
            <w:tcW w:w="1257" w:type="dxa"/>
          </w:tcPr>
          <w:p w14:paraId="02F7AB3B" w14:textId="77777777" w:rsidR="00E65535" w:rsidRDefault="00E65535" w:rsidP="00DA7839">
            <w:pPr>
              <w:pStyle w:val="Normal1"/>
              <w:spacing w:before="100"/>
              <w:jc w:val="both"/>
            </w:pPr>
            <w:r>
              <w:rPr>
                <w:rFonts w:ascii="Arial" w:eastAsia="Arial" w:hAnsi="Arial" w:cs="Arial"/>
                <w:sz w:val="22"/>
                <w:szCs w:val="22"/>
              </w:rPr>
              <w:t>3.2</w:t>
            </w:r>
          </w:p>
        </w:tc>
        <w:tc>
          <w:tcPr>
            <w:tcW w:w="4521" w:type="dxa"/>
          </w:tcPr>
          <w:p w14:paraId="7270AB1B" w14:textId="77777777" w:rsidR="00E65535" w:rsidRDefault="00E65535" w:rsidP="00DA783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67611F3F" w14:textId="77777777" w:rsidR="00E65535" w:rsidRDefault="00E65535" w:rsidP="00DA7839">
            <w:pPr>
              <w:pStyle w:val="Normal1"/>
              <w:spacing w:before="100"/>
              <w:jc w:val="both"/>
            </w:pPr>
          </w:p>
        </w:tc>
      </w:tr>
    </w:tbl>
    <w:p w14:paraId="4663F09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0310A127" w14:textId="77777777"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30030AAB" w14:textId="77777777"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p>
    <w:p w14:paraId="7FBD101F" w14:textId="77777777" w:rsidR="002B6384" w:rsidRPr="002B6384" w:rsidRDefault="00FA5787"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may assess the past performance of a Supplier (through a Certificate of Performance provided by a Customer or other means of evidence). </w:t>
      </w:r>
      <w:r>
        <w:rPr>
          <w:rFonts w:eastAsia="Arial" w:cs="Arial"/>
          <w:color w:val="000000"/>
          <w:szCs w:val="20"/>
        </w:rPr>
        <w:t>SMC</w:t>
      </w:r>
      <w:r w:rsidR="002B6384" w:rsidRPr="002B6384">
        <w:rPr>
          <w:rFonts w:eastAsia="Arial" w:cs="Arial"/>
          <w:color w:val="000000"/>
          <w:szCs w:val="20"/>
        </w:rPr>
        <w:t xml:space="preserve"> may also assess whether specified minimum standards for reliability for such contracts are met. </w:t>
      </w:r>
    </w:p>
    <w:p w14:paraId="1320697B"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5D7B3CAB" w14:textId="77777777" w:rsidR="002B6384" w:rsidRDefault="002B6384" w:rsidP="00DA7839">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w:t>
      </w:r>
      <w:r w:rsidR="00FA5787">
        <w:rPr>
          <w:rFonts w:eastAsia="Arial" w:cs="Arial"/>
          <w:color w:val="000000"/>
          <w:szCs w:val="20"/>
        </w:rPr>
        <w:t>SMC</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5BD353AC" w14:textId="77777777" w:rsidR="00721F1C" w:rsidRDefault="00721F1C" w:rsidP="00DA7839">
      <w:pPr>
        <w:widowControl/>
        <w:suppressAutoHyphens/>
        <w:overflowPunct/>
        <w:autoSpaceDE/>
        <w:adjustRightInd/>
        <w:jc w:val="both"/>
        <w:rPr>
          <w:rFonts w:eastAsia="Arial" w:cs="Arial"/>
          <w:color w:val="000000"/>
          <w:szCs w:val="20"/>
        </w:rPr>
      </w:pPr>
    </w:p>
    <w:p w14:paraId="553DC85F" w14:textId="77777777" w:rsidR="00A57C51" w:rsidRPr="00A57C51" w:rsidRDefault="00A57C51" w:rsidP="00DA7839">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3E3CCB04"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3D451E83" w14:textId="77777777" w:rsidR="002B6384" w:rsidRPr="002B6384" w:rsidRDefault="005D7D23"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1FB05B1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4BA235A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w:t>
      </w:r>
      <w:r w:rsidR="005D7D23">
        <w:rPr>
          <w:rFonts w:eastAsia="Arial" w:cs="Arial"/>
          <w:color w:val="000000"/>
          <w:szCs w:val="20"/>
        </w:rPr>
        <w:t>SMC</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28F01989"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1E107184"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77DF9923"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5802B8CB" w14:textId="77777777" w:rsidR="002B6384" w:rsidRPr="002B6384" w:rsidRDefault="002B6384" w:rsidP="00EA4286">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7B781EEE" w14:textId="77777777" w:rsidR="002B6384" w:rsidRPr="002B6384" w:rsidRDefault="002B6384" w:rsidP="00DA7839">
      <w:pPr>
        <w:widowControl/>
        <w:suppressAutoHyphens/>
        <w:overflowPunct/>
        <w:autoSpaceDE/>
        <w:adjustRightInd/>
        <w:ind w:left="720"/>
        <w:jc w:val="both"/>
        <w:rPr>
          <w:rFonts w:ascii="Calibri" w:eastAsia="Calibri" w:hAnsi="Calibri" w:cs="Calibri"/>
          <w:color w:val="000000"/>
          <w:szCs w:val="20"/>
        </w:rPr>
      </w:pPr>
    </w:p>
    <w:p w14:paraId="4A4792D6" w14:textId="77777777" w:rsidR="002B6384" w:rsidRPr="002B6384" w:rsidRDefault="002B6384" w:rsidP="00EA4286">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w:t>
      </w:r>
      <w:proofErr w:type="gramStart"/>
      <w:r w:rsidRPr="002B6384">
        <w:rPr>
          <w:rFonts w:eastAsia="Arial" w:cs="Arial"/>
          <w:color w:val="000000"/>
          <w:szCs w:val="20"/>
        </w:rPr>
        <w:t>similar to</w:t>
      </w:r>
      <w:proofErr w:type="gramEnd"/>
      <w:r w:rsidRPr="002B6384">
        <w:rPr>
          <w:rFonts w:eastAsia="Arial" w:cs="Arial"/>
          <w:color w:val="000000"/>
          <w:szCs w:val="20"/>
        </w:rPr>
        <w:t xml:space="preserve"> the General Anti-Abuse Rule or the Halifax Abuse Principle; </w:t>
      </w:r>
    </w:p>
    <w:p w14:paraId="36D8F7AE" w14:textId="77777777" w:rsidR="002B6384" w:rsidRPr="002B6384" w:rsidRDefault="002B6384" w:rsidP="00EA4286">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3CA2A32E" w14:textId="77777777" w:rsidR="002B6384" w:rsidRPr="002B6384" w:rsidRDefault="002B6384" w:rsidP="00DA7839">
      <w:pPr>
        <w:widowControl/>
        <w:suppressAutoHyphens/>
        <w:overflowPunct/>
        <w:autoSpaceDE/>
        <w:adjustRightInd/>
        <w:ind w:left="1134"/>
        <w:jc w:val="both"/>
        <w:rPr>
          <w:rFonts w:ascii="Calibri" w:eastAsia="Calibri" w:hAnsi="Calibri" w:cs="Calibri"/>
          <w:color w:val="000000"/>
          <w:szCs w:val="20"/>
        </w:rPr>
      </w:pPr>
    </w:p>
    <w:p w14:paraId="465AF4CD" w14:textId="77777777" w:rsidR="00697C31" w:rsidRPr="00697C31" w:rsidRDefault="002B6384" w:rsidP="00EA4286">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r w:rsidR="00697C31">
        <w:rPr>
          <w:rFonts w:eastAsia="Arial" w:cs="Arial"/>
          <w:color w:val="000000"/>
          <w:szCs w:val="20"/>
        </w:rPr>
        <w:t>.</w:t>
      </w: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B6384" w:rsidRPr="002B6384" w14:paraId="60FB4EAC" w14:textId="77777777" w:rsidTr="009C2CDB">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E353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lastRenderedPageBreak/>
              <w:t>From 1 April 2013 onwards, have any of your company’s tax returns submitted on or after 1 October 2012; (Please indicate your answer by marking ‘X’ in the relevant box).</w:t>
            </w:r>
          </w:p>
        </w:tc>
      </w:tr>
      <w:tr w:rsidR="002B6384" w:rsidRPr="002B6384" w14:paraId="69D2301F"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60D54" w14:textId="77777777"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A182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C377A"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11A91179"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14:paraId="1E1013BE" w14:textId="77777777"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0DC6B787"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8CF5C5" w14:textId="77777777"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D5E9C" w14:textId="77777777"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04E34A90"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1EB01928"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a tax authority in a jurisdiction in which the legal entity is established successfully challenging </w:t>
            </w:r>
            <w:proofErr w:type="gramStart"/>
            <w:r w:rsidRPr="002B6384">
              <w:rPr>
                <w:rFonts w:eastAsia="Arial" w:cs="Arial"/>
                <w:color w:val="000000"/>
                <w:szCs w:val="20"/>
              </w:rPr>
              <w:t>it  under</w:t>
            </w:r>
            <w:proofErr w:type="gramEnd"/>
            <w:r w:rsidRPr="002B6384">
              <w:rPr>
                <w:rFonts w:eastAsia="Arial" w:cs="Arial"/>
                <w:color w:val="000000"/>
                <w:szCs w:val="20"/>
              </w:rPr>
              <w:t xml:space="preserve"> any tax rules or legislation that have an effect equivalent or similar to the GAAR or the “Halifax” abuse principle; or</w:t>
            </w:r>
          </w:p>
          <w:p w14:paraId="64C1D8C3"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A5AABF"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1D944F89"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14:paraId="5DBBEED8" w14:textId="77777777"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4F0A9D77" w14:textId="77777777" w:rsidTr="009C2CDB">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B6E77" w14:textId="77777777"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p>
          <w:p w14:paraId="69499C73" w14:textId="77777777"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w:t>
            </w:r>
            <w:r w:rsidR="005D7D23">
              <w:rPr>
                <w:rFonts w:eastAsia="Arial" w:cs="Arial"/>
                <w:color w:val="000000"/>
                <w:szCs w:val="20"/>
              </w:rPr>
              <w:t>SMC</w:t>
            </w:r>
            <w:r w:rsidRPr="002B6384">
              <w:rPr>
                <w:rFonts w:eastAsia="Arial" w:cs="Arial"/>
                <w:color w:val="000000"/>
                <w:szCs w:val="20"/>
              </w:rPr>
              <w:t xml:space="preserve"> to take into consideration.  This could include, for example: </w:t>
            </w:r>
          </w:p>
          <w:p w14:paraId="4803E415"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5851E094"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58217DA2"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7DD90F6"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2A0EF06E" w14:textId="77777777" w:rsidR="002B6384" w:rsidRPr="002B6384" w:rsidRDefault="002B6384" w:rsidP="00DA7839">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1A2A753E" w14:textId="77777777"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 xml:space="preserve">In order that </w:t>
            </w:r>
            <w:r w:rsidR="005D7D23">
              <w:rPr>
                <w:rFonts w:eastAsia="Arial" w:cs="Arial"/>
                <w:color w:val="000000"/>
                <w:szCs w:val="20"/>
              </w:rPr>
              <w:t>SMC</w:t>
            </w:r>
            <w:r w:rsidRPr="002B6384">
              <w:rPr>
                <w:rFonts w:eastAsia="Arial" w:cs="Arial"/>
                <w:color w:val="000000"/>
                <w:szCs w:val="20"/>
              </w:rPr>
              <w:t xml:space="preserve"> can consider any factors raised by the Supplier, the following information should be provided:</w:t>
            </w:r>
          </w:p>
          <w:p w14:paraId="69E097B9"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682989FE"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1C9FC3CC"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38271984" w14:textId="77777777" w:rsidR="002B6384" w:rsidRPr="00DA7839"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tc>
      </w:tr>
    </w:tbl>
    <w:p w14:paraId="6547C721" w14:textId="77777777"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0DAF2238" w14:textId="77777777"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charities and voluntary sector organisations are included and encouraged to compete for our contracts.</w:t>
      </w:r>
    </w:p>
    <w:p w14:paraId="12C08108" w14:textId="77777777" w:rsidR="00B16236" w:rsidRPr="00855148" w:rsidRDefault="00B16236" w:rsidP="00AE08C6">
      <w:pPr>
        <w:rPr>
          <w:rFonts w:cs="Times New Roman"/>
          <w:lang w:eastAsia="en-US"/>
        </w:rPr>
      </w:pPr>
    </w:p>
    <w:p w14:paraId="7E22DCB4" w14:textId="77777777"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1A79EC90" w14:textId="77777777" w:rsidR="001C69F7" w:rsidRPr="00855148" w:rsidRDefault="001C69F7" w:rsidP="00AE08C6">
      <w:pPr>
        <w:rPr>
          <w:rFonts w:cs="Times New Roman"/>
          <w:lang w:eastAsia="en-US"/>
        </w:rPr>
      </w:pPr>
    </w:p>
    <w:p w14:paraId="52751DDD" w14:textId="77777777" w:rsidR="00665895" w:rsidRPr="008B0D33" w:rsidRDefault="008E4796" w:rsidP="00665895">
      <w:pPr>
        <w:rPr>
          <w:rFonts w:cs="Arial"/>
          <w:sz w:val="20"/>
          <w:szCs w:val="20"/>
        </w:rPr>
      </w:pPr>
      <w:proofErr w:type="spellStart"/>
      <w:r w:rsidRPr="008B0D33">
        <w:rPr>
          <w:rFonts w:cs="Arial"/>
          <w:sz w:val="20"/>
          <w:szCs w:val="20"/>
        </w:rPr>
        <w:t>Defn</w:t>
      </w:r>
      <w:proofErr w:type="spellEnd"/>
      <w:r w:rsidRPr="008B0D33">
        <w:rPr>
          <w:rFonts w:cs="Arial"/>
          <w:sz w:val="20"/>
          <w:szCs w:val="20"/>
        </w:rPr>
        <w:t xml:space="preserve">; </w:t>
      </w:r>
      <w:r w:rsidR="00665895" w:rsidRPr="008B0D33">
        <w:rPr>
          <w:rFonts w:cs="Arial"/>
          <w:sz w:val="20"/>
          <w:szCs w:val="20"/>
        </w:rPr>
        <w:t xml:space="preserve">A SME must be autonomous, an EU Company not owned or controlled by a </w:t>
      </w:r>
      <w:proofErr w:type="spellStart"/>
      <w:proofErr w:type="gramStart"/>
      <w:r w:rsidR="00665895" w:rsidRPr="008B0D33">
        <w:rPr>
          <w:rFonts w:cs="Arial"/>
          <w:sz w:val="20"/>
          <w:szCs w:val="20"/>
        </w:rPr>
        <w:t>non EU</w:t>
      </w:r>
      <w:proofErr w:type="spellEnd"/>
      <w:proofErr w:type="gramEnd"/>
      <w:r w:rsidR="00665895" w:rsidRPr="008B0D33">
        <w:rPr>
          <w:rFonts w:cs="Arial"/>
          <w:sz w:val="20"/>
          <w:szCs w:val="20"/>
        </w:rPr>
        <w:t xml:space="preserve"> parent, and employ less than 250 staff and have sales below €50million</w:t>
      </w:r>
    </w:p>
    <w:p w14:paraId="7207810C" w14:textId="77777777" w:rsidR="00665895" w:rsidRPr="008B0D33" w:rsidRDefault="00665895" w:rsidP="00665895">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24EE9A6E" w14:textId="77777777" w:rsidR="00665895" w:rsidRPr="00855148" w:rsidRDefault="00665895" w:rsidP="00AE08C6">
      <w:pPr>
        <w:rPr>
          <w:rFonts w:cs="Times New Roman"/>
          <w:lang w:eastAsia="en-US"/>
        </w:rPr>
      </w:pPr>
    </w:p>
    <w:p w14:paraId="70A7252E"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574A50E4" w14:textId="77777777" w:rsidR="00B304BF" w:rsidRPr="00855148" w:rsidRDefault="00B304BF" w:rsidP="00AE08C6">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1C69F7" w:rsidRPr="001C69F7" w14:paraId="0FC80CEE" w14:textId="77777777" w:rsidTr="008262B7">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590E2C58"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208DD3E8" w14:textId="77777777" w:rsidTr="008262B7">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4BB97" w14:textId="77777777" w:rsidR="001C69F7" w:rsidRPr="001C69F7" w:rsidRDefault="001C69F7" w:rsidP="001C69F7">
            <w:pPr>
              <w:pStyle w:val="Numbered"/>
              <w:rPr>
                <w:b/>
                <w:bCs/>
              </w:rPr>
            </w:pPr>
            <w:r w:rsidRPr="001C69F7">
              <w:rPr>
                <w:b/>
                <w:bCs/>
              </w:rPr>
              <w:t xml:space="preserve">What type of supply arrangement best describes you in relation to this </w:t>
            </w:r>
            <w:proofErr w:type="gramStart"/>
            <w:r w:rsidRPr="001C69F7">
              <w:rPr>
                <w:b/>
                <w:bCs/>
              </w:rPr>
              <w:t>bid.</w:t>
            </w:r>
            <w:proofErr w:type="gramEnd"/>
            <w:r w:rsidRPr="001C69F7">
              <w:rPr>
                <w:b/>
                <w:bCs/>
              </w:rPr>
              <w:t xml:space="preserve">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32BD3B04" w14:textId="77777777" w:rsidR="001C69F7" w:rsidRPr="001C69F7" w:rsidRDefault="001C69F7" w:rsidP="001C69F7">
            <w:pPr>
              <w:pStyle w:val="Numbered"/>
              <w:rPr>
                <w:b/>
                <w:bCs/>
              </w:rPr>
            </w:pPr>
            <w:r w:rsidRPr="001C69F7">
              <w:rPr>
                <w:b/>
                <w:bCs/>
              </w:rPr>
              <w:t xml:space="preserve">Delete as appropriate  </w:t>
            </w:r>
          </w:p>
        </w:tc>
      </w:tr>
      <w:tr w:rsidR="001C69F7" w:rsidRPr="001C69F7" w14:paraId="487793F4"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741BF" w14:textId="77777777" w:rsidR="001C69F7" w:rsidRPr="001C69F7" w:rsidRDefault="001C69F7" w:rsidP="001C69F7">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D722DC1" w14:textId="77777777" w:rsidR="001C69F7" w:rsidRPr="001C69F7" w:rsidRDefault="001C69F7" w:rsidP="001C69F7">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0521835" w14:textId="77777777" w:rsidR="001C69F7" w:rsidRPr="001C69F7" w:rsidRDefault="001C69F7" w:rsidP="001C69F7">
            <w:pPr>
              <w:pStyle w:val="Numbered"/>
            </w:pPr>
            <w:r w:rsidRPr="001C69F7">
              <w:t xml:space="preserve">Yes/No </w:t>
            </w:r>
          </w:p>
        </w:tc>
      </w:tr>
      <w:tr w:rsidR="001C69F7" w:rsidRPr="001C69F7" w14:paraId="62024750" w14:textId="77777777" w:rsidTr="008262B7">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3C44B" w14:textId="77777777" w:rsidR="001C69F7" w:rsidRPr="001C69F7" w:rsidRDefault="001C69F7" w:rsidP="001C69F7">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2A3E441E" w14:textId="77777777" w:rsidR="001C69F7" w:rsidRPr="001C69F7" w:rsidRDefault="001C69F7" w:rsidP="001C69F7">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1C808B1" w14:textId="77777777" w:rsidR="001C69F7" w:rsidRPr="001C69F7" w:rsidRDefault="001C69F7" w:rsidP="001C69F7">
            <w:pPr>
              <w:pStyle w:val="Numbered"/>
            </w:pPr>
            <w:r w:rsidRPr="001C69F7">
              <w:t>Yes /No</w:t>
            </w:r>
          </w:p>
        </w:tc>
      </w:tr>
      <w:tr w:rsidR="001C69F7" w:rsidRPr="001C69F7" w14:paraId="3CCE6F08"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6C02D" w14:textId="77777777" w:rsidR="001C69F7" w:rsidRPr="001C69F7" w:rsidRDefault="001C69F7" w:rsidP="001C69F7">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42B73858" w14:textId="77777777" w:rsidR="001C69F7" w:rsidRPr="001C69F7" w:rsidRDefault="001C69F7" w:rsidP="001C69F7">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9F95214" w14:textId="77777777" w:rsidR="001C69F7" w:rsidRPr="001C69F7" w:rsidRDefault="001C69F7" w:rsidP="001C69F7">
            <w:pPr>
              <w:pStyle w:val="Numbered"/>
            </w:pPr>
            <w:r w:rsidRPr="001C69F7">
              <w:t>Yes/No</w:t>
            </w:r>
          </w:p>
        </w:tc>
      </w:tr>
      <w:tr w:rsidR="001C69F7" w:rsidRPr="001C69F7" w14:paraId="62DEA35D" w14:textId="77777777" w:rsidTr="008262B7">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4E5C" w14:textId="77777777" w:rsidR="001C69F7" w:rsidRPr="001C69F7" w:rsidRDefault="001C69F7" w:rsidP="001C69F7">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979120F" w14:textId="77777777" w:rsidR="001C69F7" w:rsidRPr="001C69F7" w:rsidRDefault="001C69F7" w:rsidP="001C69F7">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4B6C635" w14:textId="77777777" w:rsidR="001C69F7" w:rsidRPr="001C69F7" w:rsidRDefault="001C69F7" w:rsidP="001C69F7">
            <w:pPr>
              <w:pStyle w:val="Numbered"/>
            </w:pPr>
            <w:r w:rsidRPr="001C69F7">
              <w:t>Yes/No</w:t>
            </w:r>
          </w:p>
        </w:tc>
      </w:tr>
      <w:tr w:rsidR="001C69F7" w:rsidRPr="001C69F7" w14:paraId="616E1A48"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E04E6" w14:textId="77777777" w:rsidR="001C69F7" w:rsidRPr="001C69F7" w:rsidRDefault="001C69F7" w:rsidP="001C69F7">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A7EA46E" w14:textId="77777777" w:rsidR="001C69F7" w:rsidRPr="001C69F7" w:rsidRDefault="001C69F7" w:rsidP="001C69F7">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776BE44" w14:textId="77777777" w:rsidR="001C69F7" w:rsidRPr="001C69F7" w:rsidRDefault="001C69F7" w:rsidP="001C69F7">
            <w:pPr>
              <w:pStyle w:val="Numbered"/>
            </w:pPr>
            <w:r w:rsidRPr="001C69F7">
              <w:t>…….%</w:t>
            </w:r>
          </w:p>
        </w:tc>
      </w:tr>
      <w:tr w:rsidR="001C69F7" w:rsidRPr="001C69F7" w14:paraId="30651B26"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3255B" w14:textId="77777777" w:rsidR="001C69F7" w:rsidRPr="001C69F7" w:rsidRDefault="001C69F7" w:rsidP="001C69F7">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ECEECC" w14:textId="77777777" w:rsidR="001C69F7" w:rsidRDefault="001C69F7" w:rsidP="001C69F7">
            <w:pPr>
              <w:pStyle w:val="Numbered"/>
            </w:pPr>
            <w:r w:rsidRPr="001C69F7">
              <w:t xml:space="preserve">If none of the above applies please describe the type of organisation you are: </w:t>
            </w:r>
          </w:p>
          <w:p w14:paraId="0D91E0AE" w14:textId="77777777" w:rsidR="001C69F7" w:rsidRPr="001C69F7" w:rsidRDefault="001C69F7" w:rsidP="001C69F7">
            <w:pPr>
              <w:pStyle w:val="Numbered"/>
            </w:pPr>
          </w:p>
        </w:tc>
      </w:tr>
      <w:tr w:rsidR="001C69F7" w:rsidRPr="001C69F7" w14:paraId="618B862A"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5387" w14:textId="77777777" w:rsidR="001C69F7" w:rsidRPr="001C69F7" w:rsidRDefault="001C69F7" w:rsidP="001C69F7">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9C429E5" w14:textId="77777777" w:rsidR="001C69F7" w:rsidRDefault="001C69F7" w:rsidP="001C69F7">
            <w:pPr>
              <w:pStyle w:val="Numbered"/>
            </w:pPr>
            <w:r w:rsidRPr="001C69F7">
              <w:t xml:space="preserve">Please provide us with your Dun and Bradstreet Number, or a consortium, the lead bidder’s number. </w:t>
            </w:r>
          </w:p>
          <w:p w14:paraId="75883DCF" w14:textId="77777777" w:rsidR="001C69F7" w:rsidRPr="001C69F7" w:rsidRDefault="00CF7A0E" w:rsidP="001C69F7">
            <w:pPr>
              <w:pStyle w:val="Numbered"/>
            </w:pPr>
            <w:hyperlink r:id="rId25" w:history="1">
              <w:r w:rsidR="001C69F7"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6B825B7" w14:textId="77777777" w:rsidR="001C69F7" w:rsidRPr="001C69F7" w:rsidRDefault="001C69F7" w:rsidP="001C69F7">
            <w:pPr>
              <w:pStyle w:val="Numbered"/>
            </w:pPr>
          </w:p>
        </w:tc>
      </w:tr>
    </w:tbl>
    <w:p w14:paraId="40A6EB4D" w14:textId="77777777"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is:-</w:t>
      </w:r>
      <w:hyperlink r:id="rId26"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5E9DADFB" w14:textId="77777777" w:rsidR="00B304BF" w:rsidRDefault="009605D2" w:rsidP="00582E47">
      <w:pPr>
        <w:pStyle w:val="Numbered"/>
        <w:widowControl/>
      </w:pPr>
      <w:r>
        <w:t xml:space="preserve">Do not delay returning your </w:t>
      </w:r>
      <w:r w:rsidR="000C439B">
        <w:t>tender</w:t>
      </w:r>
      <w:r>
        <w:t xml:space="preserve"> i</w:t>
      </w:r>
      <w:r w:rsidR="00BC6008">
        <w:t>f you do not already have a Dun</w:t>
      </w:r>
      <w:r>
        <w:t xml:space="preserve"> and Bradstreet number, returning your </w:t>
      </w:r>
      <w:r w:rsidR="000C439B">
        <w:t>tender</w:t>
      </w:r>
      <w:r>
        <w:t xml:space="preserve"> within the deadline is </w:t>
      </w:r>
      <w:r w:rsidR="000F79A1">
        <w:t xml:space="preserve">more important. </w:t>
      </w:r>
    </w:p>
    <w:p w14:paraId="62285B2F" w14:textId="77777777" w:rsidR="00B0166C" w:rsidRDefault="00B0166C" w:rsidP="00582E47">
      <w:pPr>
        <w:pStyle w:val="Numbered"/>
        <w:widowControl/>
      </w:pPr>
    </w:p>
    <w:p w14:paraId="413F1495" w14:textId="77777777" w:rsidR="00582E47" w:rsidRDefault="00582E47" w:rsidP="00582E47">
      <w:pPr>
        <w:pStyle w:val="Numbered"/>
        <w:widowControl/>
      </w:pPr>
      <w:r>
        <w:t>Declarations</w:t>
      </w:r>
    </w:p>
    <w:p w14:paraId="2C05714C" w14:textId="77777777" w:rsidR="00582E47" w:rsidRDefault="00582E47" w:rsidP="00582E47">
      <w:pPr>
        <w:pStyle w:val="Numbered"/>
        <w:widowControl/>
        <w:ind w:left="720" w:hanging="720"/>
      </w:pPr>
      <w:r>
        <w:lastRenderedPageBreak/>
        <w:t>1</w:t>
      </w:r>
      <w:r>
        <w:tab/>
        <w:t xml:space="preserve">...............................................……………………………. (Name of tenderer) declares that we accept </w:t>
      </w:r>
      <w:r w:rsidR="005D7D23">
        <w:t>SMC</w:t>
      </w:r>
      <w:r>
        <w:t xml:space="preserve">’s standard terms and conditions included at Document </w:t>
      </w:r>
      <w:r w:rsidR="00377515">
        <w:t>4 Attachment 1</w:t>
      </w:r>
      <w:r>
        <w:t xml:space="preserve"> as the basis of the contract; and</w:t>
      </w:r>
    </w:p>
    <w:p w14:paraId="67D829ED" w14:textId="77777777" w:rsidR="009E2CDF" w:rsidRDefault="009E2CDF" w:rsidP="00582E47">
      <w:pPr>
        <w:pStyle w:val="Numbered"/>
        <w:widowControl/>
        <w:ind w:left="720" w:hanging="720"/>
      </w:pPr>
      <w:r>
        <w:t>2</w:t>
      </w:r>
      <w:r>
        <w:tab/>
      </w:r>
      <w:r w:rsidRPr="009E2CDF">
        <w:t xml:space="preserve">agree that </w:t>
      </w:r>
      <w:r w:rsidR="005D7D23">
        <w:t>SMC</w:t>
      </w:r>
      <w:r w:rsidRPr="009E2CDF">
        <w:t xml:space="preserve"> may disclose the Contractor's information/documentation (submitted to </w:t>
      </w:r>
      <w:r w:rsidR="005D7D23">
        <w:t>SMC</w:t>
      </w:r>
      <w:r w:rsidRPr="009E2CDF">
        <w:t xml:space="preserve"> during this Procurement) more widely within Government for the purpose of ensuring effective cross-Government procurement processes, including value for money and related purposes.</w:t>
      </w:r>
    </w:p>
    <w:p w14:paraId="6ACD6793" w14:textId="77777777" w:rsidR="00582E47" w:rsidRDefault="009E2CDF" w:rsidP="00582E47">
      <w:pPr>
        <w:pStyle w:val="Numbered"/>
        <w:widowControl/>
        <w:ind w:left="720" w:hanging="720"/>
      </w:pPr>
      <w:r>
        <w:t>3</w:t>
      </w:r>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650B639E" w14:textId="77777777" w:rsidR="00582E47" w:rsidRDefault="009E2CDF" w:rsidP="00582E47">
      <w:pPr>
        <w:pStyle w:val="Numbered"/>
        <w:widowControl/>
        <w:ind w:left="720" w:hanging="720"/>
      </w:pPr>
      <w:r>
        <w:t>4</w:t>
      </w:r>
      <w:r w:rsidR="00582E47">
        <w:tab/>
        <w:t xml:space="preserve">declare that the tender will remain valid until </w:t>
      </w:r>
      <w:r w:rsidR="00582E47">
        <w:rPr>
          <w:i/>
        </w:rPr>
        <w:t xml:space="preserve">(insert a date) </w:t>
      </w:r>
      <w:r w:rsidR="00582E47">
        <w:t xml:space="preserve">and that we are not entitled to claim from </w:t>
      </w:r>
      <w:r w:rsidR="005D7D23">
        <w:t>SMC</w:t>
      </w:r>
      <w:r w:rsidR="00582E47">
        <w:t xml:space="preserve"> any costs or expenses incurred in preparing the tender or subsequent negotiations </w:t>
      </w:r>
      <w:proofErr w:type="gramStart"/>
      <w:r w:rsidR="00582E47">
        <w:t>whether or not</w:t>
      </w:r>
      <w:proofErr w:type="gramEnd"/>
      <w:r w:rsidR="00582E47">
        <w:t xml:space="preserve"> the tender is successful.</w:t>
      </w:r>
    </w:p>
    <w:p w14:paraId="00F98FED" w14:textId="77777777" w:rsidR="00582E47" w:rsidRDefault="00582E47" w:rsidP="00582E47">
      <w:pPr>
        <w:pStyle w:val="Numbered"/>
        <w:widowControl/>
      </w:pPr>
    </w:p>
    <w:p w14:paraId="01131D51" w14:textId="77777777" w:rsidR="00582E47" w:rsidRDefault="00582E47" w:rsidP="00582E47">
      <w:pPr>
        <w:pStyle w:val="Numbered"/>
        <w:widowControl/>
        <w:ind w:left="720"/>
      </w:pPr>
      <w:r>
        <w:t>signed on behalf of the Tenderer ..................................................................................</w:t>
      </w:r>
    </w:p>
    <w:p w14:paraId="555851F7" w14:textId="77777777" w:rsidR="00582E47" w:rsidRPr="00E662AA" w:rsidRDefault="00582E47" w:rsidP="00582E47">
      <w:pPr>
        <w:spacing w:before="120" w:after="120"/>
        <w:rPr>
          <w:rFonts w:cs="Arial"/>
          <w:b/>
          <w:bCs/>
          <w:u w:val="single"/>
        </w:rPr>
      </w:pPr>
    </w:p>
    <w:p w14:paraId="384D5625" w14:textId="77777777" w:rsidR="00CA1712" w:rsidRDefault="00CA1712">
      <w:pPr>
        <w:pStyle w:val="Numbered"/>
        <w:widowControl/>
        <w:ind w:left="1440" w:hanging="720"/>
        <w:rPr>
          <w:color w:val="000000"/>
        </w:rPr>
      </w:pPr>
      <w:r>
        <w:rPr>
          <w:color w:val="000000"/>
        </w:rPr>
        <w:t>.</w:t>
      </w:r>
    </w:p>
    <w:p w14:paraId="09EE99C5" w14:textId="77777777" w:rsidR="00CA1712" w:rsidRDefault="00CA1712">
      <w:pPr>
        <w:pStyle w:val="Numbered"/>
        <w:widowControl/>
      </w:pPr>
    </w:p>
    <w:p w14:paraId="75C8DB15" w14:textId="77777777" w:rsidR="004C4417" w:rsidRDefault="00B32E75" w:rsidP="00CD2626">
      <w:pPr>
        <w:widowControl/>
        <w:overflowPunct/>
        <w:spacing w:after="200"/>
        <w:jc w:val="center"/>
        <w:textAlignment w:val="auto"/>
        <w:sectPr w:rsidR="004C4417" w:rsidSect="004D1053">
          <w:headerReference w:type="even" r:id="rId27"/>
          <w:headerReference w:type="default" r:id="rId28"/>
          <w:footerReference w:type="even" r:id="rId29"/>
          <w:footerReference w:type="default" r:id="rId30"/>
          <w:headerReference w:type="first" r:id="rId31"/>
          <w:footerReference w:type="first" r:id="rId32"/>
          <w:pgSz w:w="11909" w:h="16834" w:code="9"/>
          <w:pgMar w:top="1080" w:right="1844" w:bottom="1440" w:left="1440" w:header="706" w:footer="706" w:gutter="0"/>
          <w:cols w:space="720"/>
          <w:docGrid w:linePitch="299"/>
        </w:sectPr>
      </w:pPr>
      <w:r>
        <w:br w:type="page"/>
      </w:r>
    </w:p>
    <w:p w14:paraId="218DC341" w14:textId="30DEFE27" w:rsidR="00CD2626" w:rsidRPr="009A47B9" w:rsidRDefault="00CD2626" w:rsidP="00CD2626">
      <w:pPr>
        <w:widowControl/>
        <w:overflowPunct/>
        <w:spacing w:after="200"/>
        <w:jc w:val="center"/>
        <w:textAlignment w:val="auto"/>
        <w:rPr>
          <w:b/>
        </w:rPr>
      </w:pPr>
      <w:bookmarkStart w:id="46" w:name="Attachment1"/>
      <w:bookmarkEnd w:id="46"/>
      <w:r w:rsidRPr="009A47B9">
        <w:rPr>
          <w:b/>
        </w:rPr>
        <w:lastRenderedPageBreak/>
        <w:t>Attachment 1</w:t>
      </w:r>
    </w:p>
    <w:p w14:paraId="5688604A" w14:textId="77777777" w:rsidR="00CD2626" w:rsidRDefault="00CD2626" w:rsidP="00CD2626">
      <w:pPr>
        <w:widowControl/>
        <w:overflowPunct/>
        <w:spacing w:after="200"/>
        <w:jc w:val="center"/>
        <w:textAlignment w:val="auto"/>
        <w:rPr>
          <w:b/>
        </w:rPr>
      </w:pPr>
      <w:r>
        <w:rPr>
          <w:b/>
        </w:rPr>
        <w:t>Terms and Conditions</w:t>
      </w:r>
    </w:p>
    <w:p w14:paraId="48C3A2DF" w14:textId="77777777" w:rsidR="00CF7A0E" w:rsidRDefault="00CF7A0E" w:rsidP="008D0145">
      <w:pPr>
        <w:widowControl/>
        <w:overflowPunct/>
        <w:spacing w:after="200"/>
        <w:jc w:val="center"/>
        <w:textAlignment w:val="auto"/>
        <w:rPr>
          <w:b/>
        </w:rPr>
      </w:pPr>
    </w:p>
    <w:p w14:paraId="6A02B1B9" w14:textId="5A2C965F" w:rsidR="00CF7A0E" w:rsidRDefault="00CF7A0E" w:rsidP="008D0145">
      <w:pPr>
        <w:widowControl/>
        <w:overflowPunct/>
        <w:spacing w:after="200"/>
        <w:jc w:val="center"/>
        <w:textAlignment w:val="auto"/>
        <w:rPr>
          <w:b/>
        </w:rPr>
        <w:sectPr w:rsidR="00CF7A0E" w:rsidSect="004D1053">
          <w:headerReference w:type="default" r:id="rId33"/>
          <w:pgSz w:w="11909" w:h="16834" w:code="9"/>
          <w:pgMar w:top="1080" w:right="1844" w:bottom="1440" w:left="1440" w:header="706" w:footer="706" w:gutter="0"/>
          <w:cols w:space="720"/>
          <w:docGrid w:linePitch="299"/>
        </w:sectPr>
      </w:pPr>
      <w:r>
        <w:rPr>
          <w:b/>
        </w:rPr>
        <w:object w:dxaOrig="1487" w:dyaOrig="993" w14:anchorId="7B919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34" o:title=""/>
          </v:shape>
          <o:OLEObject Type="Embed" ProgID="Package" ShapeID="_x0000_i1025" DrawAspect="Icon" ObjectID="_1615982369" r:id="rId35"/>
        </w:object>
      </w:r>
      <w:bookmarkStart w:id="47" w:name="_GoBack"/>
      <w:bookmarkEnd w:id="47"/>
    </w:p>
    <w:p w14:paraId="430EBC9E" w14:textId="218AEF15" w:rsidR="00C607F2" w:rsidRDefault="00C607F2" w:rsidP="008D0145">
      <w:pPr>
        <w:widowControl/>
        <w:overflowPunct/>
        <w:spacing w:after="200"/>
        <w:jc w:val="center"/>
        <w:textAlignment w:val="auto"/>
        <w:rPr>
          <w:b/>
        </w:rPr>
      </w:pPr>
      <w:r w:rsidRPr="009A47B9">
        <w:rPr>
          <w:b/>
        </w:rPr>
        <w:lastRenderedPageBreak/>
        <w:t>Attachment 2</w:t>
      </w:r>
    </w:p>
    <w:p w14:paraId="2766CD8B" w14:textId="77777777" w:rsidR="00C607F2" w:rsidRDefault="00C607F2" w:rsidP="008D0145">
      <w:pPr>
        <w:widowControl/>
        <w:overflowPunct/>
        <w:spacing w:after="200"/>
        <w:jc w:val="center"/>
        <w:textAlignment w:val="auto"/>
        <w:rPr>
          <w:b/>
        </w:rPr>
      </w:pPr>
      <w:bookmarkStart w:id="48" w:name="Attachment2"/>
      <w:bookmarkEnd w:id="48"/>
      <w:r>
        <w:rPr>
          <w:b/>
        </w:rPr>
        <w:t>Evaluation Criteria</w:t>
      </w:r>
    </w:p>
    <w:p w14:paraId="2DE826AA" w14:textId="77777777" w:rsidR="00DA7839" w:rsidRDefault="00686C76" w:rsidP="008D0145">
      <w:pPr>
        <w:widowControl/>
        <w:overflowPunct/>
        <w:spacing w:after="200"/>
        <w:jc w:val="center"/>
        <w:textAlignment w:val="auto"/>
        <w:rPr>
          <w:b/>
        </w:rPr>
      </w:pPr>
      <w:r>
        <w:rPr>
          <w:b/>
        </w:rPr>
        <w:t>Set out in Document 4, Section 2</w:t>
      </w:r>
    </w:p>
    <w:p w14:paraId="3E200114" w14:textId="77777777" w:rsidR="008D0145" w:rsidRPr="00697C31" w:rsidRDefault="00C607F2" w:rsidP="004D1053">
      <w:pPr>
        <w:widowControl/>
        <w:overflowPunct/>
        <w:spacing w:after="200"/>
        <w:jc w:val="center"/>
        <w:textAlignment w:val="auto"/>
        <w:rPr>
          <w:rFonts w:cs="Arial"/>
          <w:b/>
        </w:rPr>
      </w:pPr>
      <w:r>
        <w:br w:type="page"/>
      </w:r>
      <w:bookmarkStart w:id="49" w:name="Attachment3"/>
      <w:bookmarkEnd w:id="49"/>
      <w:r w:rsidR="008D0145" w:rsidRPr="00697C31">
        <w:rPr>
          <w:rFonts w:cs="Arial"/>
          <w:b/>
        </w:rPr>
        <w:lastRenderedPageBreak/>
        <w:t xml:space="preserve">Attachment </w:t>
      </w:r>
      <w:r w:rsidRPr="00697C31">
        <w:rPr>
          <w:rFonts w:cs="Arial"/>
          <w:b/>
        </w:rPr>
        <w:t>3</w:t>
      </w:r>
    </w:p>
    <w:p w14:paraId="6CD63461" w14:textId="77777777" w:rsidR="006458C4" w:rsidRPr="00697C31" w:rsidRDefault="006458C4" w:rsidP="00174D29">
      <w:pPr>
        <w:jc w:val="center"/>
        <w:rPr>
          <w:rFonts w:cs="Arial"/>
          <w:b/>
        </w:rPr>
      </w:pPr>
    </w:p>
    <w:p w14:paraId="70A45E74" w14:textId="77777777" w:rsidR="006458C4" w:rsidRPr="00697C31" w:rsidRDefault="006458C4" w:rsidP="00174D29">
      <w:pPr>
        <w:jc w:val="center"/>
        <w:rPr>
          <w:rFonts w:cs="Arial"/>
        </w:rPr>
      </w:pPr>
      <w:r w:rsidRPr="00697C31">
        <w:rPr>
          <w:rFonts w:cs="Arial"/>
          <w:b/>
        </w:rPr>
        <w:t xml:space="preserve">Departmental Security </w:t>
      </w:r>
      <w:r w:rsidR="00095D07" w:rsidRPr="00697C31">
        <w:rPr>
          <w:rFonts w:cs="Arial"/>
          <w:b/>
        </w:rPr>
        <w:t>Standards</w:t>
      </w:r>
    </w:p>
    <w:p w14:paraId="6CC873A9" w14:textId="77777777" w:rsidR="006458C4" w:rsidRPr="00697C31" w:rsidRDefault="006458C4" w:rsidP="00174D29">
      <w:pPr>
        <w:jc w:val="center"/>
        <w:rPr>
          <w:rFonts w:cs="Arial"/>
        </w:rPr>
      </w:pPr>
    </w:p>
    <w:p w14:paraId="610A0D68" w14:textId="77777777" w:rsidR="001209F1" w:rsidRPr="00B37CAF" w:rsidRDefault="000C2F06" w:rsidP="00EA4286">
      <w:pPr>
        <w:widowControl/>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B37CAF" w:rsidDel="000C2F06">
        <w:rPr>
          <w:rFonts w:cs="Arial"/>
          <w:b/>
          <w:i/>
          <w:color w:val="000000"/>
        </w:rPr>
        <w:t xml:space="preserve"> </w:t>
      </w:r>
      <w:r w:rsidR="001209F1" w:rsidRPr="00B37CAF">
        <w:rPr>
          <w:rFonts w:cs="Arial"/>
          <w:b/>
          <w:color w:val="000000"/>
        </w:rPr>
        <w:t>Departmental Security Standards for Business Services and ICT Contracts</w:t>
      </w:r>
    </w:p>
    <w:p w14:paraId="59B14817"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1209F1" w:rsidRPr="001209F1" w14:paraId="4C8FD3F3" w14:textId="77777777" w:rsidTr="00964936">
        <w:trPr>
          <w:trHeight w:val="850"/>
        </w:trPr>
        <w:tc>
          <w:tcPr>
            <w:tcW w:w="4644" w:type="dxa"/>
            <w:shd w:val="clear" w:color="auto" w:fill="auto"/>
          </w:tcPr>
          <w:p w14:paraId="0127771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“BPSS”</w:t>
            </w:r>
          </w:p>
          <w:p w14:paraId="62118ECA"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“Baseline Personnel Security Standard”</w:t>
            </w:r>
          </w:p>
        </w:tc>
        <w:tc>
          <w:tcPr>
            <w:tcW w:w="5321" w:type="dxa"/>
            <w:shd w:val="clear" w:color="auto" w:fill="auto"/>
          </w:tcPr>
          <w:p w14:paraId="569FD3DE" w14:textId="77777777" w:rsidR="001209F1" w:rsidRPr="001209F1" w:rsidRDefault="001209F1" w:rsidP="001209F1">
            <w:pPr>
              <w:widowControl/>
              <w:rPr>
                <w:rFonts w:cs="Arial"/>
                <w:color w:val="000000"/>
              </w:rPr>
            </w:pPr>
            <w:r w:rsidRPr="001209F1">
              <w:rPr>
                <w:rFonts w:cs="Arial"/>
                <w:color w:val="000000"/>
              </w:rPr>
              <w:t xml:space="preserve">a level of security clearance described as pre-employment checks in the National Vetting Policy. Further information can be found at: </w:t>
            </w:r>
            <w:hyperlink r:id="rId36" w:history="1">
              <w:r w:rsidRPr="001209F1">
                <w:rPr>
                  <w:rFonts w:cs="Arial"/>
                  <w:color w:val="0000FF"/>
                  <w:u w:val="single"/>
                </w:rPr>
                <w:t>https://www.gov.uk/government/publications/government-baseline-personnel-security-standard</w:t>
              </w:r>
            </w:hyperlink>
          </w:p>
        </w:tc>
      </w:tr>
      <w:tr w:rsidR="001209F1" w:rsidRPr="001209F1" w14:paraId="608C06AB" w14:textId="77777777" w:rsidTr="00964936">
        <w:trPr>
          <w:trHeight w:val="2268"/>
        </w:trPr>
        <w:tc>
          <w:tcPr>
            <w:tcW w:w="4644" w:type="dxa"/>
            <w:shd w:val="clear" w:color="auto" w:fill="auto"/>
          </w:tcPr>
          <w:p w14:paraId="44C2E51F"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“CCSC”</w:t>
            </w:r>
          </w:p>
          <w:p w14:paraId="03DCB9EC"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Cyber Security Consultancy”</w:t>
            </w:r>
          </w:p>
        </w:tc>
        <w:tc>
          <w:tcPr>
            <w:tcW w:w="5321" w:type="dxa"/>
            <w:shd w:val="clear" w:color="auto" w:fill="auto"/>
          </w:tcPr>
          <w:p w14:paraId="45D5362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F8C32F8" w14:textId="77777777" w:rsidR="001209F1" w:rsidRPr="001209F1" w:rsidRDefault="00CF7A0E"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7" w:history="1">
              <w:r w:rsidR="001209F1" w:rsidRPr="001209F1">
                <w:rPr>
                  <w:rFonts w:cs="Arial"/>
                  <w:color w:val="0000FF"/>
                  <w:u w:val="single"/>
                </w:rPr>
                <w:t>https://www.ncsc.gov.uk/scheme/certified-cyber-consultancy</w:t>
              </w:r>
            </w:hyperlink>
            <w:r w:rsidR="001209F1" w:rsidRPr="001209F1">
              <w:rPr>
                <w:rFonts w:cs="Arial"/>
                <w:color w:val="000000"/>
              </w:rPr>
              <w:t xml:space="preserve"> </w:t>
            </w:r>
          </w:p>
        </w:tc>
      </w:tr>
      <w:tr w:rsidR="001209F1" w:rsidRPr="001209F1" w14:paraId="64D3B3DA" w14:textId="77777777" w:rsidTr="00964936">
        <w:trPr>
          <w:trHeight w:val="1644"/>
        </w:trPr>
        <w:tc>
          <w:tcPr>
            <w:tcW w:w="4644" w:type="dxa"/>
            <w:shd w:val="clear" w:color="auto" w:fill="auto"/>
          </w:tcPr>
          <w:p w14:paraId="76E8BF43"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w:t>
            </w:r>
          </w:p>
          <w:p w14:paraId="59FE51D1"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Professional”</w:t>
            </w:r>
          </w:p>
          <w:p w14:paraId="0C95AF19"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656B025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 NCSC scheme in consultation with government, industry and academia to address the growing need for specialists in the cyber security profession and are building a community of recognised professionals in both the UK public and private </w:t>
            </w:r>
            <w:proofErr w:type="gramStart"/>
            <w:r w:rsidRPr="001209F1">
              <w:rPr>
                <w:rFonts w:cs="Arial"/>
                <w:color w:val="000000"/>
              </w:rPr>
              <w:t>sectors.</w:t>
            </w:r>
            <w:proofErr w:type="gramEnd"/>
            <w:r w:rsidRPr="001209F1">
              <w:rPr>
                <w:rFonts w:cs="Arial"/>
                <w:color w:val="000000"/>
              </w:rPr>
              <w:t xml:space="preserve"> See website:</w:t>
            </w:r>
          </w:p>
          <w:p w14:paraId="5545762E" w14:textId="77777777" w:rsidR="001209F1" w:rsidRPr="001209F1" w:rsidRDefault="00CF7A0E"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8" w:history="1">
              <w:r w:rsidR="001209F1" w:rsidRPr="001209F1">
                <w:rPr>
                  <w:rFonts w:cs="Arial"/>
                  <w:color w:val="0000FF"/>
                  <w:u w:val="single"/>
                </w:rPr>
                <w:t>https://www.ncsc.gov.uk/scheme/certified-professional</w:t>
              </w:r>
            </w:hyperlink>
            <w:r w:rsidR="001209F1" w:rsidRPr="001209F1">
              <w:rPr>
                <w:rFonts w:cs="Arial"/>
                <w:color w:val="000000"/>
              </w:rPr>
              <w:t xml:space="preserve"> </w:t>
            </w:r>
          </w:p>
        </w:tc>
      </w:tr>
      <w:tr w:rsidR="001209F1" w:rsidRPr="001209F1" w14:paraId="454CB771" w14:textId="77777777" w:rsidTr="00964936">
        <w:trPr>
          <w:trHeight w:val="1294"/>
        </w:trPr>
        <w:tc>
          <w:tcPr>
            <w:tcW w:w="4644" w:type="dxa"/>
            <w:shd w:val="clear" w:color="auto" w:fill="auto"/>
          </w:tcPr>
          <w:p w14:paraId="28A796AD"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w:t>
            </w:r>
          </w:p>
          <w:p w14:paraId="404C3494"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“Common Criteria”</w:t>
            </w:r>
          </w:p>
          <w:p w14:paraId="4689E16A"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32997C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1209F1" w:rsidRPr="001209F1" w14:paraId="42AB580D" w14:textId="77777777" w:rsidTr="00964936">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2B26520E"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“CPA”</w:t>
            </w:r>
          </w:p>
          <w:p w14:paraId="78269B0E"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“Commercial Product Assurance”</w:t>
            </w:r>
          </w:p>
          <w:p w14:paraId="7C175C39"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“CESG Product Assurance”]</w:t>
            </w:r>
          </w:p>
          <w:p w14:paraId="2739E587"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327386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9" w:history="1">
              <w:r w:rsidRPr="001209F1">
                <w:rPr>
                  <w:rFonts w:cs="Arial"/>
                  <w:color w:val="0000FF"/>
                  <w:u w:val="single"/>
                </w:rPr>
                <w:t>https://www.ncsc.gov.uk/scheme/commercial-product-assurance-cpa</w:t>
              </w:r>
            </w:hyperlink>
            <w:r w:rsidRPr="001209F1">
              <w:rPr>
                <w:rFonts w:cs="Arial"/>
                <w:color w:val="000000"/>
              </w:rPr>
              <w:t xml:space="preserve"> </w:t>
            </w:r>
          </w:p>
        </w:tc>
      </w:tr>
      <w:tr w:rsidR="001209F1" w:rsidRPr="001209F1" w14:paraId="3C850E41" w14:textId="77777777" w:rsidTr="00964936">
        <w:trPr>
          <w:trHeight w:val="1701"/>
        </w:trPr>
        <w:tc>
          <w:tcPr>
            <w:tcW w:w="4644" w:type="dxa"/>
            <w:shd w:val="clear" w:color="auto" w:fill="auto"/>
          </w:tcPr>
          <w:p w14:paraId="425DD12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w:t>
            </w:r>
          </w:p>
          <w:p w14:paraId="242D844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 Plus”</w:t>
            </w:r>
          </w:p>
        </w:tc>
        <w:tc>
          <w:tcPr>
            <w:tcW w:w="5321" w:type="dxa"/>
            <w:shd w:val="clear" w:color="auto" w:fill="auto"/>
          </w:tcPr>
          <w:p w14:paraId="0137AF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Cyber Essentials is the government </w:t>
            </w:r>
            <w:proofErr w:type="gramStart"/>
            <w:r w:rsidRPr="001209F1">
              <w:rPr>
                <w:rFonts w:cs="Arial"/>
                <w:color w:val="000000"/>
              </w:rPr>
              <w:t>backed,</w:t>
            </w:r>
            <w:proofErr w:type="gramEnd"/>
            <w:r w:rsidRPr="001209F1">
              <w:rPr>
                <w:rFonts w:cs="Arial"/>
                <w:color w:val="000000"/>
              </w:rPr>
              <w:t xml:space="preserve"> industry supported scheme to help organisations protect themselves against common cyber-attacks. Cyber Essentials and Cyber Essentials Plus are levels within the scheme. </w:t>
            </w:r>
          </w:p>
          <w:p w14:paraId="5057347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209F1">
              <w:rPr>
                <w:rFonts w:cs="Arial"/>
              </w:rPr>
              <w:t>There are a number of certification bodies that can be approached for further advice on the scheme; the link below points to one of these providers:</w:t>
            </w:r>
            <w:r w:rsidRPr="001209F1">
              <w:rPr>
                <w:rFonts w:cs="Arial"/>
                <w:color w:val="FF0000"/>
              </w:rPr>
              <w:t xml:space="preserve"> </w:t>
            </w:r>
            <w:hyperlink r:id="rId40" w:history="1">
              <w:r w:rsidRPr="001209F1">
                <w:rPr>
                  <w:rFonts w:cs="Arial"/>
                  <w:color w:val="0000FF"/>
                  <w:u w:val="single"/>
                </w:rPr>
                <w:t>https://www.iasme.co.uk/apply-for-self-assessment/</w:t>
              </w:r>
            </w:hyperlink>
            <w:r w:rsidRPr="001209F1">
              <w:rPr>
                <w:rFonts w:cs="Arial"/>
              </w:rPr>
              <w:t xml:space="preserve"> </w:t>
            </w:r>
          </w:p>
        </w:tc>
      </w:tr>
      <w:tr w:rsidR="001209F1" w:rsidRPr="001209F1" w14:paraId="00575EFC" w14:textId="77777777" w:rsidTr="00964936">
        <w:trPr>
          <w:trHeight w:val="2154"/>
        </w:trPr>
        <w:tc>
          <w:tcPr>
            <w:tcW w:w="4644" w:type="dxa"/>
            <w:shd w:val="clear" w:color="auto" w:fill="auto"/>
          </w:tcPr>
          <w:p w14:paraId="5780A21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lastRenderedPageBreak/>
              <w:t>“Data”</w:t>
            </w:r>
          </w:p>
          <w:p w14:paraId="7CD62077"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Controller”</w:t>
            </w:r>
          </w:p>
          <w:p w14:paraId="3DA881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Processor”</w:t>
            </w:r>
          </w:p>
          <w:p w14:paraId="047FA02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“Personal Data”</w:t>
            </w:r>
          </w:p>
          <w:p w14:paraId="2F2E963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“Sensitive Personal Data”</w:t>
            </w:r>
            <w:r w:rsidRPr="001209F1" w:rsidDel="00A64A13">
              <w:rPr>
                <w:rFonts w:cs="Arial"/>
                <w:color w:val="000000"/>
              </w:rPr>
              <w:t xml:space="preserve"> </w:t>
            </w:r>
          </w:p>
          <w:p w14:paraId="2944698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Subject”, “Process” and “Processing”</w:t>
            </w:r>
          </w:p>
        </w:tc>
        <w:tc>
          <w:tcPr>
            <w:tcW w:w="5321" w:type="dxa"/>
            <w:shd w:val="clear" w:color="auto" w:fill="auto"/>
          </w:tcPr>
          <w:p w14:paraId="4090714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shall have the meanings given to those terms by the Data Protection Act 1998</w:t>
            </w:r>
          </w:p>
        </w:tc>
      </w:tr>
      <w:tr w:rsidR="001209F1" w:rsidRPr="001209F1" w14:paraId="7ADCC163" w14:textId="77777777" w:rsidTr="00964936">
        <w:trPr>
          <w:trHeight w:val="907"/>
        </w:trPr>
        <w:tc>
          <w:tcPr>
            <w:tcW w:w="4644" w:type="dxa"/>
            <w:shd w:val="clear" w:color="auto" w:fill="auto"/>
          </w:tcPr>
          <w:p w14:paraId="32E38C0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Data"</w:t>
            </w:r>
          </w:p>
          <w:p w14:paraId="5E7F3E35"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Information”</w:t>
            </w:r>
          </w:p>
        </w:tc>
        <w:tc>
          <w:tcPr>
            <w:tcW w:w="5321" w:type="dxa"/>
            <w:shd w:val="clear" w:color="auto" w:fill="auto"/>
          </w:tcPr>
          <w:p w14:paraId="52826DCA"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is any data or information owned or retained in order to meet departmental business objectives and tasks, </w:t>
            </w:r>
            <w:proofErr w:type="gramStart"/>
            <w:r w:rsidRPr="001209F1">
              <w:rPr>
                <w:rFonts w:cs="Arial"/>
                <w:color w:val="000000"/>
              </w:rPr>
              <w:t>including:</w:t>
            </w:r>
            <w:proofErr w:type="gramEnd"/>
          </w:p>
          <w:p w14:paraId="70BAC5DB"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(a) any data, text, drawings, diagrams, images or sounds (together with any repository or database made up of any of these components) which are embodied in any electronic, magnetic, optical or tangible media, and which are:</w:t>
            </w:r>
          </w:p>
          <w:p w14:paraId="48455CD7"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w:t>
            </w:r>
            <w:proofErr w:type="spellStart"/>
            <w:r w:rsidRPr="001209F1">
              <w:rPr>
                <w:rFonts w:cs="Arial"/>
                <w:color w:val="000000"/>
              </w:rPr>
              <w:t>i</w:t>
            </w:r>
            <w:proofErr w:type="spellEnd"/>
            <w:r w:rsidRPr="001209F1">
              <w:rPr>
                <w:rFonts w:cs="Arial"/>
                <w:color w:val="000000"/>
              </w:rPr>
              <w:t xml:space="preserve">) supplied to the Contractor by or on behalf of the Department; or </w:t>
            </w:r>
          </w:p>
          <w:p w14:paraId="28078EBB"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(ii) which the Contractor is required to generate, process, store or transmit pursuant to this Contract; or</w:t>
            </w:r>
          </w:p>
          <w:p w14:paraId="44FB619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(b) any Personal Data for which the Department is the Data Controller;</w:t>
            </w:r>
          </w:p>
        </w:tc>
      </w:tr>
      <w:tr w:rsidR="001209F1" w:rsidRPr="001209F1" w14:paraId="23C52E79" w14:textId="77777777" w:rsidTr="00964936">
        <w:trPr>
          <w:trHeight w:val="567"/>
        </w:trPr>
        <w:tc>
          <w:tcPr>
            <w:tcW w:w="4644" w:type="dxa"/>
            <w:shd w:val="clear" w:color="auto" w:fill="auto"/>
          </w:tcPr>
          <w:p w14:paraId="01F3EEC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“DfE”</w:t>
            </w:r>
          </w:p>
          <w:p w14:paraId="061AF1ED"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w:t>
            </w:r>
          </w:p>
        </w:tc>
        <w:tc>
          <w:tcPr>
            <w:tcW w:w="5321" w:type="dxa"/>
            <w:shd w:val="clear" w:color="auto" w:fill="auto"/>
          </w:tcPr>
          <w:p w14:paraId="52BFD117"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 for Education</w:t>
            </w:r>
          </w:p>
        </w:tc>
      </w:tr>
      <w:tr w:rsidR="001209F1" w:rsidRPr="001209F1" w14:paraId="4887AAD9" w14:textId="77777777" w:rsidTr="00964936">
        <w:trPr>
          <w:trHeight w:val="1191"/>
        </w:trPr>
        <w:tc>
          <w:tcPr>
            <w:tcW w:w="4644" w:type="dxa"/>
            <w:shd w:val="clear" w:color="auto" w:fill="auto"/>
          </w:tcPr>
          <w:p w14:paraId="5E949B51"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“Departmental Security Standards”</w:t>
            </w:r>
          </w:p>
        </w:tc>
        <w:tc>
          <w:tcPr>
            <w:tcW w:w="5321" w:type="dxa"/>
            <w:shd w:val="clear" w:color="auto" w:fill="auto"/>
          </w:tcPr>
          <w:p w14:paraId="0617579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Department’s security policy or any standards, procedures, process or specification for security that the Contractor is required to deliver.</w:t>
            </w:r>
          </w:p>
        </w:tc>
      </w:tr>
      <w:tr w:rsidR="001209F1" w:rsidRPr="001209F1" w14:paraId="6C67F6EE" w14:textId="77777777" w:rsidTr="00964936">
        <w:trPr>
          <w:trHeight w:val="1417"/>
        </w:trPr>
        <w:tc>
          <w:tcPr>
            <w:tcW w:w="4644" w:type="dxa"/>
            <w:shd w:val="clear" w:color="auto" w:fill="auto"/>
          </w:tcPr>
          <w:p w14:paraId="17B217C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 xml:space="preserve">“Digital Marketplace / </w:t>
            </w:r>
            <w:proofErr w:type="spellStart"/>
            <w:r w:rsidRPr="001209F1">
              <w:rPr>
                <w:rFonts w:cs="Arial"/>
                <w:color w:val="000000"/>
              </w:rPr>
              <w:t>GCloud</w:t>
            </w:r>
            <w:proofErr w:type="spellEnd"/>
            <w:r w:rsidRPr="001209F1">
              <w:rPr>
                <w:rFonts w:cs="Arial"/>
                <w:color w:val="000000"/>
              </w:rPr>
              <w:t>”</w:t>
            </w:r>
          </w:p>
        </w:tc>
        <w:tc>
          <w:tcPr>
            <w:tcW w:w="5321" w:type="dxa"/>
            <w:shd w:val="clear" w:color="auto" w:fill="auto"/>
          </w:tcPr>
          <w:p w14:paraId="2646278C"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D54A9D" w:rsidRPr="001209F1" w14:paraId="32EB47C3" w14:textId="77777777" w:rsidTr="00964936">
        <w:trPr>
          <w:trHeight w:val="1644"/>
        </w:trPr>
        <w:tc>
          <w:tcPr>
            <w:tcW w:w="4644" w:type="dxa"/>
            <w:shd w:val="clear" w:color="auto" w:fill="auto"/>
          </w:tcPr>
          <w:p w14:paraId="6B78F6D4" w14:textId="77777777"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“The Commission”</w:t>
            </w:r>
          </w:p>
          <w:p w14:paraId="1AA21249" w14:textId="77777777"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“SMC”</w:t>
            </w:r>
          </w:p>
          <w:p w14:paraId="56A44A51" w14:textId="77777777" w:rsidR="00D54A9D" w:rsidRPr="001209F1" w:rsidRDefault="00D54A9D" w:rsidP="00D54A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p>
        </w:tc>
        <w:tc>
          <w:tcPr>
            <w:tcW w:w="5321" w:type="dxa"/>
            <w:shd w:val="clear" w:color="auto" w:fill="auto"/>
          </w:tcPr>
          <w:p w14:paraId="77C3F06C" w14:textId="77777777" w:rsidR="00D54A9D" w:rsidRPr="001209F1" w:rsidRDefault="00D54A9D"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Pr>
                <w:rFonts w:cs="Arial"/>
                <w:color w:val="000000"/>
              </w:rPr>
              <w:t>means the Social Mobility Commission</w:t>
            </w:r>
          </w:p>
        </w:tc>
      </w:tr>
      <w:tr w:rsidR="001209F1" w:rsidRPr="001209F1" w14:paraId="7CB9029A" w14:textId="77777777" w:rsidTr="00964936">
        <w:trPr>
          <w:trHeight w:val="1644"/>
        </w:trPr>
        <w:tc>
          <w:tcPr>
            <w:tcW w:w="4644" w:type="dxa"/>
            <w:shd w:val="clear" w:color="auto" w:fill="auto"/>
          </w:tcPr>
          <w:p w14:paraId="072CC64E"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“FIPS 140-2”</w:t>
            </w:r>
          </w:p>
        </w:tc>
        <w:tc>
          <w:tcPr>
            <w:tcW w:w="5321" w:type="dxa"/>
            <w:shd w:val="clear" w:color="auto" w:fill="auto"/>
          </w:tcPr>
          <w:p w14:paraId="5BC0563B"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1209F1" w:rsidRPr="001209F1" w14:paraId="256DDE0D" w14:textId="77777777" w:rsidTr="00964936">
        <w:trPr>
          <w:trHeight w:val="1191"/>
        </w:trPr>
        <w:tc>
          <w:tcPr>
            <w:tcW w:w="4644" w:type="dxa"/>
            <w:shd w:val="clear" w:color="auto" w:fill="auto"/>
          </w:tcPr>
          <w:p w14:paraId="60A5C0BC"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“Good Industry Practice”</w:t>
            </w:r>
          </w:p>
          <w:p w14:paraId="51DFD0A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Practice”</w:t>
            </w:r>
          </w:p>
        </w:tc>
        <w:tc>
          <w:tcPr>
            <w:tcW w:w="5321" w:type="dxa"/>
            <w:shd w:val="clear" w:color="auto" w:fill="auto"/>
          </w:tcPr>
          <w:p w14:paraId="12536C49"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exercise of that degree of skill, care, prudence, efficiency, foresight and timeliness as would be expected from a leading company within the relevant industry or business sector.</w:t>
            </w:r>
          </w:p>
        </w:tc>
      </w:tr>
      <w:tr w:rsidR="001209F1" w:rsidRPr="001209F1" w14:paraId="1F31FE4B" w14:textId="77777777" w:rsidTr="00964936">
        <w:trPr>
          <w:trHeight w:val="1701"/>
        </w:trPr>
        <w:tc>
          <w:tcPr>
            <w:tcW w:w="4644" w:type="dxa"/>
            <w:shd w:val="clear" w:color="auto" w:fill="auto"/>
          </w:tcPr>
          <w:p w14:paraId="02EC4EAD"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lastRenderedPageBreak/>
              <w:t>“Good Industry Standard”</w:t>
            </w:r>
          </w:p>
          <w:p w14:paraId="3E92EDE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Standard”</w:t>
            </w:r>
          </w:p>
        </w:tc>
        <w:tc>
          <w:tcPr>
            <w:tcW w:w="5321" w:type="dxa"/>
            <w:shd w:val="clear" w:color="auto" w:fill="auto"/>
          </w:tcPr>
          <w:p w14:paraId="25BEAE5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209F1" w:rsidRPr="001209F1" w14:paraId="464B740D" w14:textId="77777777" w:rsidTr="00964936">
        <w:trPr>
          <w:trHeight w:val="1474"/>
        </w:trPr>
        <w:tc>
          <w:tcPr>
            <w:tcW w:w="4644" w:type="dxa"/>
            <w:shd w:val="clear" w:color="auto" w:fill="auto"/>
          </w:tcPr>
          <w:p w14:paraId="5BF544C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w:t>
            </w:r>
          </w:p>
          <w:p w14:paraId="6B5D909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“GSCP”</w:t>
            </w:r>
          </w:p>
          <w:p w14:paraId="7F7FDC9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14:paraId="673DBB6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the Government Security Classification Policy which establishes the rules for classifying HMG information. The policy is available at: </w:t>
            </w:r>
            <w:hyperlink r:id="rId41" w:history="1">
              <w:r w:rsidRPr="001209F1">
                <w:rPr>
                  <w:rFonts w:cs="Arial"/>
                  <w:color w:val="0000FF"/>
                  <w:u w:val="single"/>
                </w:rPr>
                <w:t>https://www.gov.uk/government/publications/government-security-classifications</w:t>
              </w:r>
            </w:hyperlink>
            <w:r w:rsidRPr="001209F1">
              <w:rPr>
                <w:rFonts w:cs="Arial"/>
                <w:color w:val="000000"/>
              </w:rPr>
              <w:t xml:space="preserve"> </w:t>
            </w:r>
          </w:p>
        </w:tc>
      </w:tr>
      <w:tr w:rsidR="001209F1" w:rsidRPr="001209F1" w14:paraId="37E0E6B3" w14:textId="77777777" w:rsidTr="00964936">
        <w:trPr>
          <w:trHeight w:val="680"/>
        </w:trPr>
        <w:tc>
          <w:tcPr>
            <w:tcW w:w="4644" w:type="dxa"/>
            <w:shd w:val="clear" w:color="auto" w:fill="auto"/>
          </w:tcPr>
          <w:p w14:paraId="57AFE67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“HMG”</w:t>
            </w:r>
          </w:p>
        </w:tc>
        <w:tc>
          <w:tcPr>
            <w:tcW w:w="5321" w:type="dxa"/>
            <w:shd w:val="clear" w:color="auto" w:fill="auto"/>
          </w:tcPr>
          <w:p w14:paraId="122887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Her Majesty’s Government</w:t>
            </w:r>
          </w:p>
        </w:tc>
      </w:tr>
      <w:tr w:rsidR="001209F1" w:rsidRPr="001209F1" w14:paraId="23DA21F3" w14:textId="77777777" w:rsidTr="00964936">
        <w:trPr>
          <w:trHeight w:val="340"/>
        </w:trPr>
        <w:tc>
          <w:tcPr>
            <w:tcW w:w="4644" w:type="dxa"/>
            <w:shd w:val="clear" w:color="auto" w:fill="auto"/>
          </w:tcPr>
          <w:p w14:paraId="49FF230A"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“ICT”</w:t>
            </w:r>
          </w:p>
        </w:tc>
        <w:tc>
          <w:tcPr>
            <w:tcW w:w="5321" w:type="dxa"/>
            <w:shd w:val="clear" w:color="auto" w:fill="auto"/>
          </w:tcPr>
          <w:p w14:paraId="5BF011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w:t>
            </w:r>
            <w:r w:rsidRPr="001209F1">
              <w:rPr>
                <w:rFonts w:cs="Arial"/>
              </w:rPr>
              <w:t>Information and Communications Technology (</w:t>
            </w:r>
            <w:r w:rsidRPr="001209F1">
              <w:rPr>
                <w:rFonts w:cs="Arial"/>
                <w:color w:val="000000"/>
              </w:rPr>
              <w:t>ICT) is used as an extended synonym for information technology (IT), used to describe the bringing together of enabling technologies used to deliver the end-to-end solution</w:t>
            </w:r>
          </w:p>
        </w:tc>
      </w:tr>
      <w:tr w:rsidR="001209F1" w:rsidRPr="001209F1" w14:paraId="3FBD6048" w14:textId="77777777" w:rsidTr="00964936">
        <w:trPr>
          <w:trHeight w:val="737"/>
        </w:trPr>
        <w:tc>
          <w:tcPr>
            <w:tcW w:w="4644" w:type="dxa"/>
            <w:shd w:val="clear" w:color="auto" w:fill="auto"/>
          </w:tcPr>
          <w:p w14:paraId="0255317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27001” “ISO 27001”</w:t>
            </w:r>
          </w:p>
        </w:tc>
        <w:tc>
          <w:tcPr>
            <w:tcW w:w="5321" w:type="dxa"/>
            <w:shd w:val="clear" w:color="auto" w:fill="auto"/>
          </w:tcPr>
          <w:p w14:paraId="1957289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for Information Security Management Systems Requirements</w:t>
            </w:r>
          </w:p>
        </w:tc>
      </w:tr>
      <w:tr w:rsidR="001209F1" w:rsidRPr="001209F1" w14:paraId="2573A2C4" w14:textId="77777777" w:rsidTr="00964936">
        <w:tc>
          <w:tcPr>
            <w:tcW w:w="4644" w:type="dxa"/>
            <w:shd w:val="clear" w:color="auto" w:fill="auto"/>
          </w:tcPr>
          <w:p w14:paraId="5F238DC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27002” “ISO 27002”</w:t>
            </w:r>
          </w:p>
        </w:tc>
        <w:tc>
          <w:tcPr>
            <w:tcW w:w="5321" w:type="dxa"/>
            <w:shd w:val="clear" w:color="auto" w:fill="auto"/>
          </w:tcPr>
          <w:p w14:paraId="72042E5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is the International Standard describing the Code of Practice for Information Security </w:t>
            </w:r>
            <w:proofErr w:type="gramStart"/>
            <w:r w:rsidRPr="001209F1">
              <w:rPr>
                <w:rFonts w:cs="Arial"/>
                <w:color w:val="000000"/>
              </w:rPr>
              <w:t>Controls.</w:t>
            </w:r>
            <w:proofErr w:type="gramEnd"/>
          </w:p>
        </w:tc>
      </w:tr>
      <w:tr w:rsidR="001209F1" w:rsidRPr="001209F1" w14:paraId="08D2A8D4" w14:textId="77777777" w:rsidTr="00964936">
        <w:trPr>
          <w:trHeight w:val="624"/>
        </w:trPr>
        <w:tc>
          <w:tcPr>
            <w:tcW w:w="4644" w:type="dxa"/>
            <w:shd w:val="clear" w:color="auto" w:fill="auto"/>
          </w:tcPr>
          <w:p w14:paraId="6038122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 22301”</w:t>
            </w:r>
          </w:p>
        </w:tc>
        <w:tc>
          <w:tcPr>
            <w:tcW w:w="5321" w:type="dxa"/>
            <w:shd w:val="clear" w:color="auto" w:fill="auto"/>
          </w:tcPr>
          <w:p w14:paraId="621CE03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for Business Continuity</w:t>
            </w:r>
          </w:p>
        </w:tc>
      </w:tr>
      <w:tr w:rsidR="001209F1" w:rsidRPr="001209F1" w14:paraId="502E074E" w14:textId="77777777" w:rsidTr="00964936">
        <w:tc>
          <w:tcPr>
            <w:tcW w:w="4644" w:type="dxa"/>
            <w:shd w:val="clear" w:color="auto" w:fill="auto"/>
          </w:tcPr>
          <w:p w14:paraId="14A3706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Security Health Check (ITSHC)”</w:t>
            </w:r>
          </w:p>
          <w:p w14:paraId="5D1B2F4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Health Check (ITHC)”</w:t>
            </w:r>
          </w:p>
          <w:p w14:paraId="76F0874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“Penetration Testing”</w:t>
            </w:r>
          </w:p>
        </w:tc>
        <w:tc>
          <w:tcPr>
            <w:tcW w:w="5321" w:type="dxa"/>
            <w:shd w:val="clear" w:color="auto" w:fill="auto"/>
          </w:tcPr>
          <w:p w14:paraId="0483D27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an assessment to identify risks and vulnerabilities in systems, applications and networks which may compromise the confidentiality, integrity or availability of information held on that IT system.</w:t>
            </w:r>
          </w:p>
        </w:tc>
      </w:tr>
      <w:tr w:rsidR="001209F1" w:rsidRPr="001209F1" w14:paraId="6622AF7A" w14:textId="77777777" w:rsidTr="00964936">
        <w:tc>
          <w:tcPr>
            <w:tcW w:w="4644" w:type="dxa"/>
            <w:shd w:val="clear" w:color="auto" w:fill="auto"/>
          </w:tcPr>
          <w:p w14:paraId="10DB20A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“Need-to-Know”</w:t>
            </w:r>
          </w:p>
        </w:tc>
        <w:tc>
          <w:tcPr>
            <w:tcW w:w="5321" w:type="dxa"/>
            <w:shd w:val="clear" w:color="auto" w:fill="auto"/>
          </w:tcPr>
          <w:p w14:paraId="417FFD3C"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Need-to-Know principle is employed within HMG to limit the distribution of classified information to those people with a clear ‘need to know’ in order to carry out their duties.</w:t>
            </w:r>
          </w:p>
        </w:tc>
      </w:tr>
      <w:tr w:rsidR="001209F1" w:rsidRPr="001209F1" w14:paraId="726F9859"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5BB2BC8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2F66AE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The National Cyber Security Centre (NCSC) </w:t>
            </w:r>
            <w:r w:rsidRPr="001209F1">
              <w:rPr>
                <w:rFonts w:cs="Arial"/>
              </w:rPr>
              <w:t>formerly CESG is</w:t>
            </w:r>
            <w:r w:rsidRPr="001209F1">
              <w:rPr>
                <w:rFonts w:cs="Arial"/>
                <w:color w:val="000000"/>
              </w:rPr>
              <w:t xml:space="preserve"> the UK government’s National Technical Authority for Information Assurance. The NCSC website is </w:t>
            </w:r>
            <w:hyperlink r:id="rId42" w:history="1">
              <w:r w:rsidRPr="001209F1">
                <w:rPr>
                  <w:rFonts w:cs="Arial"/>
                  <w:color w:val="0000FF"/>
                  <w:u w:val="single"/>
                </w:rPr>
                <w:t>https://www.ncsc.gov.uk</w:t>
              </w:r>
            </w:hyperlink>
            <w:r w:rsidRPr="001209F1">
              <w:rPr>
                <w:rFonts w:cs="Arial"/>
                <w:color w:val="000000"/>
              </w:rPr>
              <w:t xml:space="preserve"> </w:t>
            </w:r>
          </w:p>
        </w:tc>
      </w:tr>
      <w:tr w:rsidR="001209F1" w:rsidRPr="001209F1" w14:paraId="70F3CA8B" w14:textId="77777777" w:rsidTr="00964936">
        <w:trPr>
          <w:trHeight w:val="3118"/>
        </w:trPr>
        <w:tc>
          <w:tcPr>
            <w:tcW w:w="4644" w:type="dxa"/>
            <w:shd w:val="clear" w:color="auto" w:fill="auto"/>
          </w:tcPr>
          <w:p w14:paraId="3E348159"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“OFFICIAL”</w:t>
            </w:r>
          </w:p>
          <w:p w14:paraId="7F53064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 xml:space="preserve">“OFFICIAL-SENSITIVE” </w:t>
            </w:r>
          </w:p>
        </w:tc>
        <w:tc>
          <w:tcPr>
            <w:tcW w:w="5321" w:type="dxa"/>
            <w:shd w:val="clear" w:color="auto" w:fill="auto"/>
          </w:tcPr>
          <w:p w14:paraId="2F24AE8E" w14:textId="77777777"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2D4952A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1209F1" w:rsidRPr="001209F1" w14:paraId="140087D3" w14:textId="77777777" w:rsidTr="00964936">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3AE317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lastRenderedPageBreak/>
              <w:t>“Secure Sanitisation”</w:t>
            </w:r>
          </w:p>
          <w:p w14:paraId="5CAC0BD3"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4F4E91F1"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1441A0CC" w14:textId="77777777"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43" w:history="1">
              <w:r w:rsidRPr="001209F1">
                <w:rPr>
                  <w:rFonts w:cs="Arial"/>
                  <w:color w:val="0000FF"/>
                  <w:u w:val="single"/>
                </w:rPr>
                <w:t>https://www.ncsc.gov.uk/guidance/secure-sanitisation-storage-media</w:t>
              </w:r>
            </w:hyperlink>
            <w:r w:rsidRPr="001209F1">
              <w:rPr>
                <w:rFonts w:cs="Arial"/>
                <w:color w:val="000000"/>
              </w:rPr>
              <w:t xml:space="preserve"> </w:t>
            </w:r>
          </w:p>
          <w:p w14:paraId="34C26835" w14:textId="77777777" w:rsidR="001209F1" w:rsidRPr="001209F1" w:rsidRDefault="001209F1" w:rsidP="001209F1">
            <w:pPr>
              <w:widowControl/>
              <w:overflowPunct/>
              <w:spacing w:before="40" w:after="40"/>
              <w:textAlignment w:val="auto"/>
              <w:rPr>
                <w:rFonts w:cs="Arial"/>
                <w:color w:val="000000"/>
              </w:rPr>
            </w:pPr>
          </w:p>
          <w:p w14:paraId="212498A4" w14:textId="77777777" w:rsidR="001209F1" w:rsidRPr="001209F1" w:rsidRDefault="001209F1" w:rsidP="001209F1">
            <w:pPr>
              <w:widowControl/>
              <w:overflowPunct/>
              <w:spacing w:before="40" w:after="40"/>
              <w:textAlignment w:val="auto"/>
              <w:rPr>
                <w:rFonts w:cs="Arial"/>
                <w:color w:val="000000"/>
              </w:rPr>
            </w:pPr>
            <w:r w:rsidRPr="001209F1">
              <w:rPr>
                <w:rFonts w:cs="Arial"/>
              </w:rPr>
              <w:t>The disposal of physical documents and hardcopy materials advice can be found at:</w:t>
            </w:r>
            <w:r w:rsidRPr="001209F1">
              <w:rPr>
                <w:rFonts w:ascii="Times New Roman" w:hAnsi="Times New Roman" w:cs="Times New Roman"/>
              </w:rPr>
              <w:t xml:space="preserve"> </w:t>
            </w:r>
            <w:hyperlink r:id="rId44" w:history="1">
              <w:r w:rsidRPr="001209F1">
                <w:rPr>
                  <w:rFonts w:cs="Arial"/>
                  <w:color w:val="0000FF"/>
                  <w:u w:val="single"/>
                </w:rPr>
                <w:t>https://www.cpni.gov.uk/secure-destruction</w:t>
              </w:r>
            </w:hyperlink>
          </w:p>
        </w:tc>
      </w:tr>
      <w:tr w:rsidR="001209F1" w:rsidRPr="001209F1" w14:paraId="787B02D4" w14:textId="77777777" w:rsidTr="00964936">
        <w:tc>
          <w:tcPr>
            <w:tcW w:w="4644" w:type="dxa"/>
            <w:shd w:val="clear" w:color="auto" w:fill="auto"/>
          </w:tcPr>
          <w:p w14:paraId="73675EA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“Security and Information Risk Advisor” </w:t>
            </w:r>
          </w:p>
          <w:p w14:paraId="5FA60A1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 SIRA”</w:t>
            </w:r>
          </w:p>
          <w:p w14:paraId="7FDD4EB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“SIRA”</w:t>
            </w:r>
          </w:p>
        </w:tc>
        <w:tc>
          <w:tcPr>
            <w:tcW w:w="5321" w:type="dxa"/>
            <w:shd w:val="clear" w:color="auto" w:fill="auto"/>
          </w:tcPr>
          <w:p w14:paraId="6822D90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the Security and Information Risk Advisor (SIRA) is a role defined under the NCSC Certified Professional (CCP) Scheme. See also:</w:t>
            </w:r>
          </w:p>
          <w:p w14:paraId="1BED44F4" w14:textId="77777777" w:rsidR="001209F1" w:rsidRPr="001209F1" w:rsidRDefault="00CF7A0E"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45" w:history="1">
              <w:r w:rsidR="001209F1" w:rsidRPr="001209F1">
                <w:rPr>
                  <w:rFonts w:cs="Arial"/>
                  <w:color w:val="0000FF"/>
                  <w:u w:val="single"/>
                </w:rPr>
                <w:t>https://www.ncsc.gov.uk/articles/about-certified-professional-scheme</w:t>
              </w:r>
            </w:hyperlink>
            <w:r w:rsidR="001209F1" w:rsidRPr="001209F1">
              <w:rPr>
                <w:rFonts w:cs="Arial"/>
                <w:color w:val="000000"/>
              </w:rPr>
              <w:t xml:space="preserve"> </w:t>
            </w:r>
          </w:p>
        </w:tc>
      </w:tr>
      <w:tr w:rsidR="001209F1" w:rsidRPr="001209F1" w14:paraId="7B6BA8D8"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2228761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“SPF”</w:t>
            </w:r>
          </w:p>
          <w:p w14:paraId="0546A8DF"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2C9310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6" w:history="1">
              <w:r w:rsidRPr="001209F1">
                <w:rPr>
                  <w:rFonts w:cs="Arial"/>
                  <w:color w:val="0000FF"/>
                  <w:u w:val="single"/>
                </w:rPr>
                <w:t>https://www.gov.uk/government/publications/security-policy-framework</w:t>
              </w:r>
            </w:hyperlink>
            <w:r w:rsidRPr="001209F1">
              <w:rPr>
                <w:rFonts w:cs="Arial"/>
                <w:color w:val="000000"/>
              </w:rPr>
              <w:t xml:space="preserve"> </w:t>
            </w:r>
          </w:p>
        </w:tc>
      </w:tr>
      <w:tr w:rsidR="001209F1" w:rsidRPr="001209F1" w14:paraId="2D88FE90"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6C39609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roofErr w:type="gramStart"/>
            <w:r w:rsidRPr="001209F1">
              <w:rPr>
                <w:rFonts w:cs="Arial"/>
                <w:color w:val="000000"/>
              </w:rPr>
              <w:t>”Tailored</w:t>
            </w:r>
            <w:proofErr w:type="gramEnd"/>
            <w:r w:rsidRPr="001209F1">
              <w:rPr>
                <w:rFonts w:cs="Arial"/>
                <w:color w:val="000000"/>
              </w:rPr>
              <w:t xml:space="preserve"> Assurance”</w:t>
            </w:r>
          </w:p>
          <w:p w14:paraId="703BE7B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“CTAS”, or,</w:t>
            </w:r>
          </w:p>
          <w:p w14:paraId="4534FD0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roofErr w:type="gramStart"/>
            <w:r w:rsidRPr="001209F1">
              <w:rPr>
                <w:rFonts w:cs="Arial"/>
                <w:color w:val="000000"/>
              </w:rPr>
              <w:t>”CESG</w:t>
            </w:r>
            <w:proofErr w:type="gramEnd"/>
            <w:r w:rsidRPr="001209F1">
              <w:rPr>
                <w:rFonts w:cs="Arial"/>
                <w:color w:val="000000"/>
              </w:rPr>
              <w:t xml:space="preserve"> Tailored Assurance”]</w:t>
            </w:r>
          </w:p>
          <w:p w14:paraId="1CDB82CF"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C35F8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47" w:history="1">
              <w:r w:rsidRPr="001209F1">
                <w:rPr>
                  <w:rFonts w:cs="Arial"/>
                  <w:color w:val="0000FF"/>
                  <w:u w:val="single"/>
                </w:rPr>
                <w:t>https://www.ncsc.gov.uk/documents/ctas-principles-and-methodology</w:t>
              </w:r>
            </w:hyperlink>
            <w:r w:rsidRPr="001209F1">
              <w:rPr>
                <w:rFonts w:cs="Arial"/>
                <w:color w:val="000000"/>
              </w:rPr>
              <w:t xml:space="preserve"> </w:t>
            </w:r>
          </w:p>
        </w:tc>
      </w:tr>
    </w:tbl>
    <w:p w14:paraId="7B9AA949"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775D4097"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4F83D06C"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0EDFAAE9"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35AC60CC"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310A35C5"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6FBDA13A"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58DF2608"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03C2D368"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6434EFBB"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5DDDC68D"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20170576"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2E394B79" w14:textId="77777777" w:rsidR="001209F1" w:rsidRPr="00697C31" w:rsidRDefault="001209F1" w:rsidP="00EA4286">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The Contractor shall comply with Departmental Security Standards for Contractors which include but are not constrained to the following clauses. </w:t>
      </w:r>
    </w:p>
    <w:p w14:paraId="67111EFF" w14:textId="77777777" w:rsidR="001209F1" w:rsidRPr="00697C31" w:rsidRDefault="001209F1" w:rsidP="00EA4286">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Where the Contractor will provide ICT products or services or otherwise handle information at OFFICIAL on behalf of </w:t>
      </w:r>
      <w:r w:rsidR="005D7D23">
        <w:rPr>
          <w:rFonts w:cs="Arial"/>
          <w:kern w:val="28"/>
        </w:rPr>
        <w:t>SMC</w:t>
      </w:r>
      <w:r w:rsidRPr="00697C31">
        <w:rPr>
          <w:rFonts w:cs="Arial"/>
          <w:kern w:val="28"/>
        </w:rPr>
        <w:t xml:space="preserve">, the requirements under Cabinet Office Procurement Policy Note – Use of Cyber Essentials Scheme certification - </w:t>
      </w:r>
      <w:hyperlink r:id="rId48" w:history="1">
        <w:r w:rsidRPr="00697C31">
          <w:rPr>
            <w:rFonts w:cs="Arial"/>
            <w:color w:val="0000FF"/>
            <w:kern w:val="28"/>
            <w:u w:val="single"/>
          </w:rPr>
          <w:t>Action Note 09/14</w:t>
        </w:r>
      </w:hyperlink>
      <w:r w:rsidRPr="00697C31">
        <w:rPr>
          <w:rFonts w:cs="Arial"/>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w:t>
      </w:r>
      <w:r w:rsidR="005D7D23">
        <w:rPr>
          <w:rFonts w:cs="Arial"/>
          <w:kern w:val="28"/>
        </w:rPr>
        <w:t>SMC</w:t>
      </w:r>
      <w:r w:rsidRPr="00697C31">
        <w:rPr>
          <w:rFonts w:cs="Arial"/>
          <w:kern w:val="28"/>
        </w:rPr>
        <w:t>.</w:t>
      </w:r>
    </w:p>
    <w:p w14:paraId="16DF05C4" w14:textId="77777777" w:rsidR="001209F1" w:rsidRPr="00697C31" w:rsidRDefault="001209F1" w:rsidP="001209F1">
      <w:pPr>
        <w:keepNext/>
        <w:keepLines/>
        <w:widowControl/>
        <w:spacing w:before="120" w:after="120"/>
        <w:ind w:left="709" w:hanging="851"/>
        <w:outlineLvl w:val="1"/>
        <w:rPr>
          <w:rFonts w:cs="Arial"/>
          <w:kern w:val="28"/>
        </w:rPr>
      </w:pPr>
      <w:r w:rsidRPr="00697C31">
        <w:rPr>
          <w:rFonts w:cs="Arial"/>
        </w:rPr>
        <w:t>12.3</w:t>
      </w:r>
      <w:r w:rsidRPr="00697C31">
        <w:rPr>
          <w:rFonts w:cs="Arial"/>
        </w:rPr>
        <w:tab/>
      </w:r>
      <w:r w:rsidRPr="00697C31">
        <w:rPr>
          <w:rFonts w:cs="Arial"/>
          <w:kern w:val="28"/>
        </w:rPr>
        <w:t xml:space="preserve">The Contractor shall be able to demonstrate conformance </w:t>
      </w:r>
      <w:proofErr w:type="gramStart"/>
      <w:r w:rsidRPr="00697C31">
        <w:rPr>
          <w:rFonts w:cs="Arial"/>
          <w:kern w:val="28"/>
        </w:rPr>
        <w:t>to, and</w:t>
      </w:r>
      <w:proofErr w:type="gramEnd"/>
      <w:r w:rsidRPr="00697C31">
        <w:rPr>
          <w:rFonts w:cs="Arial"/>
          <w:kern w:val="28"/>
        </w:rPr>
        <w:t xml:space="preserve"> show evidence of such conformance to the ISO/IEC 27001 (Information Security Management Systems Requirements) standard, including the application of controls from ISO/IEC 27002 (Code of Practice for Information Security Controls).</w:t>
      </w:r>
    </w:p>
    <w:p w14:paraId="04ECDD9D" w14:textId="77777777" w:rsidR="001209F1" w:rsidRPr="00D54A9D" w:rsidRDefault="001209F1" w:rsidP="00D54A9D">
      <w:pPr>
        <w:widowControl/>
        <w:spacing w:before="120" w:after="120"/>
        <w:ind w:left="709" w:hanging="851"/>
        <w:rPr>
          <w:rFonts w:cs="Arial"/>
          <w:b/>
        </w:rPr>
      </w:pPr>
      <w:r w:rsidRPr="00697C31">
        <w:rPr>
          <w:rFonts w:cs="Arial"/>
        </w:rPr>
        <w:t>12.3</w:t>
      </w:r>
      <w:r w:rsidRPr="00697C31">
        <w:rPr>
          <w:rFonts w:cs="Arial"/>
        </w:rPr>
        <w:tab/>
        <w:t xml:space="preserve">The Contractor shall have achieved, and be able to maintain, independent certification to ISO/IEC 27001 (Information Security Management Systems Requirements). The ISO/IEC 27001 certification must have a scope relevant to the services supplied to, or on behalf of, </w:t>
      </w:r>
      <w:r w:rsidR="005D7D23">
        <w:rPr>
          <w:rFonts w:cs="Arial"/>
        </w:rPr>
        <w:t>SMC</w:t>
      </w:r>
      <w:r w:rsidRPr="00697C31">
        <w:rPr>
          <w:rFonts w:cs="Arial"/>
        </w:rPr>
        <w:t xml:space="preserve">. The scope of certification and the statement of applicability must be acceptable, following review, to </w:t>
      </w:r>
      <w:r w:rsidR="005D7D23">
        <w:rPr>
          <w:rFonts w:cs="Arial"/>
        </w:rPr>
        <w:t>SMC</w:t>
      </w:r>
      <w:r w:rsidRPr="00697C31">
        <w:rPr>
          <w:rFonts w:cs="Arial"/>
        </w:rPr>
        <w:t>, including the application of controls from ISO/IEC 27002 (Code of Practice for Information Security Controls).</w:t>
      </w:r>
    </w:p>
    <w:p w14:paraId="0DFE865D" w14:textId="77777777" w:rsidR="001209F1" w:rsidRPr="00697C31" w:rsidRDefault="001209F1" w:rsidP="00EA4286">
      <w:pPr>
        <w:keepNext/>
        <w:keepLines/>
        <w:widowControl/>
        <w:numPr>
          <w:ilvl w:val="1"/>
          <w:numId w:val="18"/>
        </w:numPr>
        <w:tabs>
          <w:tab w:val="clear" w:pos="1440"/>
          <w:tab w:val="num" w:pos="709"/>
        </w:tabs>
        <w:spacing w:before="120" w:after="120"/>
        <w:ind w:left="709" w:hanging="851"/>
        <w:outlineLvl w:val="1"/>
        <w:rPr>
          <w:rFonts w:cs="Arial"/>
          <w:kern w:val="28"/>
        </w:rPr>
      </w:pPr>
      <w:r w:rsidRPr="00697C31">
        <w:rPr>
          <w:rFonts w:cs="Arial"/>
          <w:kern w:val="28"/>
        </w:rPr>
        <w:lastRenderedPageBreak/>
        <w:t xml:space="preserve">The Contractor shall follow the UK Government Security Classification Policy (GSCP) in respect of any Departmental Data being handled in the course of providing this </w:t>
      </w:r>
      <w:proofErr w:type="gramStart"/>
      <w:r w:rsidRPr="00697C31">
        <w:rPr>
          <w:rFonts w:cs="Arial"/>
          <w:kern w:val="28"/>
        </w:rPr>
        <w:t>service, and</w:t>
      </w:r>
      <w:proofErr w:type="gramEnd"/>
      <w:r w:rsidRPr="00697C31">
        <w:rPr>
          <w:rFonts w:cs="Arial"/>
          <w:kern w:val="28"/>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78754558" w14:textId="77777777" w:rsidR="001209F1" w:rsidRPr="00697C31" w:rsidRDefault="001209F1" w:rsidP="00EA4286">
      <w:pPr>
        <w:keepNext/>
        <w:keepLines/>
        <w:widowControl/>
        <w:numPr>
          <w:ilvl w:val="1"/>
          <w:numId w:val="19"/>
        </w:numPr>
        <w:tabs>
          <w:tab w:val="clear" w:pos="1440"/>
          <w:tab w:val="num" w:pos="709"/>
        </w:tabs>
        <w:spacing w:before="120" w:after="120"/>
        <w:ind w:left="709" w:hanging="851"/>
        <w:outlineLvl w:val="1"/>
        <w:rPr>
          <w:rFonts w:cs="Arial"/>
          <w:kern w:val="28"/>
        </w:rPr>
      </w:pPr>
      <w:r w:rsidRPr="00697C31">
        <w:rPr>
          <w:rFonts w:cs="Arial"/>
          <w:kern w:val="28"/>
        </w:rPr>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697C31">
        <w:rPr>
          <w:rFonts w:cs="Arial"/>
          <w:kern w:val="28"/>
        </w:rPr>
        <w:t>In the event that</w:t>
      </w:r>
      <w:proofErr w:type="gramEnd"/>
      <w:r w:rsidRPr="00697C31">
        <w:rPr>
          <w:rFonts w:cs="Arial"/>
          <w:kern w:val="28"/>
        </w:rPr>
        <w:t xml:space="preserve"> it is not possible to segregate any Departmental Data then the Contractor and any sub-contractor shall be required to ensure that it is stored in such a way that it is possible to securely delete the data in line with Clause 12.14.</w:t>
      </w:r>
    </w:p>
    <w:p w14:paraId="45F23D93"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have in place and maintain physical security, in line with those outlined in ISO/IEC 27002 including, but not limited to, entry control mechanisms (e.g. door access) to premises and sensitive areas </w:t>
      </w:r>
    </w:p>
    <w:p w14:paraId="79310CF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maintain an access control policy and process for the logical access (e.g. identification and authentication) to ICT systems to ensure only authorised personnel have access to Departmental Data.</w:t>
      </w:r>
    </w:p>
    <w:p w14:paraId="69CA398A"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0E0E41C5"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53FDE5DA"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Storage of Departmental Data on any portable devices or media shall be limited to the absolute minimum required to deliver the stated business requirement and shall be subject to Clause 12.11 and 12.12 below.</w:t>
      </w:r>
    </w:p>
    <w:p w14:paraId="4E67BA61"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7C66017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lastRenderedPageBreak/>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70521C99"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91FFD9D"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7B51366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697C31">
        <w:rPr>
          <w:rFonts w:cs="Arial"/>
          <w:color w:val="FF0000"/>
          <w:kern w:val="28"/>
        </w:rPr>
        <w:t xml:space="preserve"> </w:t>
      </w:r>
      <w:r w:rsidRPr="00697C31">
        <w:rPr>
          <w:rFonts w:cs="Arial"/>
          <w:kern w:val="28"/>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75A089AB"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2ACE625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All Contractor or sub-contractor employees who handle Departmental Data must have annual awareness training in protecting information.</w:t>
      </w:r>
    </w:p>
    <w:p w14:paraId="4A9EF812"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697C31">
        <w:rPr>
          <w:rFonts w:cs="Arial"/>
          <w:kern w:val="28"/>
        </w:rPr>
        <w:t>a</w:t>
      </w:r>
      <w:proofErr w:type="gramEnd"/>
      <w:r w:rsidRPr="00697C31">
        <w:rPr>
          <w:rFonts w:cs="Arial"/>
          <w:kern w:val="28"/>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4F9FB649" w14:textId="77777777" w:rsidR="001209F1" w:rsidRPr="00697C31" w:rsidRDefault="001209F1" w:rsidP="00EA4286">
      <w:pPr>
        <w:keepNext/>
        <w:keepLines/>
        <w:widowControl/>
        <w:numPr>
          <w:ilvl w:val="1"/>
          <w:numId w:val="20"/>
        </w:numPr>
        <w:tabs>
          <w:tab w:val="clear" w:pos="1440"/>
        </w:tabs>
        <w:spacing w:before="120" w:after="120"/>
        <w:ind w:left="709" w:hanging="851"/>
        <w:outlineLvl w:val="1"/>
        <w:rPr>
          <w:rFonts w:cs="Arial"/>
          <w:kern w:val="28"/>
        </w:rPr>
      </w:pPr>
      <w:r w:rsidRPr="00697C31">
        <w:rPr>
          <w:rFonts w:cs="Arial"/>
          <w:kern w:val="28"/>
        </w:rPr>
        <w:lastRenderedPageBreak/>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3D20F00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3A415E7"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38E919F5"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959A1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4344D572"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42BD4AA2" w14:textId="77777777" w:rsidR="00D71F29" w:rsidRPr="00697C31" w:rsidRDefault="00D71F29"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sectPr w:rsidR="00D71F29" w:rsidRPr="00697C31" w:rsidSect="004D1053">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2755" w14:textId="77777777" w:rsidR="00174D45" w:rsidRDefault="00174D45">
      <w:r>
        <w:separator/>
      </w:r>
    </w:p>
  </w:endnote>
  <w:endnote w:type="continuationSeparator" w:id="0">
    <w:p w14:paraId="6977A921" w14:textId="77777777" w:rsidR="00174D45" w:rsidRDefault="00174D45">
      <w:r>
        <w:continuationSeparator/>
      </w:r>
    </w:p>
  </w:endnote>
  <w:endnote w:type="continuationNotice" w:id="1">
    <w:p w14:paraId="567A78C7" w14:textId="77777777" w:rsidR="00174D45" w:rsidRDefault="0017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C149" w14:textId="77777777" w:rsidR="004C4417" w:rsidRDefault="004C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A10F" w14:textId="77777777" w:rsidR="00174D45" w:rsidRPr="004D1053" w:rsidRDefault="00174D45">
    <w:pPr>
      <w:pStyle w:val="Footer"/>
      <w:rPr>
        <w:rFonts w:ascii="Times New Roman" w:hAnsi="Times New Roman" w:cs="Times New Roman"/>
        <w:sz w:val="20"/>
        <w:szCs w:val="20"/>
      </w:rPr>
    </w:pPr>
    <w:r w:rsidRPr="004D1053">
      <w:rPr>
        <w:rFonts w:ascii="Times New Roman" w:hAnsi="Times New Roman" w:cs="Times New Roman"/>
        <w:sz w:val="20"/>
        <w:szCs w:val="20"/>
      </w:rPr>
      <w:t>V</w:t>
    </w:r>
    <w:r>
      <w:rPr>
        <w:rFonts w:ascii="Times New Roman" w:hAnsi="Times New Roman" w:cs="Times New Roman"/>
        <w:sz w:val="20"/>
        <w:szCs w:val="20"/>
      </w:rPr>
      <w:t>5</w:t>
    </w:r>
    <w:r w:rsidRPr="004D1053">
      <w:rPr>
        <w:rFonts w:ascii="Times New Roman" w:hAnsi="Times New Roman" w:cs="Times New Roman"/>
        <w:sz w:val="20"/>
        <w:szCs w:val="20"/>
      </w:rPr>
      <w:t xml:space="preserve"> – </w:t>
    </w:r>
    <w:r>
      <w:rPr>
        <w:rFonts w:ascii="Times New Roman" w:hAnsi="Times New Roman" w:cs="Times New Roman"/>
        <w:sz w:val="20"/>
        <w:szCs w:val="20"/>
      </w:rPr>
      <w:t>9</w:t>
    </w:r>
    <w:proofErr w:type="gramStart"/>
    <w:r w:rsidRPr="00DD78E6">
      <w:rPr>
        <w:rFonts w:ascii="Times New Roman" w:hAnsi="Times New Roman" w:cs="Times New Roman"/>
        <w:sz w:val="20"/>
        <w:szCs w:val="20"/>
        <w:vertAlign w:val="superscript"/>
      </w:rPr>
      <w:t>th</w:t>
    </w:r>
    <w:r>
      <w:rPr>
        <w:rFonts w:ascii="Times New Roman" w:hAnsi="Times New Roman" w:cs="Times New Roman"/>
        <w:sz w:val="20"/>
        <w:szCs w:val="20"/>
      </w:rPr>
      <w:t xml:space="preserve">  January</w:t>
    </w:r>
    <w:proofErr w:type="gramEnd"/>
    <w:r>
      <w:rPr>
        <w:rFonts w:ascii="Times New Roman" w:hAnsi="Times New Roman" w:cs="Times New Roman"/>
        <w:sz w:val="20"/>
        <w:szCs w:val="20"/>
      </w:rPr>
      <w:t xml:space="preserve"> 2019</w:t>
    </w:r>
    <w:r w:rsidRPr="004D105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D1053">
      <w:rPr>
        <w:rFonts w:ascii="Times New Roman" w:hAnsi="Times New Roman" w:cs="Times New Roman"/>
        <w:sz w:val="20"/>
        <w:szCs w:val="20"/>
      </w:rPr>
      <w:t xml:space="preserve">      </w:t>
    </w: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Pr>
        <w:rFonts w:ascii="Times New Roman" w:hAnsi="Times New Roman" w:cs="Times New Roman"/>
        <w:noProof/>
        <w:sz w:val="20"/>
        <w:szCs w:val="20"/>
      </w:rPr>
      <w:t>16</w:t>
    </w:r>
    <w:r w:rsidRPr="004D1053">
      <w:rPr>
        <w:rFonts w:ascii="Times New Roman" w:hAnsi="Times New Roman" w:cs="Times New Roman"/>
        <w:noProof/>
        <w:sz w:val="20"/>
        <w:szCs w:val="20"/>
      </w:rPr>
      <w:fldChar w:fldCharType="end"/>
    </w:r>
    <w:r w:rsidRPr="004D1053">
      <w:rPr>
        <w:rFonts w:ascii="Times New Roman" w:hAnsi="Times New Roman" w:cs="Times New Roman"/>
        <w:noProof/>
        <w:sz w:val="20"/>
        <w:szCs w:val="20"/>
      </w:rPr>
      <w:t xml:space="preserve">                                      Review 31</w:t>
    </w:r>
    <w:r w:rsidRPr="004D1053">
      <w:rPr>
        <w:rFonts w:ascii="Times New Roman" w:hAnsi="Times New Roman" w:cs="Times New Roman"/>
        <w:noProof/>
        <w:sz w:val="20"/>
        <w:szCs w:val="20"/>
        <w:vertAlign w:val="superscript"/>
      </w:rPr>
      <w:t>st</w:t>
    </w:r>
    <w:r w:rsidRPr="004D1053">
      <w:rPr>
        <w:rFonts w:ascii="Times New Roman" w:hAnsi="Times New Roman" w:cs="Times New Roman"/>
        <w:noProof/>
        <w:sz w:val="20"/>
        <w:szCs w:val="20"/>
      </w:rPr>
      <w:t xml:space="preserve"> </w:t>
    </w:r>
    <w:r>
      <w:rPr>
        <w:rFonts w:ascii="Times New Roman" w:hAnsi="Times New Roman" w:cs="Times New Roman"/>
        <w:noProof/>
        <w:sz w:val="20"/>
        <w:szCs w:val="20"/>
      </w:rPr>
      <w:t>March 2019</w:t>
    </w:r>
    <w:r w:rsidRPr="004D1053">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6680" w14:textId="77777777" w:rsidR="00174D45" w:rsidRDefault="00174D45">
    <w:pPr>
      <w:pStyle w:val="Footer"/>
    </w:pPr>
    <w:r>
      <w:t>July 2014 version</w:t>
    </w:r>
  </w:p>
  <w:p w14:paraId="588303FB" w14:textId="77777777" w:rsidR="00174D45" w:rsidRDefault="0017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91CF" w14:textId="77777777" w:rsidR="00174D45" w:rsidRDefault="00174D45">
      <w:r>
        <w:separator/>
      </w:r>
    </w:p>
  </w:footnote>
  <w:footnote w:type="continuationSeparator" w:id="0">
    <w:p w14:paraId="0C0AA467" w14:textId="77777777" w:rsidR="00174D45" w:rsidRDefault="00174D45">
      <w:r>
        <w:continuationSeparator/>
      </w:r>
    </w:p>
  </w:footnote>
  <w:footnote w:type="continuationNotice" w:id="1">
    <w:p w14:paraId="4B726869" w14:textId="77777777" w:rsidR="00174D45" w:rsidRDefault="00174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5324" w14:textId="77777777" w:rsidR="004C4417" w:rsidRDefault="004C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07BA" w14:textId="77777777" w:rsidR="00174D45" w:rsidRDefault="00174D4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45D6" w14:textId="77777777" w:rsidR="004C4417" w:rsidRDefault="004C44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FFF1" w14:textId="77777777" w:rsidR="004C4417" w:rsidRDefault="004C441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3195D50"/>
    <w:multiLevelType w:val="hybridMultilevel"/>
    <w:tmpl w:val="13B6A278"/>
    <w:lvl w:ilvl="0" w:tplc="DD0478D0">
      <w:start w:val="1"/>
      <w:numFmt w:val="bullet"/>
      <w:lvlText w:val="-"/>
      <w:lvlJc w:val="left"/>
      <w:pPr>
        <w:ind w:left="1080" w:hanging="360"/>
      </w:pPr>
      <w:rPr>
        <w:rFonts w:ascii="Courier New" w:hAnsi="Courier New" w:hint="default"/>
      </w:rPr>
    </w:lvl>
    <w:lvl w:ilvl="1" w:tplc="DD0478D0">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2C5D02"/>
    <w:multiLevelType w:val="hybridMultilevel"/>
    <w:tmpl w:val="241E18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8F0E2F"/>
    <w:multiLevelType w:val="hybridMultilevel"/>
    <w:tmpl w:val="F3F8146E"/>
    <w:lvl w:ilvl="0" w:tplc="1B70134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6497A72"/>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8" w15:restartNumberingAfterBreak="0">
    <w:nsid w:val="29CF23BE"/>
    <w:multiLevelType w:val="hybridMultilevel"/>
    <w:tmpl w:val="EBAA60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E11D3"/>
    <w:multiLevelType w:val="hybridMultilevel"/>
    <w:tmpl w:val="FD8EE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BA094E"/>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1" w15:restartNumberingAfterBreak="0">
    <w:nsid w:val="2EDF68CD"/>
    <w:multiLevelType w:val="hybridMultilevel"/>
    <w:tmpl w:val="BCDE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142F07"/>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3"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4918"/>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16"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43A4867"/>
    <w:multiLevelType w:val="hybridMultilevel"/>
    <w:tmpl w:val="0248D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9" w15:restartNumberingAfterBreak="0">
    <w:nsid w:val="362E2F3C"/>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20"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BC35953"/>
    <w:multiLevelType w:val="hybridMultilevel"/>
    <w:tmpl w:val="3070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3261C"/>
    <w:multiLevelType w:val="hybridMultilevel"/>
    <w:tmpl w:val="B0089E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7ED1D00"/>
    <w:multiLevelType w:val="hybridMultilevel"/>
    <w:tmpl w:val="FEBCF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524E3D54"/>
    <w:multiLevelType w:val="hybridMultilevel"/>
    <w:tmpl w:val="0AC224D8"/>
    <w:lvl w:ilvl="0" w:tplc="B0985306">
      <w:start w:val="1"/>
      <w:numFmt w:val="bullet"/>
      <w:lvlRestart w:val="0"/>
      <w:lvlText w:val=""/>
      <w:lvlJc w:val="left"/>
      <w:pPr>
        <w:tabs>
          <w:tab w:val="num" w:pos="1350"/>
        </w:tabs>
        <w:ind w:left="1350" w:hanging="360"/>
      </w:pPr>
      <w:rPr>
        <w:rFonts w:ascii="Symbol" w:hAnsi="Symbol" w:hint="default"/>
      </w:rPr>
    </w:lvl>
    <w:lvl w:ilvl="1" w:tplc="08090003" w:tentative="1">
      <w:start w:val="1"/>
      <w:numFmt w:val="bullet"/>
      <w:lvlText w:val="o"/>
      <w:lvlJc w:val="left"/>
      <w:pPr>
        <w:tabs>
          <w:tab w:val="num" w:pos="2070"/>
        </w:tabs>
        <w:ind w:left="2070" w:hanging="360"/>
      </w:pPr>
      <w:rPr>
        <w:rFonts w:ascii="Courier New" w:hAnsi="Courier New" w:cs="Courier New" w:hint="default"/>
      </w:rPr>
    </w:lvl>
    <w:lvl w:ilvl="2" w:tplc="08090005" w:tentative="1">
      <w:start w:val="1"/>
      <w:numFmt w:val="bullet"/>
      <w:lvlText w:val=""/>
      <w:lvlJc w:val="left"/>
      <w:pPr>
        <w:tabs>
          <w:tab w:val="num" w:pos="2790"/>
        </w:tabs>
        <w:ind w:left="2790" w:hanging="360"/>
      </w:pPr>
      <w:rPr>
        <w:rFonts w:ascii="Wingdings" w:hAnsi="Wingdings" w:hint="default"/>
      </w:rPr>
    </w:lvl>
    <w:lvl w:ilvl="3" w:tplc="08090001" w:tentative="1">
      <w:start w:val="1"/>
      <w:numFmt w:val="bullet"/>
      <w:lvlText w:val=""/>
      <w:lvlJc w:val="left"/>
      <w:pPr>
        <w:tabs>
          <w:tab w:val="num" w:pos="3510"/>
        </w:tabs>
        <w:ind w:left="3510" w:hanging="360"/>
      </w:pPr>
      <w:rPr>
        <w:rFonts w:ascii="Symbol" w:hAnsi="Symbol" w:hint="default"/>
      </w:rPr>
    </w:lvl>
    <w:lvl w:ilvl="4" w:tplc="08090003" w:tentative="1">
      <w:start w:val="1"/>
      <w:numFmt w:val="bullet"/>
      <w:lvlText w:val="o"/>
      <w:lvlJc w:val="left"/>
      <w:pPr>
        <w:tabs>
          <w:tab w:val="num" w:pos="4230"/>
        </w:tabs>
        <w:ind w:left="4230" w:hanging="360"/>
      </w:pPr>
      <w:rPr>
        <w:rFonts w:ascii="Courier New" w:hAnsi="Courier New" w:cs="Courier New" w:hint="default"/>
      </w:rPr>
    </w:lvl>
    <w:lvl w:ilvl="5" w:tplc="08090005" w:tentative="1">
      <w:start w:val="1"/>
      <w:numFmt w:val="bullet"/>
      <w:lvlText w:val=""/>
      <w:lvlJc w:val="left"/>
      <w:pPr>
        <w:tabs>
          <w:tab w:val="num" w:pos="4950"/>
        </w:tabs>
        <w:ind w:left="4950" w:hanging="360"/>
      </w:pPr>
      <w:rPr>
        <w:rFonts w:ascii="Wingdings" w:hAnsi="Wingdings" w:hint="default"/>
      </w:rPr>
    </w:lvl>
    <w:lvl w:ilvl="6" w:tplc="08090001" w:tentative="1">
      <w:start w:val="1"/>
      <w:numFmt w:val="bullet"/>
      <w:lvlText w:val=""/>
      <w:lvlJc w:val="left"/>
      <w:pPr>
        <w:tabs>
          <w:tab w:val="num" w:pos="5670"/>
        </w:tabs>
        <w:ind w:left="5670" w:hanging="360"/>
      </w:pPr>
      <w:rPr>
        <w:rFonts w:ascii="Symbol" w:hAnsi="Symbol" w:hint="default"/>
      </w:rPr>
    </w:lvl>
    <w:lvl w:ilvl="7" w:tplc="08090003" w:tentative="1">
      <w:start w:val="1"/>
      <w:numFmt w:val="bullet"/>
      <w:lvlText w:val="o"/>
      <w:lvlJc w:val="left"/>
      <w:pPr>
        <w:tabs>
          <w:tab w:val="num" w:pos="6390"/>
        </w:tabs>
        <w:ind w:left="6390" w:hanging="360"/>
      </w:pPr>
      <w:rPr>
        <w:rFonts w:ascii="Courier New" w:hAnsi="Courier New" w:cs="Courier New" w:hint="default"/>
      </w:rPr>
    </w:lvl>
    <w:lvl w:ilvl="8" w:tplc="08090005" w:tentative="1">
      <w:start w:val="1"/>
      <w:numFmt w:val="bullet"/>
      <w:lvlText w:val=""/>
      <w:lvlJc w:val="left"/>
      <w:pPr>
        <w:tabs>
          <w:tab w:val="num" w:pos="7110"/>
        </w:tabs>
        <w:ind w:left="7110" w:hanging="360"/>
      </w:pPr>
      <w:rPr>
        <w:rFonts w:ascii="Wingdings" w:hAnsi="Wingdings" w:hint="default"/>
      </w:rPr>
    </w:lvl>
  </w:abstractNum>
  <w:abstractNum w:abstractNumId="29"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30" w15:restartNumberingAfterBreak="0">
    <w:nsid w:val="552419C9"/>
    <w:multiLevelType w:val="singleLevel"/>
    <w:tmpl w:val="F17850A0"/>
    <w:lvl w:ilvl="0">
      <w:start w:val="1"/>
      <w:numFmt w:val="none"/>
      <w:lvlText w:val=""/>
      <w:legacy w:legacy="1" w:legacySpace="120" w:legacyIndent="360"/>
      <w:lvlJc w:val="left"/>
      <w:pPr>
        <w:ind w:left="2226" w:hanging="360"/>
      </w:pPr>
      <w:rPr>
        <w:rFonts w:ascii="Symbol" w:hAnsi="Symbol" w:hint="default"/>
      </w:rPr>
    </w:lvl>
  </w:abstractNum>
  <w:abstractNum w:abstractNumId="31"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BD66112"/>
    <w:multiLevelType w:val="hybridMultilevel"/>
    <w:tmpl w:val="997A70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4035AC"/>
    <w:multiLevelType w:val="hybridMultilevel"/>
    <w:tmpl w:val="7E364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35" w15:restartNumberingAfterBreak="0">
    <w:nsid w:val="618B506E"/>
    <w:multiLevelType w:val="singleLevel"/>
    <w:tmpl w:val="94782260"/>
    <w:lvl w:ilvl="0">
      <w:start w:val="1"/>
      <w:numFmt w:val="none"/>
      <w:lvlText w:val=""/>
      <w:legacy w:legacy="1" w:legacySpace="120" w:legacyIndent="360"/>
      <w:lvlJc w:val="left"/>
      <w:pPr>
        <w:ind w:left="2160" w:hanging="360"/>
      </w:pPr>
      <w:rPr>
        <w:rFonts w:ascii="Symbol" w:hAnsi="Symbol" w:hint="default"/>
        <w:sz w:val="20"/>
        <w:szCs w:val="20"/>
      </w:rPr>
    </w:lvl>
  </w:abstractNum>
  <w:abstractNum w:abstractNumId="36" w15:restartNumberingAfterBreak="0">
    <w:nsid w:val="620C3603"/>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37"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8" w15:restartNumberingAfterBreak="0">
    <w:nsid w:val="6C344515"/>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3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40" w15:restartNumberingAfterBreak="0">
    <w:nsid w:val="71D2429A"/>
    <w:multiLevelType w:val="hybridMultilevel"/>
    <w:tmpl w:val="89585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47FB1"/>
    <w:multiLevelType w:val="hybridMultilevel"/>
    <w:tmpl w:val="F9968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43" w15:restartNumberingAfterBreak="0">
    <w:nsid w:val="73E157FF"/>
    <w:multiLevelType w:val="hybridMultilevel"/>
    <w:tmpl w:val="193EB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7"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47"/>
  </w:num>
  <w:num w:numId="2">
    <w:abstractNumId w:val="29"/>
  </w:num>
  <w:num w:numId="3">
    <w:abstractNumId w:val="34"/>
  </w:num>
  <w:num w:numId="4">
    <w:abstractNumId w:val="6"/>
  </w:num>
  <w:num w:numId="5">
    <w:abstractNumId w:val="26"/>
  </w:num>
  <w:num w:numId="6">
    <w:abstractNumId w:val="31"/>
  </w:num>
  <w:num w:numId="7">
    <w:abstractNumId w:val="14"/>
  </w:num>
  <w:num w:numId="8">
    <w:abstractNumId w:val="44"/>
  </w:num>
  <w:num w:numId="9">
    <w:abstractNumId w:val="16"/>
  </w:num>
  <w:num w:numId="10">
    <w:abstractNumId w:val="23"/>
  </w:num>
  <w:num w:numId="11">
    <w:abstractNumId w:val="0"/>
  </w:num>
  <w:num w:numId="12">
    <w:abstractNumId w:val="18"/>
  </w:num>
  <w:num w:numId="13">
    <w:abstractNumId w:val="37"/>
  </w:num>
  <w:num w:numId="14">
    <w:abstractNumId w:val="45"/>
  </w:num>
  <w:num w:numId="15">
    <w:abstractNumId w:val="46"/>
  </w:num>
  <w:num w:numId="16">
    <w:abstractNumId w:val="2"/>
  </w:num>
  <w:num w:numId="17">
    <w:abstractNumId w:val="3"/>
  </w:num>
  <w:num w:numId="18">
    <w:abstractNumId w:val="13"/>
  </w:num>
  <w:num w:numId="19">
    <w:abstractNumId w:val="24"/>
  </w:num>
  <w:num w:numId="20">
    <w:abstractNumId w:val="20"/>
  </w:num>
  <w:num w:numId="21">
    <w:abstractNumId w:val="10"/>
  </w:num>
  <w:num w:numId="22">
    <w:abstractNumId w:val="36"/>
  </w:num>
  <w:num w:numId="23">
    <w:abstractNumId w:val="7"/>
  </w:num>
  <w:num w:numId="24">
    <w:abstractNumId w:val="19"/>
  </w:num>
  <w:num w:numId="25">
    <w:abstractNumId w:val="12"/>
  </w:num>
  <w:num w:numId="26">
    <w:abstractNumId w:val="28"/>
  </w:num>
  <w:num w:numId="27">
    <w:abstractNumId w:val="11"/>
  </w:num>
  <w:num w:numId="28">
    <w:abstractNumId w:val="17"/>
  </w:num>
  <w:num w:numId="29">
    <w:abstractNumId w:val="40"/>
  </w:num>
  <w:num w:numId="30">
    <w:abstractNumId w:val="8"/>
  </w:num>
  <w:num w:numId="31">
    <w:abstractNumId w:val="1"/>
  </w:num>
  <w:num w:numId="32">
    <w:abstractNumId w:val="33"/>
  </w:num>
  <w:num w:numId="33">
    <w:abstractNumId w:val="22"/>
  </w:num>
  <w:num w:numId="34">
    <w:abstractNumId w:val="30"/>
  </w:num>
  <w:num w:numId="35">
    <w:abstractNumId w:val="15"/>
  </w:num>
  <w:num w:numId="36">
    <w:abstractNumId w:val="42"/>
  </w:num>
  <w:num w:numId="37">
    <w:abstractNumId w:val="38"/>
  </w:num>
  <w:num w:numId="38">
    <w:abstractNumId w:val="35"/>
  </w:num>
  <w:num w:numId="39">
    <w:abstractNumId w:val="32"/>
  </w:num>
  <w:num w:numId="40">
    <w:abstractNumId w:val="27"/>
  </w:num>
  <w:num w:numId="41">
    <w:abstractNumId w:val="43"/>
  </w:num>
  <w:num w:numId="42">
    <w:abstractNumId w:val="9"/>
  </w:num>
  <w:num w:numId="43">
    <w:abstractNumId w:val="21"/>
  </w:num>
  <w:num w:numId="44">
    <w:abstractNumId w:val="41"/>
  </w:num>
  <w:num w:numId="45">
    <w:abstractNumId w:val="5"/>
  </w:num>
  <w:num w:numId="46">
    <w:abstractNumId w:val="25"/>
  </w:num>
  <w:num w:numId="47">
    <w:abstractNumId w:val="39"/>
  </w:num>
  <w:num w:numId="48">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2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5"/>
    <w:rsid w:val="00001C6B"/>
    <w:rsid w:val="00002578"/>
    <w:rsid w:val="00007771"/>
    <w:rsid w:val="00007D10"/>
    <w:rsid w:val="000125BE"/>
    <w:rsid w:val="00021F30"/>
    <w:rsid w:val="00041BFD"/>
    <w:rsid w:val="00045040"/>
    <w:rsid w:val="00046651"/>
    <w:rsid w:val="00060DA5"/>
    <w:rsid w:val="0007567D"/>
    <w:rsid w:val="00080B2D"/>
    <w:rsid w:val="000826B8"/>
    <w:rsid w:val="000846D5"/>
    <w:rsid w:val="00095CC3"/>
    <w:rsid w:val="00095D07"/>
    <w:rsid w:val="000A26DF"/>
    <w:rsid w:val="000A6431"/>
    <w:rsid w:val="000B145D"/>
    <w:rsid w:val="000B3DC5"/>
    <w:rsid w:val="000C0A4D"/>
    <w:rsid w:val="000C1EB1"/>
    <w:rsid w:val="000C2F06"/>
    <w:rsid w:val="000C361B"/>
    <w:rsid w:val="000C439B"/>
    <w:rsid w:val="000D00D0"/>
    <w:rsid w:val="000E026E"/>
    <w:rsid w:val="000E0DC9"/>
    <w:rsid w:val="000E2959"/>
    <w:rsid w:val="000E36E7"/>
    <w:rsid w:val="000E456E"/>
    <w:rsid w:val="000F4EB7"/>
    <w:rsid w:val="000F79A1"/>
    <w:rsid w:val="001014C6"/>
    <w:rsid w:val="00101E5F"/>
    <w:rsid w:val="00101FBF"/>
    <w:rsid w:val="00112CB4"/>
    <w:rsid w:val="00117CFB"/>
    <w:rsid w:val="001209F1"/>
    <w:rsid w:val="0012243A"/>
    <w:rsid w:val="0012387E"/>
    <w:rsid w:val="00143A00"/>
    <w:rsid w:val="00147D18"/>
    <w:rsid w:val="00160334"/>
    <w:rsid w:val="00163A3E"/>
    <w:rsid w:val="00165D84"/>
    <w:rsid w:val="00174D29"/>
    <w:rsid w:val="00174D45"/>
    <w:rsid w:val="00187DF5"/>
    <w:rsid w:val="00197E9E"/>
    <w:rsid w:val="001A2A58"/>
    <w:rsid w:val="001A740F"/>
    <w:rsid w:val="001B4127"/>
    <w:rsid w:val="001B549A"/>
    <w:rsid w:val="001B5D8B"/>
    <w:rsid w:val="001C6134"/>
    <w:rsid w:val="001C69F7"/>
    <w:rsid w:val="001D1C57"/>
    <w:rsid w:val="001F0B38"/>
    <w:rsid w:val="001F45F7"/>
    <w:rsid w:val="001F6DAC"/>
    <w:rsid w:val="0020646F"/>
    <w:rsid w:val="0020763E"/>
    <w:rsid w:val="00211921"/>
    <w:rsid w:val="00220935"/>
    <w:rsid w:val="00224E21"/>
    <w:rsid w:val="002369E6"/>
    <w:rsid w:val="0023713E"/>
    <w:rsid w:val="00240CAA"/>
    <w:rsid w:val="00241056"/>
    <w:rsid w:val="00241855"/>
    <w:rsid w:val="002441CE"/>
    <w:rsid w:val="002616A1"/>
    <w:rsid w:val="00281684"/>
    <w:rsid w:val="002A1180"/>
    <w:rsid w:val="002A2F2F"/>
    <w:rsid w:val="002A6825"/>
    <w:rsid w:val="002A72BA"/>
    <w:rsid w:val="002B6384"/>
    <w:rsid w:val="002C24C8"/>
    <w:rsid w:val="002C2E50"/>
    <w:rsid w:val="002C687F"/>
    <w:rsid w:val="002E64C6"/>
    <w:rsid w:val="002F0430"/>
    <w:rsid w:val="002F14C5"/>
    <w:rsid w:val="002F1C10"/>
    <w:rsid w:val="002F23B3"/>
    <w:rsid w:val="00303483"/>
    <w:rsid w:val="00315DC2"/>
    <w:rsid w:val="00322F01"/>
    <w:rsid w:val="0033021D"/>
    <w:rsid w:val="00335C93"/>
    <w:rsid w:val="00337ADA"/>
    <w:rsid w:val="00345EC4"/>
    <w:rsid w:val="0034712E"/>
    <w:rsid w:val="003747A2"/>
    <w:rsid w:val="00377515"/>
    <w:rsid w:val="0038598B"/>
    <w:rsid w:val="00397537"/>
    <w:rsid w:val="003A26BA"/>
    <w:rsid w:val="003B09CE"/>
    <w:rsid w:val="003B157F"/>
    <w:rsid w:val="003B2FC3"/>
    <w:rsid w:val="003C7D82"/>
    <w:rsid w:val="003D6AE8"/>
    <w:rsid w:val="003E19E4"/>
    <w:rsid w:val="003E1A9D"/>
    <w:rsid w:val="003E38BD"/>
    <w:rsid w:val="003F3D9D"/>
    <w:rsid w:val="003F4D78"/>
    <w:rsid w:val="00407FAE"/>
    <w:rsid w:val="004102E6"/>
    <w:rsid w:val="004109BC"/>
    <w:rsid w:val="00413EB9"/>
    <w:rsid w:val="00417046"/>
    <w:rsid w:val="00432638"/>
    <w:rsid w:val="004359B0"/>
    <w:rsid w:val="00441C66"/>
    <w:rsid w:val="00445699"/>
    <w:rsid w:val="004459C7"/>
    <w:rsid w:val="004471E5"/>
    <w:rsid w:val="00451181"/>
    <w:rsid w:val="00453637"/>
    <w:rsid w:val="00461E00"/>
    <w:rsid w:val="0046214C"/>
    <w:rsid w:val="00471563"/>
    <w:rsid w:val="00480B33"/>
    <w:rsid w:val="00482CEB"/>
    <w:rsid w:val="00484C8F"/>
    <w:rsid w:val="004A69A4"/>
    <w:rsid w:val="004A72A3"/>
    <w:rsid w:val="004C4417"/>
    <w:rsid w:val="004C6ED5"/>
    <w:rsid w:val="004D1053"/>
    <w:rsid w:val="004E43CD"/>
    <w:rsid w:val="004F16B1"/>
    <w:rsid w:val="004F286D"/>
    <w:rsid w:val="004F731C"/>
    <w:rsid w:val="00503ABE"/>
    <w:rsid w:val="00516973"/>
    <w:rsid w:val="00522A88"/>
    <w:rsid w:val="0052499A"/>
    <w:rsid w:val="00535756"/>
    <w:rsid w:val="005418D4"/>
    <w:rsid w:val="005431C3"/>
    <w:rsid w:val="0054483C"/>
    <w:rsid w:val="00555D6A"/>
    <w:rsid w:val="00556F14"/>
    <w:rsid w:val="0056108B"/>
    <w:rsid w:val="00582E47"/>
    <w:rsid w:val="00586ED8"/>
    <w:rsid w:val="00590958"/>
    <w:rsid w:val="00596556"/>
    <w:rsid w:val="005A3463"/>
    <w:rsid w:val="005A4B46"/>
    <w:rsid w:val="005B6E47"/>
    <w:rsid w:val="005C19D7"/>
    <w:rsid w:val="005C398D"/>
    <w:rsid w:val="005D1CD7"/>
    <w:rsid w:val="005D4E0E"/>
    <w:rsid w:val="005D5770"/>
    <w:rsid w:val="005D7D23"/>
    <w:rsid w:val="005E015F"/>
    <w:rsid w:val="005F395C"/>
    <w:rsid w:val="00607603"/>
    <w:rsid w:val="00612D07"/>
    <w:rsid w:val="00620AFE"/>
    <w:rsid w:val="00623EE6"/>
    <w:rsid w:val="006277E7"/>
    <w:rsid w:val="00634091"/>
    <w:rsid w:val="0063440F"/>
    <w:rsid w:val="00635265"/>
    <w:rsid w:val="00641DA4"/>
    <w:rsid w:val="006458C4"/>
    <w:rsid w:val="00650775"/>
    <w:rsid w:val="00657CEE"/>
    <w:rsid w:val="006605CE"/>
    <w:rsid w:val="00665895"/>
    <w:rsid w:val="00666A2C"/>
    <w:rsid w:val="00666F56"/>
    <w:rsid w:val="00670A54"/>
    <w:rsid w:val="00671556"/>
    <w:rsid w:val="00671707"/>
    <w:rsid w:val="00680E9D"/>
    <w:rsid w:val="00686C76"/>
    <w:rsid w:val="00697C31"/>
    <w:rsid w:val="006A624E"/>
    <w:rsid w:val="006B4315"/>
    <w:rsid w:val="006B6166"/>
    <w:rsid w:val="006B69B7"/>
    <w:rsid w:val="006C1199"/>
    <w:rsid w:val="006C2061"/>
    <w:rsid w:val="006C680E"/>
    <w:rsid w:val="006D330D"/>
    <w:rsid w:val="006F0B61"/>
    <w:rsid w:val="006F11F0"/>
    <w:rsid w:val="006F2354"/>
    <w:rsid w:val="0070241B"/>
    <w:rsid w:val="0070259B"/>
    <w:rsid w:val="00713EE2"/>
    <w:rsid w:val="00715234"/>
    <w:rsid w:val="00721F1C"/>
    <w:rsid w:val="0072215E"/>
    <w:rsid w:val="007445CD"/>
    <w:rsid w:val="00744B7C"/>
    <w:rsid w:val="007473A8"/>
    <w:rsid w:val="007514D6"/>
    <w:rsid w:val="00752066"/>
    <w:rsid w:val="00762AC0"/>
    <w:rsid w:val="00764029"/>
    <w:rsid w:val="0076592B"/>
    <w:rsid w:val="00766686"/>
    <w:rsid w:val="00781582"/>
    <w:rsid w:val="007854F7"/>
    <w:rsid w:val="00790626"/>
    <w:rsid w:val="00791515"/>
    <w:rsid w:val="007B6816"/>
    <w:rsid w:val="007C63BC"/>
    <w:rsid w:val="007D3EAB"/>
    <w:rsid w:val="007D6863"/>
    <w:rsid w:val="007E6CB2"/>
    <w:rsid w:val="007F2B7A"/>
    <w:rsid w:val="0080517B"/>
    <w:rsid w:val="00811A22"/>
    <w:rsid w:val="00823884"/>
    <w:rsid w:val="00824505"/>
    <w:rsid w:val="008262B7"/>
    <w:rsid w:val="00833E00"/>
    <w:rsid w:val="008343E4"/>
    <w:rsid w:val="00840B95"/>
    <w:rsid w:val="008433A1"/>
    <w:rsid w:val="00846548"/>
    <w:rsid w:val="00855148"/>
    <w:rsid w:val="00857A76"/>
    <w:rsid w:val="008605C0"/>
    <w:rsid w:val="00860A50"/>
    <w:rsid w:val="00875E47"/>
    <w:rsid w:val="0088161B"/>
    <w:rsid w:val="008835E7"/>
    <w:rsid w:val="008915AA"/>
    <w:rsid w:val="00891B6B"/>
    <w:rsid w:val="00892888"/>
    <w:rsid w:val="00892E53"/>
    <w:rsid w:val="008A2D90"/>
    <w:rsid w:val="008A49A2"/>
    <w:rsid w:val="008B0D33"/>
    <w:rsid w:val="008B241F"/>
    <w:rsid w:val="008C43A5"/>
    <w:rsid w:val="008D0145"/>
    <w:rsid w:val="008D25F3"/>
    <w:rsid w:val="008D2E5B"/>
    <w:rsid w:val="008E4796"/>
    <w:rsid w:val="008F16C7"/>
    <w:rsid w:val="008F3A3F"/>
    <w:rsid w:val="008F65EB"/>
    <w:rsid w:val="00916890"/>
    <w:rsid w:val="00916D17"/>
    <w:rsid w:val="00923B3C"/>
    <w:rsid w:val="00936766"/>
    <w:rsid w:val="00942764"/>
    <w:rsid w:val="0094523E"/>
    <w:rsid w:val="00945E0A"/>
    <w:rsid w:val="009464A7"/>
    <w:rsid w:val="00953300"/>
    <w:rsid w:val="009605D2"/>
    <w:rsid w:val="00964936"/>
    <w:rsid w:val="0098035A"/>
    <w:rsid w:val="009A47B9"/>
    <w:rsid w:val="009B415F"/>
    <w:rsid w:val="009B5CBF"/>
    <w:rsid w:val="009B70BE"/>
    <w:rsid w:val="009B7FF0"/>
    <w:rsid w:val="009C2CDB"/>
    <w:rsid w:val="009D1592"/>
    <w:rsid w:val="009D33E3"/>
    <w:rsid w:val="009E2CDF"/>
    <w:rsid w:val="009F63A8"/>
    <w:rsid w:val="00A1619A"/>
    <w:rsid w:val="00A164B7"/>
    <w:rsid w:val="00A1706E"/>
    <w:rsid w:val="00A20DD7"/>
    <w:rsid w:val="00A220B3"/>
    <w:rsid w:val="00A309CB"/>
    <w:rsid w:val="00A30EE0"/>
    <w:rsid w:val="00A319DD"/>
    <w:rsid w:val="00A52A6C"/>
    <w:rsid w:val="00A57C51"/>
    <w:rsid w:val="00A60038"/>
    <w:rsid w:val="00A6648E"/>
    <w:rsid w:val="00A70FB2"/>
    <w:rsid w:val="00A81434"/>
    <w:rsid w:val="00AB38B8"/>
    <w:rsid w:val="00AB711B"/>
    <w:rsid w:val="00AD2A0D"/>
    <w:rsid w:val="00AD453E"/>
    <w:rsid w:val="00AD4741"/>
    <w:rsid w:val="00AD4ED2"/>
    <w:rsid w:val="00AE08C6"/>
    <w:rsid w:val="00AE6726"/>
    <w:rsid w:val="00B0166C"/>
    <w:rsid w:val="00B16236"/>
    <w:rsid w:val="00B304BF"/>
    <w:rsid w:val="00B32E75"/>
    <w:rsid w:val="00B37B0E"/>
    <w:rsid w:val="00B37CAF"/>
    <w:rsid w:val="00B4054E"/>
    <w:rsid w:val="00B47F69"/>
    <w:rsid w:val="00B60590"/>
    <w:rsid w:val="00B64BB1"/>
    <w:rsid w:val="00B73A7D"/>
    <w:rsid w:val="00B86EAE"/>
    <w:rsid w:val="00B9425E"/>
    <w:rsid w:val="00BB7E68"/>
    <w:rsid w:val="00BC41D0"/>
    <w:rsid w:val="00BC6008"/>
    <w:rsid w:val="00BC79C1"/>
    <w:rsid w:val="00BD25FC"/>
    <w:rsid w:val="00BE7EAD"/>
    <w:rsid w:val="00BF1C9C"/>
    <w:rsid w:val="00C25890"/>
    <w:rsid w:val="00C25E55"/>
    <w:rsid w:val="00C337BE"/>
    <w:rsid w:val="00C607F2"/>
    <w:rsid w:val="00C72753"/>
    <w:rsid w:val="00C852FC"/>
    <w:rsid w:val="00C923C7"/>
    <w:rsid w:val="00C926B3"/>
    <w:rsid w:val="00CA1712"/>
    <w:rsid w:val="00CA3CF4"/>
    <w:rsid w:val="00CA415B"/>
    <w:rsid w:val="00CA4548"/>
    <w:rsid w:val="00CA7035"/>
    <w:rsid w:val="00CC25F9"/>
    <w:rsid w:val="00CC28E1"/>
    <w:rsid w:val="00CC4DAC"/>
    <w:rsid w:val="00CC5C39"/>
    <w:rsid w:val="00CD2626"/>
    <w:rsid w:val="00CD6659"/>
    <w:rsid w:val="00CD6FE7"/>
    <w:rsid w:val="00CE05D3"/>
    <w:rsid w:val="00CE078A"/>
    <w:rsid w:val="00CE1381"/>
    <w:rsid w:val="00CF17C7"/>
    <w:rsid w:val="00CF7A0E"/>
    <w:rsid w:val="00D00837"/>
    <w:rsid w:val="00D073CA"/>
    <w:rsid w:val="00D114B8"/>
    <w:rsid w:val="00D12799"/>
    <w:rsid w:val="00D205AF"/>
    <w:rsid w:val="00D21FB7"/>
    <w:rsid w:val="00D331A3"/>
    <w:rsid w:val="00D35F29"/>
    <w:rsid w:val="00D435ED"/>
    <w:rsid w:val="00D4583E"/>
    <w:rsid w:val="00D548FB"/>
    <w:rsid w:val="00D54A9D"/>
    <w:rsid w:val="00D55A52"/>
    <w:rsid w:val="00D62081"/>
    <w:rsid w:val="00D71F29"/>
    <w:rsid w:val="00D72D15"/>
    <w:rsid w:val="00D77604"/>
    <w:rsid w:val="00D92EA0"/>
    <w:rsid w:val="00DA7839"/>
    <w:rsid w:val="00DB445E"/>
    <w:rsid w:val="00DC42E3"/>
    <w:rsid w:val="00DC6A1C"/>
    <w:rsid w:val="00DD3674"/>
    <w:rsid w:val="00DD78E6"/>
    <w:rsid w:val="00E107B0"/>
    <w:rsid w:val="00E14105"/>
    <w:rsid w:val="00E1647E"/>
    <w:rsid w:val="00E26059"/>
    <w:rsid w:val="00E4476A"/>
    <w:rsid w:val="00E54791"/>
    <w:rsid w:val="00E61151"/>
    <w:rsid w:val="00E62240"/>
    <w:rsid w:val="00E65535"/>
    <w:rsid w:val="00E66D86"/>
    <w:rsid w:val="00E812C9"/>
    <w:rsid w:val="00E84324"/>
    <w:rsid w:val="00E85129"/>
    <w:rsid w:val="00E87D54"/>
    <w:rsid w:val="00E91E19"/>
    <w:rsid w:val="00E961EF"/>
    <w:rsid w:val="00EA4286"/>
    <w:rsid w:val="00EB18F8"/>
    <w:rsid w:val="00EB4B2D"/>
    <w:rsid w:val="00EC4100"/>
    <w:rsid w:val="00ED16FB"/>
    <w:rsid w:val="00ED517B"/>
    <w:rsid w:val="00ED620B"/>
    <w:rsid w:val="00EE64BD"/>
    <w:rsid w:val="00F0116D"/>
    <w:rsid w:val="00F02CE8"/>
    <w:rsid w:val="00F1449A"/>
    <w:rsid w:val="00F16A26"/>
    <w:rsid w:val="00F1789C"/>
    <w:rsid w:val="00F25148"/>
    <w:rsid w:val="00F257F8"/>
    <w:rsid w:val="00F26A2A"/>
    <w:rsid w:val="00F27705"/>
    <w:rsid w:val="00F309BE"/>
    <w:rsid w:val="00F335C7"/>
    <w:rsid w:val="00F35218"/>
    <w:rsid w:val="00F4442A"/>
    <w:rsid w:val="00F45645"/>
    <w:rsid w:val="00F51B02"/>
    <w:rsid w:val="00F6027E"/>
    <w:rsid w:val="00F6261B"/>
    <w:rsid w:val="00F675CC"/>
    <w:rsid w:val="00F67835"/>
    <w:rsid w:val="00F72102"/>
    <w:rsid w:val="00F72ADE"/>
    <w:rsid w:val="00F73DFA"/>
    <w:rsid w:val="00F802E5"/>
    <w:rsid w:val="00F822E4"/>
    <w:rsid w:val="00F839AC"/>
    <w:rsid w:val="00F83E4B"/>
    <w:rsid w:val="00F84384"/>
    <w:rsid w:val="00F85041"/>
    <w:rsid w:val="00F943D9"/>
    <w:rsid w:val="00FA0774"/>
    <w:rsid w:val="00FA5787"/>
    <w:rsid w:val="00FB3E91"/>
    <w:rsid w:val="00FB76A3"/>
    <w:rsid w:val="00FC0CD5"/>
    <w:rsid w:val="00FC1A3A"/>
    <w:rsid w:val="00FC4E46"/>
    <w:rsid w:val="00FC6D03"/>
    <w:rsid w:val="00FC720C"/>
    <w:rsid w:val="00FD6A0B"/>
    <w:rsid w:val="00FE18DF"/>
    <w:rsid w:val="00FE40FB"/>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3"/>
    <o:shapelayout v:ext="edit">
      <o:idmap v:ext="edit" data="1"/>
    </o:shapelayout>
  </w:shapeDefaults>
  <w:decimalSymbol w:val="."/>
  <w:listSeparator w:val=","/>
  <w14:docId w14:val="6422AEC1"/>
  <w15:chartTrackingRefBased/>
  <w15:docId w15:val="{343EF34B-5E34-4E92-AD75-C3309756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7"/>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4"/>
      </w:numPr>
      <w:spacing w:after="240"/>
    </w:pPr>
    <w:rPr>
      <w:rFonts w:cs="Times New Roman"/>
      <w:sz w:val="24"/>
      <w:szCs w:val="20"/>
      <w:lang w:eastAsia="en-US"/>
    </w:rPr>
  </w:style>
  <w:style w:type="paragraph" w:customStyle="1" w:styleId="DeptBullets">
    <w:name w:val="DeptBullets"/>
    <w:basedOn w:val="Normal"/>
    <w:rsid w:val="00744B7C"/>
    <w:pPr>
      <w:numPr>
        <w:numId w:val="5"/>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link w:val="BodyTextIndent2Char"/>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link w:val="BodyTextIndent3Char"/>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BodyText3">
    <w:name w:val="Body Text 3"/>
    <w:basedOn w:val="Normal"/>
    <w:link w:val="BodyText3Char"/>
    <w:rsid w:val="00FD6A0B"/>
    <w:pPr>
      <w:spacing w:after="120"/>
    </w:pPr>
    <w:rPr>
      <w:sz w:val="16"/>
      <w:szCs w:val="14"/>
    </w:rPr>
  </w:style>
  <w:style w:type="character" w:customStyle="1" w:styleId="BodyText3Char">
    <w:name w:val="Body Text 3 Char"/>
    <w:link w:val="BodyText3"/>
    <w:rsid w:val="00FD6A0B"/>
    <w:rPr>
      <w:rFonts w:ascii="Arial" w:hAnsi="Arial" w:cs="Mangal"/>
      <w:sz w:val="16"/>
      <w:szCs w:val="14"/>
    </w:rPr>
  </w:style>
  <w:style w:type="character" w:styleId="Emphasis">
    <w:name w:val="Emphasis"/>
    <w:qFormat/>
    <w:rsid w:val="00FD6A0B"/>
    <w:rPr>
      <w:i/>
      <w:iCs/>
    </w:rPr>
  </w:style>
  <w:style w:type="paragraph" w:styleId="CommentSubject">
    <w:name w:val="annotation subject"/>
    <w:basedOn w:val="CommentText"/>
    <w:next w:val="CommentText"/>
    <w:link w:val="CommentSubjectChar"/>
    <w:rsid w:val="009B415F"/>
    <w:rPr>
      <w:b/>
      <w:bCs/>
    </w:rPr>
  </w:style>
  <w:style w:type="character" w:customStyle="1" w:styleId="CommentSubjectChar">
    <w:name w:val="Comment Subject Char"/>
    <w:link w:val="CommentSubject"/>
    <w:rsid w:val="009B415F"/>
    <w:rPr>
      <w:rFonts w:ascii="Arial" w:hAnsi="Arial" w:cs="Mangal"/>
      <w:b/>
      <w:bCs/>
      <w:szCs w:val="18"/>
    </w:rPr>
  </w:style>
  <w:style w:type="paragraph" w:styleId="NoSpacing">
    <w:name w:val="No Spacing"/>
    <w:link w:val="NoSpacingChar"/>
    <w:qFormat/>
    <w:rsid w:val="0063440F"/>
    <w:rPr>
      <w:rFonts w:ascii="Calibri" w:eastAsia="Calibri" w:hAnsi="Calibri"/>
      <w:sz w:val="22"/>
      <w:szCs w:val="22"/>
      <w:lang w:eastAsia="en-US"/>
    </w:rPr>
  </w:style>
  <w:style w:type="character" w:customStyle="1" w:styleId="NoSpacingChar">
    <w:name w:val="No Spacing Char"/>
    <w:link w:val="NoSpacing"/>
    <w:rsid w:val="0063440F"/>
    <w:rPr>
      <w:rFonts w:ascii="Calibri" w:eastAsia="Calibri" w:hAnsi="Calibri"/>
      <w:sz w:val="22"/>
      <w:szCs w:val="22"/>
      <w:lang w:eastAsia="en-US"/>
    </w:rPr>
  </w:style>
  <w:style w:type="character" w:customStyle="1" w:styleId="NumberedChar">
    <w:name w:val="Numbered Char"/>
    <w:link w:val="Numbered"/>
    <w:rsid w:val="00916D17"/>
    <w:rPr>
      <w:rFonts w:ascii="Arial" w:hAnsi="Arial" w:cs="Mangal"/>
      <w:sz w:val="22"/>
      <w:szCs w:val="22"/>
    </w:rPr>
  </w:style>
  <w:style w:type="character" w:styleId="UnresolvedMention">
    <w:name w:val="Unresolved Mention"/>
    <w:uiPriority w:val="99"/>
    <w:semiHidden/>
    <w:unhideWhenUsed/>
    <w:rsid w:val="002E64C6"/>
    <w:rPr>
      <w:color w:val="605E5C"/>
      <w:shd w:val="clear" w:color="auto" w:fill="E1DFDD"/>
    </w:rPr>
  </w:style>
  <w:style w:type="paragraph" w:styleId="FootnoteText">
    <w:name w:val="footnote text"/>
    <w:basedOn w:val="Normal"/>
    <w:link w:val="FootnoteTextChar"/>
    <w:uiPriority w:val="99"/>
    <w:unhideWhenUsed/>
    <w:rsid w:val="00BC41D0"/>
    <w:pPr>
      <w:widowControl/>
      <w:overflowPunct/>
      <w:autoSpaceDE/>
      <w:autoSpaceDN/>
      <w:adjustRightInd/>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BC41D0"/>
    <w:rPr>
      <w:rFonts w:ascii="Calibri" w:eastAsia="Calibri" w:hAnsi="Calibri"/>
      <w:lang w:eastAsia="en-US"/>
    </w:rPr>
  </w:style>
  <w:style w:type="character" w:styleId="FootnoteReference">
    <w:name w:val="footnote reference"/>
    <w:uiPriority w:val="99"/>
    <w:unhideWhenUsed/>
    <w:rsid w:val="00BC41D0"/>
    <w:rPr>
      <w:vertAlign w:val="superscript"/>
    </w:rPr>
  </w:style>
  <w:style w:type="paragraph" w:customStyle="1" w:styleId="Outline3">
    <w:name w:val="Outline 3"/>
    <w:basedOn w:val="Normal"/>
    <w:rsid w:val="004C4417"/>
    <w:pPr>
      <w:widowControl/>
      <w:tabs>
        <w:tab w:val="left" w:pos="1701"/>
      </w:tabs>
      <w:spacing w:after="240"/>
      <w:ind w:left="1701" w:hanging="850"/>
      <w:jc w:val="both"/>
    </w:pPr>
    <w:rPr>
      <w:rFonts w:cs="Times New Roman"/>
      <w:szCs w:val="20"/>
    </w:rPr>
  </w:style>
  <w:style w:type="paragraph" w:customStyle="1" w:styleId="Outline4">
    <w:name w:val="Outline 4"/>
    <w:basedOn w:val="Normal"/>
    <w:rsid w:val="004C4417"/>
    <w:pPr>
      <w:widowControl/>
      <w:tabs>
        <w:tab w:val="left" w:pos="2268"/>
      </w:tabs>
      <w:spacing w:after="240"/>
      <w:ind w:left="2268" w:hanging="567"/>
      <w:jc w:val="both"/>
    </w:pPr>
    <w:rPr>
      <w:rFonts w:cs="Times New Roman"/>
      <w:szCs w:val="20"/>
    </w:rPr>
  </w:style>
  <w:style w:type="paragraph" w:customStyle="1" w:styleId="Outline5">
    <w:name w:val="Outline 5"/>
    <w:basedOn w:val="Normal"/>
    <w:rsid w:val="004C4417"/>
    <w:pPr>
      <w:widowControl/>
      <w:tabs>
        <w:tab w:val="left" w:pos="2835"/>
      </w:tabs>
      <w:spacing w:after="240"/>
      <w:ind w:left="2835" w:hanging="567"/>
      <w:jc w:val="both"/>
    </w:pPr>
    <w:rPr>
      <w:rFonts w:cs="Times New Roman"/>
      <w:szCs w:val="20"/>
    </w:rPr>
  </w:style>
  <w:style w:type="paragraph" w:customStyle="1" w:styleId="OutlineInd2">
    <w:name w:val="Outline Ind 2"/>
    <w:basedOn w:val="Normal"/>
    <w:rsid w:val="004C4417"/>
    <w:pPr>
      <w:widowControl/>
      <w:tabs>
        <w:tab w:val="left" w:pos="1701"/>
      </w:tabs>
      <w:spacing w:after="240"/>
      <w:ind w:left="1701" w:hanging="850"/>
      <w:jc w:val="both"/>
    </w:pPr>
    <w:rPr>
      <w:rFonts w:cs="Times New Roman"/>
      <w:szCs w:val="20"/>
    </w:rPr>
  </w:style>
  <w:style w:type="paragraph" w:customStyle="1" w:styleId="OutlineInd3">
    <w:name w:val="Outline Ind 3"/>
    <w:basedOn w:val="Normal"/>
    <w:rsid w:val="004C4417"/>
    <w:pPr>
      <w:widowControl/>
      <w:tabs>
        <w:tab w:val="left" w:pos="2552"/>
      </w:tabs>
      <w:spacing w:after="240"/>
      <w:ind w:left="2552" w:hanging="851"/>
      <w:jc w:val="both"/>
    </w:pPr>
    <w:rPr>
      <w:rFonts w:cs="Times New Roman"/>
      <w:szCs w:val="20"/>
    </w:rPr>
  </w:style>
  <w:style w:type="paragraph" w:customStyle="1" w:styleId="OutlineInd4">
    <w:name w:val="Outline Ind 4"/>
    <w:basedOn w:val="Normal"/>
    <w:rsid w:val="004C4417"/>
    <w:pPr>
      <w:widowControl/>
      <w:tabs>
        <w:tab w:val="left" w:pos="3119"/>
      </w:tabs>
      <w:spacing w:after="240"/>
      <w:ind w:left="3119" w:hanging="567"/>
      <w:jc w:val="both"/>
    </w:pPr>
    <w:rPr>
      <w:rFonts w:cs="Times New Roman"/>
      <w:szCs w:val="20"/>
    </w:rPr>
  </w:style>
  <w:style w:type="paragraph" w:customStyle="1" w:styleId="OutlineInd5">
    <w:name w:val="Outline Ind 5"/>
    <w:basedOn w:val="Normal"/>
    <w:rsid w:val="004C4417"/>
    <w:pPr>
      <w:widowControl/>
      <w:tabs>
        <w:tab w:val="left" w:pos="3686"/>
      </w:tabs>
      <w:spacing w:after="240"/>
      <w:ind w:left="3686" w:hanging="567"/>
      <w:jc w:val="both"/>
    </w:pPr>
    <w:rPr>
      <w:rFonts w:cs="Times New Roman"/>
      <w:szCs w:val="20"/>
    </w:rPr>
  </w:style>
  <w:style w:type="character" w:customStyle="1" w:styleId="BodyTextChar">
    <w:name w:val="Body Text Char"/>
    <w:link w:val="BodyText"/>
    <w:locked/>
    <w:rsid w:val="004C4417"/>
    <w:rPr>
      <w:rFonts w:ascii="Arial" w:hAnsi="Arial" w:cs="Mangal"/>
      <w:sz w:val="22"/>
      <w:szCs w:val="22"/>
    </w:rPr>
  </w:style>
  <w:style w:type="character" w:customStyle="1" w:styleId="BodyTextIndent2Char">
    <w:name w:val="Body Text Indent 2 Char"/>
    <w:basedOn w:val="DefaultParagraphFont"/>
    <w:link w:val="BodyTextIndent2"/>
    <w:rsid w:val="004C4417"/>
    <w:rPr>
      <w:rFonts w:ascii="Arial" w:hAnsi="Arial" w:cs="Mangal"/>
      <w:sz w:val="22"/>
      <w:szCs w:val="22"/>
    </w:rPr>
  </w:style>
  <w:style w:type="character" w:customStyle="1" w:styleId="BodyTextIndent3Char">
    <w:name w:val="Body Text Indent 3 Char"/>
    <w:link w:val="BodyTextIndent3"/>
    <w:rsid w:val="004C4417"/>
    <w:rPr>
      <w:rFonts w:ascii="Arial" w:hAnsi="Arial" w:cs="Mangal"/>
      <w:sz w:val="16"/>
      <w:szCs w:val="16"/>
    </w:rPr>
  </w:style>
  <w:style w:type="character" w:customStyle="1" w:styleId="HeaderChar">
    <w:name w:val="Header Char"/>
    <w:link w:val="Header"/>
    <w:uiPriority w:val="99"/>
    <w:rsid w:val="004C4417"/>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51778243">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ntact@socialmobilitycommission.gov.uk"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www.dnb.co.uk/myduns" TargetMode="External"/><Relationship Id="rId39"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21" Type="http://schemas.openxmlformats.org/officeDocument/2006/relationships/hyperlink" Target="https://www.gov.uk/guidance/disability-confident-how-to-sign-up-to-the-employer-scheme" TargetMode="External"/><Relationship Id="rId34" Type="http://schemas.openxmlformats.org/officeDocument/2006/relationships/image" Target="media/image2.emf"/><Relationship Id="rId42" Type="http://schemas.openxmlformats.org/officeDocument/2006/relationships/hyperlink" Target="https://www.ncsc.gov.uk" TargetMode="External"/><Relationship Id="rId47" Type="http://schemas.openxmlformats.org/officeDocument/2006/relationships/hyperlink" Target="https://www.ncsc.gov.uk/documents/ctas-principles-and-methodology"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socialmobilitycommission.gov.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www.dnb.co.uk/dandb-duns-number" TargetMode="External"/><Relationship Id="rId33" Type="http://schemas.openxmlformats.org/officeDocument/2006/relationships/header" Target="header4.xml"/><Relationship Id="rId38" Type="http://schemas.openxmlformats.org/officeDocument/2006/relationships/hyperlink" Target="https://www.ncsc.gov.uk/scheme/certified-professional" TargetMode="External"/><Relationship Id="rId46"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92358/TransparencyPrinciplesFebruary2017.pdf" TargetMode="External"/><Relationship Id="rId20" Type="http://schemas.openxmlformats.org/officeDocument/2006/relationships/hyperlink" Target="https://www.gov.uk/government/policies/armed-forces-covenant" TargetMode="External"/><Relationship Id="rId29" Type="http://schemas.openxmlformats.org/officeDocument/2006/relationships/footer" Target="footer1.xml"/><Relationship Id="rId41"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oter" Target="footer3.xml"/><Relationship Id="rId37" Type="http://schemas.openxmlformats.org/officeDocument/2006/relationships/hyperlink" Target="https://www.ncsc.gov.uk/scheme/certified-cyber-consultancy" TargetMode="External"/><Relationship Id="rId40" Type="http://schemas.openxmlformats.org/officeDocument/2006/relationships/hyperlink" Target="https://www.iasme.co.uk/apply-for-self-assessment/" TargetMode="External"/><Relationship Id="rId45" Type="http://schemas.openxmlformats.org/officeDocument/2006/relationships/hyperlink" Target="https://www.ncsc.gov.uk/articles/about-certified-professional-scheme" TargetMode="External"/><Relationship Id="rId5" Type="http://schemas.openxmlformats.org/officeDocument/2006/relationships/numbering" Target="numbering.xml"/><Relationship Id="rId15" Type="http://schemas.openxmlformats.org/officeDocument/2006/relationships/hyperlink" Target="mailto:contact@socialmobilitycommission.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2.xm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yberstreetwise.com/cyberessentials" TargetMode="External"/><Relationship Id="rId31" Type="http://schemas.openxmlformats.org/officeDocument/2006/relationships/header" Target="header3.xml"/><Relationship Id="rId44" Type="http://schemas.openxmlformats.org/officeDocument/2006/relationships/hyperlink" Target="https://www.cpni.gov.uk/secure-destr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ocial-mobility-commission"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oleObject" Target="embeddings/oleObject1.bin"/><Relationship Id="rId43" Type="http://schemas.openxmlformats.org/officeDocument/2006/relationships/hyperlink" Target="https://www.ncsc.gov.uk/guidance/secure-sanitisation-storage-media" TargetMode="External"/><Relationship Id="rId48" Type="http://schemas.openxmlformats.org/officeDocument/2006/relationships/hyperlink" Target="https://www.gov.uk/government/publications/procurement-policy-note-0914-cyber-essentials-scheme-certification"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5" ma:contentTypeDescription="Create a new document." ma:contentTypeScope="" ma:versionID="c3a545580a391702468aa46804d333da">
  <xsd:schema xmlns:xsd="http://www.w3.org/2001/XMLSchema" xmlns:xs="http://www.w3.org/2001/XMLSchema" xmlns:p="http://schemas.microsoft.com/office/2006/metadata/properties" xmlns:ns1="http://schemas.microsoft.com/sharepoint/v3" xmlns:ns2="d31a1c68-cca8-4a5d-82db-be2672e3a42d" xmlns:ns3="d87ae06f-ddc7-413d-8f33-efe950f32258" targetNamespace="http://schemas.microsoft.com/office/2006/metadata/properties" ma:root="true" ma:fieldsID="f9944f7b5a4b365cefafe665b98dd50c" ns1:_="" ns2:_="" ns3:_="">
    <xsd:import namespace="http://schemas.microsoft.com/sharepoint/v3"/>
    <xsd:import namespace="d31a1c68-cca8-4a5d-82db-be2672e3a42d"/>
    <xsd:import namespace="d87ae06f-ddc7-413d-8f33-efe950f3225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F168-7641-46E3-8470-FBC6B1D370F7}">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d87ae06f-ddc7-413d-8f33-efe950f32258"/>
    <ds:schemaRef ds:uri="http://schemas.microsoft.com/office/2006/documentManagement/types"/>
    <ds:schemaRef ds:uri="d31a1c68-cca8-4a5d-82db-be2672e3a42d"/>
    <ds:schemaRef ds:uri="http://www.w3.org/XML/1998/namespace"/>
    <ds:schemaRef ds:uri="http://purl.org/dc/elements/1.1/"/>
  </ds:schemaRefs>
</ds:datastoreItem>
</file>

<file path=customXml/itemProps2.xml><?xml version="1.0" encoding="utf-8"?>
<ds:datastoreItem xmlns:ds="http://schemas.openxmlformats.org/officeDocument/2006/customXml" ds:itemID="{4998F2A1-4FCD-4775-BD38-01B186A0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d87ae06f-ddc7-413d-8f33-efe950f3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362C3-6A2A-4907-94FC-CD98511D479F}">
  <ds:schemaRefs>
    <ds:schemaRef ds:uri="http://schemas.microsoft.com/sharepoint/v3/contenttype/forms"/>
  </ds:schemaRefs>
</ds:datastoreItem>
</file>

<file path=customXml/itemProps4.xml><?xml version="1.0" encoding="utf-8"?>
<ds:datastoreItem xmlns:ds="http://schemas.openxmlformats.org/officeDocument/2006/customXml" ds:itemID="{D28B7427-F8D7-4A72-80F8-83052252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37</Pages>
  <Words>11145</Words>
  <Characters>64470</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75465</CharactersWithSpaces>
  <SharedDoc>false</SharedDoc>
  <HLinks>
    <vt:vector size="204" baseType="variant">
      <vt:variant>
        <vt:i4>4194333</vt:i4>
      </vt:variant>
      <vt:variant>
        <vt:i4>99</vt:i4>
      </vt:variant>
      <vt:variant>
        <vt:i4>0</vt:i4>
      </vt:variant>
      <vt:variant>
        <vt:i4>5</vt:i4>
      </vt:variant>
      <vt:variant>
        <vt:lpwstr>https://www.gov.uk/government/publications/procurement-policy-note-0914-cyber-essentials-scheme-certification</vt:lpwstr>
      </vt:variant>
      <vt:variant>
        <vt:lpwstr/>
      </vt:variant>
      <vt:variant>
        <vt:i4>4390936</vt:i4>
      </vt:variant>
      <vt:variant>
        <vt:i4>96</vt:i4>
      </vt:variant>
      <vt:variant>
        <vt:i4>0</vt:i4>
      </vt:variant>
      <vt:variant>
        <vt:i4>5</vt:i4>
      </vt:variant>
      <vt:variant>
        <vt:lpwstr>https://www.ncsc.gov.uk/documents/ctas-principles-and-methodology</vt:lpwstr>
      </vt:variant>
      <vt:variant>
        <vt:lpwstr/>
      </vt:variant>
      <vt:variant>
        <vt:i4>1900548</vt:i4>
      </vt:variant>
      <vt:variant>
        <vt:i4>93</vt:i4>
      </vt:variant>
      <vt:variant>
        <vt:i4>0</vt:i4>
      </vt:variant>
      <vt:variant>
        <vt:i4>5</vt:i4>
      </vt:variant>
      <vt:variant>
        <vt:lpwstr>https://www.gov.uk/government/publications/security-policy-framework</vt:lpwstr>
      </vt:variant>
      <vt:variant>
        <vt:lpwstr/>
      </vt:variant>
      <vt:variant>
        <vt:i4>4259866</vt:i4>
      </vt:variant>
      <vt:variant>
        <vt:i4>90</vt:i4>
      </vt:variant>
      <vt:variant>
        <vt:i4>0</vt:i4>
      </vt:variant>
      <vt:variant>
        <vt:i4>5</vt:i4>
      </vt:variant>
      <vt:variant>
        <vt:lpwstr>https://www.ncsc.gov.uk/articles/about-certified-professional-scheme</vt:lpwstr>
      </vt:variant>
      <vt:variant>
        <vt:lpwstr/>
      </vt:variant>
      <vt:variant>
        <vt:i4>7209081</vt:i4>
      </vt:variant>
      <vt:variant>
        <vt:i4>87</vt:i4>
      </vt:variant>
      <vt:variant>
        <vt:i4>0</vt:i4>
      </vt:variant>
      <vt:variant>
        <vt:i4>5</vt:i4>
      </vt:variant>
      <vt:variant>
        <vt:lpwstr>https://www.cpni.gov.uk/secure-destruction</vt:lpwstr>
      </vt:variant>
      <vt:variant>
        <vt:lpwstr/>
      </vt:variant>
      <vt:variant>
        <vt:i4>2162787</vt:i4>
      </vt:variant>
      <vt:variant>
        <vt:i4>84</vt:i4>
      </vt:variant>
      <vt:variant>
        <vt:i4>0</vt:i4>
      </vt:variant>
      <vt:variant>
        <vt:i4>5</vt:i4>
      </vt:variant>
      <vt:variant>
        <vt:lpwstr>https://www.ncsc.gov.uk/guidance/secure-sanitisation-storage-media</vt:lpwstr>
      </vt:variant>
      <vt:variant>
        <vt:lpwstr/>
      </vt:variant>
      <vt:variant>
        <vt:i4>196697</vt:i4>
      </vt:variant>
      <vt:variant>
        <vt:i4>81</vt:i4>
      </vt:variant>
      <vt:variant>
        <vt:i4>0</vt:i4>
      </vt:variant>
      <vt:variant>
        <vt:i4>5</vt:i4>
      </vt:variant>
      <vt:variant>
        <vt:lpwstr>https://www.ncsc.gov.uk/</vt:lpwstr>
      </vt:variant>
      <vt:variant>
        <vt:lpwstr/>
      </vt:variant>
      <vt:variant>
        <vt:i4>7209083</vt:i4>
      </vt:variant>
      <vt:variant>
        <vt:i4>78</vt:i4>
      </vt:variant>
      <vt:variant>
        <vt:i4>0</vt:i4>
      </vt:variant>
      <vt:variant>
        <vt:i4>5</vt:i4>
      </vt:variant>
      <vt:variant>
        <vt:lpwstr>https://www.gov.uk/government/publications/government-security-classifications</vt:lpwstr>
      </vt:variant>
      <vt:variant>
        <vt:lpwstr/>
      </vt:variant>
      <vt:variant>
        <vt:i4>6422563</vt:i4>
      </vt:variant>
      <vt:variant>
        <vt:i4>75</vt:i4>
      </vt:variant>
      <vt:variant>
        <vt:i4>0</vt:i4>
      </vt:variant>
      <vt:variant>
        <vt:i4>5</vt:i4>
      </vt:variant>
      <vt:variant>
        <vt:lpwstr>https://www.iasme.co.uk/apply-for-self-assessment/</vt:lpwstr>
      </vt:variant>
      <vt:variant>
        <vt:lpwstr/>
      </vt:variant>
      <vt:variant>
        <vt:i4>2424931</vt:i4>
      </vt:variant>
      <vt:variant>
        <vt:i4>72</vt:i4>
      </vt:variant>
      <vt:variant>
        <vt:i4>0</vt:i4>
      </vt:variant>
      <vt:variant>
        <vt:i4>5</vt:i4>
      </vt:variant>
      <vt:variant>
        <vt:lpwstr>https://www.ncsc.gov.uk/scheme/commercial-product-assurance-cpa</vt:lpwstr>
      </vt:variant>
      <vt:variant>
        <vt:lpwstr/>
      </vt:variant>
      <vt:variant>
        <vt:i4>1179743</vt:i4>
      </vt:variant>
      <vt:variant>
        <vt:i4>69</vt:i4>
      </vt:variant>
      <vt:variant>
        <vt:i4>0</vt:i4>
      </vt:variant>
      <vt:variant>
        <vt:i4>5</vt:i4>
      </vt:variant>
      <vt:variant>
        <vt:lpwstr>https://www.ncsc.gov.uk/scheme/certified-professional</vt:lpwstr>
      </vt:variant>
      <vt:variant>
        <vt:lpwstr/>
      </vt:variant>
      <vt:variant>
        <vt:i4>8192124</vt:i4>
      </vt:variant>
      <vt:variant>
        <vt:i4>66</vt:i4>
      </vt:variant>
      <vt:variant>
        <vt:i4>0</vt:i4>
      </vt:variant>
      <vt:variant>
        <vt:i4>5</vt:i4>
      </vt:variant>
      <vt:variant>
        <vt:lpwstr>https://www.ncsc.gov.uk/scheme/certified-cyber-consultancy</vt:lpwstr>
      </vt:variant>
      <vt:variant>
        <vt:lpwstr/>
      </vt:variant>
      <vt:variant>
        <vt:i4>3211315</vt:i4>
      </vt:variant>
      <vt:variant>
        <vt:i4>63</vt:i4>
      </vt:variant>
      <vt:variant>
        <vt:i4>0</vt:i4>
      </vt:variant>
      <vt:variant>
        <vt:i4>5</vt:i4>
      </vt:variant>
      <vt:variant>
        <vt:lpwstr>https://www.gov.uk/government/publications/government-baseline-personnel-security-standard</vt:lpwstr>
      </vt:variant>
      <vt:variant>
        <vt:lpwstr/>
      </vt:variant>
      <vt:variant>
        <vt:i4>7077929</vt:i4>
      </vt:variant>
      <vt:variant>
        <vt:i4>60</vt:i4>
      </vt:variant>
      <vt:variant>
        <vt:i4>0</vt:i4>
      </vt:variant>
      <vt:variant>
        <vt:i4>5</vt:i4>
      </vt:variant>
      <vt:variant>
        <vt:lpwstr>http://www.dnb.co.uk/myduns</vt:lpwstr>
      </vt:variant>
      <vt:variant>
        <vt:lpwstr/>
      </vt:variant>
      <vt:variant>
        <vt:i4>2162797</vt:i4>
      </vt:variant>
      <vt:variant>
        <vt:i4>57</vt:i4>
      </vt:variant>
      <vt:variant>
        <vt:i4>0</vt:i4>
      </vt:variant>
      <vt:variant>
        <vt:i4>5</vt:i4>
      </vt:variant>
      <vt:variant>
        <vt:lpwstr>http://www.dnb.co.uk/dandb-duns-number</vt:lpwstr>
      </vt:variant>
      <vt:variant>
        <vt:lpwstr/>
      </vt:variant>
      <vt:variant>
        <vt:i4>2490402</vt:i4>
      </vt:variant>
      <vt:variant>
        <vt:i4>54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51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48</vt:i4>
      </vt:variant>
      <vt:variant>
        <vt:i4>0</vt:i4>
      </vt:variant>
      <vt:variant>
        <vt:i4>5</vt:i4>
      </vt:variant>
      <vt:variant>
        <vt:lpwstr>https://www.gov.uk/government/uploads/system/uploads/attachment_data/file/551130/List_of_Mandatory_and_Discretionary_Exclusions.pdf</vt:lpwstr>
      </vt:variant>
      <vt:variant>
        <vt:lpwstr/>
      </vt:variant>
      <vt:variant>
        <vt:i4>7536763</vt:i4>
      </vt:variant>
      <vt:variant>
        <vt:i4>45</vt:i4>
      </vt:variant>
      <vt:variant>
        <vt:i4>0</vt:i4>
      </vt:variant>
      <vt:variant>
        <vt:i4>5</vt:i4>
      </vt:variant>
      <vt:variant>
        <vt:lpwstr>https://www.gov.uk/guidance/disability-confident-how-to-sign-up-to-the-employer-scheme</vt:lpwstr>
      </vt:variant>
      <vt:variant>
        <vt:lpwstr/>
      </vt:variant>
      <vt:variant>
        <vt:i4>1703963</vt:i4>
      </vt:variant>
      <vt:variant>
        <vt:i4>42</vt:i4>
      </vt:variant>
      <vt:variant>
        <vt:i4>0</vt:i4>
      </vt:variant>
      <vt:variant>
        <vt:i4>5</vt:i4>
      </vt:variant>
      <vt:variant>
        <vt:lpwstr>https://www.gov.uk/government/policies/armed-forces-covenant</vt:lpwstr>
      </vt:variant>
      <vt:variant>
        <vt:lpwstr/>
      </vt:variant>
      <vt:variant>
        <vt:i4>3866660</vt:i4>
      </vt:variant>
      <vt:variant>
        <vt:i4>39</vt:i4>
      </vt:variant>
      <vt:variant>
        <vt:i4>0</vt:i4>
      </vt:variant>
      <vt:variant>
        <vt:i4>5</vt:i4>
      </vt:variant>
      <vt:variant>
        <vt:lpwstr>https://www.cyberstreetwise.com/cyberessentials</vt:lpwstr>
      </vt:variant>
      <vt:variant>
        <vt:lpwstr/>
      </vt:variant>
      <vt:variant>
        <vt:i4>6684731</vt:i4>
      </vt:variant>
      <vt:variant>
        <vt:i4>36</vt:i4>
      </vt:variant>
      <vt:variant>
        <vt:i4>0</vt:i4>
      </vt:variant>
      <vt:variant>
        <vt:i4>5</vt:i4>
      </vt:variant>
      <vt:variant>
        <vt:lpwstr>https://www.gov.uk/government/publications/cyber-essentials-scheme-overview</vt:lpwstr>
      </vt:variant>
      <vt:variant>
        <vt:lpwstr/>
      </vt:variant>
      <vt:variant>
        <vt:i4>7209083</vt:i4>
      </vt:variant>
      <vt:variant>
        <vt:i4>33</vt:i4>
      </vt:variant>
      <vt:variant>
        <vt:i4>0</vt:i4>
      </vt:variant>
      <vt:variant>
        <vt:i4>5</vt:i4>
      </vt:variant>
      <vt:variant>
        <vt:lpwstr>https://www.gov.uk/government/publications/government-security-classifications</vt:lpwstr>
      </vt:variant>
      <vt:variant>
        <vt:lpwstr/>
      </vt:variant>
      <vt:variant>
        <vt:i4>720946</vt:i4>
      </vt:variant>
      <vt:variant>
        <vt:i4>30</vt:i4>
      </vt:variant>
      <vt:variant>
        <vt:i4>0</vt:i4>
      </vt:variant>
      <vt:variant>
        <vt:i4>5</vt:i4>
      </vt:variant>
      <vt:variant>
        <vt:lpwstr>https://www.gov.uk/government/uploads/system/uploads/attachment_data/file/592358/TransparencyPrinciplesFebruary2017.pdf</vt:lpwstr>
      </vt:variant>
      <vt:variant>
        <vt:lpwstr/>
      </vt:variant>
      <vt:variant>
        <vt:i4>6488092</vt:i4>
      </vt:variant>
      <vt:variant>
        <vt:i4>27</vt:i4>
      </vt:variant>
      <vt:variant>
        <vt:i4>0</vt:i4>
      </vt:variant>
      <vt:variant>
        <vt:i4>5</vt:i4>
      </vt:variant>
      <vt:variant>
        <vt:lpwstr>mailto:contact@socialmobilitycommission.gov.uk</vt:lpwstr>
      </vt:variant>
      <vt:variant>
        <vt:lpwstr/>
      </vt:variant>
      <vt:variant>
        <vt:i4>6357042</vt:i4>
      </vt:variant>
      <vt:variant>
        <vt:i4>24</vt:i4>
      </vt:variant>
      <vt:variant>
        <vt:i4>0</vt:i4>
      </vt:variant>
      <vt:variant>
        <vt:i4>5</vt:i4>
      </vt:variant>
      <vt:variant>
        <vt:lpwstr>https://beta.ukdataservice.ac.uk/datacatalogue/series/series?id=2000110</vt:lpwstr>
      </vt:variant>
      <vt:variant>
        <vt:lpwstr/>
      </vt:variant>
      <vt:variant>
        <vt:i4>3670066</vt:i4>
      </vt:variant>
      <vt:variant>
        <vt:i4>21</vt:i4>
      </vt:variant>
      <vt:variant>
        <vt:i4>0</vt:i4>
      </vt:variant>
      <vt:variant>
        <vt:i4>5</vt:i4>
      </vt:variant>
      <vt:variant>
        <vt:lpwstr>https://www.gov.uk/government/organisations/social-mobility-commission</vt:lpwstr>
      </vt:variant>
      <vt:variant>
        <vt:lpwstr/>
      </vt:variant>
      <vt:variant>
        <vt:i4>6488092</vt:i4>
      </vt:variant>
      <vt:variant>
        <vt:i4>18</vt:i4>
      </vt:variant>
      <vt:variant>
        <vt:i4>0</vt:i4>
      </vt:variant>
      <vt:variant>
        <vt:i4>5</vt:i4>
      </vt:variant>
      <vt:variant>
        <vt:lpwstr>mailto:contact@socialmobilitycommission.gov.uk</vt:lpwstr>
      </vt:variant>
      <vt:variant>
        <vt:lpwstr/>
      </vt:variant>
      <vt:variant>
        <vt:i4>6488092</vt:i4>
      </vt:variant>
      <vt:variant>
        <vt:i4>15</vt:i4>
      </vt:variant>
      <vt:variant>
        <vt:i4>0</vt:i4>
      </vt:variant>
      <vt:variant>
        <vt:i4>5</vt:i4>
      </vt:variant>
      <vt:variant>
        <vt:lpwstr>mailto:contact@socialmobilitycommission.gov.uk</vt:lpwstr>
      </vt:variant>
      <vt:variant>
        <vt:lpwstr/>
      </vt:variant>
      <vt:variant>
        <vt:i4>720900</vt:i4>
      </vt:variant>
      <vt:variant>
        <vt:i4>12</vt:i4>
      </vt:variant>
      <vt:variant>
        <vt:i4>0</vt:i4>
      </vt:variant>
      <vt:variant>
        <vt:i4>5</vt:i4>
      </vt:variant>
      <vt:variant>
        <vt:lpwstr/>
      </vt:variant>
      <vt:variant>
        <vt:lpwstr>Document5</vt:lpwstr>
      </vt:variant>
      <vt:variant>
        <vt:i4>720900</vt:i4>
      </vt:variant>
      <vt:variant>
        <vt:i4>9</vt:i4>
      </vt:variant>
      <vt:variant>
        <vt:i4>0</vt:i4>
      </vt:variant>
      <vt:variant>
        <vt:i4>5</vt:i4>
      </vt:variant>
      <vt:variant>
        <vt:lpwstr/>
      </vt:variant>
      <vt:variant>
        <vt:lpwstr>Document4</vt:lpwstr>
      </vt:variant>
      <vt:variant>
        <vt:i4>720900</vt:i4>
      </vt:variant>
      <vt:variant>
        <vt:i4>6</vt:i4>
      </vt:variant>
      <vt:variant>
        <vt:i4>0</vt:i4>
      </vt:variant>
      <vt:variant>
        <vt:i4>5</vt:i4>
      </vt:variant>
      <vt:variant>
        <vt:lpwstr/>
      </vt:variant>
      <vt:variant>
        <vt:lpwstr>Document3</vt:lpwstr>
      </vt:variant>
      <vt:variant>
        <vt:i4>720900</vt:i4>
      </vt:variant>
      <vt:variant>
        <vt:i4>3</vt:i4>
      </vt:variant>
      <vt:variant>
        <vt:i4>0</vt:i4>
      </vt:variant>
      <vt:variant>
        <vt:i4>5</vt:i4>
      </vt:variant>
      <vt:variant>
        <vt:lpwstr/>
      </vt:variant>
      <vt:variant>
        <vt:lpwstr>Document2</vt:lpwstr>
      </vt:variant>
      <vt:variant>
        <vt:i4>720900</vt:i4>
      </vt:variant>
      <vt:variant>
        <vt:i4>0</vt:i4>
      </vt:variant>
      <vt:variant>
        <vt:i4>0</vt:i4>
      </vt:variant>
      <vt:variant>
        <vt:i4>5</vt:i4>
      </vt:variant>
      <vt:variant>
        <vt:lpwstr/>
      </vt:variant>
      <vt:variant>
        <vt:lpwstr>Document1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TRAMMELL, Lindsay</cp:lastModifiedBy>
  <cp:revision>2</cp:revision>
  <cp:lastPrinted>2019-04-05T13:45:00Z</cp:lastPrinted>
  <dcterms:created xsi:type="dcterms:W3CDTF">2019-04-05T14:13:00Z</dcterms:created>
  <dcterms:modified xsi:type="dcterms:W3CDTF">2019-04-05T14:13:00Z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ubjectOOB">
    <vt:lpwstr>;#Procurement;#</vt:lpwstr>
  </property>
  <property fmtid="{D5CDD505-2E9C-101B-9397-08002B2CF9AE}" pid="3" name="DCSFContributor">
    <vt:lpwstr/>
  </property>
  <property fmtid="{D5CDD505-2E9C-101B-9397-08002B2CF9AE}" pid="4" name="DocumentStatusOOB">
    <vt:lpwstr>approved</vt:lpwstr>
  </property>
  <property fmtid="{D5CDD505-2E9C-101B-9397-08002B2CF9AE}" pid="5" name="_Source">
    <vt:lpwstr/>
  </property>
  <property fmtid="{D5CDD505-2E9C-101B-9397-08002B2CF9AE}" pid="6" name="SecurityClassificationOOB">
    <vt:lpwstr>unclassified</vt:lpwstr>
  </property>
  <property fmtid="{D5CDD505-2E9C-101B-9397-08002B2CF9AE}" pid="7" name="_Version">
    <vt:lpwstr/>
  </property>
  <property fmtid="{D5CDD505-2E9C-101B-9397-08002B2CF9AE}" pid="8" name="ContentType">
    <vt:lpwstr>IWP Document</vt:lpwstr>
  </property>
  <property fmtid="{D5CDD505-2E9C-101B-9397-08002B2CF9AE}" pid="9" name="SiteTypeOOB">
    <vt:lpwstr/>
  </property>
  <property fmtid="{D5CDD505-2E9C-101B-9397-08002B2CF9AE}" pid="10" name="Function2OOB">
    <vt:lpwstr/>
  </property>
  <property fmtid="{D5CDD505-2E9C-101B-9397-08002B2CF9AE}" pid="11" name="OwnerOOB">
    <vt:lpwstr>Commercial Group</vt:lpwstr>
  </property>
</Properties>
</file>