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jc w:val="both"/>
        <w:rPr>
          <w:rFonts w:ascii="Arial" w:cs="Arial" w:eastAsia="Arial" w:hAnsi="Arial"/>
          <w:b w:val="1"/>
          <w:sz w:val="36"/>
          <w:szCs w:val="36"/>
        </w:rPr>
      </w:pPr>
      <w:bookmarkStart w:colFirst="0" w:colLast="0" w:name="_heading=h.2et92p0" w:id="0"/>
      <w:bookmarkEnd w:id="0"/>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When you should use this Schedule</w:t>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w:cs="Arial" w:eastAsia="Arial" w:hAnsi="Arial"/>
          <w:b w:val="1"/>
          <w:smallCaps w:val="1"/>
          <w:color w:val="000000"/>
          <w:sz w:val="24"/>
          <w:szCs w:val="24"/>
        </w:rPr>
      </w:pPr>
      <w:bookmarkStart w:colFirst="0" w:colLast="0" w:name="_heading=h.gjdgxs" w:id="1"/>
      <w:bookmarkEnd w:id="1"/>
      <w:r w:rsidDel="00000000" w:rsidR="00000000" w:rsidRPr="00000000">
        <w:rPr>
          <w:rFonts w:ascii="Arial Bold" w:cs="Arial Bold" w:eastAsia="Arial Bold" w:hAnsi="Arial Bold"/>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Relevant Convictions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tabs>
          <w:tab w:val="left" w:pos="1134"/>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a check with the records held by the Department for Education (DfE);</w:t>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tabs>
          <w:tab w:val="left" w:pos="1134"/>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thorough questioning regarding any Relevant Convictions; and</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tabs>
          <w:tab w:val="left" w:pos="1134"/>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2127"/>
        </w:tabs>
        <w:spacing w:after="120" w:before="120" w:line="240" w:lineRule="auto"/>
        <w:ind w:left="21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jc w:val="both"/>
        <w:rPr>
          <w:rFonts w:ascii="Arial" w:cs="Arial" w:eastAsia="Arial" w:hAnsi="Arial"/>
          <w:b w:val="1"/>
          <w:smallCaps w:val="1"/>
          <w:sz w:val="20"/>
          <w:szCs w:val="20"/>
        </w:rPr>
      </w:pPr>
      <w:bookmarkStart w:colFirst="0" w:colLast="0" w:name="_heading=h.1fob9te" w:id="3"/>
      <w:bookmarkEnd w:id="3"/>
      <w:r w:rsidDel="00000000" w:rsidR="00000000" w:rsidRPr="00000000">
        <w:br w:type="page"/>
      </w:r>
      <w:r w:rsidDel="00000000" w:rsidR="00000000" w:rsidRPr="00000000">
        <w:rPr>
          <w:rtl w:val="0"/>
        </w:rPr>
      </w:r>
    </w:p>
    <w:p w:rsidR="00000000" w:rsidDel="00000000" w:rsidP="00000000" w:rsidRDefault="00000000" w:rsidRPr="00000000" w14:paraId="0000000E">
      <w:pPr>
        <w:keepNext w:val="1"/>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Relevant Convictions will be assessed in accordance with The Rehabilitation of Offenders Act 1974. As detailed in the tables below:</w:t>
      </w:r>
    </w:p>
    <w:tbl>
      <w:tblPr>
        <w:tblStyle w:val="Table1"/>
        <w:tblW w:w="9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3089"/>
        <w:gridCol w:w="2429"/>
        <w:gridCol w:w="2672"/>
        <w:tblGridChange w:id="0">
          <w:tblGrid>
            <w:gridCol w:w="1530"/>
            <w:gridCol w:w="3089"/>
            <w:gridCol w:w="2429"/>
            <w:gridCol w:w="2672"/>
          </w:tblGrid>
        </w:tblGridChange>
      </w:tblGrid>
      <w:tr>
        <w:trPr>
          <w:cantSplit w:val="0"/>
          <w:tblHeader w:val="0"/>
        </w:trPr>
        <w:tc>
          <w:tcPr>
            <w:gridSpan w:val="4"/>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2">
            <w:pPr>
              <w:rPr>
                <w:rFonts w:ascii="Arial" w:cs="Arial" w:eastAsia="Arial" w:hAnsi="Arial"/>
                <w:b w:val="1"/>
                <w:sz w:val="24"/>
                <w:szCs w:val="24"/>
              </w:rPr>
            </w:pPr>
            <w:r w:rsidDel="00000000" w:rsidR="00000000" w:rsidRPr="00000000">
              <w:rPr>
                <w:rFonts w:ascii="Arial" w:cs="Arial" w:eastAsia="Arial" w:hAnsi="Arial"/>
                <w:b w:val="1"/>
                <w:color w:val="0070c0"/>
                <w:sz w:val="24"/>
                <w:szCs w:val="24"/>
                <w:rtl w:val="0"/>
              </w:rPr>
              <w:t xml:space="preserve">Prison sentence &amp; Community orders (with a buffer period)</w:t>
            </w: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16">
            <w:pPr>
              <w:rPr>
                <w:rFonts w:ascii="Arial" w:cs="Arial" w:eastAsia="Arial" w:hAnsi="Arial"/>
                <w:b w:val="1"/>
                <w:color w:val="ffffff"/>
              </w:rPr>
            </w:pPr>
            <w:r w:rsidDel="00000000" w:rsidR="00000000" w:rsidRPr="00000000">
              <w:rPr>
                <w:rFonts w:ascii="Arial" w:cs="Arial" w:eastAsia="Arial" w:hAnsi="Arial"/>
                <w:b w:val="1"/>
                <w:color w:val="ffffff"/>
                <w:rtl w:val="0"/>
              </w:rPr>
              <w:t xml:space="preserve">Sentence</w:t>
            </w:r>
          </w:p>
        </w:tc>
        <w:tc>
          <w:tcPr>
            <w:gridSpan w:val="2"/>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18">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Time it takes to become spent</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1C">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Adult (18+) at conviction/disposal</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1D">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Young person (U18)at conviction/disposal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1E">
            <w:pPr>
              <w:widowControl w:val="0"/>
              <w:rPr>
                <w:rFonts w:ascii="Arial" w:cs="Arial" w:eastAsia="Arial" w:hAnsi="Arial"/>
                <w:b w:val="1"/>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20">
            <w:pPr>
              <w:jc w:val="center"/>
              <w:rPr>
                <w:rFonts w:ascii="Arial" w:cs="Arial" w:eastAsia="Arial" w:hAnsi="Arial"/>
                <w:b w:val="1"/>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21">
            <w:pPr>
              <w:jc w:val="center"/>
              <w:rPr>
                <w:rFonts w:ascii="Arial" w:cs="Arial" w:eastAsia="Arial" w:hAnsi="Arial"/>
                <w:b w:val="1"/>
                <w:color w:val="ffffff"/>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Prison (Including suspended prison sentences)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Over 4 years or public protection sentence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rtl w:val="0"/>
              </w:rPr>
              <w:t xml:space="preserve">Never spent</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5">
            <w:pPr>
              <w:jc w:val="center"/>
              <w:rPr>
                <w:rFonts w:ascii="Arial" w:cs="Arial" w:eastAsia="Arial" w:hAnsi="Arial"/>
              </w:rPr>
            </w:pPr>
            <w:r w:rsidDel="00000000" w:rsidR="00000000" w:rsidRPr="00000000">
              <w:rPr>
                <w:rFonts w:ascii="Arial" w:cs="Arial" w:eastAsia="Arial" w:hAnsi="Arial"/>
                <w:rtl w:val="0"/>
              </w:rPr>
              <w:t xml:space="preserve">Never spent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More than 30 months and less than (or equal to) 4 years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Full sentence + 7 years*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Full sentence + 3 ½ years*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More than 6 months and less than (or equal to) 30 months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Full sentence + 4 years*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Full sentence + 2 years*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b w:val="1"/>
                <w:rtl w:val="0"/>
              </w:rPr>
              <w:t xml:space="preserve">Less than (or equal to) 6 months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Full sentence + 2 years*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Full sentence + 18 months*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Community order / Youth rehabilitation order</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Full length of the order +1 year</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Full length of the order +1 year</w:t>
            </w:r>
          </w:p>
        </w:tc>
      </w:tr>
    </w:tbl>
    <w:p w:rsidR="00000000" w:rsidDel="00000000" w:rsidP="00000000" w:rsidRDefault="00000000" w:rsidRPr="00000000" w14:paraId="00000036">
      <w:pPr>
        <w:ind w:left="720" w:firstLine="0"/>
        <w:rPr>
          <w:rFonts w:ascii="Arial" w:cs="Arial" w:eastAsia="Arial" w:hAnsi="Arial"/>
          <w:b w:val="1"/>
          <w:color w:val="0070c0"/>
          <w:sz w:val="18"/>
          <w:szCs w:val="18"/>
        </w:rPr>
      </w:pPr>
      <w:r w:rsidDel="00000000" w:rsidR="00000000" w:rsidRPr="00000000">
        <w:rPr>
          <w:rFonts w:ascii="Arial" w:cs="Arial" w:eastAsia="Arial" w:hAnsi="Arial"/>
          <w:b w:val="1"/>
          <w:color w:val="0070c0"/>
          <w:sz w:val="18"/>
          <w:szCs w:val="18"/>
          <w:rtl w:val="0"/>
        </w:rPr>
        <w:t xml:space="preserve">*Sentence length includes time spent on licence</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2"/>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5"/>
        <w:gridCol w:w="2411"/>
        <w:gridCol w:w="2694"/>
        <w:tblGridChange w:id="0">
          <w:tblGrid>
            <w:gridCol w:w="4645"/>
            <w:gridCol w:w="2411"/>
            <w:gridCol w:w="2694"/>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color w:val="0070c0"/>
                <w:sz w:val="24"/>
                <w:szCs w:val="24"/>
                <w:rtl w:val="0"/>
              </w:rPr>
              <w:t xml:space="preserve">Other community sentence (with no buffer period)</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color w:val="ffffff"/>
                <w:rtl w:val="0"/>
              </w:rPr>
              <w:t xml:space="preserve">Sentence/Disposal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3E">
            <w:pPr>
              <w:jc w:val="center"/>
              <w:rPr>
                <w:rFonts w:ascii="Arial" w:cs="Arial" w:eastAsia="Arial" w:hAnsi="Arial"/>
                <w:b w:val="1"/>
              </w:rPr>
            </w:pPr>
            <w:r w:rsidDel="00000000" w:rsidR="00000000" w:rsidRPr="00000000">
              <w:rPr>
                <w:rFonts w:ascii="Arial" w:cs="Arial" w:eastAsia="Arial" w:hAnsi="Arial"/>
                <w:b w:val="1"/>
                <w:color w:val="ffffff"/>
                <w:rtl w:val="0"/>
              </w:rPr>
              <w:t xml:space="preserve">Time it takes to become spent (from date of conviction)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b w:val="1"/>
                <w:color w:val="ffffff"/>
                <w:rtl w:val="0"/>
              </w:rPr>
              <w:t xml:space="preserve">Adult (18+) at conviction/disposal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b w:val="1"/>
                <w:color w:val="ffffff"/>
                <w:rtl w:val="0"/>
              </w:rPr>
              <w:t xml:space="preserve">Young person (U18)at conviction/disposal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b w:val="1"/>
                <w:rtl w:val="0"/>
              </w:rPr>
              <w:t xml:space="preserve">Fine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1 year</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5">
            <w:pPr>
              <w:jc w:val="center"/>
              <w:rPr>
                <w:rFonts w:ascii="Arial" w:cs="Arial" w:eastAsia="Arial" w:hAnsi="Arial"/>
              </w:rPr>
            </w:pPr>
            <w:r w:rsidDel="00000000" w:rsidR="00000000" w:rsidRPr="00000000">
              <w:rPr>
                <w:rFonts w:ascii="Arial" w:cs="Arial" w:eastAsia="Arial" w:hAnsi="Arial"/>
                <w:rtl w:val="0"/>
              </w:rPr>
              <w:t xml:space="preserve">6 months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Conditional discharge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Length of the order</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Length of the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Absolute discharge</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Spent immediately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Conditional caution / youth conditional caution</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3 months (or when it ends, if earlier</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3 months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Simple caution / youth caution</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Spent immediately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Compensation order</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Once it is Paid in Full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Bind over</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Length of the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Hospital order (with or without restrictions</w:t>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Referral order</w:t>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Reparation order</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Spent immediately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61">
            <w:pPr>
              <w:rPr>
                <w:rFonts w:ascii="Arial" w:cs="Arial" w:eastAsia="Arial" w:hAnsi="Arial"/>
                <w:b w:val="1"/>
              </w:rPr>
            </w:pPr>
            <w:r w:rsidDel="00000000" w:rsidR="00000000" w:rsidRPr="00000000">
              <w:rPr>
                <w:rFonts w:ascii="Arial" w:cs="Arial" w:eastAsia="Arial" w:hAnsi="Arial"/>
                <w:b w:val="1"/>
                <w:rtl w:val="0"/>
              </w:rPr>
              <w:t xml:space="preserve">Endorsement (imposed by a court)</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5 years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2½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64">
            <w:pPr>
              <w:rPr>
                <w:rFonts w:ascii="Arial" w:cs="Arial" w:eastAsia="Arial" w:hAnsi="Arial"/>
                <w:b w:val="1"/>
              </w:rPr>
            </w:pPr>
            <w:r w:rsidDel="00000000" w:rsidR="00000000" w:rsidRPr="00000000">
              <w:rPr>
                <w:rFonts w:ascii="Arial" w:cs="Arial" w:eastAsia="Arial" w:hAnsi="Arial"/>
                <w:b w:val="1"/>
                <w:rtl w:val="0"/>
              </w:rPr>
              <w:t xml:space="preserve">Motoring disqualification (imposed by a court)</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Length of the disqualification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Relevant order</w:t>
            </w:r>
          </w:p>
        </w:tc>
        <w:tc>
          <w:tcPr>
            <w:gridSpan w:val="2"/>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Length of the order</w:t>
            </w:r>
          </w:p>
        </w:tc>
      </w:tr>
    </w:tbl>
    <w:p w:rsidR="00000000" w:rsidDel="00000000" w:rsidP="00000000" w:rsidRDefault="00000000" w:rsidRPr="00000000" w14:paraId="0000006A">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v3.0</w:t>
    </w:r>
    <w:bookmarkStart w:colFirst="0" w:colLast="0" w:name="bookmark=id.2et92p0" w:id="4"/>
    <w:bookmarkEnd w:id="4"/>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74">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18 (Background Checks)</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Wu9Dz7f2uDXHj9jf0hK+1Ih/Q==">AMUW2mU0aDEeKb/ojCbVLl5cI45uAYq98OXHbsibkugag29hahJN7OjO3AU0MNhD26etq6RIeAMhWHgwTo6xS085BazoCSK8oFz2h6wI0ghi6o452ZWCeoBd+DbSjwnrosdkbp/usx1ep7DGng5FQOWmgpAcbqcPPpG+9Z+6iHtfL6SB9jbi72NWgyqB18yyqBK4Ywy9RWTi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2022-08-23T15:55:00Z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