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929D0FC" w:rsidR="00A57128" w:rsidRPr="007E0083" w:rsidRDefault="00A57128" w:rsidP="00EE71A2">
      <w:pPr>
        <w:pStyle w:val="Heading1"/>
      </w:pPr>
      <w:r w:rsidRPr="007E0083">
        <w:t>Title:</w:t>
      </w:r>
      <w:r w:rsidR="00664FD2">
        <w:t xml:space="preserve"> Evaluation of the 2020 Teacher Pay Reforms</w:t>
      </w:r>
    </w:p>
    <w:p w14:paraId="2B434E3D" w14:textId="18D678D9" w:rsidR="00A57128" w:rsidRPr="007E0083" w:rsidRDefault="00A57128" w:rsidP="00A57128">
      <w:pPr>
        <w:rPr>
          <w:b/>
        </w:rPr>
      </w:pPr>
      <w:r w:rsidRPr="007E0083">
        <w:rPr>
          <w:b/>
        </w:rPr>
        <w:t xml:space="preserve">Project reference: </w:t>
      </w:r>
      <w:r w:rsidR="002F3575">
        <w:rPr>
          <w:b/>
        </w:rPr>
        <w:t xml:space="preserve">DFERPPU </w:t>
      </w:r>
      <w:r w:rsidR="00E42F77" w:rsidRPr="00E42F77">
        <w:rPr>
          <w:b/>
        </w:rPr>
        <w:t>20-21/024</w:t>
      </w:r>
    </w:p>
    <w:p w14:paraId="501D40E4" w14:textId="79B328CF" w:rsidR="00A57128" w:rsidRPr="007E0083" w:rsidRDefault="00A57128" w:rsidP="00A57128">
      <w:pPr>
        <w:rPr>
          <w:b/>
        </w:rPr>
      </w:pPr>
      <w:r w:rsidRPr="007E0083">
        <w:rPr>
          <w:b/>
        </w:rPr>
        <w:t>Deadline for expressions of interest:</w:t>
      </w:r>
      <w:r w:rsidR="00664FD2">
        <w:rPr>
          <w:b/>
        </w:rPr>
        <w:t xml:space="preserve"> </w:t>
      </w:r>
      <w:r w:rsidR="00E42F77">
        <w:rPr>
          <w:b/>
        </w:rPr>
        <w:t>5pm Fri</w:t>
      </w:r>
      <w:r w:rsidR="001C25D8">
        <w:rPr>
          <w:b/>
        </w:rPr>
        <w:t xml:space="preserve">day </w:t>
      </w:r>
      <w:r w:rsidR="00E42F77">
        <w:rPr>
          <w:b/>
        </w:rPr>
        <w:t>6</w:t>
      </w:r>
      <w:r w:rsidR="00664FD2" w:rsidRPr="00664FD2">
        <w:rPr>
          <w:b/>
          <w:vertAlign w:val="superscript"/>
        </w:rPr>
        <w:t>th</w:t>
      </w:r>
      <w:r w:rsidR="00664FD2">
        <w:rPr>
          <w:b/>
        </w:rPr>
        <w:t xml:space="preserve"> November 2020</w:t>
      </w:r>
    </w:p>
    <w:p w14:paraId="0CFBF484" w14:textId="4B9D0884" w:rsidR="00A57128" w:rsidRDefault="00A57128" w:rsidP="001F2CE2">
      <w:pPr>
        <w:pStyle w:val="Heading2"/>
      </w:pPr>
      <w:r w:rsidRPr="001F2CE2">
        <w:t>Summary</w:t>
      </w:r>
    </w:p>
    <w:p w14:paraId="625C8452" w14:textId="70969228" w:rsidR="0048013A" w:rsidRDefault="0048013A" w:rsidP="0048013A">
      <w:r>
        <w:t xml:space="preserve">Expressions of interest </w:t>
      </w:r>
      <w:r w:rsidR="00A55DE7">
        <w:t>are</w:t>
      </w:r>
      <w:r>
        <w:t xml:space="preserve"> sough</w:t>
      </w:r>
      <w:r w:rsidR="00A55DE7">
        <w:t>t</w:t>
      </w:r>
      <w:r>
        <w:t xml:space="preserve"> </w:t>
      </w:r>
      <w:proofErr w:type="gramStart"/>
      <w:r w:rsidR="00A87CDA">
        <w:t xml:space="preserve">for </w:t>
      </w:r>
      <w:r>
        <w:t xml:space="preserve"> an</w:t>
      </w:r>
      <w:proofErr w:type="gramEnd"/>
      <w:r>
        <w:t xml:space="preserve"> evaluation of the 2020 Teacher Pay Reforms. The project will evaluate how the reforms have affected the opinions, perceptions and behaviours of key groups of interest. This </w:t>
      </w:r>
      <w:r w:rsidR="00A55DE7">
        <w:t>may</w:t>
      </w:r>
      <w:r>
        <w:t xml:space="preserve"> include, but not be limited to: how the reforms are understood and implemented</w:t>
      </w:r>
      <w:r w:rsidR="00A55DE7">
        <w:t xml:space="preserve"> by school leaders</w:t>
      </w:r>
      <w:r>
        <w:t>, how the reforms affect the perception of and aspiration to teaching as a career,</w:t>
      </w:r>
      <w:r w:rsidR="00A55DE7">
        <w:t xml:space="preserve"> and</w:t>
      </w:r>
      <w:r>
        <w:t xml:space="preserve"> how</w:t>
      </w:r>
      <w:r w:rsidR="00A55DE7">
        <w:t xml:space="preserve"> key groups of interest react to the reforms and the extent to which they understand the teacher pay and progression system.</w:t>
      </w:r>
    </w:p>
    <w:p w14:paraId="733BA65E" w14:textId="7CE82BA7" w:rsidR="00A55DE7" w:rsidRPr="0048013A" w:rsidRDefault="00A55DE7" w:rsidP="0048013A">
      <w:r>
        <w:t xml:space="preserve">This expression of interest was </w:t>
      </w:r>
      <w:r w:rsidRPr="00B45888">
        <w:t xml:space="preserve">posted on </w:t>
      </w:r>
      <w:r w:rsidR="002F3575" w:rsidRPr="00B45888">
        <w:t>23</w:t>
      </w:r>
      <w:r w:rsidR="002F3575" w:rsidRPr="00B45888">
        <w:rPr>
          <w:vertAlign w:val="superscript"/>
        </w:rPr>
        <w:t>rd</w:t>
      </w:r>
      <w:r w:rsidR="002F3575" w:rsidRPr="00B45888">
        <w:t xml:space="preserve"> October 2020.</w:t>
      </w:r>
    </w:p>
    <w:p w14:paraId="0BF9ADD3" w14:textId="742877D5" w:rsidR="00A57128" w:rsidRDefault="00A57128" w:rsidP="001F2CE2">
      <w:pPr>
        <w:pStyle w:val="Heading2"/>
      </w:pPr>
      <w:r>
        <w:t>Background</w:t>
      </w:r>
    </w:p>
    <w:p w14:paraId="7DD52377" w14:textId="77777777" w:rsidR="00A55DE7" w:rsidRPr="00966F68" w:rsidRDefault="00A55DE7" w:rsidP="00A55DE7">
      <w:pPr>
        <w:rPr>
          <w:rFonts w:cs="Arial"/>
        </w:rPr>
      </w:pPr>
      <w:r w:rsidRPr="00966F68">
        <w:rPr>
          <w:rFonts w:cs="Arial"/>
        </w:rPr>
        <w:t xml:space="preserve">There has been a significant overhaul of schoolteachers’ pay and conditions over recent years, as part of wider government efforts to drive up teacher quality and standards. The government carried out significant reforms of the pay framework in February 2014, which were implemented in September 2014 for teachers and 2015 for headteachers, principally aiming to tie pay more clearly to performance. These changes were directed at local </w:t>
      </w:r>
      <w:proofErr w:type="gramStart"/>
      <w:r w:rsidRPr="00966F68">
        <w:rPr>
          <w:rFonts w:cs="Arial"/>
        </w:rPr>
        <w:t>authority maintained</w:t>
      </w:r>
      <w:proofErr w:type="gramEnd"/>
      <w:r w:rsidRPr="00966F68">
        <w:rPr>
          <w:rFonts w:cs="Arial"/>
        </w:rPr>
        <w:t xml:space="preserve"> schools and were voluntary for academies. </w:t>
      </w:r>
    </w:p>
    <w:p w14:paraId="672AEAF8" w14:textId="70ACFB97" w:rsidR="00A55DE7" w:rsidRPr="00966F68" w:rsidRDefault="00A55DE7" w:rsidP="00A55DE7">
      <w:pPr>
        <w:rPr>
          <w:rFonts w:cs="Arial"/>
        </w:rPr>
      </w:pPr>
      <w:r w:rsidRPr="00966F68">
        <w:rPr>
          <w:rFonts w:cs="Arial"/>
        </w:rPr>
        <w:t xml:space="preserve">In September 2019, the Secretary of State announced reforms to teacher pay, which are reflected in the </w:t>
      </w:r>
      <w:hyperlink r:id="rId13" w:history="1">
        <w:r w:rsidRPr="00D50516">
          <w:rPr>
            <w:rStyle w:val="Hyperlink"/>
            <w:rFonts w:cs="Arial"/>
            <w:sz w:val="22"/>
          </w:rPr>
          <w:t>recommendations made by the School Teac</w:t>
        </w:r>
        <w:r w:rsidRPr="00D50516">
          <w:rPr>
            <w:rStyle w:val="Hyperlink"/>
            <w:rFonts w:cs="Arial"/>
            <w:sz w:val="22"/>
          </w:rPr>
          <w:t>h</w:t>
        </w:r>
        <w:r w:rsidRPr="00D50516">
          <w:rPr>
            <w:rStyle w:val="Hyperlink"/>
            <w:rFonts w:cs="Arial"/>
            <w:sz w:val="22"/>
          </w:rPr>
          <w:t>ers Review Body</w:t>
        </w:r>
      </w:hyperlink>
      <w:r w:rsidRPr="00966F68">
        <w:rPr>
          <w:rFonts w:cs="Arial"/>
        </w:rPr>
        <w:t xml:space="preserve"> (STRB). </w:t>
      </w:r>
    </w:p>
    <w:p w14:paraId="7485081B" w14:textId="77777777" w:rsidR="00A55DE7" w:rsidRPr="00A55DE7" w:rsidRDefault="00A55DE7" w:rsidP="00A55DE7">
      <w:pPr>
        <w:pStyle w:val="DeptBullets"/>
        <w:numPr>
          <w:ilvl w:val="0"/>
          <w:numId w:val="0"/>
        </w:numPr>
        <w:rPr>
          <w:rFonts w:cs="Arial"/>
          <w:sz w:val="22"/>
          <w:szCs w:val="22"/>
        </w:rPr>
      </w:pPr>
      <w:r w:rsidRPr="00A55DE7">
        <w:rPr>
          <w:rFonts w:cs="Arial"/>
          <w:sz w:val="22"/>
          <w:szCs w:val="22"/>
        </w:rPr>
        <w:t xml:space="preserve">The new reforms have three main facets: </w:t>
      </w:r>
    </w:p>
    <w:p w14:paraId="21651FCE" w14:textId="0D797657" w:rsidR="00A55DE7" w:rsidRPr="00A55DE7" w:rsidRDefault="00A55DE7" w:rsidP="00A55DE7">
      <w:pPr>
        <w:pStyle w:val="DeptBullets"/>
        <w:numPr>
          <w:ilvl w:val="0"/>
          <w:numId w:val="0"/>
        </w:numPr>
        <w:rPr>
          <w:rFonts w:cs="Arial"/>
          <w:sz w:val="22"/>
          <w:szCs w:val="22"/>
        </w:rPr>
      </w:pPr>
      <w:r w:rsidRPr="00A55DE7">
        <w:rPr>
          <w:rFonts w:cs="Arial"/>
          <w:sz w:val="22"/>
          <w:szCs w:val="22"/>
        </w:rPr>
        <w:t xml:space="preserve">1) </w:t>
      </w:r>
      <w:r w:rsidRPr="00A55DE7">
        <w:rPr>
          <w:rFonts w:cs="Arial"/>
          <w:b/>
          <w:bCs/>
          <w:sz w:val="22"/>
          <w:szCs w:val="22"/>
        </w:rPr>
        <w:t>Increases in teacher starting salaries</w:t>
      </w:r>
      <w:r w:rsidRPr="00A55DE7">
        <w:rPr>
          <w:rFonts w:cs="Arial"/>
          <w:sz w:val="22"/>
          <w:szCs w:val="22"/>
        </w:rPr>
        <w:t xml:space="preserve"> to reflect the manifesto commitment to raise teacher starting salaries to £30,000</w:t>
      </w:r>
      <w:r w:rsidR="00AA6A37">
        <w:rPr>
          <w:rFonts w:cs="Arial"/>
          <w:sz w:val="22"/>
          <w:szCs w:val="22"/>
        </w:rPr>
        <w:t>.</w:t>
      </w:r>
    </w:p>
    <w:p w14:paraId="3F81E353" w14:textId="5C5D8BD2" w:rsidR="00A55DE7" w:rsidRPr="00A55DE7" w:rsidRDefault="00A55DE7" w:rsidP="00A55DE7">
      <w:pPr>
        <w:pStyle w:val="DeptBullets"/>
        <w:numPr>
          <w:ilvl w:val="0"/>
          <w:numId w:val="0"/>
        </w:numPr>
        <w:rPr>
          <w:rFonts w:cs="Arial"/>
          <w:sz w:val="22"/>
          <w:szCs w:val="22"/>
        </w:rPr>
      </w:pPr>
      <w:r w:rsidRPr="00A55DE7">
        <w:rPr>
          <w:rFonts w:cs="Arial"/>
          <w:sz w:val="22"/>
          <w:szCs w:val="22"/>
        </w:rPr>
        <w:t xml:space="preserve">2) </w:t>
      </w:r>
      <w:r w:rsidRPr="00A55DE7">
        <w:rPr>
          <w:rFonts w:cs="Arial"/>
          <w:b/>
          <w:bCs/>
          <w:sz w:val="22"/>
          <w:szCs w:val="22"/>
        </w:rPr>
        <w:t>The reintroduction of advisory pay points for teacher pay progression</w:t>
      </w:r>
      <w:r w:rsidRPr="00A55DE7">
        <w:rPr>
          <w:rFonts w:cs="Arial"/>
          <w:sz w:val="22"/>
          <w:szCs w:val="22"/>
        </w:rPr>
        <w:t xml:space="preserve">. It is important to note that there will be no removal of the 2014 freedoms, meaning that schools will retain autonomy over the pay progression of their staff and will have control over how they use the pay points to inform their pay decisions. </w:t>
      </w:r>
    </w:p>
    <w:p w14:paraId="74FAB78C" w14:textId="77777777" w:rsidR="00A55DE7" w:rsidRPr="00A55DE7" w:rsidRDefault="00A55DE7" w:rsidP="00A55DE7">
      <w:pPr>
        <w:pStyle w:val="DeptBullets"/>
        <w:numPr>
          <w:ilvl w:val="0"/>
          <w:numId w:val="0"/>
        </w:numPr>
        <w:rPr>
          <w:rFonts w:cs="Arial"/>
          <w:sz w:val="22"/>
          <w:szCs w:val="22"/>
        </w:rPr>
      </w:pPr>
      <w:r w:rsidRPr="00A55DE7">
        <w:rPr>
          <w:rFonts w:cs="Arial"/>
          <w:sz w:val="22"/>
          <w:szCs w:val="22"/>
        </w:rPr>
        <w:lastRenderedPageBreak/>
        <w:t xml:space="preserve">3) </w:t>
      </w:r>
      <w:r w:rsidRPr="00A55DE7">
        <w:rPr>
          <w:rFonts w:cs="Arial"/>
          <w:b/>
          <w:bCs/>
          <w:sz w:val="22"/>
          <w:szCs w:val="22"/>
        </w:rPr>
        <w:t>A flattening out of the overall pay structure, to include larger uplifts in early career salaries.</w:t>
      </w:r>
      <w:r w:rsidRPr="00A55DE7">
        <w:rPr>
          <w:rFonts w:cs="Arial"/>
          <w:b/>
          <w:bCs/>
          <w:sz w:val="22"/>
          <w:szCs w:val="22"/>
        </w:rPr>
        <w:br/>
      </w:r>
      <w:r w:rsidRPr="00A55DE7">
        <w:rPr>
          <w:rFonts w:cs="Arial"/>
          <w:sz w:val="22"/>
          <w:szCs w:val="22"/>
        </w:rPr>
        <w:t>The reforms represent an increase in starting salary for all new teachers and larger pay increases for Early Career Teachers (ECTs), with a flattening of pay structures later in career.</w:t>
      </w:r>
    </w:p>
    <w:p w14:paraId="4F8A0B02" w14:textId="20BFA0AC" w:rsidR="00A55DE7" w:rsidRPr="00A55DE7" w:rsidRDefault="00A55DE7" w:rsidP="00A55DE7">
      <w:r>
        <w:t>These reforms are driven by evidence</w:t>
      </w:r>
      <w:r w:rsidR="00DA00A3">
        <w:t>,</w:t>
      </w:r>
      <w:r>
        <w:t xml:space="preserve"> which suggests that targeting pay increases towards the early career can aid retention in the profession and reduce wastage (Sims, 2017; Hendricks, 2014) among early career teachers who are most at risk of leaving (DfE</w:t>
      </w:r>
      <w:r w:rsidR="00371DAA">
        <w:t>, 2019</w:t>
      </w:r>
      <w:r>
        <w:t xml:space="preserve">). </w:t>
      </w:r>
    </w:p>
    <w:p w14:paraId="2DA3BB87" w14:textId="026B4889" w:rsidR="00A57128" w:rsidRDefault="00A57128" w:rsidP="001F2CE2">
      <w:pPr>
        <w:pStyle w:val="Heading2"/>
      </w:pPr>
      <w:r w:rsidRPr="003E05F9">
        <w:t>Evaluation aims</w:t>
      </w:r>
    </w:p>
    <w:p w14:paraId="381A5061" w14:textId="0A19EE72" w:rsidR="00371DAA" w:rsidRPr="0094599F" w:rsidRDefault="00371DAA" w:rsidP="00371DAA">
      <w:pPr>
        <w:pStyle w:val="Default"/>
        <w:rPr>
          <w:sz w:val="22"/>
          <w:szCs w:val="22"/>
        </w:rPr>
      </w:pPr>
      <w:r w:rsidRPr="0094599F">
        <w:rPr>
          <w:sz w:val="22"/>
          <w:szCs w:val="22"/>
        </w:rPr>
        <w:t>The aim of this evaluation is to understand how the 2020 pay reforms have been implemented and to evaluate their impact on potential teachers,</w:t>
      </w:r>
      <w:r w:rsidR="00835AE6" w:rsidRPr="0094599F">
        <w:rPr>
          <w:sz w:val="22"/>
          <w:szCs w:val="22"/>
        </w:rPr>
        <w:t xml:space="preserve"> </w:t>
      </w:r>
      <w:r w:rsidR="00373342">
        <w:rPr>
          <w:sz w:val="22"/>
          <w:szCs w:val="22"/>
        </w:rPr>
        <w:t xml:space="preserve">teacher </w:t>
      </w:r>
      <w:r w:rsidR="00835AE6" w:rsidRPr="0094599F">
        <w:rPr>
          <w:sz w:val="22"/>
          <w:szCs w:val="22"/>
        </w:rPr>
        <w:t>trainees, ECTs, more experienced</w:t>
      </w:r>
      <w:r w:rsidRPr="0094599F">
        <w:rPr>
          <w:sz w:val="22"/>
          <w:szCs w:val="22"/>
        </w:rPr>
        <w:t xml:space="preserve"> teachers</w:t>
      </w:r>
      <w:r w:rsidR="00835AE6" w:rsidRPr="0094599F">
        <w:rPr>
          <w:sz w:val="22"/>
          <w:szCs w:val="22"/>
        </w:rPr>
        <w:t xml:space="preserve"> (METs)</w:t>
      </w:r>
      <w:r w:rsidRPr="0094599F">
        <w:rPr>
          <w:sz w:val="22"/>
          <w:szCs w:val="22"/>
        </w:rPr>
        <w:t xml:space="preserve">, and schools. </w:t>
      </w:r>
    </w:p>
    <w:p w14:paraId="648A7194" w14:textId="77777777" w:rsidR="00371DAA" w:rsidRPr="0094599F" w:rsidRDefault="00371DAA" w:rsidP="00371DAA">
      <w:pPr>
        <w:pStyle w:val="Default"/>
        <w:rPr>
          <w:sz w:val="22"/>
          <w:szCs w:val="22"/>
        </w:rPr>
      </w:pPr>
    </w:p>
    <w:p w14:paraId="2E341A87" w14:textId="063188A8" w:rsidR="00371DAA" w:rsidRPr="0094599F" w:rsidRDefault="00371DAA" w:rsidP="00371DAA">
      <w:pPr>
        <w:pStyle w:val="DeptBullets"/>
        <w:numPr>
          <w:ilvl w:val="0"/>
          <w:numId w:val="0"/>
        </w:numPr>
        <w:rPr>
          <w:rFonts w:cs="Arial"/>
          <w:sz w:val="22"/>
          <w:szCs w:val="22"/>
        </w:rPr>
      </w:pPr>
      <w:r w:rsidRPr="0094599F">
        <w:rPr>
          <w:rFonts w:cs="Arial"/>
          <w:sz w:val="22"/>
          <w:szCs w:val="22"/>
        </w:rPr>
        <w:t>The objectives of this research are</w:t>
      </w:r>
      <w:r w:rsidR="00A87CDA">
        <w:rPr>
          <w:rFonts w:cs="Arial"/>
          <w:sz w:val="22"/>
          <w:szCs w:val="22"/>
        </w:rPr>
        <w:t xml:space="preserve"> to</w:t>
      </w:r>
      <w:r w:rsidRPr="0094599F">
        <w:rPr>
          <w:rFonts w:cs="Arial"/>
          <w:sz w:val="22"/>
          <w:szCs w:val="22"/>
        </w:rPr>
        <w:t>:</w:t>
      </w:r>
    </w:p>
    <w:p w14:paraId="1FEA65C4" w14:textId="3F0E19E8" w:rsidR="00371DAA" w:rsidRPr="0094599F" w:rsidRDefault="00A87CDA" w:rsidP="00371DAA">
      <w:pPr>
        <w:pStyle w:val="DeptBullets"/>
        <w:widowControl/>
        <w:numPr>
          <w:ilvl w:val="0"/>
          <w:numId w:val="19"/>
        </w:numPr>
        <w:overflowPunct/>
        <w:autoSpaceDE/>
        <w:autoSpaceDN/>
        <w:adjustRightInd/>
        <w:spacing w:before="100" w:line="276" w:lineRule="auto"/>
        <w:textAlignment w:val="auto"/>
        <w:rPr>
          <w:rFonts w:cs="Arial"/>
          <w:sz w:val="22"/>
          <w:szCs w:val="22"/>
        </w:rPr>
      </w:pPr>
      <w:r>
        <w:rPr>
          <w:rFonts w:cs="Arial"/>
          <w:sz w:val="22"/>
          <w:szCs w:val="22"/>
        </w:rPr>
        <w:t>E</w:t>
      </w:r>
      <w:r w:rsidR="00371DAA" w:rsidRPr="0094599F">
        <w:rPr>
          <w:rFonts w:cs="Arial"/>
          <w:sz w:val="22"/>
          <w:szCs w:val="22"/>
        </w:rPr>
        <w:t xml:space="preserve">xplore </w:t>
      </w:r>
      <w:r>
        <w:rPr>
          <w:rFonts w:cs="Arial"/>
          <w:sz w:val="22"/>
          <w:szCs w:val="22"/>
        </w:rPr>
        <w:t>whether</w:t>
      </w:r>
      <w:r w:rsidR="00371DAA" w:rsidRPr="0094599F">
        <w:rPr>
          <w:rFonts w:cs="Arial"/>
          <w:sz w:val="22"/>
          <w:szCs w:val="22"/>
        </w:rPr>
        <w:t xml:space="preserve"> increased starting salaries affect decisions to enter and remain in the profession</w:t>
      </w:r>
    </w:p>
    <w:p w14:paraId="7E4ED6EF" w14:textId="1B04AAF5" w:rsidR="00371DAA" w:rsidRPr="0094599F" w:rsidRDefault="00A87CDA" w:rsidP="00371DAA">
      <w:pPr>
        <w:pStyle w:val="DeptBullets"/>
        <w:widowControl/>
        <w:numPr>
          <w:ilvl w:val="0"/>
          <w:numId w:val="19"/>
        </w:numPr>
        <w:overflowPunct/>
        <w:autoSpaceDE/>
        <w:autoSpaceDN/>
        <w:adjustRightInd/>
        <w:spacing w:before="100" w:line="276" w:lineRule="auto"/>
        <w:textAlignment w:val="auto"/>
        <w:rPr>
          <w:rFonts w:cs="Arial"/>
          <w:sz w:val="22"/>
          <w:szCs w:val="22"/>
        </w:rPr>
      </w:pPr>
      <w:r>
        <w:rPr>
          <w:rFonts w:cs="Arial"/>
          <w:sz w:val="22"/>
          <w:szCs w:val="22"/>
        </w:rPr>
        <w:t>D</w:t>
      </w:r>
      <w:r w:rsidR="00371DAA" w:rsidRPr="0094599F">
        <w:rPr>
          <w:rFonts w:cs="Arial"/>
          <w:sz w:val="22"/>
          <w:szCs w:val="22"/>
        </w:rPr>
        <w:t>etermine whether the reformed pay structure impacts on the career progression and aspiration of teachers</w:t>
      </w:r>
    </w:p>
    <w:p w14:paraId="31987AA6" w14:textId="1D1F2C08" w:rsidR="00371DAA" w:rsidRPr="0094599F" w:rsidRDefault="00A87CDA" w:rsidP="00371DAA">
      <w:pPr>
        <w:pStyle w:val="DeptBullets"/>
        <w:widowControl/>
        <w:numPr>
          <w:ilvl w:val="0"/>
          <w:numId w:val="19"/>
        </w:numPr>
        <w:overflowPunct/>
        <w:autoSpaceDE/>
        <w:autoSpaceDN/>
        <w:adjustRightInd/>
        <w:spacing w:before="100" w:line="276" w:lineRule="auto"/>
        <w:textAlignment w:val="auto"/>
        <w:rPr>
          <w:rFonts w:cs="Arial"/>
          <w:sz w:val="22"/>
          <w:szCs w:val="22"/>
        </w:rPr>
      </w:pPr>
      <w:r>
        <w:rPr>
          <w:rFonts w:cs="Arial"/>
          <w:sz w:val="22"/>
          <w:szCs w:val="22"/>
        </w:rPr>
        <w:t>A</w:t>
      </w:r>
      <w:r w:rsidR="00371DAA" w:rsidRPr="0094599F">
        <w:rPr>
          <w:rFonts w:cs="Arial"/>
          <w:sz w:val="22"/>
          <w:szCs w:val="22"/>
        </w:rPr>
        <w:t>ssess whether the pay reforms have any unintended impacts, particularly on the retention and progression of more experienced teachers (METs).</w:t>
      </w:r>
    </w:p>
    <w:p w14:paraId="41A5F477" w14:textId="4FE8FD21" w:rsidR="00371DAA" w:rsidRPr="0094599F" w:rsidRDefault="00A87CDA" w:rsidP="00371DAA">
      <w:pPr>
        <w:pStyle w:val="DeptBullets"/>
        <w:widowControl/>
        <w:numPr>
          <w:ilvl w:val="0"/>
          <w:numId w:val="19"/>
        </w:numPr>
        <w:overflowPunct/>
        <w:autoSpaceDE/>
        <w:autoSpaceDN/>
        <w:adjustRightInd/>
        <w:spacing w:before="100" w:line="276" w:lineRule="auto"/>
        <w:textAlignment w:val="auto"/>
        <w:rPr>
          <w:rFonts w:cs="Arial"/>
          <w:sz w:val="22"/>
          <w:szCs w:val="22"/>
        </w:rPr>
      </w:pPr>
      <w:r>
        <w:rPr>
          <w:rFonts w:cs="Arial"/>
          <w:sz w:val="22"/>
          <w:szCs w:val="22"/>
        </w:rPr>
        <w:t>D</w:t>
      </w:r>
      <w:r w:rsidR="00371DAA" w:rsidRPr="0094599F">
        <w:rPr>
          <w:rFonts w:cs="Arial"/>
          <w:sz w:val="22"/>
          <w:szCs w:val="22"/>
        </w:rPr>
        <w:t>etermine whether schools have adopted the proposed reforms, in particular the revised advisory pay points and whether this has posed any implementation challenges.</w:t>
      </w:r>
    </w:p>
    <w:p w14:paraId="16A061FC" w14:textId="1C2050CA" w:rsidR="00371DAA" w:rsidRPr="0094599F" w:rsidRDefault="00A87CDA" w:rsidP="00371DAA">
      <w:pPr>
        <w:pStyle w:val="DeptBullets"/>
        <w:widowControl/>
        <w:numPr>
          <w:ilvl w:val="0"/>
          <w:numId w:val="19"/>
        </w:numPr>
        <w:overflowPunct/>
        <w:autoSpaceDE/>
        <w:autoSpaceDN/>
        <w:adjustRightInd/>
        <w:spacing w:before="100" w:line="276" w:lineRule="auto"/>
        <w:textAlignment w:val="auto"/>
        <w:rPr>
          <w:rFonts w:cs="Arial"/>
          <w:sz w:val="22"/>
          <w:szCs w:val="22"/>
        </w:rPr>
      </w:pPr>
      <w:r>
        <w:rPr>
          <w:rFonts w:cs="Arial"/>
          <w:sz w:val="22"/>
          <w:szCs w:val="22"/>
        </w:rPr>
        <w:t>E</w:t>
      </w:r>
      <w:r w:rsidR="00371DAA" w:rsidRPr="0094599F">
        <w:rPr>
          <w:rFonts w:cs="Arial"/>
          <w:sz w:val="22"/>
          <w:szCs w:val="22"/>
        </w:rPr>
        <w:t>xplore the views and reactions of potential trainees, trainees, ECTs, METs and school leaders to the reforms</w:t>
      </w:r>
    </w:p>
    <w:p w14:paraId="21DBB17A" w14:textId="1EC80FE7" w:rsidR="00371DAA" w:rsidRPr="0094599F" w:rsidRDefault="00A87CDA" w:rsidP="00371DAA">
      <w:pPr>
        <w:pStyle w:val="DeptBullets"/>
        <w:widowControl/>
        <w:numPr>
          <w:ilvl w:val="0"/>
          <w:numId w:val="19"/>
        </w:numPr>
        <w:overflowPunct/>
        <w:autoSpaceDE/>
        <w:autoSpaceDN/>
        <w:adjustRightInd/>
        <w:spacing w:before="100" w:line="276" w:lineRule="auto"/>
        <w:textAlignment w:val="auto"/>
        <w:rPr>
          <w:rFonts w:cs="Arial"/>
          <w:sz w:val="22"/>
          <w:szCs w:val="22"/>
        </w:rPr>
      </w:pPr>
      <w:r>
        <w:rPr>
          <w:rFonts w:cs="Arial"/>
          <w:sz w:val="22"/>
          <w:szCs w:val="22"/>
        </w:rPr>
        <w:t>E</w:t>
      </w:r>
      <w:r w:rsidR="00371DAA" w:rsidRPr="0094599F">
        <w:rPr>
          <w:rFonts w:cs="Arial"/>
          <w:sz w:val="22"/>
          <w:szCs w:val="22"/>
        </w:rPr>
        <w:t>xamine how the pay reforms have affected those with protected characteristics</w:t>
      </w:r>
      <w:r w:rsidR="0023284B">
        <w:rPr>
          <w:rFonts w:cs="Arial"/>
          <w:sz w:val="22"/>
          <w:szCs w:val="22"/>
        </w:rPr>
        <w:t>.</w:t>
      </w:r>
    </w:p>
    <w:p w14:paraId="68CA6890" w14:textId="3C6000E6" w:rsidR="00371DAA" w:rsidRPr="0094599F" w:rsidRDefault="0094599F" w:rsidP="00371DAA">
      <w:pPr>
        <w:rPr>
          <w:szCs w:val="22"/>
        </w:rPr>
      </w:pPr>
      <w:r w:rsidRPr="0094599F">
        <w:rPr>
          <w:szCs w:val="22"/>
        </w:rPr>
        <w:t>It is anticipated that the evaluation will</w:t>
      </w:r>
      <w:r w:rsidR="00D5007D">
        <w:rPr>
          <w:szCs w:val="22"/>
        </w:rPr>
        <w:t xml:space="preserve"> run from</w:t>
      </w:r>
      <w:r w:rsidR="00F217B9">
        <w:rPr>
          <w:szCs w:val="22"/>
        </w:rPr>
        <w:t xml:space="preserve"> January</w:t>
      </w:r>
      <w:r w:rsidRPr="0094599F">
        <w:rPr>
          <w:szCs w:val="22"/>
        </w:rPr>
        <w:t xml:space="preserve"> 2020</w:t>
      </w:r>
      <w:r w:rsidR="00D5007D">
        <w:rPr>
          <w:szCs w:val="22"/>
        </w:rPr>
        <w:t xml:space="preserve"> to</w:t>
      </w:r>
      <w:r w:rsidR="003B060E">
        <w:rPr>
          <w:szCs w:val="22"/>
        </w:rPr>
        <w:t xml:space="preserve"> October</w:t>
      </w:r>
      <w:r w:rsidR="00D5007D">
        <w:rPr>
          <w:szCs w:val="22"/>
        </w:rPr>
        <w:t xml:space="preserve"> </w:t>
      </w:r>
      <w:r w:rsidRPr="0094599F">
        <w:rPr>
          <w:szCs w:val="22"/>
        </w:rPr>
        <w:t>2023 however, a</w:t>
      </w:r>
      <w:r w:rsidRPr="0094599F">
        <w:rPr>
          <w:rFonts w:cs="Arial"/>
          <w:szCs w:val="22"/>
        </w:rPr>
        <w:t xml:space="preserve">s the surrounding context is changing rapidly and may influence decisions about pay, </w:t>
      </w:r>
      <w:r w:rsidR="00882011">
        <w:rPr>
          <w:rFonts w:cs="Arial"/>
          <w:szCs w:val="22"/>
        </w:rPr>
        <w:t>the evaluation will need to be flexible.</w:t>
      </w:r>
      <w:r w:rsidRPr="0094599F">
        <w:rPr>
          <w:rFonts w:cs="Arial"/>
          <w:szCs w:val="22"/>
        </w:rPr>
        <w:t xml:space="preserve"> </w:t>
      </w:r>
    </w:p>
    <w:p w14:paraId="0E6B3F4B" w14:textId="73620FEC" w:rsidR="004A600B" w:rsidRDefault="004A600B" w:rsidP="001F2CE2">
      <w:pPr>
        <w:pStyle w:val="Heading2"/>
      </w:pPr>
      <w:r>
        <w:t>Methodology</w:t>
      </w:r>
    </w:p>
    <w:p w14:paraId="1409D62F" w14:textId="26438DBD" w:rsidR="00835AE6" w:rsidRDefault="00835AE6" w:rsidP="00835AE6">
      <w:r>
        <w:t>The successful bidder will be responsible for designing and conducting the evaluation</w:t>
      </w:r>
      <w:r w:rsidR="00882011">
        <w:t>.</w:t>
      </w:r>
      <w:r>
        <w:t xml:space="preserve"> At the Invitation to Tender stage, bidders will be expected to suggest an appropriate methodology. We anticipate that a mixed-method approach will be appropriate, which may include the following elements: </w:t>
      </w:r>
    </w:p>
    <w:p w14:paraId="793D838E" w14:textId="141B502A" w:rsidR="00835AE6" w:rsidRDefault="005C6F3F" w:rsidP="00835AE6">
      <w:pPr>
        <w:pStyle w:val="ListParagraph"/>
        <w:numPr>
          <w:ilvl w:val="0"/>
          <w:numId w:val="20"/>
        </w:numPr>
      </w:pPr>
      <w:r>
        <w:t>Q</w:t>
      </w:r>
      <w:r w:rsidR="00835AE6">
        <w:t>uantitative survey</w:t>
      </w:r>
      <w:r>
        <w:t>ing</w:t>
      </w:r>
      <w:r w:rsidR="00835AE6">
        <w:t xml:space="preserve"> </w:t>
      </w:r>
      <w:r>
        <w:t xml:space="preserve">of </w:t>
      </w:r>
      <w:r w:rsidR="00835AE6">
        <w:t>the five groups of interest (potential teachers, trainees, ECTs, METs, and school leaders)</w:t>
      </w:r>
    </w:p>
    <w:p w14:paraId="12C0E3CC" w14:textId="2AC296B9" w:rsidR="00835AE6" w:rsidRDefault="00835AE6" w:rsidP="00835AE6">
      <w:pPr>
        <w:pStyle w:val="ListParagraph"/>
        <w:numPr>
          <w:ilvl w:val="0"/>
          <w:numId w:val="20"/>
        </w:numPr>
      </w:pPr>
      <w:r>
        <w:t>Qualitative interviews with the five groups of interest</w:t>
      </w:r>
    </w:p>
    <w:p w14:paraId="061D0549" w14:textId="76937068" w:rsidR="00835AE6" w:rsidRDefault="00835AE6" w:rsidP="00835AE6">
      <w:pPr>
        <w:pStyle w:val="ListParagraph"/>
        <w:numPr>
          <w:ilvl w:val="0"/>
          <w:numId w:val="20"/>
        </w:numPr>
      </w:pPr>
      <w:r>
        <w:t>Analysis of quantitative and qualitative fieldwork in order to understand how the pay reforms have affected groups of interest</w:t>
      </w:r>
    </w:p>
    <w:p w14:paraId="1CB63708" w14:textId="1DB0A6EE" w:rsidR="00672DD3" w:rsidRDefault="00672DD3" w:rsidP="00672DD3">
      <w:r>
        <w:lastRenderedPageBreak/>
        <w:t xml:space="preserve">The DfE will be conducting secondary data analysis in-house, and we do not anticipate that this will form a part of any contracted evaluation. </w:t>
      </w:r>
    </w:p>
    <w:p w14:paraId="5AA1A0A1" w14:textId="223DEC0D" w:rsidR="00D5007D" w:rsidRDefault="001C7B20" w:rsidP="001C7B20">
      <w:pPr>
        <w:pStyle w:val="Heading3"/>
      </w:pPr>
      <w:r>
        <w:t>Timing and reporting</w:t>
      </w:r>
    </w:p>
    <w:p w14:paraId="370F04C0" w14:textId="6ED03241" w:rsidR="00CA2F32" w:rsidRPr="00CA2F32" w:rsidRDefault="00CA2F32" w:rsidP="006D5341">
      <w:pPr>
        <w:spacing w:line="259" w:lineRule="auto"/>
        <w:rPr>
          <w:rFonts w:cs="Arial"/>
          <w:bCs/>
        </w:rPr>
      </w:pPr>
      <w:r w:rsidRPr="00CA2F32">
        <w:rPr>
          <w:rFonts w:cs="Arial"/>
          <w:bCs/>
        </w:rPr>
        <w:t xml:space="preserve">We anticipate that fieldwork should take place in two waves – </w:t>
      </w:r>
      <w:r w:rsidR="00A82C7B">
        <w:rPr>
          <w:rFonts w:cs="Arial"/>
          <w:bCs/>
        </w:rPr>
        <w:t>the first</w:t>
      </w:r>
      <w:r w:rsidR="00A82C7B" w:rsidRPr="00CA2F32">
        <w:rPr>
          <w:rFonts w:cs="Arial"/>
          <w:bCs/>
        </w:rPr>
        <w:t xml:space="preserve"> </w:t>
      </w:r>
      <w:r w:rsidRPr="00CA2F32">
        <w:rPr>
          <w:rFonts w:cs="Arial"/>
          <w:bCs/>
        </w:rPr>
        <w:t xml:space="preserve">in Spring 2021 after the introduction of the first wave of reforms, and a further wave once the reforms have been embedded. </w:t>
      </w:r>
      <w:r w:rsidR="00D5007D">
        <w:rPr>
          <w:rFonts w:cs="Arial"/>
          <w:szCs w:val="22"/>
        </w:rPr>
        <w:t>Should the evaluation run as expected, t</w:t>
      </w:r>
      <w:r w:rsidRPr="00CA2F32">
        <w:rPr>
          <w:rFonts w:cs="Arial"/>
          <w:bCs/>
        </w:rPr>
        <w:t xml:space="preserve">he DfE </w:t>
      </w:r>
      <w:r w:rsidR="00D5007D">
        <w:rPr>
          <w:rFonts w:cs="Arial"/>
          <w:bCs/>
        </w:rPr>
        <w:t xml:space="preserve">will </w:t>
      </w:r>
      <w:r w:rsidRPr="00CA2F32">
        <w:rPr>
          <w:rFonts w:cs="Arial"/>
          <w:bCs/>
        </w:rPr>
        <w:t>require interim findings to be presented after the first wave</w:t>
      </w:r>
      <w:r w:rsidR="00D5007D">
        <w:rPr>
          <w:rFonts w:cs="Arial"/>
          <w:bCs/>
        </w:rPr>
        <w:t xml:space="preserve"> of fieldwork</w:t>
      </w:r>
      <w:r w:rsidRPr="00CA2F32">
        <w:rPr>
          <w:rFonts w:cs="Arial"/>
          <w:bCs/>
        </w:rPr>
        <w:t xml:space="preserve"> in order to address any gaps or concerns raised in the early stages of the reforms, as well as a final report after the second wave of research.</w:t>
      </w:r>
    </w:p>
    <w:p w14:paraId="502BE6FA" w14:textId="3C9580FF" w:rsidR="004A600B" w:rsidRDefault="004F068E" w:rsidP="004F068E">
      <w:pPr>
        <w:pStyle w:val="Heading2"/>
      </w:pPr>
      <w:r>
        <w:t>Procurement t</w:t>
      </w:r>
      <w:r w:rsidR="004A600B">
        <w:t>iming</w:t>
      </w:r>
      <w:r w:rsidR="001C7B20">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35AE6" w:rsidRPr="00966F68" w14:paraId="0B7C1FB6" w14:textId="77777777" w:rsidTr="00835AE6">
        <w:tc>
          <w:tcPr>
            <w:tcW w:w="4508" w:type="dxa"/>
          </w:tcPr>
          <w:p w14:paraId="38156E4F" w14:textId="300FB1A0" w:rsidR="00835AE6" w:rsidRPr="00966F68" w:rsidRDefault="00835AE6" w:rsidP="00835AE6">
            <w:pPr>
              <w:pStyle w:val="Default"/>
              <w:rPr>
                <w:bCs/>
                <w:color w:val="auto"/>
              </w:rPr>
            </w:pPr>
            <w:r>
              <w:rPr>
                <w:bCs/>
                <w:color w:val="auto"/>
              </w:rPr>
              <w:t>Deadline for EOIs</w:t>
            </w:r>
          </w:p>
        </w:tc>
        <w:tc>
          <w:tcPr>
            <w:tcW w:w="4508" w:type="dxa"/>
          </w:tcPr>
          <w:p w14:paraId="2935AEB5" w14:textId="05D9ABDC" w:rsidR="00835AE6" w:rsidRPr="00966F68" w:rsidRDefault="00E42F77" w:rsidP="00835AE6">
            <w:pPr>
              <w:pStyle w:val="Default"/>
              <w:rPr>
                <w:b/>
                <w:color w:val="auto"/>
              </w:rPr>
            </w:pPr>
            <w:r>
              <w:rPr>
                <w:b/>
                <w:color w:val="auto"/>
              </w:rPr>
              <w:t>5pm</w:t>
            </w:r>
            <w:r w:rsidR="00835AE6">
              <w:rPr>
                <w:b/>
                <w:color w:val="auto"/>
              </w:rPr>
              <w:t xml:space="preserve"> </w:t>
            </w:r>
            <w:r>
              <w:rPr>
                <w:b/>
                <w:color w:val="auto"/>
              </w:rPr>
              <w:t>6</w:t>
            </w:r>
            <w:r w:rsidR="00835AE6">
              <w:rPr>
                <w:b/>
                <w:color w:val="auto"/>
              </w:rPr>
              <w:t>th November</w:t>
            </w:r>
          </w:p>
        </w:tc>
      </w:tr>
      <w:tr w:rsidR="00835AE6" w:rsidRPr="00966F68" w14:paraId="1F539758" w14:textId="77777777" w:rsidTr="00835AE6">
        <w:tc>
          <w:tcPr>
            <w:tcW w:w="4508" w:type="dxa"/>
          </w:tcPr>
          <w:p w14:paraId="51545CDF" w14:textId="77777777" w:rsidR="00835AE6" w:rsidRPr="00966F68" w:rsidRDefault="00835AE6" w:rsidP="00835AE6">
            <w:pPr>
              <w:pStyle w:val="Default"/>
              <w:rPr>
                <w:bCs/>
                <w:color w:val="auto"/>
              </w:rPr>
            </w:pPr>
            <w:r w:rsidRPr="00966F68">
              <w:rPr>
                <w:bCs/>
                <w:color w:val="auto"/>
              </w:rPr>
              <w:t>ITT issued</w:t>
            </w:r>
          </w:p>
        </w:tc>
        <w:tc>
          <w:tcPr>
            <w:tcW w:w="4508" w:type="dxa"/>
          </w:tcPr>
          <w:p w14:paraId="2C7BAAC8" w14:textId="46CD7E6F" w:rsidR="00835AE6" w:rsidRPr="00966F68" w:rsidRDefault="004F068E" w:rsidP="00835AE6">
            <w:pPr>
              <w:pStyle w:val="Default"/>
              <w:rPr>
                <w:b/>
                <w:color w:val="auto"/>
              </w:rPr>
            </w:pPr>
            <w:r>
              <w:rPr>
                <w:b/>
                <w:color w:val="auto"/>
              </w:rPr>
              <w:t>W/</w:t>
            </w:r>
            <w:r w:rsidR="0084403F">
              <w:rPr>
                <w:b/>
                <w:color w:val="auto"/>
              </w:rPr>
              <w:t>C</w:t>
            </w:r>
            <w:r>
              <w:rPr>
                <w:b/>
                <w:color w:val="auto"/>
              </w:rPr>
              <w:t xml:space="preserve"> </w:t>
            </w:r>
            <w:r w:rsidR="00835AE6" w:rsidRPr="00966F68">
              <w:rPr>
                <w:b/>
                <w:color w:val="auto"/>
              </w:rPr>
              <w:t>9</w:t>
            </w:r>
            <w:r w:rsidR="00835AE6" w:rsidRPr="00966F68">
              <w:rPr>
                <w:b/>
                <w:color w:val="auto"/>
                <w:vertAlign w:val="superscript"/>
              </w:rPr>
              <w:t>th</w:t>
            </w:r>
            <w:r w:rsidR="00835AE6" w:rsidRPr="00966F68">
              <w:rPr>
                <w:b/>
                <w:color w:val="auto"/>
              </w:rPr>
              <w:t xml:space="preserve"> November</w:t>
            </w:r>
          </w:p>
        </w:tc>
      </w:tr>
      <w:tr w:rsidR="00835AE6" w:rsidRPr="00966F68" w14:paraId="14D341CA" w14:textId="77777777" w:rsidTr="00835AE6">
        <w:tc>
          <w:tcPr>
            <w:tcW w:w="4508" w:type="dxa"/>
          </w:tcPr>
          <w:p w14:paraId="64E1D8E4" w14:textId="77777777" w:rsidR="00835AE6" w:rsidRPr="00966F68" w:rsidRDefault="00835AE6" w:rsidP="00835AE6">
            <w:pPr>
              <w:pStyle w:val="Default"/>
              <w:rPr>
                <w:color w:val="auto"/>
              </w:rPr>
            </w:pPr>
            <w:r w:rsidRPr="00966F68">
              <w:rPr>
                <w:bCs/>
                <w:color w:val="auto"/>
              </w:rPr>
              <w:t>Deadline for tender acceptance/rejection forms</w:t>
            </w:r>
          </w:p>
        </w:tc>
        <w:tc>
          <w:tcPr>
            <w:tcW w:w="4508" w:type="dxa"/>
          </w:tcPr>
          <w:p w14:paraId="474A9F6F" w14:textId="77777777" w:rsidR="00835AE6" w:rsidRPr="00966F68" w:rsidRDefault="00835AE6" w:rsidP="00835AE6">
            <w:pPr>
              <w:pStyle w:val="Default"/>
              <w:rPr>
                <w:b/>
                <w:color w:val="auto"/>
              </w:rPr>
            </w:pPr>
            <w:r w:rsidRPr="00966F68">
              <w:rPr>
                <w:b/>
                <w:color w:val="auto"/>
              </w:rPr>
              <w:t>By 5pm 20</w:t>
            </w:r>
            <w:r w:rsidRPr="00966F68">
              <w:rPr>
                <w:b/>
                <w:color w:val="auto"/>
                <w:vertAlign w:val="superscript"/>
              </w:rPr>
              <w:t>th</w:t>
            </w:r>
            <w:r w:rsidRPr="00966F68">
              <w:rPr>
                <w:b/>
                <w:color w:val="auto"/>
              </w:rPr>
              <w:t xml:space="preserve"> November</w:t>
            </w:r>
          </w:p>
        </w:tc>
      </w:tr>
      <w:tr w:rsidR="00835AE6" w:rsidRPr="00966F68" w14:paraId="42B33E84" w14:textId="77777777" w:rsidTr="00835AE6">
        <w:tc>
          <w:tcPr>
            <w:tcW w:w="4508" w:type="dxa"/>
          </w:tcPr>
          <w:p w14:paraId="078F9B68" w14:textId="77777777" w:rsidR="00835AE6" w:rsidRPr="00966F68" w:rsidRDefault="00835AE6" w:rsidP="00835AE6">
            <w:pPr>
              <w:pStyle w:val="Default"/>
              <w:rPr>
                <w:color w:val="auto"/>
              </w:rPr>
            </w:pPr>
            <w:r w:rsidRPr="00966F68">
              <w:rPr>
                <w:bCs/>
                <w:color w:val="auto"/>
              </w:rPr>
              <w:t>Deadline for questions</w:t>
            </w:r>
          </w:p>
        </w:tc>
        <w:tc>
          <w:tcPr>
            <w:tcW w:w="4508" w:type="dxa"/>
          </w:tcPr>
          <w:p w14:paraId="2B49A106" w14:textId="54783A12" w:rsidR="00835AE6" w:rsidRPr="00966F68" w:rsidRDefault="00835AE6" w:rsidP="00835AE6">
            <w:pPr>
              <w:pStyle w:val="Default"/>
              <w:rPr>
                <w:b/>
                <w:color w:val="auto"/>
              </w:rPr>
            </w:pPr>
            <w:r w:rsidRPr="00966F68">
              <w:rPr>
                <w:b/>
                <w:color w:val="auto"/>
              </w:rPr>
              <w:t>By 5pm 25</w:t>
            </w:r>
            <w:r w:rsidRPr="00204E44">
              <w:rPr>
                <w:b/>
                <w:color w:val="auto"/>
                <w:vertAlign w:val="superscript"/>
              </w:rPr>
              <w:t>th</w:t>
            </w:r>
            <w:r w:rsidRPr="00966F68">
              <w:rPr>
                <w:b/>
                <w:color w:val="auto"/>
              </w:rPr>
              <w:t xml:space="preserve"> November</w:t>
            </w:r>
          </w:p>
        </w:tc>
      </w:tr>
      <w:tr w:rsidR="00835AE6" w:rsidRPr="00966F68" w14:paraId="746E98D3" w14:textId="77777777" w:rsidTr="00835AE6">
        <w:tc>
          <w:tcPr>
            <w:tcW w:w="4508" w:type="dxa"/>
          </w:tcPr>
          <w:p w14:paraId="717237E6" w14:textId="77777777" w:rsidR="00835AE6" w:rsidRPr="00966F68" w:rsidRDefault="00835AE6" w:rsidP="00835AE6">
            <w:pPr>
              <w:pStyle w:val="Default"/>
              <w:rPr>
                <w:color w:val="auto"/>
              </w:rPr>
            </w:pPr>
            <w:r w:rsidRPr="00966F68">
              <w:rPr>
                <w:bCs/>
                <w:color w:val="auto"/>
              </w:rPr>
              <w:t>Deadline for tender submission</w:t>
            </w:r>
          </w:p>
        </w:tc>
        <w:tc>
          <w:tcPr>
            <w:tcW w:w="4508" w:type="dxa"/>
          </w:tcPr>
          <w:p w14:paraId="45D76C9D" w14:textId="77777777" w:rsidR="00835AE6" w:rsidRPr="00966F68" w:rsidRDefault="00835AE6" w:rsidP="00835AE6">
            <w:pPr>
              <w:pStyle w:val="Default"/>
              <w:rPr>
                <w:b/>
                <w:color w:val="auto"/>
              </w:rPr>
            </w:pPr>
            <w:r w:rsidRPr="00966F68">
              <w:rPr>
                <w:b/>
                <w:color w:val="auto"/>
              </w:rPr>
              <w:t>By 5pm 4</w:t>
            </w:r>
            <w:r w:rsidRPr="00966F68">
              <w:rPr>
                <w:b/>
                <w:color w:val="auto"/>
                <w:vertAlign w:val="superscript"/>
              </w:rPr>
              <w:t>th</w:t>
            </w:r>
            <w:r w:rsidRPr="00966F68">
              <w:rPr>
                <w:b/>
                <w:color w:val="auto"/>
              </w:rPr>
              <w:t xml:space="preserve"> December</w:t>
            </w:r>
          </w:p>
        </w:tc>
      </w:tr>
      <w:tr w:rsidR="00835AE6" w:rsidRPr="00966F68" w14:paraId="216C6107" w14:textId="77777777" w:rsidTr="00835AE6">
        <w:tc>
          <w:tcPr>
            <w:tcW w:w="4508" w:type="dxa"/>
          </w:tcPr>
          <w:p w14:paraId="51E9D608" w14:textId="77777777" w:rsidR="00835AE6" w:rsidRPr="00966F68" w:rsidRDefault="00835AE6" w:rsidP="00835AE6">
            <w:pPr>
              <w:pStyle w:val="Default"/>
              <w:rPr>
                <w:color w:val="auto"/>
              </w:rPr>
            </w:pPr>
            <w:r w:rsidRPr="00966F68">
              <w:rPr>
                <w:bCs/>
                <w:color w:val="auto"/>
              </w:rPr>
              <w:t>Interviews</w:t>
            </w:r>
          </w:p>
        </w:tc>
        <w:tc>
          <w:tcPr>
            <w:tcW w:w="4508" w:type="dxa"/>
          </w:tcPr>
          <w:p w14:paraId="12C4C2A8" w14:textId="77777777" w:rsidR="00835AE6" w:rsidRPr="00966F68" w:rsidRDefault="00835AE6" w:rsidP="00835AE6">
            <w:pPr>
              <w:pStyle w:val="Default"/>
              <w:rPr>
                <w:b/>
                <w:color w:val="auto"/>
              </w:rPr>
            </w:pPr>
            <w:r w:rsidRPr="00966F68">
              <w:rPr>
                <w:b/>
                <w:color w:val="auto"/>
              </w:rPr>
              <w:t>15</w:t>
            </w:r>
            <w:r w:rsidRPr="00966F68">
              <w:rPr>
                <w:b/>
                <w:color w:val="auto"/>
                <w:vertAlign w:val="superscript"/>
              </w:rPr>
              <w:t>th</w:t>
            </w:r>
            <w:r w:rsidRPr="00966F68">
              <w:rPr>
                <w:b/>
                <w:color w:val="auto"/>
              </w:rPr>
              <w:t>/ 16</w:t>
            </w:r>
            <w:r w:rsidRPr="00966F68">
              <w:rPr>
                <w:b/>
                <w:color w:val="auto"/>
                <w:vertAlign w:val="superscript"/>
              </w:rPr>
              <w:t>th</w:t>
            </w:r>
            <w:r w:rsidRPr="00966F68">
              <w:rPr>
                <w:b/>
                <w:color w:val="auto"/>
              </w:rPr>
              <w:t xml:space="preserve"> December</w:t>
            </w:r>
          </w:p>
        </w:tc>
      </w:tr>
    </w:tbl>
    <w:p w14:paraId="7DDA00AB" w14:textId="77777777" w:rsidR="00835AE6" w:rsidRPr="007E0083" w:rsidRDefault="00835AE6" w:rsidP="00835AE6">
      <w:pPr>
        <w:pStyle w:val="ListParagraph"/>
        <w:numPr>
          <w:ilvl w:val="0"/>
          <w:numId w:val="0"/>
        </w:numPr>
        <w:ind w:left="720"/>
      </w:pPr>
    </w:p>
    <w:p w14:paraId="0D2B2C65" w14:textId="41DF3DE1" w:rsidR="004A600B" w:rsidRPr="004A600B" w:rsidRDefault="004A600B" w:rsidP="007E0083">
      <w:pPr>
        <w:pStyle w:val="Heading2"/>
      </w:pPr>
      <w:r w:rsidRPr="004A600B">
        <w:t>Assessment criteria</w:t>
      </w:r>
    </w:p>
    <w:p w14:paraId="40F6F47F" w14:textId="1855421E" w:rsidR="00915C18" w:rsidRDefault="004F068E" w:rsidP="00915C18">
      <w:r>
        <w:t xml:space="preserve">All Expressions of Interest for this piece of work will be assessed against the following criteria: </w:t>
      </w:r>
    </w:p>
    <w:p w14:paraId="19D640C2" w14:textId="260DD607" w:rsidR="004F068E" w:rsidRDefault="004F068E" w:rsidP="004F068E">
      <w:pPr>
        <w:pStyle w:val="ListParagraph"/>
        <w:numPr>
          <w:ilvl w:val="0"/>
          <w:numId w:val="21"/>
        </w:numPr>
      </w:pPr>
      <w:r>
        <w:t>Evidence of organisational capacity and project management skills to deliver the project in the specified timescales</w:t>
      </w:r>
    </w:p>
    <w:p w14:paraId="7BD87F70" w14:textId="16E7BBE3" w:rsidR="004F068E" w:rsidRDefault="004F068E" w:rsidP="004F068E">
      <w:pPr>
        <w:pStyle w:val="ListParagraph"/>
        <w:numPr>
          <w:ilvl w:val="0"/>
          <w:numId w:val="21"/>
        </w:numPr>
      </w:pPr>
      <w:r>
        <w:t>Evidence of relevant technical expertise</w:t>
      </w:r>
    </w:p>
    <w:p w14:paraId="531FA883" w14:textId="43AB96B4" w:rsidR="004F068E" w:rsidRDefault="004F068E" w:rsidP="004F068E">
      <w:pPr>
        <w:pStyle w:val="ListParagraph"/>
        <w:numPr>
          <w:ilvl w:val="0"/>
          <w:numId w:val="21"/>
        </w:numPr>
      </w:pPr>
      <w:r>
        <w:t>Evidence of relevant knowledge of the teacher pay landscape, teacher supply, and issues regarding teacher recruitment, retention, and progression – especially among early career teachers</w:t>
      </w:r>
    </w:p>
    <w:p w14:paraId="28C14DC9" w14:textId="5D99BFC1" w:rsidR="004F068E" w:rsidRDefault="004F068E" w:rsidP="004F068E">
      <w:pPr>
        <w:pStyle w:val="ListParagraph"/>
        <w:numPr>
          <w:ilvl w:val="0"/>
          <w:numId w:val="21"/>
        </w:numPr>
      </w:pPr>
      <w:r>
        <w:t>Evidence of</w:t>
      </w:r>
      <w:r w:rsidR="00204E44">
        <w:t xml:space="preserve"> success in engaging with and achieving</w:t>
      </w:r>
      <w:r w:rsidR="0084403F">
        <w:t xml:space="preserve"> high response rates </w:t>
      </w:r>
      <w:r>
        <w:t>in groups of interest</w:t>
      </w:r>
      <w:r w:rsidR="00934319">
        <w:t xml:space="preserve"> in research</w:t>
      </w:r>
      <w:r>
        <w:t xml:space="preserve">, particularly potential </w:t>
      </w:r>
      <w:proofErr w:type="gramStart"/>
      <w:r>
        <w:t>teachers</w:t>
      </w:r>
      <w:proofErr w:type="gramEnd"/>
      <w:r>
        <w:t xml:space="preserve"> and trainees</w:t>
      </w:r>
      <w:r w:rsidR="00934319">
        <w:t>.</w:t>
      </w:r>
    </w:p>
    <w:p w14:paraId="750C633A" w14:textId="2CAAF9CA" w:rsidR="00B45888" w:rsidRDefault="00B45888" w:rsidP="00B45888">
      <w:pPr>
        <w:ind w:left="360"/>
      </w:pPr>
      <w:r>
        <w:t>Each of these criteria are equally weighted.</w:t>
      </w:r>
    </w:p>
    <w:p w14:paraId="363D8A7B" w14:textId="77777777" w:rsidR="00B45888" w:rsidRDefault="00B45888" w:rsidP="00B45888"/>
    <w:p w14:paraId="6919732F" w14:textId="11A39352" w:rsidR="004F068E" w:rsidRDefault="004F068E" w:rsidP="004F068E">
      <w:pPr>
        <w:ind w:left="360"/>
      </w:pPr>
      <w:r>
        <w:t>Each element will be assigned a score according to the following:</w:t>
      </w:r>
    </w:p>
    <w:p w14:paraId="6F1177B8" w14:textId="77777777" w:rsidR="004F068E" w:rsidRDefault="004F068E" w:rsidP="004F068E">
      <w:pPr>
        <w:pStyle w:val="Default"/>
        <w:numPr>
          <w:ilvl w:val="0"/>
          <w:numId w:val="22"/>
        </w:numPr>
        <w:rPr>
          <w:bCs/>
          <w:sz w:val="22"/>
          <w:szCs w:val="22"/>
        </w:rPr>
      </w:pPr>
      <w:r w:rsidRPr="00C13E31">
        <w:rPr>
          <w:bCs/>
          <w:sz w:val="22"/>
          <w:szCs w:val="22"/>
        </w:rPr>
        <w:t>No evidence/very poor</w:t>
      </w:r>
    </w:p>
    <w:p w14:paraId="0C2AC954" w14:textId="77777777" w:rsidR="004F068E" w:rsidRDefault="004F068E" w:rsidP="004F068E">
      <w:pPr>
        <w:pStyle w:val="Default"/>
        <w:numPr>
          <w:ilvl w:val="0"/>
          <w:numId w:val="22"/>
        </w:numPr>
        <w:rPr>
          <w:bCs/>
          <w:sz w:val="22"/>
          <w:szCs w:val="22"/>
        </w:rPr>
      </w:pPr>
      <w:r w:rsidRPr="00C13E31">
        <w:rPr>
          <w:bCs/>
          <w:sz w:val="22"/>
          <w:szCs w:val="22"/>
        </w:rPr>
        <w:t>Poor evidence</w:t>
      </w:r>
    </w:p>
    <w:p w14:paraId="607A5C2D" w14:textId="77777777" w:rsidR="004F068E" w:rsidRDefault="004F068E" w:rsidP="004F068E">
      <w:pPr>
        <w:pStyle w:val="Default"/>
        <w:numPr>
          <w:ilvl w:val="0"/>
          <w:numId w:val="22"/>
        </w:numPr>
        <w:rPr>
          <w:bCs/>
          <w:sz w:val="22"/>
          <w:szCs w:val="22"/>
        </w:rPr>
      </w:pPr>
      <w:r w:rsidRPr="00C13E31">
        <w:rPr>
          <w:bCs/>
          <w:sz w:val="22"/>
          <w:szCs w:val="22"/>
        </w:rPr>
        <w:t>Some evidence</w:t>
      </w:r>
    </w:p>
    <w:p w14:paraId="512F212F" w14:textId="77777777" w:rsidR="004F068E" w:rsidRDefault="004F068E" w:rsidP="004F068E">
      <w:pPr>
        <w:pStyle w:val="Default"/>
        <w:numPr>
          <w:ilvl w:val="0"/>
          <w:numId w:val="22"/>
        </w:numPr>
        <w:rPr>
          <w:bCs/>
          <w:sz w:val="22"/>
          <w:szCs w:val="22"/>
        </w:rPr>
      </w:pPr>
      <w:r w:rsidRPr="00C13E31">
        <w:rPr>
          <w:bCs/>
          <w:sz w:val="22"/>
          <w:szCs w:val="22"/>
        </w:rPr>
        <w:t>Good evidence</w:t>
      </w:r>
    </w:p>
    <w:p w14:paraId="1818E510" w14:textId="77777777" w:rsidR="004F068E" w:rsidRPr="00C13E31" w:rsidRDefault="004F068E" w:rsidP="004F068E">
      <w:pPr>
        <w:pStyle w:val="Default"/>
        <w:numPr>
          <w:ilvl w:val="0"/>
          <w:numId w:val="22"/>
        </w:numPr>
        <w:rPr>
          <w:bCs/>
          <w:sz w:val="22"/>
          <w:szCs w:val="22"/>
        </w:rPr>
      </w:pPr>
      <w:r w:rsidRPr="00C13E31">
        <w:rPr>
          <w:bCs/>
          <w:sz w:val="22"/>
          <w:szCs w:val="22"/>
        </w:rPr>
        <w:t>Excellent evidence</w:t>
      </w:r>
    </w:p>
    <w:p w14:paraId="0F3E0327" w14:textId="77777777" w:rsidR="00B45888" w:rsidRDefault="00B45888" w:rsidP="00B45888"/>
    <w:p w14:paraId="40E2E45A" w14:textId="640B2F7D" w:rsidR="00E43009" w:rsidRPr="00605B70" w:rsidRDefault="00E43009" w:rsidP="00E43009">
      <w:pPr>
        <w:autoSpaceDE w:val="0"/>
        <w:autoSpaceDN w:val="0"/>
        <w:adjustRightInd w:val="0"/>
        <w:spacing w:before="240" w:after="100" w:afterAutospacing="1"/>
        <w:jc w:val="both"/>
        <w:rPr>
          <w:rFonts w:eastAsia="Calibri" w:cs="Arial"/>
          <w:bCs/>
          <w:szCs w:val="22"/>
        </w:rPr>
      </w:pPr>
      <w:r w:rsidRPr="00605B70">
        <w:rPr>
          <w:rFonts w:eastAsia="Calibri" w:cs="Arial"/>
          <w:bCs/>
          <w:szCs w:val="22"/>
        </w:rPr>
        <w:t xml:space="preserve">Expressions of interests submitted must be no more than </w:t>
      </w:r>
      <w:r>
        <w:rPr>
          <w:rFonts w:eastAsia="Calibri" w:cs="Arial"/>
          <w:bCs/>
          <w:szCs w:val="22"/>
        </w:rPr>
        <w:t>1</w:t>
      </w:r>
      <w:r>
        <w:rPr>
          <w:rFonts w:eastAsia="Calibri" w:cs="Arial"/>
          <w:bCs/>
          <w:szCs w:val="22"/>
        </w:rPr>
        <w:t>,</w:t>
      </w:r>
      <w:r>
        <w:rPr>
          <w:rFonts w:eastAsia="Calibri" w:cs="Arial"/>
          <w:bCs/>
          <w:szCs w:val="22"/>
        </w:rPr>
        <w:t xml:space="preserve">000 </w:t>
      </w:r>
      <w:r w:rsidRPr="00605B70">
        <w:rPr>
          <w:rFonts w:eastAsia="Calibri" w:cs="Arial"/>
          <w:bCs/>
          <w:szCs w:val="22"/>
        </w:rPr>
        <w:t xml:space="preserve">words overall. Anything longer than </w:t>
      </w:r>
      <w:r>
        <w:rPr>
          <w:rFonts w:eastAsia="Calibri" w:cs="Arial"/>
          <w:bCs/>
          <w:szCs w:val="22"/>
        </w:rPr>
        <w:t>1</w:t>
      </w:r>
      <w:r>
        <w:rPr>
          <w:rFonts w:eastAsia="Calibri" w:cs="Arial"/>
          <w:bCs/>
          <w:szCs w:val="22"/>
        </w:rPr>
        <w:t>,</w:t>
      </w:r>
      <w:r>
        <w:rPr>
          <w:rFonts w:eastAsia="Calibri" w:cs="Arial"/>
          <w:bCs/>
          <w:szCs w:val="22"/>
        </w:rPr>
        <w:t>000</w:t>
      </w:r>
      <w:r w:rsidRPr="00605B70">
        <w:rPr>
          <w:rFonts w:eastAsia="Calibri" w:cs="Arial"/>
          <w:bCs/>
          <w:szCs w:val="22"/>
        </w:rPr>
        <w:t xml:space="preserve"> words will be disregarded. </w:t>
      </w:r>
    </w:p>
    <w:p w14:paraId="116DEB27" w14:textId="77777777" w:rsidR="00E43009" w:rsidRPr="00915C18" w:rsidRDefault="00E43009" w:rsidP="004F068E">
      <w:pPr>
        <w:ind w:left="360"/>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2EF30EA" w:rsidR="00915C18" w:rsidRDefault="00915C18" w:rsidP="00915C18">
            <w:pPr>
              <w:spacing w:before="160"/>
              <w:rPr>
                <w:b/>
                <w:bCs/>
                <w:sz w:val="28"/>
                <w:szCs w:val="20"/>
              </w:rPr>
            </w:pPr>
            <w:r w:rsidRPr="00915C18">
              <w:rPr>
                <w:b/>
                <w:bCs/>
                <w:sz w:val="28"/>
                <w:szCs w:val="20"/>
              </w:rPr>
              <w:t>Closing date for EOIs:</w:t>
            </w:r>
            <w:r w:rsidR="001C0FA2">
              <w:rPr>
                <w:b/>
                <w:bCs/>
                <w:sz w:val="28"/>
                <w:szCs w:val="20"/>
              </w:rPr>
              <w:t xml:space="preserve"> </w:t>
            </w:r>
            <w:r w:rsidR="00E42F77">
              <w:rPr>
                <w:b/>
                <w:bCs/>
                <w:sz w:val="28"/>
                <w:szCs w:val="20"/>
              </w:rPr>
              <w:t>5pm Friday 6</w:t>
            </w:r>
            <w:r w:rsidR="001C0FA2" w:rsidRPr="00FD0C91">
              <w:rPr>
                <w:b/>
                <w:bCs/>
                <w:sz w:val="28"/>
                <w:szCs w:val="20"/>
                <w:vertAlign w:val="superscript"/>
              </w:rPr>
              <w:t>th</w:t>
            </w:r>
            <w:r w:rsidR="001C0FA2">
              <w:rPr>
                <w:b/>
                <w:bCs/>
                <w:sz w:val="28"/>
                <w:szCs w:val="20"/>
              </w:rPr>
              <w:t xml:space="preserve"> November 2020</w:t>
            </w:r>
          </w:p>
          <w:p w14:paraId="5178F3E6" w14:textId="5E353F42" w:rsidR="00A85EBD" w:rsidRDefault="00915C18" w:rsidP="00664FD2">
            <w:pPr>
              <w:rPr>
                <w:rFonts w:ascii="Calibri" w:hAnsi="Calibri"/>
              </w:rPr>
            </w:pPr>
            <w:r w:rsidRPr="00915C18">
              <w:rPr>
                <w:b/>
                <w:bCs/>
                <w:sz w:val="28"/>
                <w:szCs w:val="20"/>
              </w:rPr>
              <w:t>Send your EOI form to:</w:t>
            </w:r>
            <w:r w:rsidR="004F068E">
              <w:rPr>
                <w:b/>
                <w:bCs/>
                <w:sz w:val="28"/>
                <w:szCs w:val="20"/>
              </w:rPr>
              <w:t xml:space="preserve"> </w:t>
            </w:r>
            <w:hyperlink r:id="rId14" w:history="1">
              <w:r w:rsidR="004F068E" w:rsidRPr="00DE26A5">
                <w:rPr>
                  <w:rStyle w:val="Hyperlink"/>
                  <w:b/>
                  <w:bCs/>
                  <w:sz w:val="28"/>
                  <w:szCs w:val="20"/>
                </w:rPr>
                <w:t>natasha.rose-williams@education.gov.uk</w:t>
              </w:r>
            </w:hyperlink>
            <w:r w:rsidR="004F068E">
              <w:rPr>
                <w:b/>
                <w:bCs/>
                <w:sz w:val="28"/>
                <w:szCs w:val="20"/>
              </w:rPr>
              <w:t xml:space="preserve"> and</w:t>
            </w:r>
            <w:r w:rsidR="00E43009">
              <w:rPr>
                <w:b/>
                <w:bCs/>
                <w:sz w:val="28"/>
                <w:szCs w:val="20"/>
              </w:rPr>
              <w:t xml:space="preserve"> if you could also please copy in</w:t>
            </w:r>
            <w:r w:rsidR="004F068E">
              <w:rPr>
                <w:b/>
                <w:bCs/>
                <w:sz w:val="28"/>
                <w:szCs w:val="20"/>
              </w:rPr>
              <w:t xml:space="preserve"> </w:t>
            </w:r>
            <w:hyperlink r:id="rId15" w:history="1">
              <w:r w:rsidR="004F068E" w:rsidRPr="00DE26A5">
                <w:rPr>
                  <w:rStyle w:val="Hyperlink"/>
                  <w:b/>
                  <w:bCs/>
                  <w:sz w:val="28"/>
                  <w:szCs w:val="20"/>
                </w:rPr>
                <w:t>jobshare.mackenzie-peachey@education.gov.uk</w:t>
              </w:r>
            </w:hyperlink>
            <w:r w:rsidR="004F068E">
              <w:rPr>
                <w:b/>
                <w:bCs/>
                <w:sz w:val="28"/>
                <w:szCs w:val="20"/>
              </w:rPr>
              <w:t xml:space="preserve"> </w:t>
            </w:r>
          </w:p>
        </w:tc>
      </w:tr>
    </w:tbl>
    <w:p w14:paraId="5CE1D345" w14:textId="77777777" w:rsidR="00FC2B3C" w:rsidRDefault="00FC2B3C" w:rsidP="00995398">
      <w:pPr>
        <w:pStyle w:val="EndBox"/>
      </w:pPr>
    </w:p>
    <w:p w14:paraId="3EA17F59" w14:textId="4424E86A"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9317BA4" w:rsidR="00915C18" w:rsidRDefault="00814CCF" w:rsidP="00814CCF">
      <w:r>
        <w:t>All contracts are let on the basis of t</w:t>
      </w:r>
      <w:r w:rsidR="00803236">
        <w:t xml:space="preserve">he Department’s Terms &amp; Conditions, </w:t>
      </w:r>
      <w:r w:rsidR="00FD3789">
        <w:t xml:space="preserve">a </w:t>
      </w:r>
      <w:r w:rsidR="00803236">
        <w:t xml:space="preserve">copy </w:t>
      </w:r>
      <w:r w:rsidR="00FD3789">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1015C4C1" w14:textId="1D8CE7F9" w:rsidR="008A7952" w:rsidRDefault="008A7952" w:rsidP="00814CCF">
      <w:r>
        <w:t xml:space="preserve">If you have any </w:t>
      </w:r>
      <w:proofErr w:type="gramStart"/>
      <w:r>
        <w:t>questions</w:t>
      </w:r>
      <w:proofErr w:type="gramEnd"/>
      <w:r w:rsidR="007C2358">
        <w:t xml:space="preserve"> please contact Natasha </w:t>
      </w:r>
      <w:proofErr w:type="spellStart"/>
      <w:r w:rsidR="007C2358">
        <w:t>Rose-Williams</w:t>
      </w:r>
      <w:proofErr w:type="spellEnd"/>
      <w:r w:rsidR="007C2358">
        <w:t xml:space="preserve"> (</w:t>
      </w:r>
      <w:r w:rsidR="006D5341">
        <w:t>natasha.rose-williams@education.gov.uk</w:t>
      </w:r>
      <w:hyperlink r:id="rId16" w:history="1"/>
      <w:r w:rsidR="007C2358">
        <w:t>) and Gail Peachey (jobshare.mackenzie-peachey@education.gov.uk)</w:t>
      </w:r>
      <w:r w:rsidR="00FD0C91">
        <w:t>.</w:t>
      </w:r>
    </w:p>
    <w:p w14:paraId="50BCB5CE" w14:textId="77777777" w:rsidR="005A0891" w:rsidRDefault="005A0891" w:rsidP="00814CCF"/>
    <w:p w14:paraId="5944612C" w14:textId="2EAEEE1B" w:rsidR="005D3B59" w:rsidRPr="00531385" w:rsidRDefault="00C2496D" w:rsidP="005D3B59">
      <w:r w:rsidRPr="00995398">
        <w:t>©</w:t>
      </w:r>
      <w:r w:rsidR="005D3B59" w:rsidRPr="005D3B59">
        <w:t xml:space="preserve"> </w:t>
      </w:r>
      <w:r w:rsidR="00EE71A2">
        <w:t xml:space="preserve">Crown copyright </w:t>
      </w:r>
      <w:r w:rsidR="004F068E">
        <w:t>2020</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C21DB" w14:textId="77777777" w:rsidR="00624CFA" w:rsidRDefault="00624CFA" w:rsidP="002B6D93">
      <w:r>
        <w:separator/>
      </w:r>
    </w:p>
    <w:p w14:paraId="4E9B72F9" w14:textId="77777777" w:rsidR="00624CFA" w:rsidRDefault="00624CFA"/>
  </w:endnote>
  <w:endnote w:type="continuationSeparator" w:id="0">
    <w:p w14:paraId="795C26EA" w14:textId="77777777" w:rsidR="00624CFA" w:rsidRDefault="00624CFA" w:rsidP="002B6D93">
      <w:r>
        <w:continuationSeparator/>
      </w:r>
    </w:p>
    <w:p w14:paraId="5F4DD505" w14:textId="77777777" w:rsidR="00624CFA" w:rsidRDefault="00624CFA"/>
  </w:endnote>
  <w:endnote w:type="continuationNotice" w:id="1">
    <w:p w14:paraId="29A84B04" w14:textId="77777777" w:rsidR="00624CFA" w:rsidRDefault="00624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5007D" w:rsidRDefault="00D5007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4156AEA0" w14:textId="77777777" w:rsidR="00D5007D" w:rsidRDefault="00D500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63A8048B" w:rsidR="00D5007D" w:rsidRPr="006E6ADB" w:rsidRDefault="00D5007D"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61EB6" w14:textId="77777777" w:rsidR="00624CFA" w:rsidRDefault="00624CFA" w:rsidP="002B6D93">
      <w:r>
        <w:separator/>
      </w:r>
    </w:p>
    <w:p w14:paraId="0394F5ED" w14:textId="77777777" w:rsidR="00624CFA" w:rsidRDefault="00624CFA"/>
  </w:footnote>
  <w:footnote w:type="continuationSeparator" w:id="0">
    <w:p w14:paraId="372A96A3" w14:textId="77777777" w:rsidR="00624CFA" w:rsidRDefault="00624CFA" w:rsidP="002B6D93">
      <w:r>
        <w:continuationSeparator/>
      </w:r>
    </w:p>
    <w:p w14:paraId="77E1B5FD" w14:textId="77777777" w:rsidR="00624CFA" w:rsidRDefault="00624CFA"/>
  </w:footnote>
  <w:footnote w:type="continuationNotice" w:id="1">
    <w:p w14:paraId="5ABC76EB" w14:textId="77777777" w:rsidR="00624CFA" w:rsidRDefault="00624C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51C87"/>
    <w:multiLevelType w:val="hybridMultilevel"/>
    <w:tmpl w:val="488C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94372"/>
    <w:multiLevelType w:val="hybridMultilevel"/>
    <w:tmpl w:val="7F16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25D28"/>
    <w:multiLevelType w:val="hybridMultilevel"/>
    <w:tmpl w:val="36B4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7"/>
  </w:num>
  <w:num w:numId="20">
    <w:abstractNumId w:val="19"/>
  </w:num>
  <w:num w:numId="21">
    <w:abstractNumId w:val="13"/>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353E"/>
    <w:rsid w:val="00057100"/>
    <w:rsid w:val="00065E86"/>
    <w:rsid w:val="00066B1C"/>
    <w:rsid w:val="00067351"/>
    <w:rsid w:val="000720CD"/>
    <w:rsid w:val="00083A73"/>
    <w:rsid w:val="00094338"/>
    <w:rsid w:val="000A10F4"/>
    <w:rsid w:val="000B3DE0"/>
    <w:rsid w:val="000D1D30"/>
    <w:rsid w:val="000D4433"/>
    <w:rsid w:val="000E3350"/>
    <w:rsid w:val="000F73F3"/>
    <w:rsid w:val="00103E77"/>
    <w:rsid w:val="0011150D"/>
    <w:rsid w:val="0011494F"/>
    <w:rsid w:val="00121C6C"/>
    <w:rsid w:val="001264D9"/>
    <w:rsid w:val="001271C4"/>
    <w:rsid w:val="001272A9"/>
    <w:rsid w:val="00133075"/>
    <w:rsid w:val="00147214"/>
    <w:rsid w:val="00147697"/>
    <w:rsid w:val="001534B2"/>
    <w:rsid w:val="001540AB"/>
    <w:rsid w:val="001612C8"/>
    <w:rsid w:val="001747E2"/>
    <w:rsid w:val="00176EB9"/>
    <w:rsid w:val="0017793A"/>
    <w:rsid w:val="00190C3A"/>
    <w:rsid w:val="00196306"/>
    <w:rsid w:val="0019718A"/>
    <w:rsid w:val="001975D1"/>
    <w:rsid w:val="001A3A04"/>
    <w:rsid w:val="001B2AE2"/>
    <w:rsid w:val="001B4452"/>
    <w:rsid w:val="001B5C15"/>
    <w:rsid w:val="001B796F"/>
    <w:rsid w:val="001C0FA2"/>
    <w:rsid w:val="001C25D8"/>
    <w:rsid w:val="001C5A63"/>
    <w:rsid w:val="001C5EB6"/>
    <w:rsid w:val="001C7B20"/>
    <w:rsid w:val="001D5770"/>
    <w:rsid w:val="001E298D"/>
    <w:rsid w:val="001F1960"/>
    <w:rsid w:val="001F1B30"/>
    <w:rsid w:val="001F2CE2"/>
    <w:rsid w:val="00203EC9"/>
    <w:rsid w:val="00204E44"/>
    <w:rsid w:val="002113CF"/>
    <w:rsid w:val="0022255C"/>
    <w:rsid w:val="0022489D"/>
    <w:rsid w:val="002262F3"/>
    <w:rsid w:val="00230559"/>
    <w:rsid w:val="0023284B"/>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3575"/>
    <w:rsid w:val="002F7128"/>
    <w:rsid w:val="00300F99"/>
    <w:rsid w:val="00326957"/>
    <w:rsid w:val="00341FB0"/>
    <w:rsid w:val="00342F8B"/>
    <w:rsid w:val="003455BD"/>
    <w:rsid w:val="00361752"/>
    <w:rsid w:val="00371DAA"/>
    <w:rsid w:val="00373342"/>
    <w:rsid w:val="00374981"/>
    <w:rsid w:val="003810D8"/>
    <w:rsid w:val="003853A4"/>
    <w:rsid w:val="0039725F"/>
    <w:rsid w:val="003A1CC2"/>
    <w:rsid w:val="003B060E"/>
    <w:rsid w:val="003C60B5"/>
    <w:rsid w:val="003D1EFE"/>
    <w:rsid w:val="003E1329"/>
    <w:rsid w:val="003E3ED2"/>
    <w:rsid w:val="00400E1D"/>
    <w:rsid w:val="00403D1C"/>
    <w:rsid w:val="004216FF"/>
    <w:rsid w:val="004242C5"/>
    <w:rsid w:val="004339FB"/>
    <w:rsid w:val="004509BE"/>
    <w:rsid w:val="004558D0"/>
    <w:rsid w:val="00456560"/>
    <w:rsid w:val="00470223"/>
    <w:rsid w:val="0047442D"/>
    <w:rsid w:val="0048013A"/>
    <w:rsid w:val="004866AD"/>
    <w:rsid w:val="004A3626"/>
    <w:rsid w:val="004A3E98"/>
    <w:rsid w:val="004A600B"/>
    <w:rsid w:val="004B08AC"/>
    <w:rsid w:val="004C47B1"/>
    <w:rsid w:val="004C5600"/>
    <w:rsid w:val="004D13A3"/>
    <w:rsid w:val="004D73C6"/>
    <w:rsid w:val="004E2BD6"/>
    <w:rsid w:val="004E5405"/>
    <w:rsid w:val="004E6CD9"/>
    <w:rsid w:val="004F068E"/>
    <w:rsid w:val="004F20E3"/>
    <w:rsid w:val="004F211A"/>
    <w:rsid w:val="004F3159"/>
    <w:rsid w:val="004F4AEF"/>
    <w:rsid w:val="004F7820"/>
    <w:rsid w:val="005247AD"/>
    <w:rsid w:val="005360B7"/>
    <w:rsid w:val="00536E0B"/>
    <w:rsid w:val="005535E5"/>
    <w:rsid w:val="00556A89"/>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C6F3F"/>
    <w:rsid w:val="005D3B59"/>
    <w:rsid w:val="005E3024"/>
    <w:rsid w:val="005F107C"/>
    <w:rsid w:val="0060702F"/>
    <w:rsid w:val="006108B3"/>
    <w:rsid w:val="00622501"/>
    <w:rsid w:val="006237FB"/>
    <w:rsid w:val="0062451E"/>
    <w:rsid w:val="00624CFA"/>
    <w:rsid w:val="00624D00"/>
    <w:rsid w:val="00635D57"/>
    <w:rsid w:val="00640032"/>
    <w:rsid w:val="006418B2"/>
    <w:rsid w:val="00642404"/>
    <w:rsid w:val="00647EFA"/>
    <w:rsid w:val="00652973"/>
    <w:rsid w:val="00653AA1"/>
    <w:rsid w:val="006558CA"/>
    <w:rsid w:val="00657E79"/>
    <w:rsid w:val="006606F5"/>
    <w:rsid w:val="00661FFF"/>
    <w:rsid w:val="00664FD2"/>
    <w:rsid w:val="00670ADC"/>
    <w:rsid w:val="0067185E"/>
    <w:rsid w:val="00671D5B"/>
    <w:rsid w:val="00672DD3"/>
    <w:rsid w:val="006775FA"/>
    <w:rsid w:val="00682B8E"/>
    <w:rsid w:val="00684973"/>
    <w:rsid w:val="0068544D"/>
    <w:rsid w:val="00695D08"/>
    <w:rsid w:val="006A27AA"/>
    <w:rsid w:val="006A3602"/>
    <w:rsid w:val="006B1F9F"/>
    <w:rsid w:val="006C382D"/>
    <w:rsid w:val="006D1162"/>
    <w:rsid w:val="006D5341"/>
    <w:rsid w:val="006E6ADB"/>
    <w:rsid w:val="006E7F39"/>
    <w:rsid w:val="006F08A8"/>
    <w:rsid w:val="006F1F96"/>
    <w:rsid w:val="00700B01"/>
    <w:rsid w:val="00702EBF"/>
    <w:rsid w:val="0070468A"/>
    <w:rsid w:val="00710620"/>
    <w:rsid w:val="00712EE2"/>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A5C5B"/>
    <w:rsid w:val="007B3CFE"/>
    <w:rsid w:val="007C19E4"/>
    <w:rsid w:val="007C2358"/>
    <w:rsid w:val="007C41A5"/>
    <w:rsid w:val="007C58BE"/>
    <w:rsid w:val="007D080B"/>
    <w:rsid w:val="007E0083"/>
    <w:rsid w:val="00803236"/>
    <w:rsid w:val="00814CCF"/>
    <w:rsid w:val="00816E77"/>
    <w:rsid w:val="008172A4"/>
    <w:rsid w:val="00831263"/>
    <w:rsid w:val="00831DB7"/>
    <w:rsid w:val="00832EBF"/>
    <w:rsid w:val="00835A0E"/>
    <w:rsid w:val="00835AE6"/>
    <w:rsid w:val="008366CB"/>
    <w:rsid w:val="00837F3A"/>
    <w:rsid w:val="008420D7"/>
    <w:rsid w:val="0084403F"/>
    <w:rsid w:val="00845FC5"/>
    <w:rsid w:val="008615E9"/>
    <w:rsid w:val="008620F3"/>
    <w:rsid w:val="00863986"/>
    <w:rsid w:val="00866257"/>
    <w:rsid w:val="00873E0B"/>
    <w:rsid w:val="00874F24"/>
    <w:rsid w:val="00876230"/>
    <w:rsid w:val="00877D5B"/>
    <w:rsid w:val="00880441"/>
    <w:rsid w:val="00880B83"/>
    <w:rsid w:val="00882011"/>
    <w:rsid w:val="00886B1E"/>
    <w:rsid w:val="008A460D"/>
    <w:rsid w:val="008A4CD5"/>
    <w:rsid w:val="008A588F"/>
    <w:rsid w:val="008A5E36"/>
    <w:rsid w:val="008A644A"/>
    <w:rsid w:val="008A7952"/>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1C50"/>
    <w:rsid w:val="00915C18"/>
    <w:rsid w:val="00917E9C"/>
    <w:rsid w:val="00926A3C"/>
    <w:rsid w:val="00927200"/>
    <w:rsid w:val="0093027C"/>
    <w:rsid w:val="00932ED3"/>
    <w:rsid w:val="00934319"/>
    <w:rsid w:val="0094189B"/>
    <w:rsid w:val="0094599F"/>
    <w:rsid w:val="00951C56"/>
    <w:rsid w:val="0095599F"/>
    <w:rsid w:val="0096424B"/>
    <w:rsid w:val="009701C8"/>
    <w:rsid w:val="00972EFD"/>
    <w:rsid w:val="00986616"/>
    <w:rsid w:val="00995398"/>
    <w:rsid w:val="0099696D"/>
    <w:rsid w:val="009B32FA"/>
    <w:rsid w:val="009C2C02"/>
    <w:rsid w:val="009C73CF"/>
    <w:rsid w:val="009E00AE"/>
    <w:rsid w:val="009E09D3"/>
    <w:rsid w:val="009E6E74"/>
    <w:rsid w:val="009E7EE1"/>
    <w:rsid w:val="009E7F32"/>
    <w:rsid w:val="00A0541C"/>
    <w:rsid w:val="00A248DB"/>
    <w:rsid w:val="00A30BA1"/>
    <w:rsid w:val="00A37DEE"/>
    <w:rsid w:val="00A433C3"/>
    <w:rsid w:val="00A45015"/>
    <w:rsid w:val="00A54BB7"/>
    <w:rsid w:val="00A55DE7"/>
    <w:rsid w:val="00A5643A"/>
    <w:rsid w:val="00A57128"/>
    <w:rsid w:val="00A5723C"/>
    <w:rsid w:val="00A707A4"/>
    <w:rsid w:val="00A7274B"/>
    <w:rsid w:val="00A72ED2"/>
    <w:rsid w:val="00A73FB8"/>
    <w:rsid w:val="00A75086"/>
    <w:rsid w:val="00A763CB"/>
    <w:rsid w:val="00A801D1"/>
    <w:rsid w:val="00A81F69"/>
    <w:rsid w:val="00A82C7B"/>
    <w:rsid w:val="00A85EBD"/>
    <w:rsid w:val="00A87CDA"/>
    <w:rsid w:val="00AA0115"/>
    <w:rsid w:val="00AA3484"/>
    <w:rsid w:val="00AA6A37"/>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45888"/>
    <w:rsid w:val="00B53333"/>
    <w:rsid w:val="00B55A49"/>
    <w:rsid w:val="00B6373A"/>
    <w:rsid w:val="00B64265"/>
    <w:rsid w:val="00B67F76"/>
    <w:rsid w:val="00B70EFF"/>
    <w:rsid w:val="00B7558C"/>
    <w:rsid w:val="00B818C3"/>
    <w:rsid w:val="00B840A5"/>
    <w:rsid w:val="00B9194F"/>
    <w:rsid w:val="00BA003B"/>
    <w:rsid w:val="00BB05E2"/>
    <w:rsid w:val="00BD1111"/>
    <w:rsid w:val="00BD26B6"/>
    <w:rsid w:val="00BD36DB"/>
    <w:rsid w:val="00BE01C6"/>
    <w:rsid w:val="00BE4DAC"/>
    <w:rsid w:val="00BE77FC"/>
    <w:rsid w:val="00BF0FF6"/>
    <w:rsid w:val="00BF13F8"/>
    <w:rsid w:val="00C01CFF"/>
    <w:rsid w:val="00C026F2"/>
    <w:rsid w:val="00C02D89"/>
    <w:rsid w:val="00C15B78"/>
    <w:rsid w:val="00C2207B"/>
    <w:rsid w:val="00C22BA0"/>
    <w:rsid w:val="00C237E4"/>
    <w:rsid w:val="00C2496D"/>
    <w:rsid w:val="00C278D7"/>
    <w:rsid w:val="00C44205"/>
    <w:rsid w:val="00C46129"/>
    <w:rsid w:val="00C4624B"/>
    <w:rsid w:val="00C529E8"/>
    <w:rsid w:val="00C5454B"/>
    <w:rsid w:val="00C6013F"/>
    <w:rsid w:val="00C71238"/>
    <w:rsid w:val="00C71561"/>
    <w:rsid w:val="00C76325"/>
    <w:rsid w:val="00C8124F"/>
    <w:rsid w:val="00C81513"/>
    <w:rsid w:val="00C83F2C"/>
    <w:rsid w:val="00C84637"/>
    <w:rsid w:val="00C92AD3"/>
    <w:rsid w:val="00CA1009"/>
    <w:rsid w:val="00CA1F32"/>
    <w:rsid w:val="00CA2F32"/>
    <w:rsid w:val="00CA30B4"/>
    <w:rsid w:val="00CA610B"/>
    <w:rsid w:val="00CA72FC"/>
    <w:rsid w:val="00CB56F5"/>
    <w:rsid w:val="00CB6E04"/>
    <w:rsid w:val="00CC2512"/>
    <w:rsid w:val="00CC547F"/>
    <w:rsid w:val="00CD5D21"/>
    <w:rsid w:val="00CE2652"/>
    <w:rsid w:val="00CE7906"/>
    <w:rsid w:val="00CF0E19"/>
    <w:rsid w:val="00D03E45"/>
    <w:rsid w:val="00D05A5A"/>
    <w:rsid w:val="00D061A2"/>
    <w:rsid w:val="00D11353"/>
    <w:rsid w:val="00D27D9B"/>
    <w:rsid w:val="00D376DB"/>
    <w:rsid w:val="00D408A5"/>
    <w:rsid w:val="00D40DE9"/>
    <w:rsid w:val="00D41212"/>
    <w:rsid w:val="00D42A51"/>
    <w:rsid w:val="00D42B45"/>
    <w:rsid w:val="00D463B0"/>
    <w:rsid w:val="00D5007D"/>
    <w:rsid w:val="00D50516"/>
    <w:rsid w:val="00D57899"/>
    <w:rsid w:val="00D57EE0"/>
    <w:rsid w:val="00D660A1"/>
    <w:rsid w:val="00D75416"/>
    <w:rsid w:val="00D92274"/>
    <w:rsid w:val="00D94339"/>
    <w:rsid w:val="00D9707F"/>
    <w:rsid w:val="00D97DD2"/>
    <w:rsid w:val="00DA00A3"/>
    <w:rsid w:val="00DA0AD5"/>
    <w:rsid w:val="00DA1B01"/>
    <w:rsid w:val="00DA1F8E"/>
    <w:rsid w:val="00DA57A4"/>
    <w:rsid w:val="00DA7250"/>
    <w:rsid w:val="00DB0D07"/>
    <w:rsid w:val="00DB56EB"/>
    <w:rsid w:val="00DC39E8"/>
    <w:rsid w:val="00DC4922"/>
    <w:rsid w:val="00DD3A4E"/>
    <w:rsid w:val="00DD51B7"/>
    <w:rsid w:val="00DD788A"/>
    <w:rsid w:val="00DE2205"/>
    <w:rsid w:val="00DE6998"/>
    <w:rsid w:val="00DF0054"/>
    <w:rsid w:val="00DF3309"/>
    <w:rsid w:val="00DF5124"/>
    <w:rsid w:val="00DF7F39"/>
    <w:rsid w:val="00E1484A"/>
    <w:rsid w:val="00E1702C"/>
    <w:rsid w:val="00E20B43"/>
    <w:rsid w:val="00E22EE8"/>
    <w:rsid w:val="00E23ABB"/>
    <w:rsid w:val="00E23E99"/>
    <w:rsid w:val="00E3093A"/>
    <w:rsid w:val="00E33078"/>
    <w:rsid w:val="00E335AB"/>
    <w:rsid w:val="00E33AB6"/>
    <w:rsid w:val="00E4012C"/>
    <w:rsid w:val="00E42A8F"/>
    <w:rsid w:val="00E42F77"/>
    <w:rsid w:val="00E43009"/>
    <w:rsid w:val="00E5223F"/>
    <w:rsid w:val="00E534F0"/>
    <w:rsid w:val="00E66B4F"/>
    <w:rsid w:val="00E741D5"/>
    <w:rsid w:val="00E74474"/>
    <w:rsid w:val="00E87A6A"/>
    <w:rsid w:val="00E9232A"/>
    <w:rsid w:val="00EA4D1B"/>
    <w:rsid w:val="00EB1D11"/>
    <w:rsid w:val="00EB22E8"/>
    <w:rsid w:val="00EC3DC1"/>
    <w:rsid w:val="00ED2F1C"/>
    <w:rsid w:val="00ED3D05"/>
    <w:rsid w:val="00EE64AE"/>
    <w:rsid w:val="00EE71A2"/>
    <w:rsid w:val="00F06445"/>
    <w:rsid w:val="00F07114"/>
    <w:rsid w:val="00F206A7"/>
    <w:rsid w:val="00F217B9"/>
    <w:rsid w:val="00F3105E"/>
    <w:rsid w:val="00F41591"/>
    <w:rsid w:val="00F41A63"/>
    <w:rsid w:val="00F45BEB"/>
    <w:rsid w:val="00F54523"/>
    <w:rsid w:val="00F54B50"/>
    <w:rsid w:val="00F84544"/>
    <w:rsid w:val="00F85AA7"/>
    <w:rsid w:val="00F954FA"/>
    <w:rsid w:val="00F95B1F"/>
    <w:rsid w:val="00FA05B2"/>
    <w:rsid w:val="00FA3B5C"/>
    <w:rsid w:val="00FA68A7"/>
    <w:rsid w:val="00FC0C51"/>
    <w:rsid w:val="00FC2B3C"/>
    <w:rsid w:val="00FD0C91"/>
    <w:rsid w:val="00FD1CD8"/>
    <w:rsid w:val="00FD3789"/>
    <w:rsid w:val="00FE1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4E880C7D-5369-4D76-B610-67713CDF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qFormat/>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A55DE7"/>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FootnoteTextChar">
    <w:name w:val="Footnote Text Char"/>
    <w:basedOn w:val="DefaultParagraphFont"/>
    <w:link w:val="FootnoteText"/>
    <w:semiHidden/>
    <w:rsid w:val="00A55DE7"/>
    <w:rPr>
      <w:lang w:eastAsia="en-US"/>
    </w:rPr>
  </w:style>
  <w:style w:type="character" w:styleId="FootnoteReference">
    <w:name w:val="footnote reference"/>
    <w:basedOn w:val="DefaultParagraphFont"/>
    <w:semiHidden/>
    <w:unhideWhenUsed/>
    <w:rsid w:val="00A55DE7"/>
    <w:rPr>
      <w:vertAlign w:val="superscript"/>
    </w:rPr>
  </w:style>
  <w:style w:type="character" w:styleId="UnresolvedMention">
    <w:name w:val="Unresolved Mention"/>
    <w:basedOn w:val="DefaultParagraphFont"/>
    <w:uiPriority w:val="99"/>
    <w:semiHidden/>
    <w:unhideWhenUsed/>
    <w:rsid w:val="004F0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chool-teachers-review-body-30th-report-2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bshare.mackenzie-peachey@education.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asha.rose-william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A776C76BFF748A99C3D77C9B4E21D" ma:contentTypeVersion="13" ma:contentTypeDescription="Create a new document." ma:contentTypeScope="" ma:versionID="2b766ab5cfae5ca231950668623d2127">
  <xsd:schema xmlns:xsd="http://www.w3.org/2001/XMLSchema" xmlns:xs="http://www.w3.org/2001/XMLSchema" xmlns:p="http://schemas.microsoft.com/office/2006/metadata/properties" xmlns:ns3="c49f60dc-3720-4efa-be5c-01aea44dc7f3" xmlns:ns4="7ee53070-3822-4089-859f-61da60d9a49e" targetNamespace="http://schemas.microsoft.com/office/2006/metadata/properties" ma:root="true" ma:fieldsID="f923d1cdc9b46ae7629f38915fa75cea" ns3:_="" ns4:_="">
    <xsd:import namespace="c49f60dc-3720-4efa-be5c-01aea44dc7f3"/>
    <xsd:import namespace="7ee53070-3822-4089-859f-61da60d9a4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f60dc-3720-4efa-be5c-01aea44dc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53070-3822-4089-859f-61da60d9a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9D11720C-B9B1-4154-9D7B-89D6D879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f60dc-3720-4efa-be5c-01aea44dc7f3"/>
    <ds:schemaRef ds:uri="7ee53070-3822-4089-859f-61da60d9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B05173E1-DDFC-4AD1-817A-2CBA5B23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7513</CharactersWithSpaces>
  <SharedDoc>false</SharedDoc>
  <HLinks>
    <vt:vector size="12" baseType="variant">
      <vt:variant>
        <vt:i4>4522036</vt:i4>
      </vt:variant>
      <vt:variant>
        <vt:i4>3</vt:i4>
      </vt:variant>
      <vt:variant>
        <vt:i4>0</vt:i4>
      </vt:variant>
      <vt:variant>
        <vt:i4>5</vt:i4>
      </vt:variant>
      <vt:variant>
        <vt:lpwstr>mailto:jobshare.mackenzie-peachey@education.gov.uk</vt:lpwstr>
      </vt:variant>
      <vt:variant>
        <vt:lpwstr/>
      </vt:variant>
      <vt:variant>
        <vt:i4>4390954</vt:i4>
      </vt:variant>
      <vt:variant>
        <vt:i4>0</vt:i4>
      </vt:variant>
      <vt:variant>
        <vt:i4>0</vt:i4>
      </vt:variant>
      <vt:variant>
        <vt:i4>5</vt:i4>
      </vt:variant>
      <vt:variant>
        <vt:lpwstr>mailto:natasha.rose-williams@education.gov.uk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2</cp:revision>
  <cp:lastPrinted>2013-07-11T10:35:00Z</cp:lastPrinted>
  <dcterms:created xsi:type="dcterms:W3CDTF">2020-10-23T14:15:00Z</dcterms:created>
  <dcterms:modified xsi:type="dcterms:W3CDTF">2020-10-23T14:15:00Z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0x010100A14A776C76BFF748A99C3D77C9B4E21D</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