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1857" w14:textId="0F135F1C" w:rsidR="009A546B" w:rsidRPr="005960C8" w:rsidRDefault="009C5E31" w:rsidP="005960C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61621638" w14:textId="77777777" w:rsidR="009A546B" w:rsidRDefault="009A546B" w:rsidP="004514DF">
      <w:pPr>
        <w:tabs>
          <w:tab w:val="left" w:pos="1985"/>
          <w:tab w:val="left" w:pos="3544"/>
        </w:tabs>
        <w:rPr>
          <w:rFonts w:ascii="Arial" w:hAnsi="Arial" w:cs="Arial"/>
          <w:b/>
          <w:bCs/>
        </w:rPr>
      </w:pPr>
    </w:p>
    <w:p w14:paraId="633A9A02" w14:textId="4CF2B4E8" w:rsidR="009A546B" w:rsidRDefault="009A546B" w:rsidP="009A546B">
      <w:pPr>
        <w:pStyle w:val="NormalWeb"/>
        <w:spacing w:before="0" w:beforeAutospacing="0" w:after="0" w:afterAutospacing="0"/>
        <w:rPr>
          <w:rFonts w:ascii="Arial" w:hAnsi="Arial" w:cs="Arial"/>
        </w:rPr>
      </w:pPr>
      <w:r>
        <w:rPr>
          <w:rFonts w:ascii="Arial" w:hAnsi="Arial" w:cs="Arial"/>
          <w:b/>
          <w:bCs/>
        </w:rPr>
        <w:t>NHS National Framework for Tocilizumab - March 2024</w:t>
      </w:r>
    </w:p>
    <w:p w14:paraId="5A333782" w14:textId="77777777" w:rsidR="009A546B" w:rsidRPr="009A546B" w:rsidRDefault="009A546B" w:rsidP="009A546B">
      <w:pPr>
        <w:pStyle w:val="NormalWeb"/>
        <w:spacing w:before="0" w:beforeAutospacing="0" w:after="0" w:afterAutospacing="0"/>
        <w:rPr>
          <w:rFonts w:ascii="Arial" w:hAnsi="Arial" w:cs="Arial"/>
        </w:rPr>
      </w:pPr>
      <w:r w:rsidRPr="009A546B">
        <w:rPr>
          <w:rFonts w:ascii="Arial" w:hAnsi="Arial" w:cs="Arial"/>
          <w:b/>
          <w:bCs/>
        </w:rPr>
        <w:t> </w:t>
      </w:r>
    </w:p>
    <w:p w14:paraId="79E56EEF" w14:textId="77777777" w:rsidR="009A546B" w:rsidRDefault="009A546B" w:rsidP="009A546B">
      <w:pPr>
        <w:pStyle w:val="NormalWeb"/>
        <w:spacing w:before="0" w:beforeAutospacing="0" w:after="0" w:afterAutospacing="0"/>
        <w:rPr>
          <w:rFonts w:ascii="Arial" w:hAnsi="Arial" w:cs="Arial"/>
        </w:rPr>
      </w:pPr>
      <w:r w:rsidRPr="009A546B">
        <w:rPr>
          <w:rFonts w:ascii="Arial" w:hAnsi="Arial" w:cs="Arial"/>
          <w:b/>
          <w:bCs/>
        </w:rPr>
        <w:t>Offer</w:t>
      </w:r>
      <w:r>
        <w:rPr>
          <w:rFonts w:ascii="Arial" w:hAnsi="Arial" w:cs="Arial"/>
          <w:b/>
          <w:bCs/>
        </w:rPr>
        <w:t xml:space="preserve"> reference number: CM/PHR/23/5702</w:t>
      </w:r>
    </w:p>
    <w:p w14:paraId="71DDB890" w14:textId="77777777" w:rsidR="009A546B" w:rsidRDefault="009A546B" w:rsidP="009A546B">
      <w:pPr>
        <w:pStyle w:val="NormalWeb"/>
        <w:spacing w:before="0" w:beforeAutospacing="0" w:after="0" w:afterAutospacing="0"/>
        <w:rPr>
          <w:rFonts w:ascii="Arial" w:hAnsi="Arial" w:cs="Arial"/>
        </w:rPr>
      </w:pPr>
      <w:r>
        <w:rPr>
          <w:rFonts w:ascii="Arial" w:hAnsi="Arial" w:cs="Arial"/>
          <w:b/>
          <w:bCs/>
        </w:rPr>
        <w:t> </w:t>
      </w:r>
    </w:p>
    <w:p w14:paraId="61FE6253" w14:textId="77777777" w:rsidR="009A546B" w:rsidRDefault="009A546B" w:rsidP="009A546B">
      <w:pPr>
        <w:pStyle w:val="NormalWeb"/>
        <w:spacing w:before="0" w:beforeAutospacing="0" w:after="0" w:afterAutospacing="0"/>
        <w:rPr>
          <w:rFonts w:ascii="Arial" w:hAnsi="Arial" w:cs="Arial"/>
        </w:rPr>
      </w:pPr>
      <w:r>
        <w:rPr>
          <w:rFonts w:ascii="Arial" w:hAnsi="Arial" w:cs="Arial"/>
          <w:b/>
          <w:bCs/>
        </w:rPr>
        <w:t>CM/PHR/23/5702/01 NHS Framework for Tocilizumab LONDON and SOUTH OF ENGLAND. Period of framework: 1 March 2024 to 28 February 2025 with an option or options to extend (at the Authority’s discretion) for a period or periods up to a total of 24 months.   </w:t>
      </w:r>
    </w:p>
    <w:p w14:paraId="770EE749" w14:textId="77777777" w:rsidR="009A546B" w:rsidRDefault="009A546B" w:rsidP="009A546B">
      <w:pPr>
        <w:pStyle w:val="NormalWeb"/>
        <w:spacing w:before="0" w:beforeAutospacing="0" w:after="0" w:afterAutospacing="0"/>
        <w:rPr>
          <w:rFonts w:ascii="Arial" w:hAnsi="Arial" w:cs="Arial"/>
        </w:rPr>
      </w:pPr>
      <w:r>
        <w:rPr>
          <w:rFonts w:ascii="Arial" w:hAnsi="Arial" w:cs="Arial"/>
          <w:b/>
          <w:bCs/>
        </w:rPr>
        <w:t> </w:t>
      </w:r>
    </w:p>
    <w:p w14:paraId="537448A4" w14:textId="40015B2B" w:rsidR="009A546B" w:rsidRPr="005960C8" w:rsidRDefault="009A546B" w:rsidP="009A546B">
      <w:pPr>
        <w:pStyle w:val="NormalWeb"/>
        <w:spacing w:before="0" w:beforeAutospacing="0" w:after="0" w:afterAutospacing="0"/>
        <w:rPr>
          <w:rFonts w:ascii="Arial" w:hAnsi="Arial" w:cs="Arial"/>
        </w:rPr>
      </w:pPr>
      <w:r>
        <w:rPr>
          <w:rFonts w:ascii="Arial" w:hAnsi="Arial" w:cs="Arial"/>
          <w:b/>
          <w:bCs/>
        </w:rPr>
        <w:t>CM/PHR/23/5702/02 NHS Framework for Tocilizumab NORTH OF ENGLAND and MIDLANDS AND EAST. Period of framework: 1 March 2024 to 28 February 2025 with an option or options to extend (at the Authority’s discretion) for a period or periods up to a total of 24 months. </w:t>
      </w:r>
    </w:p>
    <w:p w14:paraId="1B73D8E0" w14:textId="7BD4172C" w:rsidR="009A546B" w:rsidRPr="009A546B" w:rsidRDefault="009A546B" w:rsidP="009A546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C271E34" w14:textId="0D33E8BA" w:rsidR="007D4401" w:rsidRDefault="004514DF" w:rsidP="004514DF">
      <w:pPr>
        <w:tabs>
          <w:tab w:val="left" w:pos="1985"/>
          <w:tab w:val="left" w:pos="3544"/>
        </w:tabs>
        <w:rPr>
          <w:rFonts w:ascii="Arial" w:hAnsi="Arial" w:cs="Arial"/>
          <w:b/>
        </w:rPr>
      </w:pPr>
      <w:r w:rsidRPr="004514DF">
        <w:rPr>
          <w:rFonts w:ascii="Arial" w:hAnsi="Arial" w:cs="Arial"/>
          <w:b/>
          <w:bCs/>
        </w:rPr>
        <w:tab/>
      </w:r>
      <w:r w:rsidRPr="004514DF">
        <w:rPr>
          <w:rFonts w:ascii="Arial" w:hAnsi="Arial" w:cs="Arial"/>
          <w:b/>
          <w:bCs/>
        </w:rPr>
        <w:tab/>
      </w:r>
      <w:r w:rsidRPr="004514DF">
        <w:rPr>
          <w:rFonts w:ascii="Arial" w:hAnsi="Arial" w:cs="Arial"/>
          <w:b/>
          <w:bCs/>
        </w:rPr>
        <w:tab/>
      </w:r>
      <w:r w:rsidRPr="004514DF">
        <w:rPr>
          <w:rFonts w:ascii="Arial" w:hAnsi="Arial" w:cs="Arial"/>
          <w:b/>
          <w:bCs/>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 xml:space="preserve">The Participating Authorities are the organisations specified in </w:t>
      </w:r>
      <w:r w:rsidR="00F15049" w:rsidRPr="00C1420E">
        <w:rPr>
          <w:rFonts w:ascii="Arial" w:hAnsi="Arial" w:cs="Arial"/>
          <w:color w:val="000000"/>
          <w:lang w:eastAsia="en-US"/>
        </w:rPr>
        <w:t>Schedule 8</w:t>
      </w:r>
      <w:r w:rsidR="005A2E5C" w:rsidRPr="00C1420E">
        <w:rPr>
          <w:rFonts w:ascii="Arial" w:hAnsi="Arial" w:cs="Arial"/>
          <w:color w:val="000000"/>
          <w:lang w:eastAsia="en-US"/>
        </w:rPr>
        <w:t xml:space="preserve"> (</w:t>
      </w:r>
      <w:r w:rsidR="005A2E5C" w:rsidRPr="00C1420E">
        <w:rPr>
          <w:rFonts w:ascii="Arial" w:hAnsi="Arial" w:cs="Arial"/>
          <w:i/>
          <w:color w:val="000000"/>
          <w:lang w:eastAsia="en-US"/>
        </w:rPr>
        <w:t>Participating Authorities</w:t>
      </w:r>
      <w:r w:rsidR="005A2E5C" w:rsidRPr="00C1420E">
        <w:rPr>
          <w:rFonts w:ascii="Arial" w:hAnsi="Arial" w:cs="Arial"/>
          <w:color w:val="000000"/>
          <w:lang w:eastAsia="en-US"/>
        </w:rPr>
        <w:t xml:space="preserve">) </w:t>
      </w:r>
      <w:r w:rsidR="00F15049" w:rsidRPr="00C1420E">
        <w:rPr>
          <w:rFonts w:ascii="Arial" w:hAnsi="Arial" w:cs="Arial"/>
          <w:color w:val="000000"/>
          <w:lang w:eastAsia="en-US"/>
        </w:rPr>
        <w:t>of</w:t>
      </w:r>
      <w:r w:rsidR="00F15049" w:rsidRPr="006F3400">
        <w:rPr>
          <w:rFonts w:ascii="Arial" w:hAnsi="Arial" w:cs="Arial"/>
          <w:color w:val="000000"/>
          <w:lang w:eastAsia="en-US"/>
        </w:rPr>
        <w:t xml:space="preserve">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w:t>
      </w:r>
      <w:r w:rsidRPr="006F3400">
        <w:rPr>
          <w:sz w:val="24"/>
          <w:szCs w:val="24"/>
        </w:rPr>
        <w:lastRenderedPageBreak/>
        <w:t xml:space="preserve">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t>
      </w:r>
      <w:r w:rsidR="00F15049" w:rsidRPr="006F3400">
        <w:rPr>
          <w:rFonts w:ascii="Arial" w:hAnsi="Arial" w:cs="Arial"/>
          <w:lang w:eastAsia="en-US"/>
        </w:rPr>
        <w:lastRenderedPageBreak/>
        <w:t>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9CD1324"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decide </w:t>
      </w:r>
      <w:r w:rsidR="00825EA3">
        <w:rPr>
          <w:rFonts w:ascii="Arial" w:hAnsi="Arial" w:cs="Arial"/>
          <w:lang w:eastAsia="en-US"/>
        </w:rPr>
        <w:t xml:space="preserve">that </w:t>
      </w:r>
      <w:r w:rsidRPr="00C10759">
        <w:rPr>
          <w:rFonts w:ascii="Arial" w:hAnsi="Arial" w:cs="Arial"/>
          <w:lang w:eastAsia="en-US"/>
        </w:rPr>
        <w:t>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05594868" w:rsidR="000331ED" w:rsidRPr="00D810E5"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other pack sizes available, not included on the offer schedule </w:t>
      </w:r>
      <w:r w:rsidRPr="00D810E5">
        <w:rPr>
          <w:rFonts w:ascii="Arial" w:hAnsi="Arial" w:cs="Arial"/>
        </w:rPr>
        <w:t>(Doc.5</w:t>
      </w:r>
      <w:r w:rsidR="0074251B" w:rsidRPr="00D810E5">
        <w:rPr>
          <w:rFonts w:ascii="Arial" w:hAnsi="Arial" w:cs="Arial"/>
        </w:rPr>
        <w:t>a i,  ii</w:t>
      </w:r>
      <w:r w:rsidR="00D810E5" w:rsidRPr="00D810E5">
        <w:rPr>
          <w:rFonts w:ascii="Arial" w:hAnsi="Arial" w:cs="Arial"/>
        </w:rPr>
        <w:t xml:space="preserve">) </w:t>
      </w:r>
      <w:r w:rsidRPr="00D810E5">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2FE1A882"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Selectt bid file, with the title </w:t>
      </w:r>
      <w:r w:rsidRPr="009A546B">
        <w:rPr>
          <w:rFonts w:ascii="Arial" w:hAnsi="Arial" w:cs="Arial"/>
          <w:b/>
          <w:bCs/>
          <w:lang w:eastAsia="en-US"/>
        </w:rPr>
        <w:t>CM_PHR_</w:t>
      </w:r>
      <w:r w:rsidR="009A546B" w:rsidRPr="009A546B">
        <w:rPr>
          <w:rFonts w:ascii="Arial" w:hAnsi="Arial" w:cs="Arial"/>
          <w:b/>
          <w:bCs/>
          <w:lang w:eastAsia="en-US"/>
        </w:rPr>
        <w:t>23</w:t>
      </w:r>
      <w:r w:rsidR="002A3AA4" w:rsidRPr="009A546B">
        <w:rPr>
          <w:rFonts w:ascii="Arial" w:hAnsi="Arial" w:cs="Arial"/>
          <w:b/>
          <w:bCs/>
          <w:lang w:eastAsia="en-US"/>
        </w:rPr>
        <w:t>_</w:t>
      </w:r>
      <w:r w:rsidR="009A546B" w:rsidRPr="009A546B">
        <w:rPr>
          <w:rFonts w:ascii="Arial" w:hAnsi="Arial" w:cs="Arial"/>
          <w:b/>
          <w:bCs/>
          <w:lang w:eastAsia="en-US"/>
        </w:rPr>
        <w:t>5702</w:t>
      </w:r>
      <w:r w:rsidR="002A3AA4" w:rsidRPr="009A546B">
        <w:rPr>
          <w:rFonts w:ascii="Arial" w:hAnsi="Arial" w:cs="Arial"/>
          <w:b/>
          <w:bCs/>
          <w:lang w:eastAsia="en-US"/>
        </w:rPr>
        <w:t>_XXX</w:t>
      </w:r>
      <w:r w:rsidRPr="009A546B">
        <w:rPr>
          <w:rFonts w:ascii="Arial" w:hAnsi="Arial" w:cs="Arial"/>
          <w:b/>
          <w:bCs/>
          <w:lang w:eastAsia="en-US"/>
        </w:rPr>
        <w:t>.cmu</w:t>
      </w:r>
      <w:r w:rsidRPr="007D4401">
        <w:rPr>
          <w:rFonts w:ascii="Arial" w:hAnsi="Arial" w:cs="Arial"/>
          <w:lang w:eastAsia="en-US"/>
        </w:rPr>
        <w:t xml:space="preserve"> where </w:t>
      </w:r>
      <w:r w:rsidRPr="007D4401">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473E4AF9" w:rsidR="000331ED" w:rsidRPr="009A546B" w:rsidRDefault="000331ED" w:rsidP="00934357">
      <w:pPr>
        <w:numPr>
          <w:ilvl w:val="1"/>
          <w:numId w:val="34"/>
        </w:numPr>
        <w:ind w:left="720" w:hanging="720"/>
        <w:jc w:val="both"/>
        <w:rPr>
          <w:rFonts w:ascii="Arial" w:hAnsi="Arial" w:cs="Arial"/>
          <w:b/>
          <w:bCs/>
          <w:snapToGrid w:val="0"/>
          <w:lang w:eastAsia="en-US"/>
        </w:rPr>
      </w:pPr>
      <w:r w:rsidRPr="006F3400">
        <w:rPr>
          <w:rFonts w:ascii="Arial" w:hAnsi="Arial" w:cs="Arial"/>
          <w:snapToGrid w:val="0"/>
          <w:lang w:eastAsia="en-US"/>
        </w:rPr>
        <w:t xml:space="preserve">Offers and all documents relating to the offers must be written in English and submitted to the </w:t>
      </w:r>
      <w:r w:rsidRPr="00A50692">
        <w:rPr>
          <w:rFonts w:ascii="Arial" w:hAnsi="Arial" w:cs="Arial"/>
          <w:snapToGrid w:val="0"/>
          <w:lang w:eastAsia="en-US"/>
        </w:rPr>
        <w:t>Authority via the Authority’s electronic tendering system by</w:t>
      </w:r>
      <w:r w:rsidRPr="00A50692">
        <w:rPr>
          <w:rFonts w:ascii="Arial" w:hAnsi="Arial" w:cs="Arial"/>
          <w:lang w:eastAsia="en-US"/>
        </w:rPr>
        <w:t xml:space="preserve"> </w:t>
      </w:r>
      <w:r w:rsidRPr="009A546B">
        <w:rPr>
          <w:rFonts w:ascii="Arial" w:hAnsi="Arial" w:cs="Arial"/>
          <w:b/>
          <w:bCs/>
          <w:snapToGrid w:val="0"/>
          <w:lang w:eastAsia="en-US"/>
        </w:rPr>
        <w:t>13:00</w:t>
      </w:r>
      <w:r w:rsidRPr="00A50692">
        <w:rPr>
          <w:rFonts w:ascii="Arial" w:hAnsi="Arial" w:cs="Arial"/>
          <w:snapToGrid w:val="0"/>
          <w:lang w:eastAsia="en-US"/>
        </w:rPr>
        <w:t xml:space="preserve"> hours on </w:t>
      </w:r>
      <w:r w:rsidR="009A546B" w:rsidRPr="009A546B">
        <w:rPr>
          <w:rFonts w:ascii="Arial" w:hAnsi="Arial" w:cs="Arial"/>
          <w:b/>
          <w:bCs/>
          <w:snapToGrid w:val="0"/>
          <w:lang w:eastAsia="en-US"/>
        </w:rPr>
        <w:t>Wednesday</w:t>
      </w:r>
      <w:r w:rsidR="00A50692" w:rsidRPr="009A546B">
        <w:rPr>
          <w:rFonts w:ascii="Arial" w:hAnsi="Arial" w:cs="Arial"/>
          <w:b/>
          <w:bCs/>
          <w:snapToGrid w:val="0"/>
          <w:lang w:eastAsia="en-US"/>
        </w:rPr>
        <w:t xml:space="preserve"> 3</w:t>
      </w:r>
      <w:r w:rsidR="00A50692" w:rsidRPr="009A546B">
        <w:rPr>
          <w:rFonts w:ascii="Arial" w:hAnsi="Arial" w:cs="Arial"/>
          <w:b/>
          <w:bCs/>
          <w:snapToGrid w:val="0"/>
          <w:vertAlign w:val="superscript"/>
          <w:lang w:eastAsia="en-US"/>
        </w:rPr>
        <w:t>rd</w:t>
      </w:r>
      <w:r w:rsidR="00A50692" w:rsidRPr="009A546B">
        <w:rPr>
          <w:rFonts w:ascii="Arial" w:hAnsi="Arial" w:cs="Arial"/>
          <w:b/>
          <w:bCs/>
          <w:snapToGrid w:val="0"/>
          <w:lang w:eastAsia="en-US"/>
        </w:rPr>
        <w:t xml:space="preserve"> </w:t>
      </w:r>
      <w:r w:rsidR="009A546B" w:rsidRPr="009A546B">
        <w:rPr>
          <w:rFonts w:ascii="Arial" w:hAnsi="Arial" w:cs="Arial"/>
          <w:b/>
          <w:bCs/>
          <w:snapToGrid w:val="0"/>
          <w:lang w:eastAsia="en-US"/>
        </w:rPr>
        <w:t xml:space="preserve">January </w:t>
      </w:r>
      <w:r w:rsidR="00F76728" w:rsidRPr="009A546B">
        <w:rPr>
          <w:rFonts w:ascii="Arial" w:hAnsi="Arial" w:cs="Arial"/>
          <w:b/>
          <w:bCs/>
          <w:snapToGrid w:val="0"/>
          <w:lang w:eastAsia="en-US"/>
        </w:rPr>
        <w:t>202</w:t>
      </w:r>
      <w:r w:rsidR="009A546B" w:rsidRPr="009A546B">
        <w:rPr>
          <w:rFonts w:ascii="Arial" w:hAnsi="Arial" w:cs="Arial"/>
          <w:b/>
          <w:bCs/>
          <w:snapToGrid w:val="0"/>
          <w:lang w:eastAsia="en-US"/>
        </w:rPr>
        <w:t>4</w:t>
      </w:r>
    </w:p>
    <w:p w14:paraId="11F7A971" w14:textId="77777777" w:rsidR="000331ED" w:rsidRPr="00F76728" w:rsidRDefault="000331ED" w:rsidP="00CD562E">
      <w:pPr>
        <w:jc w:val="both"/>
        <w:rPr>
          <w:rFonts w:ascii="Arial" w:hAnsi="Arial" w:cs="Arial"/>
          <w:snapToGrid w:val="0"/>
          <w:lang w:eastAsia="en-US"/>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4B643846"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w:t>
      </w:r>
      <w:r w:rsidR="00825EA3">
        <w:rPr>
          <w:rFonts w:ascii="Arial" w:hAnsi="Arial" w:cs="Arial"/>
        </w:rPr>
        <w:t>,</w:t>
      </w:r>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Default="0012034A" w:rsidP="0012034A">
      <w:pPr>
        <w:jc w:val="both"/>
        <w:rPr>
          <w:rFonts w:ascii="Arial" w:hAnsi="Arial" w:cs="Arial"/>
          <w:iCs/>
          <w:color w:val="000000"/>
        </w:rPr>
      </w:pPr>
    </w:p>
    <w:p w14:paraId="3D292B62" w14:textId="77777777" w:rsidR="006C15A0" w:rsidRDefault="006C15A0" w:rsidP="0012034A">
      <w:pPr>
        <w:jc w:val="both"/>
        <w:rPr>
          <w:rFonts w:ascii="Arial" w:hAnsi="Arial" w:cs="Arial"/>
          <w:iCs/>
          <w:color w:val="000000"/>
        </w:rPr>
      </w:pPr>
    </w:p>
    <w:p w14:paraId="071964A9" w14:textId="77777777" w:rsidR="006C15A0" w:rsidRDefault="006C15A0" w:rsidP="0012034A">
      <w:pPr>
        <w:jc w:val="both"/>
        <w:rPr>
          <w:rFonts w:ascii="Arial" w:hAnsi="Arial" w:cs="Arial"/>
          <w:iCs/>
          <w:color w:val="000000"/>
        </w:rPr>
      </w:pPr>
    </w:p>
    <w:p w14:paraId="0BC561C1" w14:textId="404E46C2" w:rsidR="009953FE" w:rsidRDefault="009953FE">
      <w:pPr>
        <w:rPr>
          <w:rFonts w:ascii="Arial" w:hAnsi="Arial" w:cs="Arial"/>
          <w:iCs/>
          <w:color w:val="000000"/>
        </w:rPr>
      </w:pPr>
      <w:r>
        <w:rPr>
          <w:rFonts w:ascii="Arial" w:hAnsi="Arial" w:cs="Arial"/>
          <w:iCs/>
          <w:color w:val="000000"/>
        </w:rPr>
        <w:br w:type="page"/>
      </w: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lastRenderedPageBreak/>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1AD15392" w14:textId="4FD18376" w:rsidR="00D2459D" w:rsidRPr="009B5532" w:rsidRDefault="009B5532" w:rsidP="00D2459D">
            <w:pPr>
              <w:jc w:val="both"/>
              <w:rPr>
                <w:rFonts w:ascii="Arial" w:hAnsi="Arial" w:cs="Arial"/>
                <w:bCs/>
                <w:color w:val="000000"/>
              </w:rPr>
            </w:pPr>
            <w:r w:rsidRPr="009B5532">
              <w:rPr>
                <w:rFonts w:ascii="Arial" w:hAnsi="Arial" w:cs="Arial"/>
                <w:bCs/>
                <w:color w:val="000000"/>
              </w:rPr>
              <w:t>Graphic Design for Safety Assessments that are confirmed by the evaluation panel as “No Comment”, “Other” or “Major” will be deemed to be acceptable for award to the framework agreement (subject to satisfying all other award criteria). Any Product Graphic Design for Safety Assessments that are confirmed by the evaluation panel as “Critical” will not be deemed acceptable for award to the framework unless there are no other qualifying offers where such Product will only be awarded to the framework in the absence of any other qualifying offers (and subject to satisfying all other award criteria</w:t>
            </w:r>
            <w:r>
              <w:rPr>
                <w:rFonts w:ascii="Arial" w:hAnsi="Arial" w:cs="Arial"/>
                <w:bCs/>
                <w:color w:val="000000"/>
              </w:rPr>
              <w:t>).</w:t>
            </w: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129A0F5F"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 xml:space="preserve">Should the successful Offeror for a particular Product within a Lot decline to accept a framework agreement then, subject to the award methodology outlined </w:t>
      </w:r>
      <w:r w:rsidR="00E6688C">
        <w:rPr>
          <w:rFonts w:ascii="Arial" w:hAnsi="Arial" w:cs="Arial"/>
        </w:rPr>
        <w:t>in Section 11</w:t>
      </w:r>
      <w:r w:rsidRPr="00E6688C">
        <w:rPr>
          <w:rFonts w:ascii="Arial" w:hAnsi="Arial" w:cs="Arial"/>
        </w:rPr>
        <w:t>,</w:t>
      </w:r>
      <w:r w:rsidRPr="006F3400">
        <w:rPr>
          <w:rFonts w:ascii="Arial" w:hAnsi="Arial" w:cs="Arial"/>
        </w:rPr>
        <w:t xml:space="preserve">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4C69CE"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4C69CE">
        <w:rPr>
          <w:rFonts w:ascii="Arial" w:hAnsi="Arial" w:cs="Arial"/>
          <w:b/>
          <w:lang w:eastAsia="en-US"/>
        </w:rPr>
        <w:t xml:space="preserve">Contract Stock Level  </w:t>
      </w:r>
    </w:p>
    <w:p w14:paraId="7E6D0ECE" w14:textId="7CBEE4C6" w:rsidR="00B47C07" w:rsidRPr="004C69CE" w:rsidRDefault="00B47C07" w:rsidP="00B47C07">
      <w:pPr>
        <w:ind w:left="720"/>
        <w:rPr>
          <w:rFonts w:ascii="Arial" w:hAnsi="Arial" w:cs="Arial"/>
          <w:snapToGrid w:val="0"/>
          <w:lang w:eastAsia="en-US"/>
        </w:rPr>
      </w:pPr>
      <w:r w:rsidRPr="004C69CE">
        <w:rPr>
          <w:rFonts w:ascii="Arial" w:hAnsi="Arial" w:cs="Arial"/>
          <w:snapToGrid w:val="0"/>
          <w:lang w:eastAsia="en-US"/>
        </w:rPr>
        <w:t>Offerors should also note the contract term</w:t>
      </w:r>
      <w:r w:rsidR="00E6688C" w:rsidRPr="004C69CE">
        <w:rPr>
          <w:rFonts w:ascii="Arial" w:hAnsi="Arial" w:cs="Arial"/>
          <w:snapToGrid w:val="0"/>
          <w:lang w:eastAsia="en-US"/>
        </w:rPr>
        <w:t>s</w:t>
      </w:r>
      <w:r w:rsidRPr="004C69CE">
        <w:rPr>
          <w:rFonts w:ascii="Arial" w:hAnsi="Arial" w:cs="Arial"/>
          <w:snapToGrid w:val="0"/>
          <w:lang w:eastAsia="en-US"/>
        </w:rPr>
        <w:t xml:space="preserve"> contained within the Framework Agreement which is aimed at achieving continuity of supply and avoiding / minimising supply failures. In particular, this includes:</w:t>
      </w:r>
    </w:p>
    <w:p w14:paraId="38DDFC62" w14:textId="77777777" w:rsidR="00B47C07" w:rsidRPr="004C69CE" w:rsidRDefault="00B47C07" w:rsidP="00B47C07">
      <w:pPr>
        <w:ind w:left="720"/>
        <w:rPr>
          <w:rFonts w:ascii="Arial" w:hAnsi="Arial" w:cs="Arial"/>
          <w:snapToGrid w:val="0"/>
          <w:lang w:eastAsia="en-US"/>
        </w:rPr>
      </w:pPr>
    </w:p>
    <w:p w14:paraId="372805B5" w14:textId="5C304AFA" w:rsidR="00B47C07" w:rsidRPr="00B47C07" w:rsidRDefault="00B47C07" w:rsidP="00B47C07">
      <w:pPr>
        <w:ind w:left="720"/>
        <w:rPr>
          <w:rFonts w:ascii="Arial" w:hAnsi="Arial" w:cs="Arial"/>
          <w:snapToGrid w:val="0"/>
          <w:lang w:eastAsia="en-US"/>
        </w:rPr>
      </w:pPr>
      <w:r w:rsidRPr="004C69CE">
        <w:rPr>
          <w:rFonts w:ascii="Arial" w:hAnsi="Arial" w:cs="Arial"/>
          <w:snapToGrid w:val="0"/>
          <w:lang w:eastAsia="en-US"/>
        </w:rPr>
        <w:t>Paragraph</w:t>
      </w:r>
      <w:r w:rsidR="00E6688C" w:rsidRPr="004C69CE">
        <w:rPr>
          <w:rFonts w:ascii="Arial" w:hAnsi="Arial" w:cs="Arial"/>
          <w:snapToGrid w:val="0"/>
          <w:lang w:eastAsia="en-US"/>
        </w:rPr>
        <w:t>s 14.9, 15, 16, 15 - Schedule 1, Extra Key Provisions</w:t>
      </w:r>
      <w:r w:rsidRPr="00B47C07">
        <w:rPr>
          <w:rFonts w:ascii="Arial" w:hAnsi="Arial" w:cs="Arial"/>
          <w:snapToGrid w:val="0"/>
          <w:lang w:eastAsia="en-US"/>
        </w:rPr>
        <w:t xml:space="preserve">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9488" w:type="dxa"/>
        <w:tblCellMar>
          <w:left w:w="0" w:type="dxa"/>
          <w:right w:w="0" w:type="dxa"/>
        </w:tblCellMar>
        <w:tblLook w:val="0000" w:firstRow="0" w:lastRow="0" w:firstColumn="0" w:lastColumn="0" w:noHBand="0" w:noVBand="0"/>
      </w:tblPr>
      <w:tblGrid>
        <w:gridCol w:w="5494"/>
        <w:gridCol w:w="3994"/>
      </w:tblGrid>
      <w:tr w:rsidR="0012034A" w:rsidRPr="00C30449" w14:paraId="0B4A3FA0" w14:textId="77777777" w:rsidTr="006C15A0">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994"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6C15A0">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5E29FEE4" w:rsidR="00AF294B" w:rsidRPr="009A546B" w:rsidRDefault="009A546B" w:rsidP="00AF294B">
            <w:pPr>
              <w:rPr>
                <w:rFonts w:ascii="Arial" w:hAnsi="Arial" w:cs="Arial"/>
                <w:b/>
                <w:bCs/>
                <w:color w:val="000000"/>
              </w:rPr>
            </w:pPr>
            <w:r w:rsidRPr="009A546B">
              <w:rPr>
                <w:rFonts w:ascii="Arial" w:hAnsi="Arial" w:cs="Arial"/>
                <w:b/>
                <w:bCs/>
                <w:color w:val="000000"/>
              </w:rPr>
              <w:t>03/01/2024</w:t>
            </w:r>
          </w:p>
        </w:tc>
      </w:tr>
      <w:tr w:rsidR="00AF294B" w:rsidRPr="00C30449" w14:paraId="142C0E97" w14:textId="77777777" w:rsidTr="006C15A0">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473B3A93" w:rsidR="00AF294B" w:rsidRPr="009A546B" w:rsidRDefault="009A546B" w:rsidP="00AF294B">
            <w:pPr>
              <w:rPr>
                <w:rFonts w:ascii="Arial" w:hAnsi="Arial" w:cs="Arial"/>
                <w:b/>
                <w:bCs/>
                <w:color w:val="000000"/>
              </w:rPr>
            </w:pPr>
            <w:r w:rsidRPr="009A546B">
              <w:rPr>
                <w:rFonts w:ascii="Arial" w:hAnsi="Arial" w:cs="Arial"/>
                <w:b/>
                <w:bCs/>
                <w:color w:val="000000"/>
              </w:rPr>
              <w:t>04</w:t>
            </w:r>
            <w:r w:rsidR="004514DF" w:rsidRPr="009A546B">
              <w:rPr>
                <w:rFonts w:ascii="Arial" w:hAnsi="Arial" w:cs="Arial"/>
                <w:b/>
                <w:bCs/>
                <w:color w:val="000000"/>
              </w:rPr>
              <w:t>/</w:t>
            </w:r>
            <w:r w:rsidRPr="009A546B">
              <w:rPr>
                <w:rFonts w:ascii="Arial" w:hAnsi="Arial" w:cs="Arial"/>
                <w:b/>
                <w:bCs/>
                <w:color w:val="000000"/>
              </w:rPr>
              <w:t>01</w:t>
            </w:r>
            <w:r w:rsidR="004514DF" w:rsidRPr="009A546B">
              <w:rPr>
                <w:rFonts w:ascii="Arial" w:hAnsi="Arial" w:cs="Arial"/>
                <w:b/>
                <w:bCs/>
                <w:color w:val="000000"/>
              </w:rPr>
              <w:t>/</w:t>
            </w:r>
            <w:r w:rsidRPr="009A546B">
              <w:rPr>
                <w:rFonts w:ascii="Arial" w:hAnsi="Arial" w:cs="Arial"/>
                <w:b/>
                <w:bCs/>
                <w:color w:val="000000"/>
              </w:rPr>
              <w:t>2024</w:t>
            </w:r>
            <w:r w:rsidR="006C15A0" w:rsidRPr="009A546B">
              <w:rPr>
                <w:rFonts w:ascii="Arial" w:hAnsi="Arial" w:cs="Arial"/>
                <w:b/>
                <w:bCs/>
                <w:color w:val="000000"/>
              </w:rPr>
              <w:t xml:space="preserve"> </w:t>
            </w:r>
            <w:r w:rsidR="004514DF" w:rsidRPr="009A546B">
              <w:rPr>
                <w:rFonts w:ascii="Arial" w:hAnsi="Arial" w:cs="Arial"/>
                <w:b/>
                <w:bCs/>
                <w:color w:val="000000"/>
              </w:rPr>
              <w:t xml:space="preserve">– </w:t>
            </w:r>
            <w:r w:rsidRPr="009A546B">
              <w:rPr>
                <w:rFonts w:ascii="Arial" w:hAnsi="Arial" w:cs="Arial"/>
                <w:b/>
                <w:bCs/>
                <w:color w:val="000000"/>
              </w:rPr>
              <w:t>30/01/2024</w:t>
            </w:r>
          </w:p>
        </w:tc>
      </w:tr>
      <w:tr w:rsidR="00AF294B" w:rsidRPr="00C30449" w14:paraId="3FD76462" w14:textId="77777777" w:rsidTr="009A546B">
        <w:trPr>
          <w:trHeight w:val="31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6589399F" w:rsidR="00AF294B" w:rsidRPr="009A546B" w:rsidRDefault="009A546B" w:rsidP="00AF294B">
            <w:pPr>
              <w:rPr>
                <w:rFonts w:ascii="Arial" w:hAnsi="Arial" w:cs="Arial"/>
                <w:b/>
                <w:bCs/>
                <w:color w:val="000000"/>
              </w:rPr>
            </w:pPr>
            <w:r w:rsidRPr="009A546B">
              <w:rPr>
                <w:rFonts w:ascii="Arial" w:hAnsi="Arial" w:cs="Arial"/>
                <w:b/>
                <w:bCs/>
                <w:color w:val="000000"/>
              </w:rPr>
              <w:t>01/02/2024</w:t>
            </w:r>
          </w:p>
        </w:tc>
      </w:tr>
      <w:tr w:rsidR="00AF294B" w:rsidRPr="00C30449" w14:paraId="02E47257" w14:textId="77777777" w:rsidTr="006C15A0">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4C009056" w:rsidR="00AF294B" w:rsidRPr="004514DF" w:rsidRDefault="009A546B" w:rsidP="00AF294B">
            <w:pPr>
              <w:rPr>
                <w:rFonts w:ascii="Arial" w:hAnsi="Arial" w:cs="Arial"/>
                <w:b/>
                <w:bCs/>
                <w:color w:val="000000"/>
                <w:highlight w:val="yellow"/>
              </w:rPr>
            </w:pPr>
            <w:r w:rsidRPr="009A546B">
              <w:rPr>
                <w:rFonts w:ascii="Arial" w:hAnsi="Arial" w:cs="Arial"/>
                <w:b/>
                <w:bCs/>
                <w:color w:val="000000"/>
              </w:rPr>
              <w:t>01/03/2024</w:t>
            </w:r>
          </w:p>
        </w:tc>
      </w:tr>
    </w:tbl>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CE13" w14:textId="77777777" w:rsidR="00D8257B" w:rsidRDefault="00D8257B">
      <w:r>
        <w:separator/>
      </w:r>
    </w:p>
  </w:endnote>
  <w:endnote w:type="continuationSeparator" w:id="0">
    <w:p w14:paraId="4E37DD1D" w14:textId="77777777" w:rsidR="00D8257B" w:rsidRDefault="00D8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5433" w14:textId="77777777" w:rsidR="00D8257B" w:rsidRDefault="00D8257B">
      <w:r>
        <w:separator/>
      </w:r>
    </w:p>
  </w:footnote>
  <w:footnote w:type="continuationSeparator" w:id="0">
    <w:p w14:paraId="17F33C35" w14:textId="77777777" w:rsidR="00D8257B" w:rsidRDefault="00D8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365630">
    <w:abstractNumId w:val="28"/>
  </w:num>
  <w:num w:numId="2" w16cid:durableId="1300307850">
    <w:abstractNumId w:val="20"/>
  </w:num>
  <w:num w:numId="3" w16cid:durableId="1689134885">
    <w:abstractNumId w:val="36"/>
  </w:num>
  <w:num w:numId="4" w16cid:durableId="213809334">
    <w:abstractNumId w:val="9"/>
  </w:num>
  <w:num w:numId="5" w16cid:durableId="876115643">
    <w:abstractNumId w:val="11"/>
  </w:num>
  <w:num w:numId="6" w16cid:durableId="1004672720">
    <w:abstractNumId w:val="5"/>
  </w:num>
  <w:num w:numId="7" w16cid:durableId="1346441539">
    <w:abstractNumId w:val="48"/>
  </w:num>
  <w:num w:numId="8" w16cid:durableId="386419705">
    <w:abstractNumId w:val="35"/>
  </w:num>
  <w:num w:numId="9" w16cid:durableId="433986017">
    <w:abstractNumId w:val="38"/>
  </w:num>
  <w:num w:numId="10" w16cid:durableId="106583681">
    <w:abstractNumId w:val="34"/>
  </w:num>
  <w:num w:numId="11" w16cid:durableId="20983681">
    <w:abstractNumId w:val="49"/>
  </w:num>
  <w:num w:numId="12" w16cid:durableId="1951277717">
    <w:abstractNumId w:val="47"/>
  </w:num>
  <w:num w:numId="13" w16cid:durableId="1786658848">
    <w:abstractNumId w:val="31"/>
  </w:num>
  <w:num w:numId="14" w16cid:durableId="56050396">
    <w:abstractNumId w:val="0"/>
  </w:num>
  <w:num w:numId="15" w16cid:durableId="1862087655">
    <w:abstractNumId w:val="32"/>
  </w:num>
  <w:num w:numId="16" w16cid:durableId="1354722512">
    <w:abstractNumId w:val="46"/>
  </w:num>
  <w:num w:numId="17" w16cid:durableId="1661470832">
    <w:abstractNumId w:val="33"/>
  </w:num>
  <w:num w:numId="18" w16cid:durableId="294071928">
    <w:abstractNumId w:val="40"/>
  </w:num>
  <w:num w:numId="19" w16cid:durableId="2017533764">
    <w:abstractNumId w:val="27"/>
  </w:num>
  <w:num w:numId="20" w16cid:durableId="968390976">
    <w:abstractNumId w:val="2"/>
  </w:num>
  <w:num w:numId="21" w16cid:durableId="1335918331">
    <w:abstractNumId w:val="29"/>
  </w:num>
  <w:num w:numId="22" w16cid:durableId="15643659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853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207749">
    <w:abstractNumId w:val="44"/>
  </w:num>
  <w:num w:numId="25" w16cid:durableId="1093740116">
    <w:abstractNumId w:val="22"/>
  </w:num>
  <w:num w:numId="26" w16cid:durableId="857278152">
    <w:abstractNumId w:val="43"/>
  </w:num>
  <w:num w:numId="27" w16cid:durableId="1265113852">
    <w:abstractNumId w:val="37"/>
  </w:num>
  <w:num w:numId="28" w16cid:durableId="770467854">
    <w:abstractNumId w:val="12"/>
  </w:num>
  <w:num w:numId="29" w16cid:durableId="879246179">
    <w:abstractNumId w:val="3"/>
  </w:num>
  <w:num w:numId="30" w16cid:durableId="1944460226">
    <w:abstractNumId w:val="7"/>
  </w:num>
  <w:num w:numId="31" w16cid:durableId="1261987116">
    <w:abstractNumId w:val="23"/>
  </w:num>
  <w:num w:numId="32" w16cid:durableId="1924296725">
    <w:abstractNumId w:val="24"/>
  </w:num>
  <w:num w:numId="33" w16cid:durableId="164975705">
    <w:abstractNumId w:val="6"/>
  </w:num>
  <w:num w:numId="34" w16cid:durableId="643195496">
    <w:abstractNumId w:val="30"/>
  </w:num>
  <w:num w:numId="35" w16cid:durableId="2043362848">
    <w:abstractNumId w:val="39"/>
  </w:num>
  <w:num w:numId="36" w16cid:durableId="231090515">
    <w:abstractNumId w:val="15"/>
  </w:num>
  <w:num w:numId="37" w16cid:durableId="73867588">
    <w:abstractNumId w:val="21"/>
  </w:num>
  <w:num w:numId="38" w16cid:durableId="137117164">
    <w:abstractNumId w:val="26"/>
  </w:num>
  <w:num w:numId="39" w16cid:durableId="2059888204">
    <w:abstractNumId w:val="19"/>
  </w:num>
  <w:num w:numId="40" w16cid:durableId="465707676">
    <w:abstractNumId w:val="17"/>
  </w:num>
  <w:num w:numId="41" w16cid:durableId="278030799">
    <w:abstractNumId w:val="41"/>
  </w:num>
  <w:num w:numId="42" w16cid:durableId="686176915">
    <w:abstractNumId w:val="1"/>
  </w:num>
  <w:num w:numId="43" w16cid:durableId="2075084739">
    <w:abstractNumId w:val="8"/>
  </w:num>
  <w:num w:numId="44" w16cid:durableId="659237370">
    <w:abstractNumId w:val="16"/>
  </w:num>
  <w:num w:numId="45" w16cid:durableId="1168406389">
    <w:abstractNumId w:val="13"/>
  </w:num>
  <w:num w:numId="46" w16cid:durableId="1303081023">
    <w:abstractNumId w:val="14"/>
  </w:num>
  <w:num w:numId="47" w16cid:durableId="1166702371">
    <w:abstractNumId w:val="10"/>
  </w:num>
  <w:num w:numId="48" w16cid:durableId="384918173">
    <w:abstractNumId w:val="18"/>
  </w:num>
  <w:num w:numId="49" w16cid:durableId="2088457549">
    <w:abstractNumId w:val="25"/>
  </w:num>
  <w:num w:numId="50" w16cid:durableId="17330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0868"/>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3B2A"/>
    <w:rsid w:val="004050CA"/>
    <w:rsid w:val="00405ABC"/>
    <w:rsid w:val="00406035"/>
    <w:rsid w:val="00414925"/>
    <w:rsid w:val="00420792"/>
    <w:rsid w:val="004247EB"/>
    <w:rsid w:val="00425C7C"/>
    <w:rsid w:val="00434695"/>
    <w:rsid w:val="00443752"/>
    <w:rsid w:val="00445100"/>
    <w:rsid w:val="00445699"/>
    <w:rsid w:val="004462DB"/>
    <w:rsid w:val="00446950"/>
    <w:rsid w:val="004514DF"/>
    <w:rsid w:val="004531B1"/>
    <w:rsid w:val="00456EA6"/>
    <w:rsid w:val="00464DC3"/>
    <w:rsid w:val="004668F3"/>
    <w:rsid w:val="00471A85"/>
    <w:rsid w:val="0047262A"/>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C69CE"/>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65E5"/>
    <w:rsid w:val="005275C5"/>
    <w:rsid w:val="00531665"/>
    <w:rsid w:val="005335E4"/>
    <w:rsid w:val="00533BF4"/>
    <w:rsid w:val="00533C4E"/>
    <w:rsid w:val="005350F6"/>
    <w:rsid w:val="00535252"/>
    <w:rsid w:val="00536355"/>
    <w:rsid w:val="00544B72"/>
    <w:rsid w:val="005460FC"/>
    <w:rsid w:val="00546BB0"/>
    <w:rsid w:val="00547741"/>
    <w:rsid w:val="00562F74"/>
    <w:rsid w:val="00564968"/>
    <w:rsid w:val="00564CE2"/>
    <w:rsid w:val="00564F8A"/>
    <w:rsid w:val="005677C4"/>
    <w:rsid w:val="00571661"/>
    <w:rsid w:val="00580B7C"/>
    <w:rsid w:val="00585115"/>
    <w:rsid w:val="00586EDC"/>
    <w:rsid w:val="0059183A"/>
    <w:rsid w:val="00593004"/>
    <w:rsid w:val="00594C98"/>
    <w:rsid w:val="005960C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15A0"/>
    <w:rsid w:val="006C4437"/>
    <w:rsid w:val="006C4DDA"/>
    <w:rsid w:val="006C6DC2"/>
    <w:rsid w:val="006D48B4"/>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520E"/>
    <w:rsid w:val="00795956"/>
    <w:rsid w:val="007A1972"/>
    <w:rsid w:val="007A74CA"/>
    <w:rsid w:val="007C4AC1"/>
    <w:rsid w:val="007C6E90"/>
    <w:rsid w:val="007D1976"/>
    <w:rsid w:val="007D4401"/>
    <w:rsid w:val="007E1BF4"/>
    <w:rsid w:val="007F6EA9"/>
    <w:rsid w:val="008031EE"/>
    <w:rsid w:val="00814BA6"/>
    <w:rsid w:val="00814BE9"/>
    <w:rsid w:val="00815CD9"/>
    <w:rsid w:val="00821E29"/>
    <w:rsid w:val="00825EA3"/>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C67D5"/>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32F5"/>
    <w:rsid w:val="009467EB"/>
    <w:rsid w:val="00947B1D"/>
    <w:rsid w:val="00950D79"/>
    <w:rsid w:val="00952C4E"/>
    <w:rsid w:val="00954F56"/>
    <w:rsid w:val="00955559"/>
    <w:rsid w:val="0095753C"/>
    <w:rsid w:val="00961E36"/>
    <w:rsid w:val="0097044F"/>
    <w:rsid w:val="0097331A"/>
    <w:rsid w:val="009752C6"/>
    <w:rsid w:val="00980559"/>
    <w:rsid w:val="00992349"/>
    <w:rsid w:val="009953FE"/>
    <w:rsid w:val="0099592D"/>
    <w:rsid w:val="00996BF3"/>
    <w:rsid w:val="009A0611"/>
    <w:rsid w:val="009A234E"/>
    <w:rsid w:val="009A546B"/>
    <w:rsid w:val="009A590D"/>
    <w:rsid w:val="009B5532"/>
    <w:rsid w:val="009B68E1"/>
    <w:rsid w:val="009B7C80"/>
    <w:rsid w:val="009B7D72"/>
    <w:rsid w:val="009C00F6"/>
    <w:rsid w:val="009C57B6"/>
    <w:rsid w:val="009C5E31"/>
    <w:rsid w:val="009C7D6B"/>
    <w:rsid w:val="009D6D38"/>
    <w:rsid w:val="009E4BEB"/>
    <w:rsid w:val="009E6D1F"/>
    <w:rsid w:val="009F01EA"/>
    <w:rsid w:val="009F26D9"/>
    <w:rsid w:val="009F5DAE"/>
    <w:rsid w:val="00A00470"/>
    <w:rsid w:val="00A0492D"/>
    <w:rsid w:val="00A068B6"/>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0692"/>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0EAE"/>
    <w:rsid w:val="00B71940"/>
    <w:rsid w:val="00B71FA5"/>
    <w:rsid w:val="00B72B5F"/>
    <w:rsid w:val="00B72F9D"/>
    <w:rsid w:val="00B754F5"/>
    <w:rsid w:val="00B77DC3"/>
    <w:rsid w:val="00B81901"/>
    <w:rsid w:val="00B85EED"/>
    <w:rsid w:val="00B9124B"/>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420E"/>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46F7"/>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10E5"/>
    <w:rsid w:val="00D8257B"/>
    <w:rsid w:val="00D84104"/>
    <w:rsid w:val="00D847F5"/>
    <w:rsid w:val="00D8718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39F7"/>
    <w:rsid w:val="00E6688C"/>
    <w:rsid w:val="00E71283"/>
    <w:rsid w:val="00E74F1F"/>
    <w:rsid w:val="00E75CEA"/>
    <w:rsid w:val="00E77065"/>
    <w:rsid w:val="00E809A9"/>
    <w:rsid w:val="00E80B7A"/>
    <w:rsid w:val="00E83460"/>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3144"/>
    <w:rsid w:val="00F345EA"/>
    <w:rsid w:val="00F3746B"/>
    <w:rsid w:val="00F37AC4"/>
    <w:rsid w:val="00F42D3A"/>
    <w:rsid w:val="00F42F1A"/>
    <w:rsid w:val="00F4327C"/>
    <w:rsid w:val="00F43B7F"/>
    <w:rsid w:val="00F447A0"/>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76728"/>
    <w:rsid w:val="00F80199"/>
    <w:rsid w:val="00F807E7"/>
    <w:rsid w:val="00F876DC"/>
    <w:rsid w:val="00F903AB"/>
    <w:rsid w:val="00F94C09"/>
    <w:rsid w:val="00F978AF"/>
    <w:rsid w:val="00FA69B1"/>
    <w:rsid w:val="00FA6EBC"/>
    <w:rsid w:val="00FB4E9D"/>
    <w:rsid w:val="00FC5B25"/>
    <w:rsid w:val="00FC5C60"/>
    <w:rsid w:val="00FC64B1"/>
    <w:rsid w:val="00FD62EB"/>
    <w:rsid w:val="00FD6EDA"/>
    <w:rsid w:val="00FE0540"/>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c5e631cadffc44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A2763476</value>
    </field>
    <field name="Objective-Title">
      <value order="0">Document No. 02 - Terms of offer</value>
    </field>
    <field name="Objective-Description">
      <value order="0"/>
    </field>
    <field name="Objective-CreationStamp">
      <value order="0">2023-11-09T14:44:56Z</value>
    </field>
    <field name="Objective-IsApproved">
      <value order="0">false</value>
    </field>
    <field name="Objective-IsPublished">
      <value order="0">true</value>
    </field>
    <field name="Objective-DatePublished">
      <value order="0">2023-11-29T11:20:50Z</value>
    </field>
    <field name="Objective-ModificationStamp">
      <value order="0">2023-11-29T11:20:50Z</value>
    </field>
    <field name="Objective-Owner">
      <value order="0">Patrick, Collette</value>
    </field>
    <field name="Objective-Path">
      <value order="0">Global Folder:02 Branded Medicines Projects and Contracts:02 Frameworks:22 Branded Team Pharmaceutical Projects 2024:CM/PHR/23/5702 - NHS National Framework for Tocilizumab - March 2024:03 Tender:02 ITO Documents</value>
    </field>
    <field name="Objective-Parent">
      <value order="0">02 ITO Documents</value>
    </field>
    <field name="Objective-State">
      <value order="0">Published</value>
    </field>
    <field name="Objective-VersionId">
      <value order="0">vA4253270</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5177</Words>
  <Characters>29511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34619</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6</cp:revision>
  <cp:lastPrinted>2018-10-24T08:06:00Z</cp:lastPrinted>
  <dcterms:created xsi:type="dcterms:W3CDTF">2023-10-24T11:08:00Z</dcterms:created>
  <dcterms:modified xsi:type="dcterms:W3CDTF">2023-11-29T11:20:00Z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A2763476</vt:lpwstr>
  </property>
  <property fmtid="{D5CDD505-2E9C-101B-9397-08002B2CF9AE}" pid="3" name="Objective-Comment">
    <vt:lpwstr/>
  </property>
  <property fmtid="{D5CDD505-2E9C-101B-9397-08002B2CF9AE}" pid="4" name="Objective-CreationStamp">
    <vt:filetime>2023-11-09T14:44:56Z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2023-11-29T11:20:50Z</vt:filetime>
  </property>
  <property fmtid="{D5CDD505-2E9C-101B-9397-08002B2CF9AE}" pid="8" name="Objective-ModificationStamp">
    <vt:filetime>2023-11-29T11:20:50Z</vt:filetime>
  </property>
  <property fmtid="{D5CDD505-2E9C-101B-9397-08002B2CF9AE}" pid="9" name="Objective-Owner">
    <vt:lpwstr>Patrick, Collette</vt:lpwstr>
  </property>
  <property fmtid="{D5CDD505-2E9C-101B-9397-08002B2CF9AE}" pid="10" name="Objective-Path">
    <vt:lpwstr>Global Folder:02 Branded Medicines Projects and Contracts:02 Frameworks:22 Branded Team Pharmaceutical Projects 2024:CM/PHR/23/5702 - NHS National Framework for Tocilizumab - March 2024:03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vA4253270</vt:lpwstr>
  </property>
</Properties>
</file>