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415CF" w:rsidRPr="00D415CF" w:rsidRDefault="00D415CF" w:rsidP="0020387A">
      <w:pPr>
        <w:rPr>
          <w:b/>
        </w:rPr>
      </w:pPr>
      <w:bookmarkStart w:id="0" w:name="_GoBack"/>
      <w:r w:rsidRPr="00D415CF">
        <w:rPr>
          <w:b/>
        </w:rPr>
        <w:t>NHS Eng</w:t>
      </w:r>
      <w:r w:rsidR="0008061A">
        <w:rPr>
          <w:b/>
        </w:rPr>
        <w:t>land Community and School Aged Immunisation S</w:t>
      </w:r>
      <w:r w:rsidRPr="00D415CF">
        <w:rPr>
          <w:b/>
        </w:rPr>
        <w:t>ervices- London Borough of Wandsworth</w:t>
      </w:r>
    </w:p>
    <w:p w:rsidR="00D415CF" w:rsidRDefault="002726FA" w:rsidP="0020387A">
      <w:r>
        <w:t xml:space="preserve">NHS England has a statutory responsibility, under the </w:t>
      </w:r>
      <w:r w:rsidR="00894340">
        <w:t xml:space="preserve">S7A </w:t>
      </w:r>
      <w:r>
        <w:t xml:space="preserve">Public Health </w:t>
      </w:r>
      <w:r w:rsidR="00894340">
        <w:t>Functions</w:t>
      </w:r>
      <w:r>
        <w:t xml:space="preserve"> </w:t>
      </w:r>
      <w:r w:rsidR="00894340">
        <w:t>A</w:t>
      </w:r>
      <w:r>
        <w:t xml:space="preserve">greement, to commission high quality, safe and effective immunisation programmes that meets the </w:t>
      </w:r>
      <w:r w:rsidR="00894340">
        <w:t xml:space="preserve">health </w:t>
      </w:r>
      <w:r>
        <w:t xml:space="preserve">needs of the local population.  </w:t>
      </w:r>
      <w:r w:rsidR="0008061A">
        <w:t xml:space="preserve">Within this, </w:t>
      </w:r>
      <w:r>
        <w:t xml:space="preserve">NHS England London </w:t>
      </w:r>
      <w:r w:rsidR="00D415CF">
        <w:t>R</w:t>
      </w:r>
      <w:r>
        <w:t xml:space="preserve">egion are looking to commission a new </w:t>
      </w:r>
      <w:r w:rsidR="00424D37">
        <w:t xml:space="preserve">community and </w:t>
      </w:r>
      <w:r>
        <w:t xml:space="preserve">school aged immunisation service provider to deliver a range of </w:t>
      </w:r>
      <w:r w:rsidR="0008061A">
        <w:t xml:space="preserve">immunisation </w:t>
      </w:r>
      <w:r>
        <w:t xml:space="preserve">programmes within the London Borough of Wandsworth. </w:t>
      </w:r>
      <w:r w:rsidR="00D415CF">
        <w:t xml:space="preserve">The commissioned provider will be required to deliver the following </w:t>
      </w:r>
      <w:r w:rsidR="0008061A">
        <w:t xml:space="preserve">immunisation </w:t>
      </w:r>
      <w:r w:rsidR="00D415CF">
        <w:t>programmes to all those eligible (including those who are home schooled and those in the care of the local authority) in</w:t>
      </w:r>
      <w:r w:rsidR="00D415CF" w:rsidRPr="0008061A">
        <w:t xml:space="preserve"> </w:t>
      </w:r>
      <w:r w:rsidR="00D415CF" w:rsidRPr="0008061A">
        <w:rPr>
          <w:u w:val="single"/>
        </w:rPr>
        <w:t>all</w:t>
      </w:r>
      <w:r w:rsidR="00D415CF" w:rsidRPr="0008061A">
        <w:t xml:space="preserve"> schools</w:t>
      </w:r>
      <w:r w:rsidR="00D415CF">
        <w:t xml:space="preserve"> and in the community setting in the London Borough:</w:t>
      </w:r>
    </w:p>
    <w:p w:rsidR="00D415CF" w:rsidRDefault="00D415CF" w:rsidP="009853BB">
      <w:pPr>
        <w:pStyle w:val="ListParagraph"/>
        <w:numPr>
          <w:ilvl w:val="0"/>
          <w:numId w:val="7"/>
        </w:numPr>
      </w:pPr>
      <w:r>
        <w:t xml:space="preserve">Selective BCG immunisation programme for those at an increased risk of developing severe disease and/or of exposure to TB infection aged 0-5 years. </w:t>
      </w:r>
    </w:p>
    <w:p w:rsidR="00D415CF" w:rsidRDefault="00D415CF" w:rsidP="009853BB">
      <w:pPr>
        <w:pStyle w:val="ListParagraph"/>
        <w:numPr>
          <w:ilvl w:val="0"/>
          <w:numId w:val="7"/>
        </w:numPr>
      </w:pPr>
      <w:r>
        <w:t xml:space="preserve">Seasonal childhood influenza immunisation programme, including those in Reception and School Years 1 through to 6. * To note, the implementation of this programme is phased; additional school cohorts will be added in subsequent years with additional investment in the service being made available at the time. </w:t>
      </w:r>
    </w:p>
    <w:p w:rsidR="00D415CF" w:rsidRDefault="00D415CF" w:rsidP="009853BB">
      <w:pPr>
        <w:pStyle w:val="ListParagraph"/>
        <w:numPr>
          <w:ilvl w:val="0"/>
          <w:numId w:val="7"/>
        </w:numPr>
      </w:pPr>
      <w:r>
        <w:t xml:space="preserve">Adolescent Meningococcal ACWY immunisation programme </w:t>
      </w:r>
    </w:p>
    <w:p w:rsidR="00D415CF" w:rsidRDefault="00D415CF" w:rsidP="009853BB">
      <w:pPr>
        <w:pStyle w:val="ListParagraph"/>
        <w:numPr>
          <w:ilvl w:val="0"/>
          <w:numId w:val="7"/>
        </w:numPr>
      </w:pPr>
      <w:r>
        <w:t>Adolescent School Leaver Booster – Td/IPV (Tetanus, Diphtheria and Polio)</w:t>
      </w:r>
    </w:p>
    <w:p w:rsidR="00D415CF" w:rsidRDefault="00D415CF" w:rsidP="009853BB">
      <w:pPr>
        <w:pStyle w:val="ListParagraph"/>
        <w:numPr>
          <w:ilvl w:val="0"/>
          <w:numId w:val="7"/>
        </w:numPr>
      </w:pPr>
      <w:r>
        <w:t>Adolescent HPV immunisation programme for girls</w:t>
      </w:r>
    </w:p>
    <w:p w:rsidR="00D415CF" w:rsidRDefault="00D415CF" w:rsidP="009853BB">
      <w:pPr>
        <w:pStyle w:val="ListParagraph"/>
        <w:numPr>
          <w:ilvl w:val="0"/>
          <w:numId w:val="7"/>
        </w:numPr>
      </w:pPr>
      <w:r>
        <w:t>Adolescent HPV immunisation programme for boys</w:t>
      </w:r>
    </w:p>
    <w:p w:rsidR="002726FA" w:rsidRDefault="00D415CF" w:rsidP="009853BB">
      <w:pPr>
        <w:pStyle w:val="ListParagraph"/>
        <w:numPr>
          <w:ilvl w:val="0"/>
          <w:numId w:val="7"/>
        </w:numPr>
      </w:pPr>
      <w:r>
        <w:t>Adolescent MMR “catch up” immunisation programme for those with uncertain or inco</w:t>
      </w:r>
      <w:r w:rsidR="00267069">
        <w:t>mplete MMR immunisation status</w:t>
      </w:r>
    </w:p>
    <w:p w:rsidR="00091F42" w:rsidRDefault="006D17EB" w:rsidP="0020387A">
      <w:r>
        <w:t xml:space="preserve">The term of the contract is for three (3) years with a possible extension of one year at the discretion of the commissioner.  </w:t>
      </w:r>
      <w:r w:rsidR="009814E8">
        <w:t xml:space="preserve">The </w:t>
      </w:r>
      <w:r w:rsidR="009853BB">
        <w:t>indicative total financial envelope over the term of the contract including extension options is £</w:t>
      </w:r>
      <w:r w:rsidR="0080107D">
        <w:t>1,189,048</w:t>
      </w:r>
      <w:r w:rsidR="009853BB">
        <w:t>. To note there will be additional investment made available on</w:t>
      </w:r>
      <w:r w:rsidR="00D21189">
        <w:t xml:space="preserve"> a cost per item basis</w:t>
      </w:r>
      <w:r w:rsidR="004B2B20">
        <w:t xml:space="preserve"> (£10.08 per dose)</w:t>
      </w:r>
      <w:r w:rsidR="00D21189">
        <w:t xml:space="preserve"> for the s</w:t>
      </w:r>
      <w:r w:rsidR="009853BB">
        <w:t xml:space="preserve">elective community BCG immunisation programme and the MMR “catch-up” immunisation programme. </w:t>
      </w:r>
      <w:r w:rsidR="00F75E13">
        <w:t xml:space="preserve">Latest activity (uptake figures) for these programmes are 200 doses of BCG and 207 doses of MMR.  </w:t>
      </w:r>
      <w:r w:rsidR="009853BB">
        <w:t xml:space="preserve">Providers will be required to invoice NHS England London Region directly for this activity.  </w:t>
      </w:r>
      <w:r w:rsidR="00091F42">
        <w:t xml:space="preserve">All KPIs in which the commissioned providers will be required to meet will be confirmed in the service specification. There are </w:t>
      </w:r>
      <w:r w:rsidR="00556235">
        <w:t>three</w:t>
      </w:r>
      <w:r w:rsidR="00091F42">
        <w:t xml:space="preserve"> KPIs for each immunisation programme. </w:t>
      </w:r>
      <w:r w:rsidR="00D21189">
        <w:t xml:space="preserve">The contract start date for the service is 8 July 2019. </w:t>
      </w:r>
      <w:r w:rsidR="00091F42">
        <w:t xml:space="preserve"> </w:t>
      </w:r>
    </w:p>
    <w:p w:rsidR="00163321" w:rsidRDefault="00163321" w:rsidP="0020387A">
      <w:r w:rsidRPr="00163321">
        <w:rPr>
          <w:lang w:val="en"/>
        </w:rPr>
        <w:t xml:space="preserve">Bidders should respond to this opportunity by completing the online questionnaire published on the Authority's e-procurement portal (the "Portal") - </w:t>
      </w:r>
      <w:proofErr w:type="spellStart"/>
      <w:r w:rsidRPr="00163321">
        <w:rPr>
          <w:lang w:val="en"/>
        </w:rPr>
        <w:t>ProContract</w:t>
      </w:r>
      <w:proofErr w:type="spellEnd"/>
      <w:r w:rsidRPr="00163321">
        <w:rPr>
          <w:lang w:val="en"/>
        </w:rPr>
        <w:t xml:space="preserve"> (hosted by </w:t>
      </w:r>
      <w:proofErr w:type="spellStart"/>
      <w:r w:rsidRPr="00163321">
        <w:rPr>
          <w:lang w:val="en"/>
        </w:rPr>
        <w:t>Proactis</w:t>
      </w:r>
      <w:proofErr w:type="spellEnd"/>
      <w:r w:rsidRPr="00163321">
        <w:rPr>
          <w:lang w:val="en"/>
        </w:rPr>
        <w:t>). All clarification requests and correspondence pertaining to this ITT opportunity must be directed through the Portal. Bidders are required to register on the P</w:t>
      </w:r>
      <w:r w:rsidR="00D75671">
        <w:rPr>
          <w:lang w:val="en"/>
        </w:rPr>
        <w:t xml:space="preserve">ortal prior to accessing the </w:t>
      </w:r>
      <w:r w:rsidRPr="00163321">
        <w:rPr>
          <w:lang w:val="en"/>
        </w:rPr>
        <w:t>documentation. Guidance on the registration process is available via the link provided in the links section below.</w:t>
      </w:r>
    </w:p>
    <w:p w:rsidR="00163321" w:rsidRDefault="00163321" w:rsidP="0020387A">
      <w:r w:rsidRPr="00163321">
        <w:rPr>
          <w:lang w:val="en"/>
        </w:rPr>
        <w:t xml:space="preserve">The deadline for </w:t>
      </w:r>
      <w:r>
        <w:rPr>
          <w:lang w:val="en"/>
        </w:rPr>
        <w:t>submissions to be received is 4 April 2019</w:t>
      </w:r>
      <w:r w:rsidRPr="00163321">
        <w:rPr>
          <w:lang w:val="en"/>
        </w:rPr>
        <w:t xml:space="preserve"> at 12:00 (noon).</w:t>
      </w:r>
      <w:r w:rsidRPr="00163321">
        <w:rPr>
          <w:lang w:val="en"/>
        </w:rPr>
        <w:br/>
      </w:r>
      <w:r w:rsidRPr="00163321">
        <w:rPr>
          <w:lang w:val="en"/>
        </w:rPr>
        <w:br/>
        <w:t xml:space="preserve">A timetable for the procurement and supplementary information relating to the opportunity is also available on the Portal. </w:t>
      </w:r>
      <w:r w:rsidRPr="00163321">
        <w:rPr>
          <w:lang w:val="en"/>
        </w:rPr>
        <w:br/>
        <w:t>Bidders are also to note that information relating to this procurement is provided in good faith, and may be subject to amendment by the Contracting Authority.</w:t>
      </w:r>
      <w:r w:rsidRPr="00163321">
        <w:rPr>
          <w:lang w:val="en"/>
        </w:rPr>
        <w:br/>
      </w:r>
      <w:r w:rsidRPr="00163321">
        <w:rPr>
          <w:lang w:val="en"/>
        </w:rPr>
        <w:br/>
        <w:t>The Contracting Authority reserves the right not to award the contract.</w:t>
      </w:r>
    </w:p>
    <w:bookmarkEnd w:id="0"/>
    <w:p w:rsidR="00CF3728" w:rsidRDefault="00CF3728" w:rsidP="005D1DAA">
      <w:pPr>
        <w:keepNext/>
        <w:keepLines/>
        <w:spacing w:after="0" w:line="240" w:lineRule="auto"/>
        <w:ind w:left="283"/>
      </w:pPr>
    </w:p>
    <w:p w:rsidR="00F70CAA" w:rsidRDefault="00F70CAA" w:rsidP="00CF3728">
      <w:pPr>
        <w:keepNext/>
        <w:keepLines/>
        <w:spacing w:after="0" w:line="240" w:lineRule="auto"/>
      </w:pPr>
    </w:p>
    <w:sectPr w:rsidR="00F70CAA">
      <w:head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05B5E" w:rsidRDefault="00205B5E" w:rsidP="00F70CAA">
      <w:pPr>
        <w:spacing w:after="0" w:line="240" w:lineRule="auto"/>
      </w:pPr>
      <w:r>
        <w:separator/>
      </w:r>
    </w:p>
  </w:endnote>
  <w:endnote w:type="continuationSeparator" w:id="0">
    <w:p w:rsidR="00205B5E" w:rsidRDefault="00205B5E" w:rsidP="00F70CA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05B5E" w:rsidRDefault="00205B5E" w:rsidP="00F70CAA">
      <w:pPr>
        <w:spacing w:after="0" w:line="240" w:lineRule="auto"/>
      </w:pPr>
      <w:r>
        <w:separator/>
      </w:r>
    </w:p>
  </w:footnote>
  <w:footnote w:type="continuationSeparator" w:id="0">
    <w:p w:rsidR="00205B5E" w:rsidRDefault="00205B5E" w:rsidP="00F70CA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70CAA" w:rsidRDefault="00F70CAA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D6022D"/>
    <w:multiLevelType w:val="hybridMultilevel"/>
    <w:tmpl w:val="BB02C97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D61CD1"/>
    <w:multiLevelType w:val="hybridMultilevel"/>
    <w:tmpl w:val="88E08B5E"/>
    <w:lvl w:ilvl="0" w:tplc="AEA21FAA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337995"/>
    <w:multiLevelType w:val="multilevel"/>
    <w:tmpl w:val="D64CCB9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sz w:val="28"/>
        <w:szCs w:val="28"/>
      </w:rPr>
    </w:lvl>
    <w:lvl w:ilvl="1">
      <w:start w:val="1"/>
      <w:numFmt w:val="decimal"/>
      <w:lvlText w:val="%2."/>
      <w:lvlJc w:val="left"/>
      <w:pPr>
        <w:ind w:left="715" w:hanging="432"/>
      </w:pPr>
      <w:rPr>
        <w:rFonts w:hint="default"/>
        <w:b w:val="0"/>
        <w:i w:val="0"/>
        <w:color w:val="auto"/>
        <w:sz w:val="22"/>
        <w:szCs w:val="22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" w15:restartNumberingAfterBreak="0">
    <w:nsid w:val="24D9403A"/>
    <w:multiLevelType w:val="hybridMultilevel"/>
    <w:tmpl w:val="74E27BF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EAF6648"/>
    <w:multiLevelType w:val="hybridMultilevel"/>
    <w:tmpl w:val="2D4072B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FC12D51"/>
    <w:multiLevelType w:val="hybridMultilevel"/>
    <w:tmpl w:val="F2CE7E84"/>
    <w:lvl w:ilvl="0" w:tplc="98BE413C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CAF22F5"/>
    <w:multiLevelType w:val="hybridMultilevel"/>
    <w:tmpl w:val="B59EE83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2"/>
  </w:num>
  <w:num w:numId="3">
    <w:abstractNumId w:val="3"/>
  </w:num>
  <w:num w:numId="4">
    <w:abstractNumId w:val="5"/>
  </w:num>
  <w:num w:numId="5">
    <w:abstractNumId w:val="0"/>
  </w:num>
  <w:num w:numId="6">
    <w:abstractNumId w:val="1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6677"/>
    <w:rsid w:val="0008061A"/>
    <w:rsid w:val="00091F42"/>
    <w:rsid w:val="00136A24"/>
    <w:rsid w:val="0014571B"/>
    <w:rsid w:val="00163321"/>
    <w:rsid w:val="001F1DF9"/>
    <w:rsid w:val="0020387A"/>
    <w:rsid w:val="00205B5E"/>
    <w:rsid w:val="00267069"/>
    <w:rsid w:val="002726FA"/>
    <w:rsid w:val="00365330"/>
    <w:rsid w:val="003A6854"/>
    <w:rsid w:val="00401EA9"/>
    <w:rsid w:val="0040630E"/>
    <w:rsid w:val="00424D37"/>
    <w:rsid w:val="00447FD9"/>
    <w:rsid w:val="004B2B20"/>
    <w:rsid w:val="00556235"/>
    <w:rsid w:val="005D1DAA"/>
    <w:rsid w:val="0063088B"/>
    <w:rsid w:val="006B2BB5"/>
    <w:rsid w:val="006D17EB"/>
    <w:rsid w:val="0080107D"/>
    <w:rsid w:val="00894340"/>
    <w:rsid w:val="009814E8"/>
    <w:rsid w:val="009853BB"/>
    <w:rsid w:val="00A10CA7"/>
    <w:rsid w:val="00A12407"/>
    <w:rsid w:val="00BC12A0"/>
    <w:rsid w:val="00BE7916"/>
    <w:rsid w:val="00C41320"/>
    <w:rsid w:val="00C76677"/>
    <w:rsid w:val="00CF3728"/>
    <w:rsid w:val="00D156A1"/>
    <w:rsid w:val="00D21189"/>
    <w:rsid w:val="00D415CF"/>
    <w:rsid w:val="00D67E71"/>
    <w:rsid w:val="00D75671"/>
    <w:rsid w:val="00EB3F29"/>
    <w:rsid w:val="00F70BE1"/>
    <w:rsid w:val="00F70CAA"/>
    <w:rsid w:val="00F75E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  <w15:chartTrackingRefBased/>
  <w15:docId w15:val="{CA70E97E-AA0F-40E8-B99F-B8075A4F74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67E71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F70CA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70CAA"/>
  </w:style>
  <w:style w:type="paragraph" w:styleId="Footer">
    <w:name w:val="footer"/>
    <w:basedOn w:val="Normal"/>
    <w:link w:val="FooterChar"/>
    <w:uiPriority w:val="99"/>
    <w:unhideWhenUsed/>
    <w:rsid w:val="00F70CA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70CAA"/>
  </w:style>
  <w:style w:type="paragraph" w:styleId="BalloonText">
    <w:name w:val="Balloon Text"/>
    <w:basedOn w:val="Normal"/>
    <w:link w:val="BalloonTextChar"/>
    <w:uiPriority w:val="99"/>
    <w:semiHidden/>
    <w:unhideWhenUsed/>
    <w:rsid w:val="002726F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726FA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D2118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2118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2118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2118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21189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FC13D07-8306-40B1-8607-B47D7444AE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502</Words>
  <Characters>2868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Matthew Olley</dc:creator>
  <cp:keywords/>
  <dc:description/>
  <cp:lastModifiedBy>Sethi, Nirula - Procurement Officer</cp:lastModifiedBy>
  <cp:revision>3</cp:revision>
  <dcterms:created xsi:type="dcterms:W3CDTF">2019-03-06T13:27:00Z</dcterms:created>
  <dcterms:modified xsi:type="dcterms:W3CDTF">2019-03-06T13:27:00Z</dcterms:modified>
</cp:coreProperties>
</file>