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90" w:rsidRDefault="006052FC" w:rsidP="006052FC">
      <w:pPr>
        <w:jc w:val="center"/>
        <w:rPr>
          <w:b/>
          <w:u w:val="single"/>
        </w:rPr>
      </w:pPr>
      <w:bookmarkStart w:id="0" w:name="_GoBack"/>
      <w:bookmarkEnd w:id="0"/>
      <w:r w:rsidRPr="006052FC">
        <w:rPr>
          <w:b/>
          <w:u w:val="single"/>
        </w:rPr>
        <w:t>GUIDANCE ON PROCUREMENT REGULATIONS</w:t>
      </w:r>
      <w:r w:rsidR="008E6D90">
        <w:rPr>
          <w:b/>
          <w:u w:val="single"/>
        </w:rPr>
        <w:t xml:space="preserve"> </w:t>
      </w:r>
    </w:p>
    <w:p w:rsidR="00000E0D" w:rsidRPr="008E6D90" w:rsidRDefault="008E6D90" w:rsidP="006052FC">
      <w:pPr>
        <w:jc w:val="center"/>
      </w:pPr>
      <w:r w:rsidRPr="008E6D90">
        <w:t>(</w:t>
      </w:r>
      <w:proofErr w:type="gramStart"/>
      <w:r w:rsidRPr="008E6D90">
        <w:t>updated</w:t>
      </w:r>
      <w:proofErr w:type="gramEnd"/>
      <w:r w:rsidRPr="008E6D90">
        <w:t xml:space="preserve"> 22 December 2017)</w:t>
      </w:r>
    </w:p>
    <w:p w:rsidR="008E0ADB" w:rsidRDefault="008E0ADB" w:rsidP="008E0ADB">
      <w:r>
        <w:t xml:space="preserve">As a public body, the NMRN has legal obligations under the </w:t>
      </w:r>
      <w:r w:rsidRPr="002D02EA">
        <w:rPr>
          <w:b/>
        </w:rPr>
        <w:t>Public Contracts Regulations 2015</w:t>
      </w:r>
      <w:r>
        <w:t xml:space="preserve"> that it must follow.</w:t>
      </w:r>
    </w:p>
    <w:p w:rsidR="006052FC" w:rsidRPr="006052FC" w:rsidRDefault="008E0ADB" w:rsidP="006052FC">
      <w:pPr>
        <w:rPr>
          <w:i/>
        </w:rPr>
      </w:pPr>
      <w:r>
        <w:rPr>
          <w:i/>
        </w:rPr>
        <w:t>T</w:t>
      </w:r>
      <w:r w:rsidR="006052FC" w:rsidRPr="006052FC">
        <w:rPr>
          <w:i/>
        </w:rPr>
        <w:t xml:space="preserve">his is a very brief summary of the key requirements of the relevant procurement regulations.  The procurement regulations </w:t>
      </w:r>
      <w:r>
        <w:rPr>
          <w:i/>
        </w:rPr>
        <w:t>can be</w:t>
      </w:r>
      <w:r w:rsidR="006052FC" w:rsidRPr="006052FC">
        <w:rPr>
          <w:i/>
        </w:rPr>
        <w:t xml:space="preserve"> complex and sometimes require a significant lead-in time.  As such, please plan </w:t>
      </w:r>
      <w:r>
        <w:rPr>
          <w:i/>
        </w:rPr>
        <w:t xml:space="preserve">any </w:t>
      </w:r>
      <w:r w:rsidR="006052FC" w:rsidRPr="006052FC">
        <w:rPr>
          <w:i/>
        </w:rPr>
        <w:t>significant procurement projects (in particular those with a value of £25,000 or more) well ahead of time and seek early advice or guidance relating to any planned procurement activities.</w:t>
      </w:r>
    </w:p>
    <w:p w:rsidR="000279CE" w:rsidRDefault="00447F8F" w:rsidP="000279CE">
      <w:r>
        <w:t xml:space="preserve">The NMRN is </w:t>
      </w:r>
      <w:r w:rsidR="000279CE">
        <w:t>classified</w:t>
      </w:r>
      <w:r>
        <w:t xml:space="preserve"> as a “</w:t>
      </w:r>
      <w:r w:rsidR="000279CE">
        <w:t>sub central</w:t>
      </w:r>
      <w:r>
        <w:t xml:space="preserve"> contracting authority” under the regulations.  This means that the </w:t>
      </w:r>
      <w:r w:rsidR="000279CE">
        <w:t>pr</w:t>
      </w:r>
      <w:r>
        <w:t>ocure</w:t>
      </w:r>
      <w:r w:rsidR="000279CE">
        <w:t>me</w:t>
      </w:r>
      <w:r>
        <w:t xml:space="preserve">nt thresholds that apply to us are </w:t>
      </w:r>
      <w:r w:rsidR="000279CE">
        <w:t>different</w:t>
      </w:r>
      <w:r>
        <w:t xml:space="preserve"> to those of a central government </w:t>
      </w:r>
      <w:r w:rsidR="000279CE">
        <w:t>authority</w:t>
      </w:r>
      <w:r>
        <w:t xml:space="preserve">.  We are, however, still a public sector </w:t>
      </w:r>
      <w:r w:rsidR="000279CE">
        <w:t>organisation</w:t>
      </w:r>
      <w:r>
        <w:t xml:space="preserve"> and are </w:t>
      </w:r>
      <w:r w:rsidR="000279CE">
        <w:t>expected</w:t>
      </w:r>
      <w:r>
        <w:t xml:space="preserve"> to </w:t>
      </w:r>
      <w:r w:rsidR="000279CE">
        <w:t xml:space="preserve">comply with </w:t>
      </w:r>
      <w:hyperlink r:id="rId5" w:history="1">
        <w:r w:rsidR="00B515B8">
          <w:rPr>
            <w:rStyle w:val="Hyperlink"/>
          </w:rPr>
          <w:t>Managing Public Money</w:t>
        </w:r>
      </w:hyperlink>
      <w:r w:rsidR="000279CE">
        <w:t>, securing value for money through sound procurement and normally acquiring goods and services through fair and open competition.</w:t>
      </w:r>
    </w:p>
    <w:p w:rsidR="008E0ADB" w:rsidRDefault="002D02EA" w:rsidP="000279CE">
      <w:r>
        <w:t xml:space="preserve">The Crown Commercial Service and Cabinet Office release </w:t>
      </w:r>
      <w:hyperlink r:id="rId6" w:history="1">
        <w:r>
          <w:rPr>
            <w:rStyle w:val="Hyperlink"/>
          </w:rPr>
          <w:t>Procurement Policy Notes</w:t>
        </w:r>
      </w:hyperlink>
      <w:r>
        <w:t xml:space="preserve"> from time to time providing best practice guidance for public sector procurement.</w:t>
      </w:r>
    </w:p>
    <w:p w:rsidR="002D02EA" w:rsidRDefault="002D02EA" w:rsidP="000279CE">
      <w:pPr>
        <w:rPr>
          <w:b/>
          <w:u w:val="single"/>
        </w:rPr>
      </w:pPr>
    </w:p>
    <w:p w:rsidR="008E0ADB" w:rsidRDefault="008E0ADB" w:rsidP="000279CE">
      <w:pPr>
        <w:rPr>
          <w:b/>
          <w:u w:val="single"/>
        </w:rPr>
      </w:pPr>
      <w:r w:rsidRPr="008E0ADB">
        <w:rPr>
          <w:b/>
          <w:u w:val="single"/>
        </w:rPr>
        <w:t>Contract Value</w:t>
      </w:r>
    </w:p>
    <w:p w:rsidR="008E0ADB" w:rsidRPr="008E0ADB" w:rsidRDefault="008E0ADB" w:rsidP="000279CE">
      <w:r w:rsidRPr="008E0ADB">
        <w:t>A con</w:t>
      </w:r>
      <w:r>
        <w:t>tract value is defined as follows:</w:t>
      </w:r>
    </w:p>
    <w:p w:rsidR="008E0ADB" w:rsidRPr="008E0ADB" w:rsidRDefault="008E0ADB" w:rsidP="008E0ADB">
      <w:pPr>
        <w:numPr>
          <w:ilvl w:val="0"/>
          <w:numId w:val="1"/>
        </w:numPr>
        <w:shd w:val="clear" w:color="auto" w:fill="FFFFFF"/>
        <w:spacing w:before="100" w:beforeAutospacing="1" w:after="240" w:line="300" w:lineRule="atLeast"/>
        <w:ind w:hanging="357"/>
        <w:rPr>
          <w:u w:val="single"/>
        </w:rPr>
      </w:pPr>
      <w:r w:rsidRPr="008E0ADB">
        <w:t xml:space="preserve">The estimated value of the contract must </w:t>
      </w:r>
      <w:r w:rsidRPr="008E0ADB">
        <w:rPr>
          <w:u w:val="single"/>
        </w:rPr>
        <w:t>include all costs</w:t>
      </w:r>
      <w:r w:rsidRPr="008E0ADB">
        <w:t xml:space="preserve">, not simply the purchase price, e.g. delivery, installation and any ongoing annual charges such as maintenance/support packages.  </w:t>
      </w:r>
      <w:r w:rsidRPr="008E0ADB">
        <w:rPr>
          <w:u w:val="single"/>
        </w:rPr>
        <w:t>It excludes VAT.</w:t>
      </w:r>
    </w:p>
    <w:p w:rsidR="008E0ADB" w:rsidRPr="008E0ADB" w:rsidRDefault="008E0ADB" w:rsidP="008E0ADB">
      <w:pPr>
        <w:numPr>
          <w:ilvl w:val="0"/>
          <w:numId w:val="1"/>
        </w:numPr>
        <w:shd w:val="clear" w:color="auto" w:fill="FFFFFF"/>
        <w:spacing w:before="100" w:beforeAutospacing="1" w:after="240" w:line="300" w:lineRule="atLeast"/>
        <w:ind w:hanging="357"/>
      </w:pPr>
      <w:r w:rsidRPr="008E0ADB">
        <w:t xml:space="preserve">If a contract is to be let over a period, the aggregated spend determines the total contract value </w:t>
      </w:r>
    </w:p>
    <w:p w:rsidR="008E0ADB" w:rsidRPr="008E0ADB" w:rsidRDefault="008E0ADB" w:rsidP="008E0ADB">
      <w:pPr>
        <w:numPr>
          <w:ilvl w:val="1"/>
          <w:numId w:val="1"/>
        </w:numPr>
        <w:shd w:val="clear" w:color="auto" w:fill="FFFFFF"/>
        <w:spacing w:before="100" w:beforeAutospacing="1" w:after="240" w:line="300" w:lineRule="atLeast"/>
        <w:ind w:hanging="357"/>
        <w:rPr>
          <w:rFonts w:eastAsia="Times New Roman"/>
        </w:rPr>
      </w:pPr>
      <w:proofErr w:type="gramStart"/>
      <w:r w:rsidRPr="008E0ADB">
        <w:rPr>
          <w:rFonts w:eastAsia="Times New Roman"/>
        </w:rPr>
        <w:t>e.g</w:t>
      </w:r>
      <w:proofErr w:type="gramEnd"/>
      <w:r w:rsidRPr="008E0ADB">
        <w:rPr>
          <w:rFonts w:eastAsia="Times New Roman"/>
        </w:rPr>
        <w:t xml:space="preserve">. for a contract payable by monthly payments of £700 over the period of a year, the contract value is £8,400 and three quotations should be obtained.  </w:t>
      </w:r>
    </w:p>
    <w:p w:rsidR="008E0ADB" w:rsidRPr="008E0ADB" w:rsidRDefault="008E0ADB" w:rsidP="008E0ADB">
      <w:pPr>
        <w:numPr>
          <w:ilvl w:val="1"/>
          <w:numId w:val="1"/>
        </w:numPr>
        <w:shd w:val="clear" w:color="auto" w:fill="FFFFFF"/>
        <w:spacing w:before="100" w:beforeAutospacing="1" w:after="240" w:line="300" w:lineRule="atLeast"/>
        <w:ind w:hanging="357"/>
        <w:rPr>
          <w:rFonts w:eastAsia="Times New Roman"/>
        </w:rPr>
      </w:pPr>
      <w:r w:rsidRPr="008E0ADB">
        <w:rPr>
          <w:rFonts w:eastAsia="Times New Roman"/>
        </w:rPr>
        <w:t>If the same contract is to be let over a period of three years, the contract value is £25,200 and a full tender process must be followed.</w:t>
      </w:r>
    </w:p>
    <w:p w:rsidR="008E0ADB" w:rsidRPr="008E0ADB" w:rsidRDefault="008E0ADB" w:rsidP="008E0ADB">
      <w:pPr>
        <w:numPr>
          <w:ilvl w:val="0"/>
          <w:numId w:val="1"/>
        </w:numPr>
        <w:shd w:val="clear" w:color="auto" w:fill="FFFFFF"/>
        <w:spacing w:before="100" w:beforeAutospacing="1" w:after="240" w:line="300" w:lineRule="atLeast"/>
        <w:ind w:hanging="357"/>
      </w:pPr>
      <w:r w:rsidRPr="008E0ADB">
        <w:t xml:space="preserve">Items of a similar type should be included in one contract.  They must not be split into several contracts to disaggregate </w:t>
      </w:r>
      <w:proofErr w:type="gramStart"/>
      <w:r w:rsidRPr="008E0ADB">
        <w:t>the spend</w:t>
      </w:r>
      <w:proofErr w:type="gramEnd"/>
      <w:r w:rsidRPr="008E0ADB">
        <w:t>.</w:t>
      </w:r>
    </w:p>
    <w:p w:rsidR="008E0ADB" w:rsidRPr="008E0ADB" w:rsidRDefault="008E0ADB" w:rsidP="008E0ADB">
      <w:pPr>
        <w:numPr>
          <w:ilvl w:val="0"/>
          <w:numId w:val="1"/>
        </w:numPr>
        <w:shd w:val="clear" w:color="auto" w:fill="FFFFFF"/>
        <w:spacing w:before="100" w:beforeAutospacing="1" w:after="240" w:line="300" w:lineRule="atLeast"/>
        <w:ind w:hanging="357"/>
      </w:pPr>
      <w:r w:rsidRPr="008E0ADB">
        <w:t xml:space="preserve">Contracts must be approved by an authoriser with the appropriate authority band based on the aggregated contract value.  So if you are authorised at Band F, up to £2,000, you </w:t>
      </w:r>
      <w:r w:rsidRPr="008E0ADB">
        <w:rPr>
          <w:u w:val="single"/>
        </w:rPr>
        <w:t>may not</w:t>
      </w:r>
      <w:r w:rsidRPr="008E0ADB">
        <w:t xml:space="preserve"> approve the contracts in the example above.</w:t>
      </w:r>
    </w:p>
    <w:p w:rsidR="00F562E8" w:rsidRPr="00F562E8" w:rsidRDefault="00F562E8" w:rsidP="000279CE">
      <w:pPr>
        <w:rPr>
          <w:b/>
          <w:u w:val="single"/>
        </w:rPr>
      </w:pPr>
      <w:r w:rsidRPr="00F562E8">
        <w:rPr>
          <w:b/>
          <w:u w:val="single"/>
        </w:rPr>
        <w:t xml:space="preserve">EU </w:t>
      </w:r>
      <w:r w:rsidR="00000E0D" w:rsidRPr="00F562E8">
        <w:rPr>
          <w:b/>
          <w:u w:val="single"/>
        </w:rPr>
        <w:t>Procurement</w:t>
      </w:r>
    </w:p>
    <w:p w:rsidR="000279CE" w:rsidRDefault="000279CE" w:rsidP="000279CE">
      <w:r>
        <w:t xml:space="preserve">The </w:t>
      </w:r>
      <w:r w:rsidR="00494B3A">
        <w:t xml:space="preserve">Public Contracts Regulations </w:t>
      </w:r>
      <w:r w:rsidR="006052FC">
        <w:t>2015</w:t>
      </w:r>
      <w:r>
        <w:t xml:space="preserve"> regulations require </w:t>
      </w:r>
      <w:r w:rsidR="005536D9">
        <w:t xml:space="preserve">that we do </w:t>
      </w:r>
      <w:r>
        <w:t>the following:</w:t>
      </w:r>
    </w:p>
    <w:p w:rsidR="000279CE" w:rsidRDefault="000279CE" w:rsidP="00BD40CC">
      <w:pPr>
        <w:pStyle w:val="ListParagraph"/>
        <w:numPr>
          <w:ilvl w:val="0"/>
          <w:numId w:val="1"/>
        </w:numPr>
      </w:pPr>
      <w:r>
        <w:lastRenderedPageBreak/>
        <w:t>Where a proposed contract exceeds an estimated value threshold (excluding VAT) of:</w:t>
      </w:r>
    </w:p>
    <w:p w:rsidR="000279CE" w:rsidRDefault="000279CE" w:rsidP="00BD40CC">
      <w:pPr>
        <w:pStyle w:val="ListParagraph"/>
        <w:numPr>
          <w:ilvl w:val="1"/>
          <w:numId w:val="1"/>
        </w:numPr>
      </w:pPr>
      <w:r>
        <w:t>£</w:t>
      </w:r>
      <w:r w:rsidR="00A862E9">
        <w:t>181,302</w:t>
      </w:r>
      <w:r>
        <w:t xml:space="preserve"> for supplies or services, or</w:t>
      </w:r>
    </w:p>
    <w:p w:rsidR="000279CE" w:rsidRDefault="000279CE" w:rsidP="00BD40CC">
      <w:pPr>
        <w:pStyle w:val="ListParagraph"/>
        <w:numPr>
          <w:ilvl w:val="1"/>
          <w:numId w:val="1"/>
        </w:numPr>
      </w:pPr>
      <w:r>
        <w:t>£4,</w:t>
      </w:r>
      <w:r w:rsidR="00A862E9">
        <w:t>551,413</w:t>
      </w:r>
      <w:r>
        <w:t xml:space="preserve"> for works</w:t>
      </w:r>
    </w:p>
    <w:p w:rsidR="005536D9" w:rsidRDefault="005536D9" w:rsidP="00BD40CC">
      <w:pPr>
        <w:ind w:left="360"/>
      </w:pPr>
      <w:r>
        <w:t xml:space="preserve">We must follow </w:t>
      </w:r>
      <w:r w:rsidR="00386DB4">
        <w:t xml:space="preserve">a full EU procurement process as defined within </w:t>
      </w:r>
      <w:r>
        <w:t>the regulations.</w:t>
      </w:r>
    </w:p>
    <w:p w:rsidR="00BD40CC" w:rsidRPr="00BD40CC" w:rsidRDefault="00BD40CC" w:rsidP="00BD40CC">
      <w:pPr>
        <w:pStyle w:val="ListParagraph"/>
        <w:numPr>
          <w:ilvl w:val="0"/>
          <w:numId w:val="1"/>
        </w:numPr>
      </w:pPr>
      <w:r w:rsidRPr="006052FC">
        <w:t xml:space="preserve">The estimated value of </w:t>
      </w:r>
      <w:r w:rsidR="00000E0D" w:rsidRPr="006052FC">
        <w:t>procurement</w:t>
      </w:r>
      <w:r w:rsidRPr="006052FC">
        <w:t xml:space="preserve"> is based on the total amount payable over the </w:t>
      </w:r>
      <w:r w:rsidR="00000E0D" w:rsidRPr="006052FC">
        <w:t>duration</w:t>
      </w:r>
      <w:r w:rsidRPr="006052FC">
        <w:t xml:space="preserve"> of the contract, net of VAT, including any form of option or contract renewals as explicitly set out in the procurement documents.  </w:t>
      </w:r>
    </w:p>
    <w:p w:rsidR="00BD40CC" w:rsidRPr="00BD40CC" w:rsidRDefault="00BD40CC" w:rsidP="00BD40CC">
      <w:pPr>
        <w:pStyle w:val="ListParagraph"/>
        <w:ind w:left="360"/>
      </w:pPr>
    </w:p>
    <w:p w:rsidR="00BD40CC" w:rsidRDefault="00000E0D" w:rsidP="00BD40CC">
      <w:pPr>
        <w:pStyle w:val="ListParagraph"/>
        <w:numPr>
          <w:ilvl w:val="0"/>
          <w:numId w:val="1"/>
        </w:numPr>
      </w:pPr>
      <w:r>
        <w:t>Procurement</w:t>
      </w:r>
      <w:r w:rsidR="00BD40CC">
        <w:t xml:space="preserve"> must not be subdivided to circumvent the </w:t>
      </w:r>
      <w:r>
        <w:t>regulations</w:t>
      </w:r>
      <w:r w:rsidR="00B01A13">
        <w:t xml:space="preserve"> nor should it be </w:t>
      </w:r>
      <w:r w:rsidR="00B01A13" w:rsidRPr="006052FC">
        <w:t>designed with the intention of it artificially narrowing competition.</w:t>
      </w:r>
    </w:p>
    <w:p w:rsidR="00BD40CC" w:rsidRDefault="00BD40CC" w:rsidP="00BD40CC">
      <w:pPr>
        <w:pStyle w:val="ListParagraph"/>
        <w:ind w:left="360"/>
      </w:pPr>
    </w:p>
    <w:p w:rsidR="000279CE" w:rsidRDefault="000279CE" w:rsidP="00BD40CC">
      <w:pPr>
        <w:pStyle w:val="ListParagraph"/>
        <w:numPr>
          <w:ilvl w:val="0"/>
          <w:numId w:val="1"/>
        </w:numPr>
      </w:pPr>
      <w:r>
        <w:t xml:space="preserve">We </w:t>
      </w:r>
      <w:r w:rsidR="008803D5">
        <w:t>are expected to follow one of five standard procedure routes defined in the regulation</w:t>
      </w:r>
      <w:r w:rsidR="005536D9">
        <w:t>s</w:t>
      </w:r>
      <w:r w:rsidR="008803D5">
        <w:t>.  The nature of the vast majority of our procurement decisions dictates that we should follow the “Open Procedure”</w:t>
      </w:r>
      <w:r w:rsidR="005536D9">
        <w:t xml:space="preserve"> where the standard timescale from despatch of contract notice to receipt of responses is 35 days plus a 10 day standstill period.</w:t>
      </w:r>
      <w:r w:rsidR="00BD40CC">
        <w:t xml:space="preserve"> </w:t>
      </w:r>
    </w:p>
    <w:p w:rsidR="008803D5" w:rsidRDefault="008803D5" w:rsidP="00BD40CC">
      <w:pPr>
        <w:pStyle w:val="ListParagraph"/>
        <w:ind w:left="360"/>
      </w:pPr>
    </w:p>
    <w:p w:rsidR="00F562E8" w:rsidRDefault="00F562E8" w:rsidP="00F562E8">
      <w:pPr>
        <w:pStyle w:val="ListParagraph"/>
        <w:ind w:left="0"/>
        <w:rPr>
          <w:b/>
          <w:u w:val="single"/>
        </w:rPr>
      </w:pPr>
      <w:r>
        <w:rPr>
          <w:b/>
          <w:u w:val="single"/>
        </w:rPr>
        <w:t>Below-thre</w:t>
      </w:r>
      <w:r w:rsidRPr="00F562E8">
        <w:rPr>
          <w:b/>
          <w:u w:val="single"/>
        </w:rPr>
        <w:t xml:space="preserve">shold procurement </w:t>
      </w:r>
    </w:p>
    <w:p w:rsidR="00F562E8" w:rsidRPr="00F562E8" w:rsidRDefault="00F562E8" w:rsidP="00F562E8">
      <w:pPr>
        <w:pStyle w:val="ListParagraph"/>
        <w:ind w:left="0"/>
        <w:rPr>
          <w:b/>
          <w:u w:val="single"/>
        </w:rPr>
      </w:pPr>
    </w:p>
    <w:p w:rsidR="00BD40CC" w:rsidRDefault="008803D5" w:rsidP="00BD40CC">
      <w:pPr>
        <w:pStyle w:val="ListParagraph"/>
        <w:numPr>
          <w:ilvl w:val="0"/>
          <w:numId w:val="1"/>
        </w:numPr>
      </w:pPr>
      <w:r>
        <w:t>Where a proposed contract is “</w:t>
      </w:r>
      <w:r w:rsidRPr="008803D5">
        <w:t xml:space="preserve">below-threshold” we are still required to procure it in line with the general principles of fair </w:t>
      </w:r>
      <w:r w:rsidR="00BD40CC" w:rsidRPr="008803D5">
        <w:t>and</w:t>
      </w:r>
      <w:r w:rsidRPr="008803D5">
        <w:t xml:space="preserve"> </w:t>
      </w:r>
      <w:r w:rsidR="00BD40CC" w:rsidRPr="008803D5">
        <w:t>open</w:t>
      </w:r>
      <w:r w:rsidRPr="008803D5">
        <w:t xml:space="preserve"> competition.  </w:t>
      </w:r>
    </w:p>
    <w:p w:rsidR="00BD40CC" w:rsidRDefault="00BD40CC" w:rsidP="00BD40CC">
      <w:pPr>
        <w:pStyle w:val="ListParagraph"/>
        <w:ind w:left="360"/>
      </w:pPr>
    </w:p>
    <w:p w:rsidR="008803D5" w:rsidRDefault="008803D5" w:rsidP="00BD40CC">
      <w:pPr>
        <w:pStyle w:val="ListParagraph"/>
        <w:numPr>
          <w:ilvl w:val="0"/>
          <w:numId w:val="1"/>
        </w:numPr>
      </w:pPr>
      <w:r w:rsidRPr="008803D5">
        <w:t xml:space="preserve">What these principles imply in </w:t>
      </w:r>
      <w:r w:rsidR="00BD40CC" w:rsidRPr="008803D5">
        <w:t>practice</w:t>
      </w:r>
      <w:r w:rsidRPr="008803D5">
        <w:t xml:space="preserve"> is that the contract has to be "adequately" advertised and some form of fair competition run thereafter.  The scope and nature of the advertisement will depend on the nature of the contract in question and who is or is likely to be interested in it.</w:t>
      </w:r>
      <w:r>
        <w:t xml:space="preserve">  </w:t>
      </w:r>
      <w:r w:rsidR="0083518D">
        <w:rPr>
          <w:b/>
        </w:rPr>
        <w:t>It is a legal</w:t>
      </w:r>
      <w:r w:rsidRPr="006052FC">
        <w:rPr>
          <w:b/>
        </w:rPr>
        <w:t xml:space="preserve"> require</w:t>
      </w:r>
      <w:r w:rsidR="0083518D">
        <w:rPr>
          <w:b/>
        </w:rPr>
        <w:t>ment</w:t>
      </w:r>
      <w:r w:rsidRPr="006052FC">
        <w:rPr>
          <w:b/>
        </w:rPr>
        <w:t xml:space="preserve"> that where a </w:t>
      </w:r>
      <w:r w:rsidR="00BD40CC" w:rsidRPr="006052FC">
        <w:rPr>
          <w:b/>
        </w:rPr>
        <w:t>contract</w:t>
      </w:r>
      <w:r w:rsidRPr="006052FC">
        <w:rPr>
          <w:b/>
        </w:rPr>
        <w:t xml:space="preserve"> exceeding £25,000 is advertised, it must also be advertised on the government’s </w:t>
      </w:r>
      <w:hyperlink r:id="rId7" w:history="1">
        <w:r w:rsidRPr="006052FC">
          <w:rPr>
            <w:b/>
            <w:color w:val="0070C0"/>
          </w:rPr>
          <w:t>"Contracts Finder"</w:t>
        </w:r>
      </w:hyperlink>
      <w:r w:rsidRPr="006052FC">
        <w:rPr>
          <w:b/>
        </w:rPr>
        <w:t xml:space="preserve"> portal</w:t>
      </w:r>
      <w:r w:rsidR="00BD40CC" w:rsidRPr="006052FC">
        <w:rPr>
          <w:b/>
        </w:rPr>
        <w:t xml:space="preserve"> within 24 hours of when it is first advertised in any other way</w:t>
      </w:r>
      <w:r w:rsidR="00BD40CC" w:rsidRPr="006052FC">
        <w:t>.</w:t>
      </w:r>
    </w:p>
    <w:p w:rsidR="006052FC" w:rsidRDefault="006052FC" w:rsidP="006052FC">
      <w:pPr>
        <w:pStyle w:val="ListParagraph"/>
      </w:pPr>
    </w:p>
    <w:p w:rsidR="00BD40CC" w:rsidRPr="00BD40CC" w:rsidRDefault="00BD40CC" w:rsidP="00BD40CC">
      <w:pPr>
        <w:pStyle w:val="ListParagraph"/>
        <w:numPr>
          <w:ilvl w:val="0"/>
          <w:numId w:val="1"/>
        </w:numPr>
      </w:pPr>
      <w:r w:rsidRPr="006052FC">
        <w:t>Information on contracts awarded must also be published on Contracts Finder within a reasonable time.</w:t>
      </w:r>
    </w:p>
    <w:p w:rsidR="00BD40CC" w:rsidRDefault="00BD40CC" w:rsidP="00BD40CC">
      <w:pPr>
        <w:pStyle w:val="ListParagraph"/>
      </w:pPr>
    </w:p>
    <w:p w:rsidR="00F562E8" w:rsidRDefault="00F562E8" w:rsidP="00F562E8">
      <w:pPr>
        <w:pStyle w:val="ListParagraph"/>
        <w:ind w:left="0"/>
        <w:rPr>
          <w:b/>
          <w:u w:val="single"/>
        </w:rPr>
      </w:pPr>
      <w:r w:rsidRPr="00F562E8">
        <w:rPr>
          <w:b/>
          <w:u w:val="single"/>
        </w:rPr>
        <w:t xml:space="preserve">Framework </w:t>
      </w:r>
      <w:r w:rsidR="00000E0D" w:rsidRPr="00F562E8">
        <w:rPr>
          <w:b/>
          <w:u w:val="single"/>
        </w:rPr>
        <w:t>agreements</w:t>
      </w:r>
    </w:p>
    <w:p w:rsidR="00F562E8" w:rsidRPr="00F562E8" w:rsidRDefault="00F562E8" w:rsidP="00F562E8">
      <w:pPr>
        <w:pStyle w:val="ListParagraph"/>
        <w:ind w:left="0"/>
        <w:rPr>
          <w:b/>
          <w:u w:val="single"/>
        </w:rPr>
      </w:pPr>
    </w:p>
    <w:p w:rsidR="00BD40CC" w:rsidRDefault="00386DB4" w:rsidP="00BD40CC">
      <w:pPr>
        <w:pStyle w:val="ListParagraph"/>
        <w:numPr>
          <w:ilvl w:val="0"/>
          <w:numId w:val="1"/>
        </w:numPr>
      </w:pPr>
      <w:r>
        <w:t xml:space="preserve">Framework agreements enable </w:t>
      </w:r>
      <w:r w:rsidR="00000E0D">
        <w:t>specific</w:t>
      </w:r>
      <w:r>
        <w:t xml:space="preserve"> purchase (“call offs”) to be made without </w:t>
      </w:r>
      <w:r w:rsidR="00000E0D">
        <w:t>going</w:t>
      </w:r>
      <w:r>
        <w:t xml:space="preserve"> through a full EU procurement process.  To make a call off, we must confirm that:</w:t>
      </w:r>
    </w:p>
    <w:p w:rsidR="00386DB4" w:rsidRDefault="00386DB4" w:rsidP="00386DB4">
      <w:pPr>
        <w:pStyle w:val="ListParagraph"/>
      </w:pPr>
    </w:p>
    <w:p w:rsidR="00386DB4" w:rsidRDefault="00000E0D" w:rsidP="00386DB4">
      <w:pPr>
        <w:pStyle w:val="ListParagraph"/>
        <w:numPr>
          <w:ilvl w:val="1"/>
          <w:numId w:val="1"/>
        </w:numPr>
      </w:pPr>
      <w:r>
        <w:t>Confirm</w:t>
      </w:r>
      <w:r w:rsidR="00F562E8">
        <w:t xml:space="preserve"> that t</w:t>
      </w:r>
      <w:r w:rsidR="00386DB4">
        <w:t>he particular goods, services or works required are available under the framework agreement; and</w:t>
      </w:r>
    </w:p>
    <w:p w:rsidR="00386DB4" w:rsidRDefault="00F562E8" w:rsidP="00386DB4">
      <w:pPr>
        <w:pStyle w:val="ListParagraph"/>
        <w:numPr>
          <w:ilvl w:val="1"/>
          <w:numId w:val="1"/>
        </w:numPr>
      </w:pPr>
      <w:r>
        <w:t>Confirm that w</w:t>
      </w:r>
      <w:r w:rsidR="00386DB4">
        <w:t xml:space="preserve">e fall within the </w:t>
      </w:r>
      <w:r w:rsidR="00000E0D">
        <w:t>definition</w:t>
      </w:r>
      <w:r w:rsidR="00386DB4">
        <w:t xml:space="preserve"> of contracting </w:t>
      </w:r>
      <w:r w:rsidR="00000E0D">
        <w:t>authorities</w:t>
      </w:r>
      <w:r w:rsidR="00386DB4">
        <w:t xml:space="preserve"> who may lawfully use the </w:t>
      </w:r>
      <w:r w:rsidR="00000E0D">
        <w:t>framework</w:t>
      </w:r>
      <w:r w:rsidR="00386DB4">
        <w:t xml:space="preserve"> </w:t>
      </w:r>
      <w:r w:rsidR="00000E0D">
        <w:t>agreement</w:t>
      </w:r>
      <w:r w:rsidR="00386DB4">
        <w:t>.</w:t>
      </w:r>
    </w:p>
    <w:p w:rsidR="00F562E8" w:rsidRDefault="00000E0D" w:rsidP="00386DB4">
      <w:pPr>
        <w:pStyle w:val="ListParagraph"/>
        <w:numPr>
          <w:ilvl w:val="1"/>
          <w:numId w:val="1"/>
        </w:numPr>
      </w:pPr>
      <w:r>
        <w:t>Ensure</w:t>
      </w:r>
      <w:r w:rsidR="00F562E8">
        <w:t xml:space="preserve"> we comply with the </w:t>
      </w:r>
      <w:r>
        <w:t>specific</w:t>
      </w:r>
      <w:r w:rsidR="00F562E8">
        <w:t xml:space="preserve"> rules and processes of the chosen framework agreement.</w:t>
      </w:r>
    </w:p>
    <w:p w:rsidR="005138EB" w:rsidRDefault="005138EB" w:rsidP="005138EB">
      <w:pPr>
        <w:pStyle w:val="ListParagraph"/>
        <w:ind w:left="1440"/>
      </w:pPr>
    </w:p>
    <w:p w:rsidR="00386DB4" w:rsidRDefault="00386DB4" w:rsidP="00000E0D">
      <w:pPr>
        <w:pStyle w:val="ListParagraph"/>
        <w:numPr>
          <w:ilvl w:val="0"/>
          <w:numId w:val="1"/>
        </w:numPr>
      </w:pPr>
      <w:r>
        <w:lastRenderedPageBreak/>
        <w:t xml:space="preserve">Where the </w:t>
      </w:r>
      <w:r w:rsidR="00000E0D">
        <w:t>terms</w:t>
      </w:r>
      <w:r>
        <w:t xml:space="preserve"> of a framework are sufficiently precise to cover a particular call off, a contract may </w:t>
      </w:r>
      <w:r w:rsidR="00000E0D">
        <w:t>be</w:t>
      </w:r>
      <w:r>
        <w:t xml:space="preserve"> awarded </w:t>
      </w:r>
      <w:r w:rsidR="00000E0D">
        <w:t>without</w:t>
      </w:r>
      <w:r>
        <w:t xml:space="preserve"> further </w:t>
      </w:r>
      <w:r w:rsidR="00000E0D">
        <w:t>competition</w:t>
      </w:r>
      <w:r>
        <w:t xml:space="preserve">.  The choice </w:t>
      </w:r>
      <w:r w:rsidR="00000E0D">
        <w:t>of</w:t>
      </w:r>
      <w:r>
        <w:t xml:space="preserve"> provider must be based on objective </w:t>
      </w:r>
      <w:r w:rsidR="00000E0D">
        <w:t>criteria</w:t>
      </w:r>
      <w:r>
        <w:t xml:space="preserve"> </w:t>
      </w:r>
      <w:r w:rsidR="00000E0D">
        <w:t>laid</w:t>
      </w:r>
      <w:r>
        <w:t xml:space="preserve"> out in the </w:t>
      </w:r>
      <w:r w:rsidR="00000E0D">
        <w:t>procurement</w:t>
      </w:r>
      <w:r>
        <w:t xml:space="preserve"> documentation.  This direct call off option is most likely to be </w:t>
      </w:r>
      <w:r w:rsidR="00000E0D">
        <w:t>relevant</w:t>
      </w:r>
      <w:r>
        <w:t xml:space="preserve"> for </w:t>
      </w:r>
      <w:r w:rsidR="00000E0D">
        <w:t>commodity</w:t>
      </w:r>
      <w:r>
        <w:t xml:space="preserve"> products and services based on value for money.</w:t>
      </w:r>
    </w:p>
    <w:p w:rsidR="00386DB4" w:rsidRDefault="00386DB4" w:rsidP="00000E0D">
      <w:pPr>
        <w:pStyle w:val="ListParagraph"/>
        <w:numPr>
          <w:ilvl w:val="0"/>
          <w:numId w:val="1"/>
        </w:numPr>
      </w:pPr>
      <w:r>
        <w:t xml:space="preserve">Where the </w:t>
      </w:r>
      <w:r w:rsidR="00000E0D">
        <w:t>terms</w:t>
      </w:r>
      <w:r>
        <w:t xml:space="preserve"> of a framework are not sufficiently precise to cover a particular call off, a mini competition should be held with all those </w:t>
      </w:r>
      <w:r w:rsidR="00000E0D">
        <w:t>suppliers</w:t>
      </w:r>
      <w:r>
        <w:t xml:space="preserve"> within the framework capable of meeting a </w:t>
      </w:r>
      <w:r w:rsidR="00000E0D">
        <w:t>particular</w:t>
      </w:r>
      <w:r>
        <w:t xml:space="preserve"> need.</w:t>
      </w:r>
      <w:r w:rsidR="00F562E8">
        <w:t xml:space="preserve">  </w:t>
      </w:r>
      <w:r w:rsidR="00000E0D">
        <w:t>The mini competition will consider supplementary terms such as delivery timescales, associated services, or special terms such as specific services provided to meet a particular requirement.  All framework providers capable of performing the contract must be invited to submit a written tender for each contract to be awarded.</w:t>
      </w:r>
    </w:p>
    <w:p w:rsidR="00386DB4" w:rsidRDefault="00386DB4" w:rsidP="00F562E8">
      <w:pPr>
        <w:pStyle w:val="ListParagraph"/>
      </w:pPr>
    </w:p>
    <w:p w:rsidR="00F562E8" w:rsidRPr="00F562E8" w:rsidRDefault="00F562E8" w:rsidP="00F562E8">
      <w:pPr>
        <w:pStyle w:val="ListParagraph"/>
        <w:ind w:left="0"/>
        <w:rPr>
          <w:b/>
          <w:u w:val="single"/>
        </w:rPr>
      </w:pPr>
      <w:r w:rsidRPr="00F562E8">
        <w:rPr>
          <w:b/>
          <w:u w:val="single"/>
        </w:rPr>
        <w:t xml:space="preserve">NMRN </w:t>
      </w:r>
      <w:r>
        <w:rPr>
          <w:b/>
          <w:u w:val="single"/>
        </w:rPr>
        <w:t xml:space="preserve">Financial </w:t>
      </w:r>
      <w:r w:rsidRPr="00F562E8">
        <w:rPr>
          <w:b/>
          <w:u w:val="single"/>
        </w:rPr>
        <w:t>Scheme of Delegation</w:t>
      </w:r>
    </w:p>
    <w:p w:rsidR="00F562E8" w:rsidRPr="008803D5" w:rsidRDefault="00F562E8" w:rsidP="00F562E8">
      <w:pPr>
        <w:pStyle w:val="ListParagraph"/>
        <w:ind w:left="0"/>
      </w:pPr>
    </w:p>
    <w:p w:rsidR="008803D5" w:rsidRDefault="00F562E8" w:rsidP="00000E0D">
      <w:pPr>
        <w:pStyle w:val="ListParagraph"/>
        <w:numPr>
          <w:ilvl w:val="0"/>
          <w:numId w:val="1"/>
        </w:numPr>
      </w:pPr>
      <w:r>
        <w:t xml:space="preserve">The financial </w:t>
      </w:r>
      <w:r w:rsidR="00000E0D">
        <w:t>scheme</w:t>
      </w:r>
      <w:r>
        <w:t xml:space="preserve">  of delegation requires that for all purchases</w:t>
      </w:r>
      <w:r w:rsidR="00261EE9">
        <w:t xml:space="preserve"> with a total contract value</w:t>
      </w:r>
      <w:r>
        <w:t>:</w:t>
      </w:r>
    </w:p>
    <w:p w:rsidR="00F562E8" w:rsidRDefault="00F562E8" w:rsidP="00F562E8">
      <w:pPr>
        <w:pStyle w:val="ListParagraph"/>
        <w:numPr>
          <w:ilvl w:val="0"/>
          <w:numId w:val="3"/>
        </w:numPr>
      </w:pPr>
      <w:r>
        <w:t>Over £25,001 a full tendering procedure must be followed</w:t>
      </w:r>
    </w:p>
    <w:p w:rsidR="00F562E8" w:rsidRDefault="00F562E8" w:rsidP="00F562E8">
      <w:pPr>
        <w:pStyle w:val="ListParagraph"/>
        <w:numPr>
          <w:ilvl w:val="0"/>
          <w:numId w:val="3"/>
        </w:numPr>
      </w:pPr>
      <w:r>
        <w:t xml:space="preserve">£5,001 to £25,000 a minimum of 3 written </w:t>
      </w:r>
      <w:r w:rsidR="00000E0D">
        <w:t>quotations</w:t>
      </w:r>
      <w:r>
        <w:t xml:space="preserve"> must be obtained</w:t>
      </w:r>
    </w:p>
    <w:p w:rsidR="00F562E8" w:rsidRDefault="00F562E8" w:rsidP="00F562E8">
      <w:pPr>
        <w:pStyle w:val="ListParagraph"/>
        <w:numPr>
          <w:ilvl w:val="0"/>
          <w:numId w:val="3"/>
        </w:numPr>
      </w:pPr>
      <w:r>
        <w:t xml:space="preserve">Below £5,000 </w:t>
      </w:r>
      <w:r w:rsidR="00000E0D">
        <w:t>value</w:t>
      </w:r>
      <w:r>
        <w:t xml:space="preserve"> for money must be properly </w:t>
      </w:r>
      <w:r w:rsidR="00000E0D">
        <w:t>considered</w:t>
      </w:r>
      <w:r>
        <w:t xml:space="preserve"> and demonstrated</w:t>
      </w:r>
    </w:p>
    <w:p w:rsidR="00F562E8" w:rsidRDefault="00C82381" w:rsidP="00000E0D">
      <w:pPr>
        <w:pStyle w:val="ListParagraph"/>
        <w:numPr>
          <w:ilvl w:val="0"/>
          <w:numId w:val="1"/>
        </w:numPr>
      </w:pPr>
      <w:r w:rsidRPr="005138EB">
        <w:rPr>
          <w:u w:val="single"/>
        </w:rPr>
        <w:t>Prior approval</w:t>
      </w:r>
      <w:r>
        <w:t xml:space="preserve"> must be sought from the Director General or Executive Director of </w:t>
      </w:r>
      <w:r w:rsidR="00000E0D">
        <w:t>Resources</w:t>
      </w:r>
      <w:r>
        <w:t xml:space="preserve">, plus the Chair of the Audit and Governance Committee if an </w:t>
      </w:r>
      <w:r w:rsidR="00000E0D">
        <w:t>alternative</w:t>
      </w:r>
      <w:r>
        <w:t xml:space="preserve"> </w:t>
      </w:r>
      <w:r w:rsidR="00000E0D">
        <w:t>procurement</w:t>
      </w:r>
      <w:r>
        <w:t xml:space="preserve"> route is </w:t>
      </w:r>
      <w:r w:rsidR="00000E0D">
        <w:t>proposed</w:t>
      </w:r>
      <w:r>
        <w:t>.</w:t>
      </w:r>
    </w:p>
    <w:tbl>
      <w:tblPr>
        <w:tblW w:w="5000" w:type="pct"/>
        <w:tblLook w:val="04A0" w:firstRow="1" w:lastRow="0" w:firstColumn="1" w:lastColumn="0" w:noHBand="0" w:noVBand="1"/>
      </w:tblPr>
      <w:tblGrid>
        <w:gridCol w:w="2475"/>
        <w:gridCol w:w="3352"/>
        <w:gridCol w:w="380"/>
        <w:gridCol w:w="2809"/>
      </w:tblGrid>
      <w:tr w:rsidR="00BB519D" w:rsidRPr="00751A39" w:rsidTr="00BB519D">
        <w:trPr>
          <w:cantSplit/>
          <w:trHeight w:val="288"/>
          <w:tblHeader/>
        </w:trPr>
        <w:tc>
          <w:tcPr>
            <w:tcW w:w="1372"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BB519D" w:rsidRPr="00751A39" w:rsidRDefault="00BB519D" w:rsidP="00C648DC">
            <w:pPr>
              <w:rPr>
                <w:rFonts w:cs="Times New Roman"/>
                <w:b/>
                <w:bCs/>
                <w:color w:val="000000"/>
                <w:lang w:eastAsia="en-GB"/>
              </w:rPr>
            </w:pPr>
            <w:r w:rsidRPr="00751A39">
              <w:rPr>
                <w:rFonts w:cs="Times New Roman"/>
                <w:b/>
                <w:bCs/>
                <w:color w:val="000000"/>
                <w:lang w:eastAsia="en-GB"/>
              </w:rPr>
              <w:t>Procurement value:</w:t>
            </w:r>
          </w:p>
        </w:tc>
        <w:tc>
          <w:tcPr>
            <w:tcW w:w="1859" w:type="pct"/>
            <w:tcBorders>
              <w:top w:val="single" w:sz="4" w:space="0" w:color="auto"/>
              <w:left w:val="nil"/>
              <w:bottom w:val="single" w:sz="4" w:space="0" w:color="auto"/>
              <w:right w:val="single" w:sz="4" w:space="0" w:color="auto"/>
            </w:tcBorders>
            <w:shd w:val="clear" w:color="000000" w:fill="C5D9F1"/>
            <w:vAlign w:val="center"/>
            <w:hideMark/>
          </w:tcPr>
          <w:p w:rsidR="00BB519D" w:rsidRPr="00751A39" w:rsidRDefault="00BB519D" w:rsidP="00C648DC">
            <w:pPr>
              <w:rPr>
                <w:rFonts w:cs="Times New Roman"/>
                <w:b/>
                <w:bCs/>
                <w:color w:val="000000"/>
                <w:lang w:eastAsia="en-GB"/>
              </w:rPr>
            </w:pPr>
            <w:r w:rsidRPr="00751A39">
              <w:rPr>
                <w:rFonts w:cs="Times New Roman"/>
                <w:b/>
                <w:bCs/>
                <w:color w:val="000000"/>
                <w:lang w:eastAsia="en-GB"/>
              </w:rPr>
              <w:t>Procurement route:</w:t>
            </w:r>
          </w:p>
        </w:tc>
        <w:tc>
          <w:tcPr>
            <w:tcW w:w="1769" w:type="pct"/>
            <w:gridSpan w:val="2"/>
            <w:tcBorders>
              <w:top w:val="single" w:sz="4" w:space="0" w:color="auto"/>
              <w:left w:val="nil"/>
              <w:bottom w:val="single" w:sz="4" w:space="0" w:color="auto"/>
              <w:right w:val="single" w:sz="4" w:space="0" w:color="000000"/>
            </w:tcBorders>
            <w:shd w:val="clear" w:color="000000" w:fill="C5D9F1"/>
            <w:vAlign w:val="center"/>
            <w:hideMark/>
          </w:tcPr>
          <w:p w:rsidR="00BB519D" w:rsidRPr="00751A39" w:rsidRDefault="00BB519D" w:rsidP="00C648DC">
            <w:pPr>
              <w:rPr>
                <w:rFonts w:cs="Times New Roman"/>
                <w:b/>
                <w:bCs/>
                <w:color w:val="000000"/>
                <w:lang w:eastAsia="en-GB"/>
              </w:rPr>
            </w:pPr>
            <w:r w:rsidRPr="00751A39">
              <w:rPr>
                <w:rFonts w:cs="Times New Roman"/>
                <w:b/>
                <w:bCs/>
                <w:color w:val="000000"/>
                <w:lang w:eastAsia="en-GB"/>
              </w:rPr>
              <w:t>Authority Band:</w:t>
            </w:r>
          </w:p>
        </w:tc>
      </w:tr>
      <w:tr w:rsidR="00BB519D" w:rsidRPr="00751A39" w:rsidTr="00BB519D">
        <w:trPr>
          <w:cantSplit/>
          <w:trHeight w:val="576"/>
        </w:trPr>
        <w:tc>
          <w:tcPr>
            <w:tcW w:w="1372" w:type="pct"/>
            <w:tcBorders>
              <w:top w:val="nil"/>
              <w:left w:val="single" w:sz="4" w:space="0" w:color="auto"/>
              <w:bottom w:val="nil"/>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Over £250,001</w:t>
            </w:r>
          </w:p>
        </w:tc>
        <w:tc>
          <w:tcPr>
            <w:tcW w:w="1859" w:type="pct"/>
            <w:vMerge w:val="restart"/>
            <w:tcBorders>
              <w:top w:val="nil"/>
              <w:left w:val="single" w:sz="4" w:space="0" w:color="auto"/>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Full tendering procedure to be followed in accordance with Public Contracts Regulations including advertisement on "Contracts Finder" portal</w:t>
            </w: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A</w:t>
            </w:r>
          </w:p>
        </w:tc>
        <w:tc>
          <w:tcPr>
            <w:tcW w:w="1558"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lang w:eastAsia="en-GB"/>
              </w:rPr>
            </w:pPr>
            <w:r w:rsidRPr="00751A39">
              <w:rPr>
                <w:rFonts w:cs="Times New Roman"/>
                <w:lang w:eastAsia="en-GB"/>
              </w:rPr>
              <w:t>Chair, Deputy Chair, Chair of Audit and Governance</w:t>
            </w:r>
          </w:p>
        </w:tc>
      </w:tr>
      <w:tr w:rsidR="00BB519D" w:rsidRPr="00751A39" w:rsidTr="00BB519D">
        <w:trPr>
          <w:cantSplit/>
          <w:trHeight w:val="672"/>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£50,001 to £250,000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B</w:t>
            </w:r>
          </w:p>
        </w:tc>
        <w:tc>
          <w:tcPr>
            <w:tcW w:w="1558"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Director General or Executive Director of Resources</w:t>
            </w:r>
          </w:p>
        </w:tc>
      </w:tr>
      <w:tr w:rsidR="00BB519D" w:rsidRPr="00751A39" w:rsidTr="00BB519D">
        <w:trPr>
          <w:cantSplit/>
          <w:trHeight w:val="576"/>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£25,001 to £50,000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C</w:t>
            </w:r>
          </w:p>
        </w:tc>
        <w:tc>
          <w:tcPr>
            <w:tcW w:w="1558"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Relevant Executive Director or Deputy Director of Resources</w:t>
            </w:r>
          </w:p>
        </w:tc>
      </w:tr>
      <w:tr w:rsidR="00BB519D" w:rsidRPr="00751A39" w:rsidTr="00BB519D">
        <w:trPr>
          <w:cantSplit/>
          <w:trHeight w:val="576"/>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£5,001 to £25,000</w:t>
            </w:r>
          </w:p>
        </w:tc>
        <w:tc>
          <w:tcPr>
            <w:tcW w:w="1859"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A minimum of 3 written quotations must be obtained</w:t>
            </w: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D</w:t>
            </w:r>
          </w:p>
        </w:tc>
        <w:tc>
          <w:tcPr>
            <w:tcW w:w="1558" w:type="pct"/>
            <w:vMerge w:val="restart"/>
            <w:tcBorders>
              <w:top w:val="nil"/>
              <w:left w:val="single" w:sz="4" w:space="0" w:color="auto"/>
              <w:bottom w:val="single" w:sz="4" w:space="0" w:color="000000"/>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Authority delegated to specified posts to be determined in writing by Director General or relevant Executive Director</w:t>
            </w:r>
          </w:p>
        </w:tc>
      </w:tr>
      <w:tr w:rsidR="00BB519D" w:rsidRPr="00751A39" w:rsidTr="00BB519D">
        <w:trPr>
          <w:cantSplit/>
          <w:trHeight w:val="288"/>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£2,001 to £5,000</w:t>
            </w:r>
          </w:p>
        </w:tc>
        <w:tc>
          <w:tcPr>
            <w:tcW w:w="1859" w:type="pct"/>
            <w:vMerge w:val="restart"/>
            <w:tcBorders>
              <w:top w:val="nil"/>
              <w:left w:val="single" w:sz="4" w:space="0" w:color="auto"/>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Value for money must be properly considered and demonstrated</w:t>
            </w: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E</w:t>
            </w:r>
          </w:p>
        </w:tc>
        <w:tc>
          <w:tcPr>
            <w:tcW w:w="1558" w:type="pct"/>
            <w:vMerge/>
            <w:tcBorders>
              <w:top w:val="nil"/>
              <w:left w:val="single" w:sz="4" w:space="0" w:color="auto"/>
              <w:bottom w:val="single" w:sz="4" w:space="0" w:color="000000"/>
              <w:right w:val="single" w:sz="4" w:space="0" w:color="auto"/>
            </w:tcBorders>
            <w:vAlign w:val="center"/>
            <w:hideMark/>
          </w:tcPr>
          <w:p w:rsidR="00BB519D" w:rsidRPr="00751A39" w:rsidRDefault="00BB519D" w:rsidP="00C648DC">
            <w:pPr>
              <w:rPr>
                <w:rFonts w:cs="Times New Roman"/>
                <w:color w:val="000000"/>
                <w:lang w:eastAsia="en-GB"/>
              </w:rPr>
            </w:pPr>
          </w:p>
        </w:tc>
      </w:tr>
      <w:tr w:rsidR="00BB519D" w:rsidRPr="00751A39" w:rsidTr="00BB519D">
        <w:trPr>
          <w:cantSplit/>
          <w:trHeight w:val="288"/>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£501 to £2,000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F</w:t>
            </w:r>
          </w:p>
        </w:tc>
        <w:tc>
          <w:tcPr>
            <w:tcW w:w="1558" w:type="pct"/>
            <w:vMerge/>
            <w:tcBorders>
              <w:top w:val="nil"/>
              <w:left w:val="single" w:sz="4" w:space="0" w:color="auto"/>
              <w:bottom w:val="single" w:sz="4" w:space="0" w:color="000000"/>
              <w:right w:val="single" w:sz="4" w:space="0" w:color="auto"/>
            </w:tcBorders>
            <w:vAlign w:val="center"/>
            <w:hideMark/>
          </w:tcPr>
          <w:p w:rsidR="00BB519D" w:rsidRPr="00751A39" w:rsidRDefault="00BB519D" w:rsidP="00C648DC">
            <w:pPr>
              <w:rPr>
                <w:rFonts w:cs="Times New Roman"/>
                <w:color w:val="000000"/>
                <w:lang w:eastAsia="en-GB"/>
              </w:rPr>
            </w:pPr>
          </w:p>
        </w:tc>
      </w:tr>
      <w:tr w:rsidR="00BB519D" w:rsidRPr="00751A39" w:rsidTr="00BB519D">
        <w:trPr>
          <w:cantSplit/>
          <w:trHeight w:val="288"/>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Up to a maximum £500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G</w:t>
            </w:r>
          </w:p>
        </w:tc>
        <w:tc>
          <w:tcPr>
            <w:tcW w:w="1558" w:type="pct"/>
            <w:vMerge/>
            <w:tcBorders>
              <w:top w:val="nil"/>
              <w:left w:val="single" w:sz="4" w:space="0" w:color="auto"/>
              <w:bottom w:val="single" w:sz="4" w:space="0" w:color="000000"/>
              <w:right w:val="single" w:sz="4" w:space="0" w:color="auto"/>
            </w:tcBorders>
            <w:vAlign w:val="center"/>
            <w:hideMark/>
          </w:tcPr>
          <w:p w:rsidR="00BB519D" w:rsidRPr="00751A39" w:rsidRDefault="00BB519D" w:rsidP="00C648DC">
            <w:pPr>
              <w:rPr>
                <w:rFonts w:cs="Times New Roman"/>
                <w:color w:val="000000"/>
                <w:lang w:eastAsia="en-GB"/>
              </w:rPr>
            </w:pPr>
          </w:p>
        </w:tc>
      </w:tr>
    </w:tbl>
    <w:p w:rsidR="00F562E8" w:rsidRDefault="00F562E8" w:rsidP="00F562E8"/>
    <w:p w:rsidR="008E6C75" w:rsidRDefault="006052FC">
      <w:r>
        <w:t>Sarah Dennis</w:t>
      </w:r>
    </w:p>
    <w:p w:rsidR="006052FC" w:rsidRDefault="00523BE3">
      <w:r>
        <w:t>22 December 2017</w:t>
      </w:r>
    </w:p>
    <w:sectPr w:rsidR="0060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8BF"/>
    <w:multiLevelType w:val="multilevel"/>
    <w:tmpl w:val="F372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07E8"/>
    <w:multiLevelType w:val="hybridMultilevel"/>
    <w:tmpl w:val="075A4F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7E3014"/>
    <w:multiLevelType w:val="hybridMultilevel"/>
    <w:tmpl w:val="1CB0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A76405"/>
    <w:multiLevelType w:val="hybridMultilevel"/>
    <w:tmpl w:val="AE48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45535"/>
    <w:multiLevelType w:val="hybridMultilevel"/>
    <w:tmpl w:val="4B3478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93D22"/>
    <w:multiLevelType w:val="hybridMultilevel"/>
    <w:tmpl w:val="9146AB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8F"/>
    <w:rsid w:val="00000E0D"/>
    <w:rsid w:val="000279CE"/>
    <w:rsid w:val="000C076A"/>
    <w:rsid w:val="00261EE9"/>
    <w:rsid w:val="002D02EA"/>
    <w:rsid w:val="00386DB4"/>
    <w:rsid w:val="00447F8F"/>
    <w:rsid w:val="00494B3A"/>
    <w:rsid w:val="0051355A"/>
    <w:rsid w:val="005138EB"/>
    <w:rsid w:val="00523BE3"/>
    <w:rsid w:val="00534EFD"/>
    <w:rsid w:val="005536D9"/>
    <w:rsid w:val="006052FC"/>
    <w:rsid w:val="0083518D"/>
    <w:rsid w:val="008803D5"/>
    <w:rsid w:val="008E0ADB"/>
    <w:rsid w:val="008E6C75"/>
    <w:rsid w:val="008E6D90"/>
    <w:rsid w:val="00A862E9"/>
    <w:rsid w:val="00B01A13"/>
    <w:rsid w:val="00B515B8"/>
    <w:rsid w:val="00BA417E"/>
    <w:rsid w:val="00BB519D"/>
    <w:rsid w:val="00BD40CC"/>
    <w:rsid w:val="00C80BD7"/>
    <w:rsid w:val="00C82381"/>
    <w:rsid w:val="00F37862"/>
    <w:rsid w:val="00F54C81"/>
    <w:rsid w:val="00F5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9A90F-DEE9-47D2-8790-D713D35C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CE"/>
    <w:pPr>
      <w:ind w:left="720"/>
      <w:contextualSpacing/>
    </w:pPr>
  </w:style>
  <w:style w:type="paragraph" w:styleId="NormalWeb">
    <w:name w:val="Normal (Web)"/>
    <w:basedOn w:val="Normal"/>
    <w:uiPriority w:val="99"/>
    <w:semiHidden/>
    <w:unhideWhenUsed/>
    <w:rsid w:val="008803D5"/>
    <w:pPr>
      <w:spacing w:before="360" w:after="360" w:line="270" w:lineRule="atLeas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03D5"/>
    <w:rPr>
      <w:color w:val="0000FF" w:themeColor="hyperlink"/>
      <w:u w:val="single"/>
    </w:rPr>
  </w:style>
  <w:style w:type="character" w:styleId="HTMLAcronym">
    <w:name w:val="HTML Acronym"/>
    <w:basedOn w:val="DefaultParagraphFont"/>
    <w:uiPriority w:val="99"/>
    <w:semiHidden/>
    <w:unhideWhenUsed/>
    <w:rsid w:val="00BD40CC"/>
  </w:style>
  <w:style w:type="character" w:styleId="FollowedHyperlink">
    <w:name w:val="FollowedHyperlink"/>
    <w:basedOn w:val="DefaultParagraphFont"/>
    <w:uiPriority w:val="99"/>
    <w:semiHidden/>
    <w:unhideWhenUsed/>
    <w:rsid w:val="00B51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48497">
      <w:bodyDiv w:val="1"/>
      <w:marLeft w:val="0"/>
      <w:marRight w:val="0"/>
      <w:marTop w:val="0"/>
      <w:marBottom w:val="0"/>
      <w:divBdr>
        <w:top w:val="none" w:sz="0" w:space="0" w:color="auto"/>
        <w:left w:val="none" w:sz="0" w:space="0" w:color="auto"/>
        <w:bottom w:val="none" w:sz="0" w:space="0" w:color="auto"/>
        <w:right w:val="none" w:sz="0" w:space="0" w:color="auto"/>
      </w:divBdr>
    </w:div>
    <w:div w:id="1430277242">
      <w:bodyDiv w:val="1"/>
      <w:marLeft w:val="0"/>
      <w:marRight w:val="0"/>
      <w:marTop w:val="0"/>
      <w:marBottom w:val="0"/>
      <w:divBdr>
        <w:top w:val="none" w:sz="0" w:space="0" w:color="auto"/>
        <w:left w:val="none" w:sz="0" w:space="0" w:color="auto"/>
        <w:bottom w:val="none" w:sz="0" w:space="0" w:color="auto"/>
        <w:right w:val="none" w:sz="0" w:space="0" w:color="auto"/>
      </w:divBdr>
      <w:divsChild>
        <w:div w:id="1240865619">
          <w:marLeft w:val="0"/>
          <w:marRight w:val="0"/>
          <w:marTop w:val="0"/>
          <w:marBottom w:val="0"/>
          <w:divBdr>
            <w:top w:val="none" w:sz="0" w:space="0" w:color="auto"/>
            <w:left w:val="none" w:sz="0" w:space="0" w:color="auto"/>
            <w:bottom w:val="none" w:sz="0" w:space="0" w:color="auto"/>
            <w:right w:val="none" w:sz="0" w:space="0" w:color="auto"/>
          </w:divBdr>
          <w:divsChild>
            <w:div w:id="1973754186">
              <w:marLeft w:val="0"/>
              <w:marRight w:val="0"/>
              <w:marTop w:val="0"/>
              <w:marBottom w:val="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sChild>
                    <w:div w:id="1023241975">
                      <w:marLeft w:val="0"/>
                      <w:marRight w:val="0"/>
                      <w:marTop w:val="0"/>
                      <w:marBottom w:val="0"/>
                      <w:divBdr>
                        <w:top w:val="none" w:sz="0" w:space="0" w:color="auto"/>
                        <w:left w:val="none" w:sz="0" w:space="0" w:color="auto"/>
                        <w:bottom w:val="none" w:sz="0" w:space="0" w:color="auto"/>
                        <w:right w:val="none" w:sz="0" w:space="0" w:color="auto"/>
                      </w:divBdr>
                      <w:divsChild>
                        <w:div w:id="6218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1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contracts-fi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procurement-policy-notes" TargetMode="External"/><Relationship Id="rId5" Type="http://schemas.openxmlformats.org/officeDocument/2006/relationships/hyperlink" Target="https://www.gov.uk/government/uploads/system/uploads/attachment_data/file/454191/Managing_Public_Money_AA_v2_-jan1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Dennis</dc:creator>
  <cp:lastModifiedBy>Nick Hewitt</cp:lastModifiedBy>
  <cp:revision>2</cp:revision>
  <dcterms:created xsi:type="dcterms:W3CDTF">2018-01-04T15:28:00Z</dcterms:created>
  <dcterms:modified xsi:type="dcterms:W3CDTF">2018-01-04T15:28:00Z</dcterms:modified>
</cp:coreProperties>
</file>