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B2562" w14:textId="6D9F2E9C" w:rsidR="00F52BE8" w:rsidRDefault="00F52BE8" w:rsidP="00F52BE8">
      <w:pPr>
        <w:jc w:val="right"/>
        <w:rPr>
          <w:rFonts w:ascii="Verdana" w:hAnsi="Verdana"/>
          <w:color w:val="2C2C2C"/>
          <w:sz w:val="17"/>
          <w:szCs w:val="17"/>
          <w:lang w:val="en"/>
        </w:rPr>
      </w:pPr>
    </w:p>
    <w:p w14:paraId="71160A66"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301F9F25" wp14:editId="48291C11">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7599D72C" w14:textId="77777777" w:rsidR="00F52BE8" w:rsidRDefault="00F52BE8" w:rsidP="00F52BE8">
      <w:pPr>
        <w:jc w:val="right"/>
        <w:rPr>
          <w:rFonts w:ascii="Verdana" w:hAnsi="Verdana"/>
          <w:color w:val="2C2C2C"/>
          <w:sz w:val="17"/>
          <w:szCs w:val="17"/>
          <w:lang w:val="en"/>
        </w:rPr>
      </w:pPr>
    </w:p>
    <w:p w14:paraId="29E0B762" w14:textId="77777777" w:rsidR="00F52BE8" w:rsidRDefault="00F52BE8" w:rsidP="00F52BE8">
      <w:pPr>
        <w:rPr>
          <w:rFonts w:ascii="Verdana" w:hAnsi="Verdana"/>
          <w:color w:val="2C2C2C"/>
          <w:sz w:val="17"/>
          <w:szCs w:val="17"/>
          <w:lang w:val="en"/>
        </w:rPr>
      </w:pPr>
    </w:p>
    <w:p w14:paraId="2CE802F2" w14:textId="77777777" w:rsidR="00F52BE8" w:rsidRDefault="00F52BE8" w:rsidP="00F52BE8">
      <w:pPr>
        <w:jc w:val="center"/>
        <w:rPr>
          <w:rFonts w:cs="Arial"/>
          <w:b/>
          <w:color w:val="2C2C2C"/>
          <w:sz w:val="40"/>
          <w:szCs w:val="40"/>
          <w:lang w:val="en"/>
        </w:rPr>
      </w:pPr>
    </w:p>
    <w:p w14:paraId="5BC5B74F" w14:textId="77777777" w:rsidR="00F52BE8" w:rsidRDefault="00F52BE8" w:rsidP="00F52BE8">
      <w:pPr>
        <w:jc w:val="center"/>
        <w:rPr>
          <w:rFonts w:cs="Arial"/>
          <w:b/>
          <w:color w:val="2C2C2C"/>
          <w:sz w:val="40"/>
          <w:szCs w:val="40"/>
          <w:lang w:val="en"/>
        </w:rPr>
      </w:pPr>
    </w:p>
    <w:p w14:paraId="4B1630C8"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2D5A55C1"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7D989292" w14:textId="77777777" w:rsidR="00F52BE8" w:rsidRDefault="00F52BE8" w:rsidP="00F52BE8">
      <w:pPr>
        <w:jc w:val="center"/>
        <w:rPr>
          <w:rFonts w:cs="Arial"/>
          <w:b/>
          <w:u w:val="single"/>
        </w:rPr>
      </w:pPr>
      <w:r>
        <w:rPr>
          <w:rFonts w:cs="Arial"/>
          <w:b/>
          <w:color w:val="2C2C2C"/>
          <w:sz w:val="40"/>
          <w:szCs w:val="40"/>
          <w:lang w:val="en"/>
        </w:rPr>
        <w:t>STATEMENT OF REQUIREMENT</w:t>
      </w:r>
    </w:p>
    <w:p w14:paraId="613BD37D" w14:textId="77777777" w:rsidR="00F52BE8" w:rsidRDefault="00F52BE8" w:rsidP="00F52BE8">
      <w:pPr>
        <w:jc w:val="center"/>
        <w:rPr>
          <w:rFonts w:cs="Arial"/>
          <w:b/>
          <w:u w:val="single"/>
        </w:rPr>
      </w:pPr>
    </w:p>
    <w:p w14:paraId="4F2D4457" w14:textId="77777777" w:rsidR="00F52BE8" w:rsidRDefault="00F52BE8" w:rsidP="00F52BE8">
      <w:pPr>
        <w:jc w:val="center"/>
        <w:rPr>
          <w:rFonts w:cs="Arial"/>
          <w:b/>
          <w:u w:val="single"/>
        </w:rPr>
      </w:pPr>
    </w:p>
    <w:p w14:paraId="16A3A6F5" w14:textId="77777777" w:rsidR="00F52BE8" w:rsidRDefault="00F52BE8" w:rsidP="00F52BE8">
      <w:pPr>
        <w:jc w:val="center"/>
        <w:rPr>
          <w:rFonts w:cs="Arial"/>
          <w:b/>
          <w:u w:val="single"/>
        </w:rPr>
      </w:pPr>
    </w:p>
    <w:p w14:paraId="1F48C751" w14:textId="77777777" w:rsidR="00F52BE8" w:rsidRPr="00046286" w:rsidRDefault="002D321B" w:rsidP="00F52BE8">
      <w:pPr>
        <w:jc w:val="center"/>
        <w:rPr>
          <w:rFonts w:cs="Arial"/>
          <w:b/>
          <w:u w:val="single"/>
        </w:rPr>
      </w:pPr>
      <w:r w:rsidRPr="00046286">
        <w:rPr>
          <w:rFonts w:cs="Arial"/>
          <w:b/>
          <w:u w:val="single"/>
        </w:rPr>
        <w:t>Effective Early Authorisation Engagement Process</w:t>
      </w:r>
    </w:p>
    <w:p w14:paraId="46133EC0" w14:textId="77777777" w:rsidR="00F52BE8" w:rsidRPr="00034159" w:rsidRDefault="00F52BE8" w:rsidP="00F52BE8">
      <w:pPr>
        <w:jc w:val="center"/>
        <w:rPr>
          <w:rFonts w:cs="Arial"/>
          <w:b/>
          <w:u w:val="single"/>
        </w:rPr>
      </w:pPr>
    </w:p>
    <w:p w14:paraId="6B5B1ACC" w14:textId="77777777" w:rsidR="00F52BE8" w:rsidRPr="00034159" w:rsidRDefault="00F52BE8" w:rsidP="00F52BE8">
      <w:pPr>
        <w:jc w:val="center"/>
        <w:rPr>
          <w:rFonts w:cs="Arial"/>
          <w:b/>
          <w:u w:val="single"/>
        </w:rPr>
      </w:pPr>
    </w:p>
    <w:p w14:paraId="211FF627" w14:textId="77777777" w:rsidR="00F52BE8" w:rsidRPr="00034159" w:rsidRDefault="00F52BE8" w:rsidP="00F52BE8">
      <w:pPr>
        <w:jc w:val="center"/>
        <w:rPr>
          <w:rFonts w:cs="Arial"/>
          <w:b/>
          <w:u w:val="single"/>
        </w:rPr>
      </w:pPr>
    </w:p>
    <w:p w14:paraId="6232FB53" w14:textId="508AE480" w:rsidR="00F52BE8" w:rsidRPr="00772B52" w:rsidRDefault="00F52BE8" w:rsidP="00F52BE8">
      <w:pPr>
        <w:spacing w:after="0" w:line="360" w:lineRule="auto"/>
        <w:rPr>
          <w:rFonts w:cs="Arial"/>
          <w:b/>
          <w:u w:val="single"/>
        </w:rPr>
      </w:pPr>
      <w:r w:rsidRPr="00034159">
        <w:rPr>
          <w:rFonts w:cs="Arial"/>
          <w:b/>
          <w:u w:val="single"/>
        </w:rPr>
        <w:t xml:space="preserve">CPV Code: </w:t>
      </w:r>
      <w:r w:rsidR="00772B52" w:rsidRPr="00772B52">
        <w:rPr>
          <w:rFonts w:cs="Arial"/>
          <w:b/>
          <w:u w:val="single"/>
        </w:rPr>
        <w:t>79411</w:t>
      </w:r>
      <w:r w:rsidR="00E50667">
        <w:rPr>
          <w:rFonts w:cs="Arial"/>
          <w:b/>
          <w:u w:val="single"/>
        </w:rPr>
        <w:t>1</w:t>
      </w:r>
      <w:r w:rsidR="00772B52" w:rsidRPr="00772B52">
        <w:rPr>
          <w:rFonts w:cs="Arial"/>
          <w:b/>
          <w:u w:val="single"/>
        </w:rPr>
        <w:t>00</w:t>
      </w:r>
    </w:p>
    <w:p w14:paraId="3A516E9F" w14:textId="2DDF4B4A" w:rsidR="00F52BE8" w:rsidRPr="00034159" w:rsidRDefault="00F52BE8" w:rsidP="00F52BE8">
      <w:pPr>
        <w:spacing w:after="0" w:line="360" w:lineRule="auto"/>
        <w:rPr>
          <w:rFonts w:cs="Arial"/>
          <w:b/>
        </w:rPr>
      </w:pPr>
      <w:r>
        <w:rPr>
          <w:rFonts w:cs="Arial"/>
          <w:b/>
          <w:u w:val="single"/>
        </w:rPr>
        <w:t xml:space="preserve">Tender Reference: </w:t>
      </w:r>
      <w:r w:rsidR="00590D84" w:rsidRPr="00590D84">
        <w:rPr>
          <w:rFonts w:cs="Arial"/>
          <w:b/>
          <w:u w:val="single"/>
        </w:rPr>
        <w:t>ORR/CT/20-41</w:t>
      </w:r>
    </w:p>
    <w:p w14:paraId="610DA3AD" w14:textId="77777777" w:rsidR="00F52BE8" w:rsidRDefault="00F52BE8" w:rsidP="00F52BE8">
      <w:pPr>
        <w:ind w:left="2160"/>
        <w:rPr>
          <w:rFonts w:cs="Arial"/>
          <w:b/>
          <w:highlight w:val="cyan"/>
        </w:rPr>
      </w:pPr>
    </w:p>
    <w:p w14:paraId="634CFC7C" w14:textId="77777777" w:rsidR="00F52BE8" w:rsidRDefault="00F52BE8" w:rsidP="00F52BE8">
      <w:pPr>
        <w:rPr>
          <w:b/>
          <w:sz w:val="20"/>
        </w:rPr>
      </w:pPr>
    </w:p>
    <w:p w14:paraId="1B7F1CAE" w14:textId="77777777" w:rsidR="00F52BE8" w:rsidRDefault="00F52BE8" w:rsidP="00F52BE8">
      <w:pPr>
        <w:rPr>
          <w:b/>
          <w:sz w:val="20"/>
        </w:rPr>
      </w:pPr>
    </w:p>
    <w:p w14:paraId="767C0DCF" w14:textId="77777777" w:rsidR="00F52BE8" w:rsidRDefault="00F52BE8" w:rsidP="00F52BE8">
      <w:pPr>
        <w:rPr>
          <w:b/>
          <w:sz w:val="20"/>
        </w:rPr>
      </w:pPr>
    </w:p>
    <w:p w14:paraId="102AACCC"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5033C57B" w14:textId="7777777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to invite proposals for</w:t>
      </w:r>
      <w:r w:rsidR="002D321B">
        <w:rPr>
          <w:rFonts w:cs="Arial"/>
          <w:color w:val="000000"/>
        </w:rPr>
        <w:t xml:space="preserve"> the</w:t>
      </w:r>
      <w:r w:rsidRPr="00034159">
        <w:rPr>
          <w:rFonts w:cs="Arial"/>
          <w:color w:val="000000"/>
        </w:rPr>
        <w:t xml:space="preserve"> </w:t>
      </w:r>
      <w:r w:rsidR="002D321B" w:rsidRPr="00046286">
        <w:rPr>
          <w:rFonts w:cs="Arial"/>
          <w:b/>
        </w:rPr>
        <w:t>Effective Early Authorisation Engagement Process</w:t>
      </w:r>
      <w:r w:rsidRPr="00046286">
        <w:rPr>
          <w:rFonts w:cs="Arial"/>
        </w:rPr>
        <w:t xml:space="preserve"> </w:t>
      </w:r>
      <w:r w:rsidRPr="00034159">
        <w:rPr>
          <w:rFonts w:cs="Arial"/>
          <w:color w:val="000000"/>
        </w:rPr>
        <w:t>for</w:t>
      </w:r>
      <w:r>
        <w:rPr>
          <w:rFonts w:cs="Arial"/>
          <w:color w:val="000000"/>
        </w:rPr>
        <w:t xml:space="preserve"> the Office of Rail and Road (ORR).</w:t>
      </w:r>
    </w:p>
    <w:p w14:paraId="6D2BE270" w14:textId="77777777" w:rsidR="00F52BE8" w:rsidRDefault="00F52BE8" w:rsidP="00F52BE8">
      <w:pPr>
        <w:pStyle w:val="ListNumber"/>
        <w:numPr>
          <w:ilvl w:val="0"/>
          <w:numId w:val="0"/>
        </w:numPr>
        <w:rPr>
          <w:b/>
          <w:sz w:val="28"/>
          <w:szCs w:val="28"/>
          <w:u w:val="single"/>
        </w:rPr>
      </w:pPr>
      <w:r>
        <w:t>This document contains the following sections:</w:t>
      </w:r>
    </w:p>
    <w:p w14:paraId="479ACBF6"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88F7E27"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53E75337"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6C7055E5"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2C9C2821"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7DBC503A"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3C5EC3E5"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A8E07BA"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55CB34C0" w14:textId="77777777" w:rsidR="00F52BE8" w:rsidRDefault="00F52BE8" w:rsidP="00F52BE8">
      <w:pPr>
        <w:pStyle w:val="ListNumber"/>
        <w:numPr>
          <w:ilvl w:val="0"/>
          <w:numId w:val="0"/>
        </w:numPr>
        <w:spacing w:before="0" w:after="0"/>
        <w:rPr>
          <w:rFonts w:cs="Arial"/>
          <w:szCs w:val="24"/>
        </w:rPr>
      </w:pPr>
    </w:p>
    <w:p w14:paraId="6FB37CD8"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53C9552A" w14:textId="77777777" w:rsidR="00F52BE8" w:rsidRDefault="00F52BE8" w:rsidP="00F52BE8">
      <w:pPr>
        <w:pStyle w:val="ListNumber"/>
        <w:numPr>
          <w:ilvl w:val="0"/>
          <w:numId w:val="0"/>
        </w:numPr>
        <w:spacing w:before="0" w:after="0"/>
        <w:rPr>
          <w:rFonts w:cs="Arial"/>
          <w:sz w:val="28"/>
          <w:szCs w:val="28"/>
          <w:u w:val="single"/>
        </w:rPr>
      </w:pPr>
    </w:p>
    <w:p w14:paraId="6DD51F45"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241D934D" w14:textId="77777777" w:rsidR="00F52BE8" w:rsidRPr="007E2FBB" w:rsidRDefault="00F52BE8" w:rsidP="00F52BE8">
      <w:pPr>
        <w:tabs>
          <w:tab w:val="left" w:pos="720"/>
        </w:tabs>
        <w:spacing w:after="0"/>
        <w:rPr>
          <w:rFonts w:cs="Arial"/>
          <w:szCs w:val="24"/>
          <w:u w:val="single"/>
        </w:rPr>
      </w:pPr>
    </w:p>
    <w:p w14:paraId="1DA8C6EB"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EE3E5F5" w14:textId="77777777" w:rsidR="00F52BE8" w:rsidRPr="007E2FBB" w:rsidRDefault="00F52BE8" w:rsidP="00F52BE8">
      <w:pPr>
        <w:tabs>
          <w:tab w:val="left" w:pos="720"/>
        </w:tabs>
        <w:spacing w:after="0"/>
        <w:rPr>
          <w:rFonts w:cs="Arial"/>
          <w:szCs w:val="24"/>
        </w:rPr>
      </w:pPr>
    </w:p>
    <w:p w14:paraId="37F9D7DF"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06DB6733" w14:textId="77777777" w:rsidR="00F52BE8" w:rsidRPr="007E2FBB" w:rsidRDefault="00F52BE8" w:rsidP="00F52BE8">
      <w:pPr>
        <w:tabs>
          <w:tab w:val="left" w:pos="720"/>
        </w:tabs>
        <w:spacing w:after="0"/>
        <w:rPr>
          <w:rFonts w:cs="Arial"/>
          <w:szCs w:val="24"/>
        </w:rPr>
      </w:pPr>
    </w:p>
    <w:p w14:paraId="2A12B332"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2A714A53" w14:textId="77777777" w:rsidR="00F52BE8" w:rsidRPr="007E2FBB" w:rsidRDefault="00F52BE8" w:rsidP="00F52BE8">
      <w:pPr>
        <w:tabs>
          <w:tab w:val="left" w:pos="720"/>
        </w:tabs>
        <w:spacing w:after="0"/>
        <w:rPr>
          <w:rFonts w:cs="Arial"/>
          <w:szCs w:val="24"/>
        </w:rPr>
      </w:pPr>
    </w:p>
    <w:p w14:paraId="573D1EBA"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5ED0B7D6" w14:textId="77777777" w:rsidR="00F52BE8" w:rsidRDefault="00F52BE8" w:rsidP="00F52BE8">
      <w:pPr>
        <w:pStyle w:val="ListNumber"/>
        <w:numPr>
          <w:ilvl w:val="0"/>
          <w:numId w:val="0"/>
        </w:numPr>
        <w:spacing w:before="0" w:after="0"/>
        <w:rPr>
          <w:sz w:val="29"/>
          <w:szCs w:val="29"/>
          <w:lang w:val="en"/>
        </w:rPr>
      </w:pPr>
    </w:p>
    <w:p w14:paraId="082966A9"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375413AC"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2F8382C1"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633BF4B6"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0E27D8B7"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29B19BDB"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1DB4DCF4"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3E8D3F8D"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4BCBE5E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11" w:history="1">
        <w:r w:rsidRPr="005A690E">
          <w:rPr>
            <w:rStyle w:val="Hyperlink"/>
          </w:rPr>
          <w:t>www.orr.gov.uk</w:t>
        </w:r>
      </w:hyperlink>
    </w:p>
    <w:p w14:paraId="6840AFE7"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14A925F5" w14:textId="77777777" w:rsidR="00F52BE8" w:rsidRPr="006F78AD" w:rsidRDefault="00F52BE8" w:rsidP="00F52BE8">
      <w:pPr>
        <w:pStyle w:val="ListNumber"/>
        <w:numPr>
          <w:ilvl w:val="0"/>
          <w:numId w:val="0"/>
        </w:numPr>
        <w:spacing w:before="0" w:after="0"/>
        <w:rPr>
          <w:rFonts w:cs="Arial"/>
        </w:rPr>
      </w:pPr>
    </w:p>
    <w:p w14:paraId="3821F734"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0A155F82"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B32B173" w14:textId="77777777" w:rsidTr="0003232D">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0FDBAFE" w14:textId="77777777" w:rsidR="00F52BE8" w:rsidRPr="00362F5D" w:rsidRDefault="00F52BE8" w:rsidP="0003232D">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50FB8806" w14:textId="77777777" w:rsidR="00F52BE8" w:rsidRPr="00362F5D" w:rsidRDefault="00F52BE8" w:rsidP="0003232D">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5C9E41CB" w14:textId="77777777" w:rsidR="00F52BE8" w:rsidRPr="00362F5D" w:rsidRDefault="00F52BE8" w:rsidP="0003232D">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E4EED00" w14:textId="77777777" w:rsidR="00F52BE8" w:rsidRPr="00362F5D" w:rsidRDefault="00F52BE8" w:rsidP="0003232D">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4E6F42F" w14:textId="77777777" w:rsidR="00F52BE8" w:rsidRPr="00362F5D" w:rsidRDefault="00F52BE8" w:rsidP="0003232D">
            <w:pPr>
              <w:jc w:val="center"/>
              <w:rPr>
                <w:rFonts w:cs="Arial"/>
                <w:b/>
                <w:bCs/>
              </w:rPr>
            </w:pPr>
            <w:r w:rsidRPr="00362F5D">
              <w:rPr>
                <w:rFonts w:cs="Arial"/>
                <w:b/>
                <w:bCs/>
              </w:rPr>
              <w:t>Balance Sheet Total</w:t>
            </w:r>
          </w:p>
        </w:tc>
      </w:tr>
      <w:tr w:rsidR="00F52BE8" w:rsidRPr="00362F5D" w14:paraId="60D80906" w14:textId="77777777" w:rsidTr="0003232D">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2CE64B7" w14:textId="77777777" w:rsidR="00F52BE8" w:rsidRPr="00362F5D" w:rsidRDefault="00F52BE8" w:rsidP="0003232D">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2FA9574" w14:textId="77777777" w:rsidR="00F52BE8" w:rsidRPr="00362F5D" w:rsidRDefault="00F52BE8" w:rsidP="0003232D">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24435DE" w14:textId="77777777" w:rsidR="00F52BE8" w:rsidRPr="00362F5D" w:rsidRDefault="00F52BE8" w:rsidP="0003232D">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DD35E5D" w14:textId="77777777" w:rsidR="00F52BE8" w:rsidRPr="00362F5D" w:rsidRDefault="00F52BE8" w:rsidP="0003232D">
            <w:pPr>
              <w:jc w:val="center"/>
              <w:rPr>
                <w:rFonts w:cs="Arial"/>
                <w:b/>
                <w:bCs/>
              </w:rPr>
            </w:pPr>
            <w:r w:rsidRPr="00362F5D">
              <w:rPr>
                <w:rFonts w:cs="Arial"/>
                <w:b/>
                <w:bCs/>
              </w:rPr>
              <w:t>≤ € 2 million</w:t>
            </w:r>
          </w:p>
        </w:tc>
      </w:tr>
      <w:tr w:rsidR="00F52BE8" w:rsidRPr="00362F5D" w14:paraId="04AA9428" w14:textId="77777777" w:rsidTr="0003232D">
        <w:trPr>
          <w:trHeight w:val="516"/>
        </w:trPr>
        <w:tc>
          <w:tcPr>
            <w:tcW w:w="1730" w:type="dxa"/>
            <w:vMerge/>
            <w:tcBorders>
              <w:top w:val="nil"/>
              <w:left w:val="single" w:sz="4" w:space="0" w:color="auto"/>
              <w:bottom w:val="single" w:sz="4" w:space="0" w:color="000000"/>
              <w:right w:val="single" w:sz="4" w:space="0" w:color="auto"/>
            </w:tcBorders>
            <w:vAlign w:val="center"/>
          </w:tcPr>
          <w:p w14:paraId="5ADF131B" w14:textId="77777777" w:rsidR="00F52BE8" w:rsidRPr="00362F5D" w:rsidRDefault="00F52BE8" w:rsidP="0003232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AECCA2D" w14:textId="77777777" w:rsidR="00F52BE8" w:rsidRPr="00362F5D" w:rsidRDefault="00F52BE8" w:rsidP="0003232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914F23F" w14:textId="77777777" w:rsidR="00F52BE8" w:rsidRPr="00362F5D" w:rsidRDefault="00F52BE8" w:rsidP="0003232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39E22D2" w14:textId="77777777" w:rsidR="00F52BE8" w:rsidRPr="00362F5D" w:rsidRDefault="00F52BE8" w:rsidP="0003232D">
            <w:pPr>
              <w:rPr>
                <w:rFonts w:cs="Arial"/>
                <w:b/>
                <w:bCs/>
              </w:rPr>
            </w:pPr>
          </w:p>
        </w:tc>
      </w:tr>
      <w:tr w:rsidR="00F52BE8" w:rsidRPr="00362F5D" w14:paraId="655FE97E" w14:textId="77777777" w:rsidTr="0003232D">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F02690C" w14:textId="77777777" w:rsidR="00F52BE8" w:rsidRPr="00362F5D" w:rsidRDefault="00F52BE8" w:rsidP="0003232D">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3A84B2C6" w14:textId="77777777" w:rsidR="00F52BE8" w:rsidRPr="00362F5D" w:rsidRDefault="00F52BE8" w:rsidP="0003232D">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FCB1F5D" w14:textId="77777777" w:rsidR="00F52BE8" w:rsidRPr="00362F5D" w:rsidRDefault="00F52BE8" w:rsidP="0003232D">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E7EE68F" w14:textId="77777777" w:rsidR="00F52BE8" w:rsidRPr="00362F5D" w:rsidRDefault="00F52BE8" w:rsidP="0003232D">
            <w:pPr>
              <w:jc w:val="center"/>
              <w:rPr>
                <w:rFonts w:cs="Arial"/>
                <w:b/>
                <w:bCs/>
              </w:rPr>
            </w:pPr>
            <w:r w:rsidRPr="00362F5D">
              <w:rPr>
                <w:rFonts w:cs="Arial"/>
                <w:b/>
                <w:bCs/>
              </w:rPr>
              <w:t>≤ € 10 million</w:t>
            </w:r>
          </w:p>
        </w:tc>
      </w:tr>
      <w:tr w:rsidR="00F52BE8" w:rsidRPr="00362F5D" w14:paraId="1FB48404" w14:textId="77777777" w:rsidTr="0003232D">
        <w:trPr>
          <w:trHeight w:val="516"/>
        </w:trPr>
        <w:tc>
          <w:tcPr>
            <w:tcW w:w="1730" w:type="dxa"/>
            <w:vMerge/>
            <w:tcBorders>
              <w:top w:val="nil"/>
              <w:left w:val="single" w:sz="4" w:space="0" w:color="auto"/>
              <w:bottom w:val="single" w:sz="4" w:space="0" w:color="000000"/>
              <w:right w:val="single" w:sz="4" w:space="0" w:color="auto"/>
            </w:tcBorders>
            <w:vAlign w:val="center"/>
          </w:tcPr>
          <w:p w14:paraId="2B8D7632" w14:textId="77777777" w:rsidR="00F52BE8" w:rsidRPr="00362F5D" w:rsidRDefault="00F52BE8" w:rsidP="0003232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CFC1375" w14:textId="77777777" w:rsidR="00F52BE8" w:rsidRPr="00362F5D" w:rsidRDefault="00F52BE8" w:rsidP="0003232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D8371A8" w14:textId="77777777" w:rsidR="00F52BE8" w:rsidRPr="00362F5D" w:rsidRDefault="00F52BE8" w:rsidP="0003232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6AC0123" w14:textId="77777777" w:rsidR="00F52BE8" w:rsidRPr="00362F5D" w:rsidRDefault="00F52BE8" w:rsidP="0003232D">
            <w:pPr>
              <w:rPr>
                <w:rFonts w:cs="Arial"/>
                <w:b/>
                <w:bCs/>
              </w:rPr>
            </w:pPr>
          </w:p>
        </w:tc>
      </w:tr>
      <w:tr w:rsidR="00F52BE8" w:rsidRPr="00362F5D" w14:paraId="23EA5658" w14:textId="77777777" w:rsidTr="0003232D">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B39614C" w14:textId="77777777" w:rsidR="00F52BE8" w:rsidRPr="00362F5D" w:rsidRDefault="00F52BE8" w:rsidP="0003232D">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3568444" w14:textId="77777777" w:rsidR="00F52BE8" w:rsidRPr="00362F5D" w:rsidRDefault="00F52BE8" w:rsidP="0003232D">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91CEEA7" w14:textId="77777777" w:rsidR="00F52BE8" w:rsidRPr="00362F5D" w:rsidRDefault="00F52BE8" w:rsidP="0003232D">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5FC8795" w14:textId="77777777" w:rsidR="00F52BE8" w:rsidRPr="00362F5D" w:rsidRDefault="00F52BE8" w:rsidP="0003232D">
            <w:pPr>
              <w:jc w:val="center"/>
              <w:rPr>
                <w:rFonts w:cs="Arial"/>
                <w:b/>
                <w:bCs/>
              </w:rPr>
            </w:pPr>
            <w:r w:rsidRPr="00362F5D">
              <w:rPr>
                <w:rFonts w:cs="Arial"/>
                <w:b/>
                <w:bCs/>
              </w:rPr>
              <w:t>≤ € 43 million</w:t>
            </w:r>
          </w:p>
        </w:tc>
      </w:tr>
      <w:tr w:rsidR="00F52BE8" w:rsidRPr="00362F5D" w14:paraId="1A75AFD1" w14:textId="77777777" w:rsidTr="0003232D">
        <w:trPr>
          <w:trHeight w:val="516"/>
        </w:trPr>
        <w:tc>
          <w:tcPr>
            <w:tcW w:w="1730" w:type="dxa"/>
            <w:vMerge/>
            <w:tcBorders>
              <w:top w:val="nil"/>
              <w:left w:val="single" w:sz="4" w:space="0" w:color="auto"/>
              <w:bottom w:val="single" w:sz="4" w:space="0" w:color="000000"/>
              <w:right w:val="single" w:sz="4" w:space="0" w:color="auto"/>
            </w:tcBorders>
            <w:vAlign w:val="center"/>
          </w:tcPr>
          <w:p w14:paraId="6FFF2111" w14:textId="77777777" w:rsidR="00F52BE8" w:rsidRPr="00362F5D" w:rsidRDefault="00F52BE8" w:rsidP="0003232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9A484BC" w14:textId="77777777" w:rsidR="00F52BE8" w:rsidRPr="00362F5D" w:rsidRDefault="00F52BE8" w:rsidP="0003232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784E801" w14:textId="77777777" w:rsidR="00F52BE8" w:rsidRPr="00362F5D" w:rsidRDefault="00F52BE8" w:rsidP="0003232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0C541AF" w14:textId="77777777" w:rsidR="00F52BE8" w:rsidRPr="00362F5D" w:rsidRDefault="00F52BE8" w:rsidP="0003232D">
            <w:pPr>
              <w:rPr>
                <w:rFonts w:cs="Arial"/>
                <w:b/>
                <w:bCs/>
              </w:rPr>
            </w:pPr>
          </w:p>
        </w:tc>
      </w:tr>
      <w:tr w:rsidR="00F52BE8" w:rsidRPr="00362F5D" w14:paraId="58B807E2" w14:textId="77777777" w:rsidTr="0003232D">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2FE6A537" w14:textId="77777777" w:rsidR="00F52BE8" w:rsidRPr="00362F5D" w:rsidRDefault="00F52BE8" w:rsidP="0003232D">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E5D02FA" w14:textId="77777777" w:rsidR="00F52BE8" w:rsidRPr="00362F5D" w:rsidRDefault="00F52BE8" w:rsidP="0003232D">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147FC0D" w14:textId="77777777" w:rsidR="00F52BE8" w:rsidRPr="00362F5D" w:rsidRDefault="00F52BE8" w:rsidP="0003232D">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19D404A" w14:textId="77777777" w:rsidR="00F52BE8" w:rsidRPr="00362F5D" w:rsidRDefault="00F52BE8" w:rsidP="0003232D">
            <w:pPr>
              <w:jc w:val="center"/>
              <w:rPr>
                <w:rFonts w:cs="Arial"/>
                <w:b/>
                <w:bCs/>
              </w:rPr>
            </w:pPr>
            <w:r w:rsidRPr="00362F5D">
              <w:rPr>
                <w:rFonts w:cs="Arial"/>
                <w:b/>
                <w:bCs/>
              </w:rPr>
              <w:t>&gt; € 43 million</w:t>
            </w:r>
          </w:p>
        </w:tc>
      </w:tr>
    </w:tbl>
    <w:p w14:paraId="2713615D" w14:textId="77777777" w:rsidR="00F52BE8" w:rsidRDefault="00F52BE8" w:rsidP="00F52BE8">
      <w:pPr>
        <w:rPr>
          <w:rFonts w:cs="Arial"/>
          <w:szCs w:val="24"/>
        </w:rPr>
      </w:pPr>
    </w:p>
    <w:p w14:paraId="2D8AF4B8"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598404A1" w14:textId="77777777" w:rsidTr="0003232D">
        <w:trPr>
          <w:trHeight w:val="454"/>
        </w:trPr>
        <w:tc>
          <w:tcPr>
            <w:tcW w:w="8528" w:type="dxa"/>
            <w:shd w:val="clear" w:color="auto" w:fill="99CCFF"/>
          </w:tcPr>
          <w:p w14:paraId="46DAF8B5" w14:textId="77777777" w:rsidR="00F52BE8" w:rsidRPr="0036077E" w:rsidRDefault="00F52BE8" w:rsidP="0003232D">
            <w:pPr>
              <w:rPr>
                <w:rFonts w:cs="Arial"/>
                <w:b/>
                <w:sz w:val="28"/>
                <w:szCs w:val="28"/>
              </w:rPr>
            </w:pPr>
            <w:r w:rsidRPr="0036077E">
              <w:rPr>
                <w:rFonts w:cs="Arial"/>
                <w:b/>
                <w:sz w:val="28"/>
                <w:szCs w:val="28"/>
              </w:rPr>
              <w:t>2.1 Background to the project</w:t>
            </w:r>
          </w:p>
        </w:tc>
      </w:tr>
      <w:tr w:rsidR="00F52BE8" w:rsidRPr="0036077E" w14:paraId="6628993F" w14:textId="77777777" w:rsidTr="0003232D">
        <w:trPr>
          <w:trHeight w:val="760"/>
        </w:trPr>
        <w:tc>
          <w:tcPr>
            <w:tcW w:w="8528" w:type="dxa"/>
            <w:tcBorders>
              <w:bottom w:val="single" w:sz="4" w:space="0" w:color="auto"/>
            </w:tcBorders>
            <w:shd w:val="clear" w:color="auto" w:fill="auto"/>
          </w:tcPr>
          <w:p w14:paraId="38B27C44" w14:textId="77777777" w:rsidR="002D321B" w:rsidRPr="0036077E" w:rsidRDefault="002D321B" w:rsidP="002D321B">
            <w:pPr>
              <w:rPr>
                <w:rFonts w:cs="Arial"/>
                <w:b/>
                <w:bCs/>
                <w:sz w:val="22"/>
                <w:szCs w:val="22"/>
              </w:rPr>
            </w:pPr>
            <w:r w:rsidRPr="2F34FCA1">
              <w:rPr>
                <w:rFonts w:cs="Arial"/>
                <w:b/>
                <w:bCs/>
                <w:sz w:val="22"/>
                <w:szCs w:val="22"/>
              </w:rPr>
              <w:t>Engineering and Ass</w:t>
            </w:r>
            <w:r w:rsidR="00007021">
              <w:rPr>
                <w:rFonts w:cs="Arial"/>
                <w:b/>
                <w:bCs/>
                <w:sz w:val="22"/>
                <w:szCs w:val="22"/>
              </w:rPr>
              <w:t>et Management (E&amp;AM) Department</w:t>
            </w:r>
          </w:p>
          <w:p w14:paraId="32560622" w14:textId="048FD346" w:rsidR="002D321B" w:rsidRDefault="002D321B" w:rsidP="002D321B">
            <w:pPr>
              <w:rPr>
                <w:rFonts w:cs="Arial"/>
                <w:sz w:val="22"/>
                <w:szCs w:val="22"/>
              </w:rPr>
            </w:pPr>
            <w:r w:rsidRPr="2F34FCA1">
              <w:rPr>
                <w:rFonts w:cs="Arial"/>
                <w:sz w:val="22"/>
                <w:szCs w:val="22"/>
              </w:rPr>
              <w:t xml:space="preserve">The E&amp;AM department is part of the Railway Planning and Performance directorate. </w:t>
            </w:r>
          </w:p>
          <w:p w14:paraId="2936207E" w14:textId="77777777" w:rsidR="002D321B" w:rsidRDefault="002D321B" w:rsidP="002D321B">
            <w:pPr>
              <w:rPr>
                <w:rFonts w:cs="Arial"/>
                <w:sz w:val="22"/>
                <w:szCs w:val="22"/>
              </w:rPr>
            </w:pPr>
            <w:r w:rsidRPr="2F34FCA1">
              <w:rPr>
                <w:rFonts w:cs="Arial"/>
                <w:sz w:val="22"/>
                <w:szCs w:val="22"/>
              </w:rPr>
              <w:t xml:space="preserve">The department remit covers </w:t>
            </w:r>
            <w:r w:rsidR="007C1DCA">
              <w:rPr>
                <w:rFonts w:cs="Arial"/>
                <w:sz w:val="22"/>
                <w:szCs w:val="22"/>
              </w:rPr>
              <w:t>assessment of</w:t>
            </w:r>
            <w:r w:rsidR="00007021">
              <w:rPr>
                <w:rFonts w:cs="Arial"/>
                <w:sz w:val="22"/>
                <w:szCs w:val="22"/>
              </w:rPr>
              <w:t xml:space="preserve"> submissions for Interoperability Authorisation</w:t>
            </w:r>
            <w:r w:rsidR="00007021" w:rsidRPr="2F34FCA1">
              <w:rPr>
                <w:rFonts w:cs="Arial"/>
                <w:sz w:val="22"/>
                <w:szCs w:val="22"/>
              </w:rPr>
              <w:t xml:space="preserve">, </w:t>
            </w:r>
            <w:r w:rsidRPr="2F34FCA1">
              <w:rPr>
                <w:rFonts w:cs="Arial"/>
                <w:sz w:val="22"/>
                <w:szCs w:val="22"/>
              </w:rPr>
              <w:t xml:space="preserve">holding Network Rail to account, undertaking assurance reviews and providing expert knowledge and skills to </w:t>
            </w:r>
            <w:r w:rsidR="00007021">
              <w:rPr>
                <w:rFonts w:cs="Arial"/>
                <w:sz w:val="22"/>
                <w:szCs w:val="22"/>
              </w:rPr>
              <w:t>support other departments within</w:t>
            </w:r>
            <w:r w:rsidRPr="2F34FCA1">
              <w:rPr>
                <w:rFonts w:cs="Arial"/>
                <w:sz w:val="22"/>
                <w:szCs w:val="22"/>
              </w:rPr>
              <w:t xml:space="preserve"> ORR. </w:t>
            </w:r>
          </w:p>
          <w:p w14:paraId="1C8948F5" w14:textId="77777777" w:rsidR="002D321B" w:rsidRDefault="002D321B" w:rsidP="002D321B">
            <w:pPr>
              <w:rPr>
                <w:rFonts w:cs="Arial"/>
                <w:sz w:val="22"/>
                <w:szCs w:val="22"/>
              </w:rPr>
            </w:pPr>
            <w:r w:rsidRPr="2F34FCA1">
              <w:rPr>
                <w:rFonts w:cs="Arial"/>
                <w:sz w:val="22"/>
                <w:szCs w:val="22"/>
              </w:rPr>
              <w:t xml:space="preserve">The department is multi-disciplined and encompasses the following disciplines; </w:t>
            </w:r>
            <w:r w:rsidR="007C1DCA">
              <w:rPr>
                <w:rFonts w:cs="Arial"/>
                <w:sz w:val="22"/>
                <w:szCs w:val="22"/>
              </w:rPr>
              <w:t xml:space="preserve">Interoperability </w:t>
            </w:r>
            <w:r w:rsidR="007C1DCA" w:rsidRPr="2F34FCA1">
              <w:rPr>
                <w:rFonts w:cs="Arial"/>
                <w:sz w:val="22"/>
                <w:szCs w:val="22"/>
              </w:rPr>
              <w:t>and Rail Vehicle En</w:t>
            </w:r>
            <w:r w:rsidR="007C1DCA">
              <w:rPr>
                <w:rFonts w:cs="Arial"/>
                <w:sz w:val="22"/>
                <w:szCs w:val="22"/>
              </w:rPr>
              <w:t>gineering</w:t>
            </w:r>
            <w:r w:rsidRPr="2F34FCA1">
              <w:rPr>
                <w:rFonts w:cs="Arial"/>
                <w:sz w:val="22"/>
                <w:szCs w:val="22"/>
              </w:rPr>
              <w:t>, Train Control Systems, Civi</w:t>
            </w:r>
            <w:r w:rsidR="007C1DCA">
              <w:rPr>
                <w:rFonts w:cs="Arial"/>
                <w:sz w:val="22"/>
                <w:szCs w:val="22"/>
              </w:rPr>
              <w:t xml:space="preserve">l Engineering, Asset Management and </w:t>
            </w:r>
            <w:r w:rsidR="007C1DCA" w:rsidRPr="2F34FCA1">
              <w:rPr>
                <w:rFonts w:cs="Arial"/>
                <w:sz w:val="22"/>
                <w:szCs w:val="22"/>
              </w:rPr>
              <w:t>Enhancements</w:t>
            </w:r>
            <w:r w:rsidR="007C1DCA">
              <w:rPr>
                <w:rFonts w:cs="Arial"/>
                <w:sz w:val="22"/>
                <w:szCs w:val="22"/>
              </w:rPr>
              <w:t>.</w:t>
            </w:r>
          </w:p>
          <w:p w14:paraId="59C0A7E8" w14:textId="77777777" w:rsidR="00007021" w:rsidRPr="00007021" w:rsidRDefault="00007021" w:rsidP="002D321B">
            <w:pPr>
              <w:rPr>
                <w:rFonts w:cs="Arial"/>
                <w:b/>
                <w:bCs/>
                <w:sz w:val="22"/>
                <w:szCs w:val="22"/>
              </w:rPr>
            </w:pPr>
            <w:r w:rsidRPr="00007021">
              <w:rPr>
                <w:rFonts w:cs="Arial"/>
                <w:b/>
                <w:bCs/>
                <w:sz w:val="22"/>
                <w:szCs w:val="22"/>
              </w:rPr>
              <w:t>Interoperability Authorisation</w:t>
            </w:r>
          </w:p>
          <w:p w14:paraId="4EF6655E" w14:textId="77777777" w:rsidR="00007021" w:rsidRPr="00007021" w:rsidRDefault="00DD157C" w:rsidP="00007021">
            <w:pPr>
              <w:rPr>
                <w:rFonts w:cs="Arial"/>
                <w:sz w:val="22"/>
                <w:szCs w:val="22"/>
              </w:rPr>
            </w:pPr>
            <w:r>
              <w:rPr>
                <w:rFonts w:cs="Arial"/>
                <w:sz w:val="22"/>
                <w:szCs w:val="22"/>
              </w:rPr>
              <w:t xml:space="preserve">Under the </w:t>
            </w:r>
            <w:r w:rsidRPr="00DD157C">
              <w:rPr>
                <w:rFonts w:cs="Arial"/>
                <w:sz w:val="22"/>
                <w:szCs w:val="22"/>
              </w:rPr>
              <w:t>Railways (Interoperability) Regulations 2011 (as amended)</w:t>
            </w:r>
            <w:r>
              <w:rPr>
                <w:rFonts w:cs="Arial"/>
                <w:sz w:val="22"/>
                <w:szCs w:val="22"/>
              </w:rPr>
              <w:t>, al</w:t>
            </w:r>
            <w:r w:rsidR="00007021" w:rsidRPr="00007021">
              <w:rPr>
                <w:rFonts w:cs="Arial"/>
                <w:sz w:val="22"/>
                <w:szCs w:val="22"/>
              </w:rPr>
              <w:t>l new, upgraded or renewed infrastructure or rolling stock must:</w:t>
            </w:r>
          </w:p>
          <w:p w14:paraId="5D9BAB2D" w14:textId="77777777" w:rsidR="00007021" w:rsidRPr="00007021" w:rsidRDefault="00007021" w:rsidP="00007021">
            <w:pPr>
              <w:pStyle w:val="ListParagraph"/>
              <w:numPr>
                <w:ilvl w:val="0"/>
                <w:numId w:val="24"/>
              </w:numPr>
              <w:rPr>
                <w:rFonts w:cs="Arial"/>
                <w:sz w:val="22"/>
                <w:szCs w:val="22"/>
              </w:rPr>
            </w:pPr>
            <w:r w:rsidRPr="00007021">
              <w:rPr>
                <w:rFonts w:cs="Arial"/>
                <w:sz w:val="22"/>
                <w:szCs w:val="22"/>
              </w:rPr>
              <w:t xml:space="preserve">Be authorised by </w:t>
            </w:r>
            <w:r w:rsidR="0003232D">
              <w:rPr>
                <w:rFonts w:cs="Arial"/>
                <w:sz w:val="22"/>
                <w:szCs w:val="22"/>
              </w:rPr>
              <w:t>ORR, as the National Safety Authority (NSA),</w:t>
            </w:r>
            <w:r w:rsidRPr="00007021">
              <w:rPr>
                <w:rFonts w:cs="Arial"/>
                <w:sz w:val="22"/>
                <w:szCs w:val="22"/>
              </w:rPr>
              <w:t xml:space="preserve"> before it can be placed in service. </w:t>
            </w:r>
            <w:r w:rsidR="0003232D">
              <w:rPr>
                <w:rFonts w:cs="Arial"/>
                <w:sz w:val="22"/>
                <w:szCs w:val="22"/>
              </w:rPr>
              <w:t>This is</w:t>
            </w:r>
            <w:r w:rsidRPr="00007021">
              <w:rPr>
                <w:rFonts w:cs="Arial"/>
                <w:sz w:val="22"/>
                <w:szCs w:val="22"/>
              </w:rPr>
              <w:t xml:space="preserve"> call</w:t>
            </w:r>
            <w:r w:rsidR="0003232D">
              <w:rPr>
                <w:rFonts w:cs="Arial"/>
                <w:sz w:val="22"/>
                <w:szCs w:val="22"/>
              </w:rPr>
              <w:t>ed</w:t>
            </w:r>
            <w:r w:rsidRPr="00007021">
              <w:rPr>
                <w:rFonts w:cs="Arial"/>
                <w:sz w:val="22"/>
                <w:szCs w:val="22"/>
              </w:rPr>
              <w:t xml:space="preserve"> 'authorisation to place into service' </w:t>
            </w:r>
            <w:r w:rsidR="0003232D">
              <w:rPr>
                <w:rFonts w:cs="Arial"/>
                <w:sz w:val="22"/>
                <w:szCs w:val="22"/>
              </w:rPr>
              <w:t xml:space="preserve">(APIS) </w:t>
            </w:r>
            <w:r w:rsidRPr="00007021">
              <w:rPr>
                <w:rFonts w:cs="Arial"/>
                <w:sz w:val="22"/>
                <w:szCs w:val="22"/>
              </w:rPr>
              <w:t>or 'interoperability authorisation'; and</w:t>
            </w:r>
          </w:p>
          <w:p w14:paraId="3802C9FF" w14:textId="77777777" w:rsidR="00007021" w:rsidRPr="00007021" w:rsidRDefault="00007021" w:rsidP="00007021">
            <w:pPr>
              <w:pStyle w:val="ListParagraph"/>
              <w:numPr>
                <w:ilvl w:val="0"/>
                <w:numId w:val="24"/>
              </w:numPr>
              <w:rPr>
                <w:rFonts w:cs="Arial"/>
                <w:sz w:val="22"/>
                <w:szCs w:val="22"/>
              </w:rPr>
            </w:pPr>
            <w:r w:rsidRPr="00007021">
              <w:rPr>
                <w:rFonts w:cs="Arial"/>
                <w:sz w:val="22"/>
                <w:szCs w:val="22"/>
              </w:rPr>
              <w:t>Comply with common technical standards set out in EU Technical Specifications for Interoperability (TSIs) and UK notified national technical rules.</w:t>
            </w:r>
          </w:p>
          <w:p w14:paraId="5E0BFDA6" w14:textId="77777777" w:rsidR="00007021" w:rsidRDefault="00007021" w:rsidP="00007021">
            <w:pPr>
              <w:rPr>
                <w:rFonts w:cs="Arial"/>
                <w:sz w:val="22"/>
                <w:szCs w:val="22"/>
              </w:rPr>
            </w:pPr>
            <w:r w:rsidRPr="00007021">
              <w:rPr>
                <w:rFonts w:cs="Arial"/>
                <w:sz w:val="22"/>
                <w:szCs w:val="22"/>
              </w:rPr>
              <w:t xml:space="preserve">Interoperability authorisation has a direct relationship to safety, but has a wider purpose of ensuring technical compatibility, reliability, performance and accessibility of new or substantially modified rail vehicles or infrastructure. The process of getting interoperability authorisation requires </w:t>
            </w:r>
            <w:r>
              <w:rPr>
                <w:rFonts w:cs="Arial"/>
                <w:sz w:val="22"/>
                <w:szCs w:val="22"/>
              </w:rPr>
              <w:t>compilation of</w:t>
            </w:r>
            <w:r w:rsidRPr="00007021">
              <w:rPr>
                <w:rFonts w:cs="Arial"/>
                <w:sz w:val="22"/>
                <w:szCs w:val="22"/>
              </w:rPr>
              <w:t xml:space="preserve"> a technical file identifying the relevant rules and standards for </w:t>
            </w:r>
            <w:r>
              <w:rPr>
                <w:rFonts w:cs="Arial"/>
                <w:sz w:val="22"/>
                <w:szCs w:val="22"/>
              </w:rPr>
              <w:t>an</w:t>
            </w:r>
            <w:r w:rsidRPr="00007021">
              <w:rPr>
                <w:rFonts w:cs="Arial"/>
                <w:sz w:val="22"/>
                <w:szCs w:val="22"/>
              </w:rPr>
              <w:t xml:space="preserve"> </w:t>
            </w:r>
            <w:r>
              <w:rPr>
                <w:rFonts w:cs="Arial"/>
                <w:sz w:val="22"/>
                <w:szCs w:val="22"/>
              </w:rPr>
              <w:t xml:space="preserve">infrastructure </w:t>
            </w:r>
            <w:r w:rsidRPr="00007021">
              <w:rPr>
                <w:rFonts w:cs="Arial"/>
                <w:sz w:val="22"/>
                <w:szCs w:val="22"/>
              </w:rPr>
              <w:t>project</w:t>
            </w:r>
            <w:r>
              <w:rPr>
                <w:rFonts w:cs="Arial"/>
                <w:sz w:val="22"/>
                <w:szCs w:val="22"/>
              </w:rPr>
              <w:t xml:space="preserve"> or rail vehicle</w:t>
            </w:r>
            <w:r w:rsidRPr="00007021">
              <w:rPr>
                <w:rFonts w:cs="Arial"/>
                <w:sz w:val="22"/>
                <w:szCs w:val="22"/>
              </w:rPr>
              <w:t xml:space="preserve">, explaining </w:t>
            </w:r>
            <w:r>
              <w:rPr>
                <w:rFonts w:cs="Arial"/>
                <w:sz w:val="22"/>
                <w:szCs w:val="22"/>
              </w:rPr>
              <w:t>the</w:t>
            </w:r>
            <w:r w:rsidRPr="00007021">
              <w:rPr>
                <w:rFonts w:cs="Arial"/>
                <w:sz w:val="22"/>
                <w:szCs w:val="22"/>
              </w:rPr>
              <w:t xml:space="preserve"> arrangements for demonstrating conformity with them and having these verified by an independent notified body (for EU requirements) or designated body (for UK-specific requirements). </w:t>
            </w:r>
            <w:r>
              <w:rPr>
                <w:rFonts w:cs="Arial"/>
                <w:sz w:val="22"/>
                <w:szCs w:val="22"/>
              </w:rPr>
              <w:t>The ORR</w:t>
            </w:r>
            <w:r w:rsidRPr="00007021">
              <w:rPr>
                <w:rFonts w:cs="Arial"/>
                <w:sz w:val="22"/>
                <w:szCs w:val="22"/>
              </w:rPr>
              <w:t xml:space="preserve"> role is to check that this process </w:t>
            </w:r>
            <w:r>
              <w:rPr>
                <w:rFonts w:cs="Arial"/>
                <w:sz w:val="22"/>
                <w:szCs w:val="22"/>
              </w:rPr>
              <w:t>has been</w:t>
            </w:r>
            <w:r w:rsidRPr="00007021">
              <w:rPr>
                <w:rFonts w:cs="Arial"/>
                <w:sz w:val="22"/>
                <w:szCs w:val="22"/>
              </w:rPr>
              <w:t xml:space="preserve"> carried out correctly and to issue authorisation to place into service based on the technical file submit</w:t>
            </w:r>
            <w:r>
              <w:rPr>
                <w:rFonts w:cs="Arial"/>
                <w:sz w:val="22"/>
                <w:szCs w:val="22"/>
              </w:rPr>
              <w:t>ted</w:t>
            </w:r>
            <w:r w:rsidRPr="00007021">
              <w:rPr>
                <w:rFonts w:cs="Arial"/>
                <w:sz w:val="22"/>
                <w:szCs w:val="22"/>
              </w:rPr>
              <w:t>.</w:t>
            </w:r>
          </w:p>
          <w:p w14:paraId="0D0EA41F" w14:textId="77777777" w:rsidR="000B3471" w:rsidRPr="007C1DCA" w:rsidRDefault="000B3471" w:rsidP="000B3471">
            <w:pPr>
              <w:rPr>
                <w:rFonts w:cs="Arial"/>
                <w:b/>
                <w:sz w:val="22"/>
                <w:szCs w:val="22"/>
              </w:rPr>
            </w:pPr>
            <w:proofErr w:type="spellStart"/>
            <w:r w:rsidRPr="007C1DCA">
              <w:rPr>
                <w:rFonts w:cs="Arial"/>
                <w:b/>
                <w:sz w:val="22"/>
                <w:szCs w:val="22"/>
              </w:rPr>
              <w:t>Brexit</w:t>
            </w:r>
            <w:proofErr w:type="spellEnd"/>
          </w:p>
          <w:p w14:paraId="05BAF270" w14:textId="77777777" w:rsidR="000B3471" w:rsidRDefault="000B3471" w:rsidP="000B3471">
            <w:pPr>
              <w:rPr>
                <w:rFonts w:cs="Arial"/>
                <w:sz w:val="22"/>
                <w:szCs w:val="22"/>
              </w:rPr>
            </w:pPr>
            <w:r>
              <w:rPr>
                <w:rFonts w:cs="Arial"/>
                <w:sz w:val="22"/>
                <w:szCs w:val="22"/>
              </w:rPr>
              <w:t>F</w:t>
            </w:r>
            <w:r w:rsidRPr="007C1DCA">
              <w:rPr>
                <w:rFonts w:cs="Arial"/>
                <w:sz w:val="22"/>
                <w:szCs w:val="22"/>
              </w:rPr>
              <w:t>rom 1 January</w:t>
            </w:r>
            <w:r>
              <w:rPr>
                <w:rFonts w:cs="Arial"/>
                <w:sz w:val="22"/>
                <w:szCs w:val="22"/>
              </w:rPr>
              <w:t xml:space="preserve"> 202</w:t>
            </w:r>
            <w:r w:rsidR="00DD157C">
              <w:rPr>
                <w:rFonts w:cs="Arial"/>
                <w:sz w:val="22"/>
                <w:szCs w:val="22"/>
              </w:rPr>
              <w:t>1</w:t>
            </w:r>
            <w:r w:rsidRPr="007C1DCA">
              <w:rPr>
                <w:rFonts w:cs="Arial"/>
                <w:sz w:val="22"/>
                <w:szCs w:val="22"/>
              </w:rPr>
              <w:t xml:space="preserve">, a new framework of UK technical standards within National Technical Specification Notices (NTSNs) will take effect in Great Britain. UK approved bodies will assess against the NTSNs and issue the necessary UK documentation for placing on the market and placing into service. The NTSNs will reproduce the same technical requirements as the TSIs in force at the end of the Transition Period. </w:t>
            </w:r>
          </w:p>
          <w:p w14:paraId="6FF35680" w14:textId="77777777" w:rsidR="000B3471" w:rsidRDefault="000B3471" w:rsidP="000B3471">
            <w:pPr>
              <w:rPr>
                <w:rFonts w:cs="Arial"/>
                <w:sz w:val="22"/>
                <w:szCs w:val="22"/>
              </w:rPr>
            </w:pPr>
            <w:r w:rsidRPr="00B379DC">
              <w:rPr>
                <w:rFonts w:cs="Arial"/>
                <w:sz w:val="22"/>
                <w:szCs w:val="22"/>
              </w:rPr>
              <w:t xml:space="preserve">From 1 January 2021 vehicles first authorised outside the UK will require an additional authorisation before they are first used in the UK. This system will be operated in accordance with the UK’s COTIF international obligations. This requirement should not cause disruption as, while additional vehicle authorisation </w:t>
            </w:r>
            <w:r w:rsidRPr="00B379DC">
              <w:rPr>
                <w:rFonts w:cs="Arial"/>
                <w:sz w:val="22"/>
                <w:szCs w:val="22"/>
              </w:rPr>
              <w:lastRenderedPageBreak/>
              <w:t>is not currently mandatory in the UK, it is normally sought voluntarily to ensure compliance with the UK’s technical rules.</w:t>
            </w:r>
          </w:p>
          <w:p w14:paraId="654A65F5" w14:textId="77777777" w:rsidR="00441703" w:rsidRPr="00441703" w:rsidRDefault="00441703" w:rsidP="00007021">
            <w:pPr>
              <w:rPr>
                <w:rFonts w:cs="Arial"/>
                <w:b/>
                <w:sz w:val="22"/>
                <w:szCs w:val="22"/>
              </w:rPr>
            </w:pPr>
            <w:r w:rsidRPr="00441703">
              <w:rPr>
                <w:rFonts w:cs="Arial"/>
                <w:b/>
                <w:sz w:val="22"/>
                <w:szCs w:val="22"/>
              </w:rPr>
              <w:t>Early Engagement</w:t>
            </w:r>
          </w:p>
          <w:p w14:paraId="723652C6" w14:textId="77777777" w:rsidR="00441703" w:rsidRDefault="00441703" w:rsidP="00441703">
            <w:pPr>
              <w:rPr>
                <w:rFonts w:cs="Arial"/>
                <w:sz w:val="22"/>
                <w:szCs w:val="22"/>
              </w:rPr>
            </w:pPr>
            <w:r>
              <w:rPr>
                <w:rFonts w:cs="Arial"/>
                <w:sz w:val="22"/>
                <w:szCs w:val="22"/>
              </w:rPr>
              <w:t>The E&amp;AM team have a shared objective to c</w:t>
            </w:r>
            <w:r w:rsidRPr="00441703">
              <w:rPr>
                <w:rFonts w:cs="Arial"/>
                <w:sz w:val="22"/>
                <w:szCs w:val="22"/>
              </w:rPr>
              <w:t xml:space="preserve">ontinuously improve the delivery, policy and process of authorisations for power, infrastructure, PRM and rolling stock. </w:t>
            </w:r>
            <w:r>
              <w:rPr>
                <w:rFonts w:cs="Arial"/>
                <w:sz w:val="22"/>
                <w:szCs w:val="22"/>
              </w:rPr>
              <w:t>This will be delivered in part through</w:t>
            </w:r>
            <w:r w:rsidRPr="00441703">
              <w:rPr>
                <w:rFonts w:cs="Arial"/>
                <w:sz w:val="22"/>
                <w:szCs w:val="22"/>
              </w:rPr>
              <w:t xml:space="preserve"> </w:t>
            </w:r>
            <w:r>
              <w:rPr>
                <w:rFonts w:cs="Arial"/>
                <w:sz w:val="22"/>
                <w:szCs w:val="22"/>
              </w:rPr>
              <w:t>e</w:t>
            </w:r>
            <w:r w:rsidRPr="00441703">
              <w:rPr>
                <w:rFonts w:cs="Arial"/>
                <w:sz w:val="22"/>
                <w:szCs w:val="22"/>
              </w:rPr>
              <w:t xml:space="preserve">arly engagement </w:t>
            </w:r>
            <w:r>
              <w:rPr>
                <w:rFonts w:cs="Arial"/>
                <w:sz w:val="22"/>
                <w:szCs w:val="22"/>
              </w:rPr>
              <w:t xml:space="preserve">with applicants </w:t>
            </w:r>
            <w:r w:rsidRPr="00441703">
              <w:rPr>
                <w:rFonts w:cs="Arial"/>
                <w:sz w:val="22"/>
                <w:szCs w:val="22"/>
              </w:rPr>
              <w:t>sus</w:t>
            </w:r>
            <w:r>
              <w:rPr>
                <w:rFonts w:cs="Arial"/>
                <w:sz w:val="22"/>
                <w:szCs w:val="22"/>
              </w:rPr>
              <w:t>tained through to authorisation.</w:t>
            </w:r>
          </w:p>
          <w:p w14:paraId="29126FEA" w14:textId="3AA3B594" w:rsidR="00BA0579" w:rsidRDefault="00BA0579" w:rsidP="00441703">
            <w:pPr>
              <w:rPr>
                <w:rFonts w:cs="Arial"/>
                <w:sz w:val="22"/>
                <w:szCs w:val="22"/>
              </w:rPr>
            </w:pPr>
            <w:r>
              <w:rPr>
                <w:rFonts w:cs="Arial"/>
                <w:sz w:val="22"/>
                <w:szCs w:val="22"/>
              </w:rPr>
              <w:t xml:space="preserve">Beyond </w:t>
            </w:r>
            <w:r w:rsidRPr="00BA0579">
              <w:rPr>
                <w:rFonts w:cs="Arial"/>
                <w:sz w:val="22"/>
                <w:szCs w:val="22"/>
              </w:rPr>
              <w:t xml:space="preserve">our </w:t>
            </w:r>
            <w:hyperlink r:id="rId12" w:history="1">
              <w:r w:rsidRPr="00BA0579">
                <w:rPr>
                  <w:rStyle w:val="Hyperlink"/>
                  <w:rFonts w:cs="Arial"/>
                  <w:sz w:val="22"/>
                  <w:szCs w:val="22"/>
                </w:rPr>
                <w:t>policy document</w:t>
              </w:r>
            </w:hyperlink>
            <w:r w:rsidRPr="00BA0579">
              <w:rPr>
                <w:rFonts w:cs="Arial"/>
                <w:sz w:val="22"/>
                <w:szCs w:val="22"/>
              </w:rPr>
              <w:t xml:space="preserve"> relating to the progressive approach to infrastructure authorisation</w:t>
            </w:r>
            <w:r>
              <w:rPr>
                <w:rFonts w:cs="Arial"/>
                <w:sz w:val="22"/>
                <w:szCs w:val="22"/>
              </w:rPr>
              <w:t>, there is little formal requirement for early engagement in the current process. Without proactive engagement between applicants and assessors this leaves the risk that issues discovered late in a project could lead to delay or fail in the final submission for authorisation.</w:t>
            </w:r>
          </w:p>
          <w:p w14:paraId="435C32C2" w14:textId="77777777" w:rsidR="00B379DC" w:rsidRDefault="00B379DC" w:rsidP="00441703">
            <w:pPr>
              <w:rPr>
                <w:rFonts w:cs="Arial"/>
                <w:sz w:val="22"/>
                <w:szCs w:val="22"/>
              </w:rPr>
            </w:pPr>
            <w:r>
              <w:rPr>
                <w:rFonts w:cs="Arial"/>
                <w:sz w:val="22"/>
                <w:szCs w:val="22"/>
              </w:rPr>
              <w:t>Following authorisation issues on a Network Rail project in 2019, ORR completed an investigation i</w:t>
            </w:r>
            <w:r w:rsidR="000B3471">
              <w:rPr>
                <w:rFonts w:cs="Arial"/>
                <w:sz w:val="22"/>
                <w:szCs w:val="22"/>
              </w:rPr>
              <w:t>nto the authorisation process considering Network Rail’s, ORR’s and the independent assessor’s roles. One of the identified issues was ineffective early engagement between parties. This lead to late identification of issues and consequent risks to final authorisation.</w:t>
            </w:r>
          </w:p>
          <w:p w14:paraId="431412A5" w14:textId="77777777" w:rsidR="00B379DC" w:rsidRDefault="00BA0579" w:rsidP="007C1DCA">
            <w:pPr>
              <w:rPr>
                <w:rFonts w:cs="Arial"/>
                <w:sz w:val="22"/>
                <w:szCs w:val="22"/>
              </w:rPr>
            </w:pPr>
            <w:r>
              <w:rPr>
                <w:rFonts w:cs="Arial"/>
                <w:sz w:val="22"/>
                <w:szCs w:val="22"/>
              </w:rPr>
              <w:t xml:space="preserve">Within the current legislative framework, the ORR seeks to </w:t>
            </w:r>
            <w:r w:rsidR="00946831">
              <w:rPr>
                <w:rFonts w:cs="Arial"/>
                <w:sz w:val="22"/>
                <w:szCs w:val="22"/>
              </w:rPr>
              <w:t xml:space="preserve">review </w:t>
            </w:r>
            <w:r w:rsidR="006011EE">
              <w:rPr>
                <w:rFonts w:cs="Arial"/>
                <w:sz w:val="22"/>
                <w:szCs w:val="22"/>
              </w:rPr>
              <w:t xml:space="preserve">the </w:t>
            </w:r>
            <w:r w:rsidR="00946831">
              <w:rPr>
                <w:rFonts w:cs="Arial"/>
                <w:sz w:val="22"/>
                <w:szCs w:val="22"/>
              </w:rPr>
              <w:t xml:space="preserve">policy and process of assurance to encompass an </w:t>
            </w:r>
            <w:r w:rsidR="006011EE">
              <w:rPr>
                <w:rFonts w:cs="Arial"/>
                <w:sz w:val="22"/>
                <w:szCs w:val="22"/>
              </w:rPr>
              <w:t xml:space="preserve">appropriate </w:t>
            </w:r>
            <w:r w:rsidR="00946831">
              <w:rPr>
                <w:rFonts w:cs="Arial"/>
                <w:sz w:val="22"/>
                <w:szCs w:val="22"/>
              </w:rPr>
              <w:t xml:space="preserve">early stage gate approval </w:t>
            </w:r>
            <w:r>
              <w:rPr>
                <w:rFonts w:cs="Arial"/>
                <w:sz w:val="22"/>
                <w:szCs w:val="22"/>
              </w:rPr>
              <w:t xml:space="preserve">process </w:t>
            </w:r>
            <w:r w:rsidR="00946831">
              <w:rPr>
                <w:rFonts w:cs="Arial"/>
                <w:sz w:val="22"/>
                <w:szCs w:val="22"/>
              </w:rPr>
              <w:t xml:space="preserve">for infrastructure and rail vehicle </w:t>
            </w:r>
            <w:r w:rsidR="006011EE">
              <w:rPr>
                <w:rFonts w:cs="Arial"/>
                <w:sz w:val="22"/>
                <w:szCs w:val="22"/>
              </w:rPr>
              <w:t>projects to enable a clean and efficient authorisation at the end of those projects</w:t>
            </w:r>
            <w:r w:rsidR="00946831">
              <w:rPr>
                <w:rFonts w:cs="Arial"/>
                <w:sz w:val="22"/>
                <w:szCs w:val="22"/>
              </w:rPr>
              <w:t>.</w:t>
            </w:r>
            <w:r>
              <w:rPr>
                <w:rFonts w:cs="Arial"/>
                <w:sz w:val="22"/>
                <w:szCs w:val="22"/>
              </w:rPr>
              <w:t xml:space="preserve"> </w:t>
            </w:r>
          </w:p>
          <w:p w14:paraId="741C196F" w14:textId="77777777" w:rsidR="0003232D" w:rsidRPr="0003232D" w:rsidRDefault="0003232D" w:rsidP="007C1DCA">
            <w:pPr>
              <w:rPr>
                <w:rFonts w:cs="Arial"/>
                <w:b/>
                <w:sz w:val="22"/>
                <w:szCs w:val="22"/>
              </w:rPr>
            </w:pPr>
            <w:r w:rsidRPr="0003232D">
              <w:rPr>
                <w:rFonts w:cs="Arial"/>
                <w:b/>
                <w:sz w:val="22"/>
                <w:szCs w:val="22"/>
              </w:rPr>
              <w:t>Alternative Approaches</w:t>
            </w:r>
          </w:p>
          <w:p w14:paraId="75089AD3" w14:textId="77777777" w:rsidR="0003232D" w:rsidRPr="002D321B" w:rsidRDefault="0003232D" w:rsidP="007C1DCA">
            <w:pPr>
              <w:rPr>
                <w:rFonts w:cs="Arial"/>
                <w:sz w:val="22"/>
                <w:szCs w:val="22"/>
              </w:rPr>
            </w:pPr>
            <w:r>
              <w:rPr>
                <w:rFonts w:cs="Arial"/>
                <w:sz w:val="22"/>
                <w:szCs w:val="22"/>
              </w:rPr>
              <w:t>ORR are aware that, working under the same EU legislation, the French NSA operates an early engagement regime with stage gate approval reviews.</w:t>
            </w:r>
          </w:p>
        </w:tc>
      </w:tr>
      <w:tr w:rsidR="00F52BE8" w:rsidRPr="0036077E" w14:paraId="17D62B73" w14:textId="77777777" w:rsidTr="0003232D">
        <w:trPr>
          <w:trHeight w:val="371"/>
        </w:trPr>
        <w:tc>
          <w:tcPr>
            <w:tcW w:w="8528" w:type="dxa"/>
            <w:shd w:val="clear" w:color="auto" w:fill="99CCFF"/>
          </w:tcPr>
          <w:p w14:paraId="3E8BE4D2" w14:textId="77777777" w:rsidR="00F52BE8" w:rsidRPr="0036077E" w:rsidRDefault="00F52BE8" w:rsidP="0003232D">
            <w:pPr>
              <w:rPr>
                <w:rFonts w:cs="Arial"/>
                <w:b/>
                <w:sz w:val="28"/>
                <w:szCs w:val="28"/>
              </w:rPr>
            </w:pPr>
            <w:r w:rsidRPr="0036077E">
              <w:rPr>
                <w:rFonts w:cs="Arial"/>
                <w:b/>
                <w:sz w:val="28"/>
                <w:szCs w:val="28"/>
              </w:rPr>
              <w:lastRenderedPageBreak/>
              <w:t>2.2 Project Objectives &amp; Scope</w:t>
            </w:r>
          </w:p>
        </w:tc>
      </w:tr>
      <w:tr w:rsidR="00F52BE8" w:rsidRPr="0036077E" w14:paraId="4977FF10" w14:textId="77777777" w:rsidTr="0003232D">
        <w:trPr>
          <w:trHeight w:val="757"/>
        </w:trPr>
        <w:tc>
          <w:tcPr>
            <w:tcW w:w="8528" w:type="dxa"/>
            <w:tcBorders>
              <w:bottom w:val="single" w:sz="4" w:space="0" w:color="auto"/>
            </w:tcBorders>
            <w:shd w:val="clear" w:color="auto" w:fill="auto"/>
          </w:tcPr>
          <w:p w14:paraId="0E4DA87B" w14:textId="77777777" w:rsidR="0003232D" w:rsidRPr="0003232D" w:rsidRDefault="0003232D" w:rsidP="0003232D">
            <w:pPr>
              <w:rPr>
                <w:rFonts w:cs="Arial"/>
                <w:b/>
                <w:sz w:val="22"/>
                <w:szCs w:val="22"/>
              </w:rPr>
            </w:pPr>
            <w:r w:rsidRPr="0003232D">
              <w:rPr>
                <w:rFonts w:cs="Arial"/>
                <w:b/>
                <w:sz w:val="22"/>
                <w:szCs w:val="22"/>
              </w:rPr>
              <w:t>Project Objective</w:t>
            </w:r>
          </w:p>
          <w:p w14:paraId="54453805" w14:textId="77777777" w:rsidR="0095182A" w:rsidRDefault="0095182A" w:rsidP="0003232D">
            <w:pPr>
              <w:rPr>
                <w:rFonts w:cs="Arial"/>
                <w:sz w:val="22"/>
                <w:szCs w:val="22"/>
              </w:rPr>
            </w:pPr>
            <w:r>
              <w:rPr>
                <w:rFonts w:cs="Arial"/>
                <w:sz w:val="22"/>
                <w:szCs w:val="22"/>
              </w:rPr>
              <w:t xml:space="preserve">To develop a policy and process for early stage gate approval and ongoing engagement and appropriate further stage gate </w:t>
            </w:r>
            <w:r w:rsidR="00DD157C">
              <w:rPr>
                <w:rFonts w:cs="Arial"/>
                <w:sz w:val="22"/>
                <w:szCs w:val="22"/>
              </w:rPr>
              <w:t xml:space="preserve">assurance </w:t>
            </w:r>
            <w:r>
              <w:rPr>
                <w:rFonts w:cs="Arial"/>
                <w:sz w:val="22"/>
                <w:szCs w:val="22"/>
              </w:rPr>
              <w:t xml:space="preserve">reviews </w:t>
            </w:r>
            <w:r w:rsidR="00DD157C">
              <w:rPr>
                <w:rFonts w:cs="Arial"/>
                <w:sz w:val="22"/>
                <w:szCs w:val="22"/>
              </w:rPr>
              <w:t>to enable a clean an efficient authorisation at the end of</w:t>
            </w:r>
            <w:r>
              <w:rPr>
                <w:rFonts w:cs="Arial"/>
                <w:sz w:val="22"/>
                <w:szCs w:val="22"/>
              </w:rPr>
              <w:t xml:space="preserve"> infrastructure and rail vehicle projects.</w:t>
            </w:r>
          </w:p>
          <w:p w14:paraId="7E8300A3" w14:textId="2DA19A44" w:rsidR="0003232D" w:rsidRPr="0003232D" w:rsidRDefault="0003232D" w:rsidP="0003232D">
            <w:pPr>
              <w:rPr>
                <w:rFonts w:cs="Arial"/>
                <w:b/>
                <w:sz w:val="22"/>
                <w:szCs w:val="22"/>
              </w:rPr>
            </w:pPr>
            <w:r w:rsidRPr="0003232D">
              <w:rPr>
                <w:rFonts w:cs="Arial"/>
                <w:b/>
                <w:sz w:val="22"/>
                <w:szCs w:val="22"/>
              </w:rPr>
              <w:t>Key Tasks</w:t>
            </w:r>
            <w:r w:rsidR="00772B52">
              <w:rPr>
                <w:rFonts w:cs="Arial"/>
                <w:b/>
                <w:sz w:val="22"/>
                <w:szCs w:val="22"/>
              </w:rPr>
              <w:t xml:space="preserve"> </w:t>
            </w:r>
          </w:p>
          <w:p w14:paraId="02BC71D8" w14:textId="77777777" w:rsidR="0095182A" w:rsidRPr="00DD157C" w:rsidRDefault="0095182A" w:rsidP="00DD157C">
            <w:pPr>
              <w:pStyle w:val="ListParagraph"/>
              <w:numPr>
                <w:ilvl w:val="0"/>
                <w:numId w:val="25"/>
              </w:numPr>
              <w:rPr>
                <w:rFonts w:cs="Arial"/>
                <w:sz w:val="22"/>
                <w:szCs w:val="22"/>
              </w:rPr>
            </w:pPr>
            <w:r w:rsidRPr="00DD157C">
              <w:rPr>
                <w:rFonts w:cs="Arial"/>
                <w:sz w:val="22"/>
                <w:szCs w:val="22"/>
              </w:rPr>
              <w:t>Identify cur</w:t>
            </w:r>
            <w:r w:rsidR="00C860AF">
              <w:rPr>
                <w:rFonts w:cs="Arial"/>
                <w:sz w:val="22"/>
                <w:szCs w:val="22"/>
              </w:rPr>
              <w:t>rent processes and requirements</w:t>
            </w:r>
          </w:p>
          <w:p w14:paraId="12680C11" w14:textId="77777777" w:rsidR="0095182A" w:rsidRDefault="0095182A" w:rsidP="00DD157C">
            <w:pPr>
              <w:pStyle w:val="ListParagraph"/>
              <w:numPr>
                <w:ilvl w:val="0"/>
                <w:numId w:val="25"/>
              </w:numPr>
              <w:rPr>
                <w:rFonts w:cs="Arial"/>
                <w:sz w:val="22"/>
                <w:szCs w:val="22"/>
              </w:rPr>
            </w:pPr>
            <w:r w:rsidRPr="00DD157C">
              <w:rPr>
                <w:rFonts w:cs="Arial"/>
                <w:sz w:val="22"/>
                <w:szCs w:val="22"/>
              </w:rPr>
              <w:t xml:space="preserve">Identify key processes of French </w:t>
            </w:r>
            <w:r w:rsidR="00DD157C" w:rsidRPr="00DD157C">
              <w:rPr>
                <w:rFonts w:cs="Arial"/>
                <w:sz w:val="22"/>
                <w:szCs w:val="22"/>
              </w:rPr>
              <w:t xml:space="preserve">or other </w:t>
            </w:r>
            <w:r w:rsidRPr="00DD157C">
              <w:rPr>
                <w:rFonts w:cs="Arial"/>
                <w:sz w:val="22"/>
                <w:szCs w:val="22"/>
              </w:rPr>
              <w:t>NSA</w:t>
            </w:r>
            <w:r w:rsidR="00DD157C" w:rsidRPr="00DD157C">
              <w:rPr>
                <w:rFonts w:cs="Arial"/>
                <w:sz w:val="22"/>
                <w:szCs w:val="22"/>
              </w:rPr>
              <w:t>s</w:t>
            </w:r>
            <w:r w:rsidRPr="00DD157C">
              <w:rPr>
                <w:rFonts w:cs="Arial"/>
                <w:sz w:val="22"/>
                <w:szCs w:val="22"/>
              </w:rPr>
              <w:t xml:space="preserve"> (for com</w:t>
            </w:r>
            <w:r w:rsidR="00C860AF">
              <w:rPr>
                <w:rFonts w:cs="Arial"/>
                <w:sz w:val="22"/>
                <w:szCs w:val="22"/>
              </w:rPr>
              <w:t>parison)</w:t>
            </w:r>
          </w:p>
          <w:p w14:paraId="3CA39C2E" w14:textId="77777777" w:rsidR="00C860AF" w:rsidRPr="00DD157C" w:rsidRDefault="00C860AF" w:rsidP="00DD157C">
            <w:pPr>
              <w:pStyle w:val="ListParagraph"/>
              <w:numPr>
                <w:ilvl w:val="0"/>
                <w:numId w:val="25"/>
              </w:numPr>
              <w:rPr>
                <w:rFonts w:cs="Arial"/>
                <w:sz w:val="22"/>
                <w:szCs w:val="22"/>
              </w:rPr>
            </w:pPr>
            <w:r>
              <w:rPr>
                <w:rFonts w:cs="Arial"/>
                <w:sz w:val="22"/>
                <w:szCs w:val="22"/>
              </w:rPr>
              <w:t>Recommend alternative approaches to achieve the objective</w:t>
            </w:r>
          </w:p>
          <w:p w14:paraId="6BAB5D6F" w14:textId="77777777" w:rsidR="00F52BE8" w:rsidRPr="00DD157C" w:rsidRDefault="0095182A" w:rsidP="00DD157C">
            <w:pPr>
              <w:pStyle w:val="ListParagraph"/>
              <w:numPr>
                <w:ilvl w:val="0"/>
                <w:numId w:val="25"/>
              </w:numPr>
              <w:rPr>
                <w:rFonts w:cs="Arial"/>
                <w:sz w:val="22"/>
                <w:szCs w:val="22"/>
              </w:rPr>
            </w:pPr>
            <w:r w:rsidRPr="00DD157C">
              <w:rPr>
                <w:rFonts w:cs="Arial"/>
                <w:sz w:val="22"/>
                <w:szCs w:val="22"/>
              </w:rPr>
              <w:t xml:space="preserve">Consult with ORR on developing a policy </w:t>
            </w:r>
            <w:r w:rsidR="00C860AF">
              <w:rPr>
                <w:rFonts w:cs="Arial"/>
                <w:sz w:val="22"/>
                <w:szCs w:val="22"/>
              </w:rPr>
              <w:t>suitable for UK practice</w:t>
            </w:r>
          </w:p>
          <w:p w14:paraId="282C6B87" w14:textId="77777777" w:rsidR="00C860AF" w:rsidRDefault="003B51D4" w:rsidP="00DD157C">
            <w:pPr>
              <w:pStyle w:val="ListParagraph"/>
              <w:numPr>
                <w:ilvl w:val="0"/>
                <w:numId w:val="25"/>
              </w:numPr>
              <w:rPr>
                <w:rFonts w:cs="Arial"/>
                <w:sz w:val="22"/>
                <w:szCs w:val="22"/>
              </w:rPr>
            </w:pPr>
            <w:r>
              <w:rPr>
                <w:rFonts w:cs="Arial"/>
                <w:sz w:val="22"/>
                <w:szCs w:val="22"/>
              </w:rPr>
              <w:t>Write the new process and policy and any necessary supporting documentation</w:t>
            </w:r>
          </w:p>
          <w:p w14:paraId="4B25EBCA" w14:textId="77777777" w:rsidR="0095182A" w:rsidRDefault="0095182A" w:rsidP="00DD157C">
            <w:pPr>
              <w:pStyle w:val="ListParagraph"/>
              <w:numPr>
                <w:ilvl w:val="0"/>
                <w:numId w:val="25"/>
              </w:numPr>
              <w:rPr>
                <w:rFonts w:cs="Arial"/>
                <w:sz w:val="22"/>
                <w:szCs w:val="22"/>
              </w:rPr>
            </w:pPr>
            <w:r w:rsidRPr="00DD157C">
              <w:rPr>
                <w:rFonts w:cs="Arial"/>
                <w:sz w:val="22"/>
                <w:szCs w:val="22"/>
              </w:rPr>
              <w:t xml:space="preserve">Assist </w:t>
            </w:r>
            <w:r w:rsidR="003B51D4">
              <w:rPr>
                <w:rFonts w:cs="Arial"/>
                <w:sz w:val="22"/>
                <w:szCs w:val="22"/>
              </w:rPr>
              <w:t xml:space="preserve">ORR </w:t>
            </w:r>
            <w:r w:rsidRPr="00DD157C">
              <w:rPr>
                <w:rFonts w:cs="Arial"/>
                <w:sz w:val="22"/>
                <w:szCs w:val="22"/>
              </w:rPr>
              <w:t>with stakeholder consultation</w:t>
            </w:r>
            <w:r w:rsidR="00DD157C" w:rsidRPr="00DD157C">
              <w:rPr>
                <w:rFonts w:cs="Arial"/>
                <w:sz w:val="22"/>
                <w:szCs w:val="22"/>
              </w:rPr>
              <w:t xml:space="preserve"> on new policy and process</w:t>
            </w:r>
          </w:p>
          <w:p w14:paraId="08D384BF" w14:textId="77777777" w:rsidR="003B51D4" w:rsidRPr="00DD157C" w:rsidRDefault="003B51D4" w:rsidP="00DD157C">
            <w:pPr>
              <w:pStyle w:val="ListParagraph"/>
              <w:numPr>
                <w:ilvl w:val="0"/>
                <w:numId w:val="25"/>
              </w:numPr>
              <w:rPr>
                <w:rFonts w:cs="Arial"/>
                <w:sz w:val="22"/>
                <w:szCs w:val="22"/>
              </w:rPr>
            </w:pPr>
            <w:r>
              <w:rPr>
                <w:rFonts w:cs="Arial"/>
                <w:sz w:val="22"/>
                <w:szCs w:val="22"/>
              </w:rPr>
              <w:t>Update new process and policy as required following consultation</w:t>
            </w:r>
          </w:p>
          <w:p w14:paraId="35983721" w14:textId="77777777" w:rsidR="0095182A" w:rsidRPr="00DD157C" w:rsidRDefault="0095182A" w:rsidP="00DD157C">
            <w:pPr>
              <w:pStyle w:val="ListParagraph"/>
              <w:numPr>
                <w:ilvl w:val="0"/>
                <w:numId w:val="25"/>
              </w:numPr>
              <w:rPr>
                <w:rFonts w:cs="Arial"/>
                <w:sz w:val="22"/>
                <w:szCs w:val="22"/>
              </w:rPr>
            </w:pPr>
            <w:r w:rsidRPr="00DD157C">
              <w:rPr>
                <w:rFonts w:cs="Arial"/>
                <w:sz w:val="22"/>
                <w:szCs w:val="22"/>
              </w:rPr>
              <w:t>Prepare a transition plan from</w:t>
            </w:r>
            <w:r w:rsidR="00C860AF">
              <w:rPr>
                <w:rFonts w:cs="Arial"/>
                <w:sz w:val="22"/>
                <w:szCs w:val="22"/>
              </w:rPr>
              <w:t xml:space="preserve"> existing regime to new process</w:t>
            </w:r>
          </w:p>
          <w:p w14:paraId="2B87B91E" w14:textId="77777777" w:rsidR="0003232D" w:rsidRPr="0003232D" w:rsidRDefault="0003232D" w:rsidP="0003232D">
            <w:pPr>
              <w:rPr>
                <w:rFonts w:cs="Arial"/>
                <w:b/>
                <w:sz w:val="22"/>
                <w:szCs w:val="22"/>
              </w:rPr>
            </w:pPr>
            <w:r w:rsidRPr="0003232D">
              <w:rPr>
                <w:rFonts w:cs="Arial"/>
                <w:b/>
                <w:sz w:val="22"/>
                <w:szCs w:val="22"/>
              </w:rPr>
              <w:t>Scope</w:t>
            </w:r>
          </w:p>
          <w:p w14:paraId="10D57C5B" w14:textId="77777777" w:rsidR="0095182A" w:rsidRPr="00C860AF" w:rsidRDefault="00DD157C" w:rsidP="00C860AF">
            <w:pPr>
              <w:pStyle w:val="ListParagraph"/>
              <w:numPr>
                <w:ilvl w:val="0"/>
                <w:numId w:val="26"/>
              </w:numPr>
              <w:rPr>
                <w:rFonts w:cs="Arial"/>
                <w:sz w:val="22"/>
                <w:szCs w:val="22"/>
              </w:rPr>
            </w:pPr>
            <w:r w:rsidRPr="00C860AF">
              <w:rPr>
                <w:rFonts w:cs="Arial"/>
                <w:sz w:val="22"/>
                <w:szCs w:val="22"/>
              </w:rPr>
              <w:lastRenderedPageBreak/>
              <w:t>The developed policy and process m</w:t>
            </w:r>
            <w:r w:rsidR="0095182A" w:rsidRPr="00C860AF">
              <w:rPr>
                <w:rFonts w:cs="Arial"/>
                <w:sz w:val="22"/>
                <w:szCs w:val="22"/>
              </w:rPr>
              <w:t xml:space="preserve">ust comply with </w:t>
            </w:r>
            <w:r w:rsidRPr="00C860AF">
              <w:rPr>
                <w:rFonts w:cs="Arial"/>
                <w:sz w:val="22"/>
                <w:szCs w:val="22"/>
              </w:rPr>
              <w:t>current legislation</w:t>
            </w:r>
            <w:r w:rsidR="00C860AF" w:rsidRPr="00C860AF">
              <w:rPr>
                <w:rFonts w:cs="Arial"/>
                <w:sz w:val="22"/>
                <w:szCs w:val="22"/>
              </w:rPr>
              <w:t xml:space="preserve">, particularly the </w:t>
            </w:r>
            <w:r w:rsidRPr="00C860AF">
              <w:rPr>
                <w:rFonts w:cs="Arial"/>
                <w:sz w:val="22"/>
                <w:szCs w:val="22"/>
              </w:rPr>
              <w:t>Railways (Interoperability) Regulations 2011 (as amended)</w:t>
            </w:r>
          </w:p>
          <w:p w14:paraId="69107B55" w14:textId="77777777" w:rsidR="00DD157C" w:rsidRPr="00C860AF" w:rsidRDefault="00DD157C" w:rsidP="0003232D">
            <w:pPr>
              <w:pStyle w:val="ListParagraph"/>
              <w:numPr>
                <w:ilvl w:val="0"/>
                <w:numId w:val="26"/>
              </w:numPr>
              <w:rPr>
                <w:rFonts w:cs="Arial"/>
                <w:sz w:val="22"/>
                <w:szCs w:val="22"/>
              </w:rPr>
            </w:pPr>
            <w:r w:rsidRPr="00C860AF">
              <w:rPr>
                <w:rFonts w:cs="Arial"/>
                <w:sz w:val="22"/>
                <w:szCs w:val="22"/>
              </w:rPr>
              <w:t xml:space="preserve">The developed policy and process must </w:t>
            </w:r>
            <w:r w:rsidR="00C860AF" w:rsidRPr="00C860AF">
              <w:rPr>
                <w:rFonts w:cs="Arial"/>
                <w:sz w:val="22"/>
                <w:szCs w:val="22"/>
              </w:rPr>
              <w:t xml:space="preserve">be written for </w:t>
            </w:r>
            <w:r w:rsidRPr="00C860AF">
              <w:rPr>
                <w:rFonts w:cs="Arial"/>
                <w:sz w:val="22"/>
                <w:szCs w:val="22"/>
              </w:rPr>
              <w:t>post-</w:t>
            </w:r>
            <w:proofErr w:type="spellStart"/>
            <w:r w:rsidRPr="00C860AF">
              <w:rPr>
                <w:rFonts w:cs="Arial"/>
                <w:sz w:val="22"/>
                <w:szCs w:val="22"/>
              </w:rPr>
              <w:t>Brexit</w:t>
            </w:r>
            <w:proofErr w:type="spellEnd"/>
            <w:r w:rsidRPr="00C860AF">
              <w:rPr>
                <w:rFonts w:cs="Arial"/>
                <w:sz w:val="22"/>
                <w:szCs w:val="22"/>
              </w:rPr>
              <w:t xml:space="preserve"> </w:t>
            </w:r>
            <w:r w:rsidR="00C860AF" w:rsidRPr="00C860AF">
              <w:rPr>
                <w:rFonts w:cs="Arial"/>
                <w:sz w:val="22"/>
                <w:szCs w:val="22"/>
              </w:rPr>
              <w:t xml:space="preserve">legislation </w:t>
            </w:r>
            <w:r w:rsidRPr="00C860AF">
              <w:rPr>
                <w:rFonts w:cs="Arial"/>
                <w:sz w:val="22"/>
                <w:szCs w:val="22"/>
              </w:rPr>
              <w:t>(i.e. Railways (Interoperability) Regulations 2011 (as amended</w:t>
            </w:r>
            <w:r w:rsidR="00C860AF" w:rsidRPr="00C860AF">
              <w:rPr>
                <w:rFonts w:cs="Arial"/>
                <w:sz w:val="22"/>
                <w:szCs w:val="22"/>
              </w:rPr>
              <w:t xml:space="preserve"> post 1 January 2021)</w:t>
            </w:r>
          </w:p>
          <w:p w14:paraId="385868A3" w14:textId="77777777" w:rsidR="0003232D" w:rsidRPr="0003232D" w:rsidRDefault="0003232D" w:rsidP="0003232D">
            <w:pPr>
              <w:rPr>
                <w:rFonts w:cs="Arial"/>
                <w:b/>
                <w:sz w:val="22"/>
                <w:szCs w:val="22"/>
              </w:rPr>
            </w:pPr>
            <w:r w:rsidRPr="0003232D">
              <w:rPr>
                <w:rFonts w:cs="Arial"/>
                <w:b/>
                <w:sz w:val="22"/>
                <w:szCs w:val="22"/>
              </w:rPr>
              <w:t>Exclusions</w:t>
            </w:r>
          </w:p>
          <w:p w14:paraId="32B2F940" w14:textId="77777777" w:rsidR="0095182A" w:rsidRPr="00C860AF" w:rsidRDefault="00C860AF" w:rsidP="00C860AF">
            <w:pPr>
              <w:pStyle w:val="ListParagraph"/>
              <w:numPr>
                <w:ilvl w:val="0"/>
                <w:numId w:val="30"/>
              </w:numPr>
              <w:rPr>
                <w:rFonts w:cs="Arial"/>
                <w:sz w:val="22"/>
                <w:szCs w:val="22"/>
              </w:rPr>
            </w:pPr>
            <w:r>
              <w:rPr>
                <w:rFonts w:cs="Arial"/>
                <w:sz w:val="22"/>
                <w:szCs w:val="22"/>
              </w:rPr>
              <w:t>No legislative changes</w:t>
            </w:r>
          </w:p>
          <w:p w14:paraId="1710E365" w14:textId="77777777" w:rsidR="0003232D" w:rsidRPr="0003232D" w:rsidRDefault="0003232D" w:rsidP="0003232D">
            <w:pPr>
              <w:rPr>
                <w:rFonts w:cs="Arial"/>
                <w:b/>
                <w:sz w:val="22"/>
                <w:szCs w:val="22"/>
              </w:rPr>
            </w:pPr>
            <w:r w:rsidRPr="0003232D">
              <w:rPr>
                <w:rFonts w:cs="Arial"/>
                <w:b/>
                <w:sz w:val="22"/>
                <w:szCs w:val="22"/>
              </w:rPr>
              <w:t>Timescales</w:t>
            </w:r>
          </w:p>
          <w:p w14:paraId="7DF056AE" w14:textId="77777777" w:rsidR="00C860AF" w:rsidRPr="00C860AF" w:rsidRDefault="00C860AF" w:rsidP="00C860AF">
            <w:pPr>
              <w:pStyle w:val="ListParagraph"/>
              <w:numPr>
                <w:ilvl w:val="0"/>
                <w:numId w:val="29"/>
              </w:numPr>
              <w:rPr>
                <w:rFonts w:cs="Arial"/>
                <w:sz w:val="22"/>
                <w:szCs w:val="22"/>
              </w:rPr>
            </w:pPr>
            <w:r w:rsidRPr="00C860AF">
              <w:rPr>
                <w:rFonts w:cs="Arial"/>
                <w:sz w:val="22"/>
                <w:szCs w:val="22"/>
              </w:rPr>
              <w:t>We anticipate the project taking 8</w:t>
            </w:r>
            <w:r>
              <w:rPr>
                <w:rFonts w:cs="Arial"/>
                <w:sz w:val="22"/>
                <w:szCs w:val="22"/>
              </w:rPr>
              <w:t>-12</w:t>
            </w:r>
            <w:r w:rsidRPr="00C860AF">
              <w:rPr>
                <w:rFonts w:cs="Arial"/>
                <w:sz w:val="22"/>
                <w:szCs w:val="22"/>
              </w:rPr>
              <w:t xml:space="preserve"> weeks </w:t>
            </w:r>
          </w:p>
          <w:p w14:paraId="083A4BDF" w14:textId="77777777" w:rsidR="0003232D" w:rsidRPr="00C860AF" w:rsidRDefault="0003232D" w:rsidP="0003232D">
            <w:pPr>
              <w:rPr>
                <w:rFonts w:cs="Arial"/>
                <w:b/>
                <w:sz w:val="22"/>
                <w:szCs w:val="22"/>
              </w:rPr>
            </w:pPr>
            <w:r w:rsidRPr="00C860AF">
              <w:rPr>
                <w:rFonts w:cs="Arial"/>
                <w:b/>
                <w:sz w:val="22"/>
                <w:szCs w:val="22"/>
              </w:rPr>
              <w:t>Security Requirements</w:t>
            </w:r>
          </w:p>
          <w:p w14:paraId="3F7D6AD3" w14:textId="77777777" w:rsidR="00F52BE8" w:rsidRPr="00C860AF" w:rsidRDefault="00C860AF" w:rsidP="00C860AF">
            <w:pPr>
              <w:pStyle w:val="ListParagraph"/>
              <w:numPr>
                <w:ilvl w:val="0"/>
                <w:numId w:val="29"/>
              </w:numPr>
              <w:rPr>
                <w:rFonts w:cs="Arial"/>
                <w:b/>
                <w:color w:val="FF0000"/>
              </w:rPr>
            </w:pPr>
            <w:r w:rsidRPr="00C860AF">
              <w:rPr>
                <w:rFonts w:cs="Arial"/>
                <w:sz w:val="22"/>
                <w:szCs w:val="22"/>
              </w:rPr>
              <w:t>The supplier will not be processing personal data or accessing the ORR network in any capacity.</w:t>
            </w:r>
          </w:p>
        </w:tc>
      </w:tr>
      <w:tr w:rsidR="00F52BE8" w:rsidRPr="0036077E" w14:paraId="39C07B22" w14:textId="77777777" w:rsidTr="0003232D">
        <w:trPr>
          <w:trHeight w:val="566"/>
        </w:trPr>
        <w:tc>
          <w:tcPr>
            <w:tcW w:w="8528" w:type="dxa"/>
            <w:shd w:val="clear" w:color="auto" w:fill="99CCFF"/>
          </w:tcPr>
          <w:p w14:paraId="1B80DD8F" w14:textId="77777777" w:rsidR="00F52BE8" w:rsidRPr="0036077E" w:rsidRDefault="00F52BE8" w:rsidP="0003232D">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3068D01D" w14:textId="77777777" w:rsidTr="0003232D">
        <w:trPr>
          <w:trHeight w:val="757"/>
        </w:trPr>
        <w:tc>
          <w:tcPr>
            <w:tcW w:w="8528" w:type="dxa"/>
            <w:tcBorders>
              <w:bottom w:val="single" w:sz="4" w:space="0" w:color="auto"/>
            </w:tcBorders>
            <w:shd w:val="clear" w:color="auto" w:fill="auto"/>
          </w:tcPr>
          <w:p w14:paraId="2840AC6E" w14:textId="77777777" w:rsidR="00534A80" w:rsidRPr="008A4B34" w:rsidRDefault="00534A80" w:rsidP="00534A80">
            <w:pPr>
              <w:spacing w:after="0"/>
              <w:rPr>
                <w:rFonts w:cs="Arial"/>
                <w:b/>
                <w:sz w:val="22"/>
                <w:szCs w:val="22"/>
              </w:rPr>
            </w:pPr>
            <w:r w:rsidRPr="008A4B34">
              <w:rPr>
                <w:rFonts w:cs="Arial"/>
                <w:b/>
                <w:sz w:val="22"/>
                <w:szCs w:val="22"/>
              </w:rPr>
              <w:t>Outputs and Deliverables</w:t>
            </w:r>
          </w:p>
          <w:p w14:paraId="5423D313" w14:textId="77777777" w:rsidR="00534A80" w:rsidRPr="0036077E" w:rsidRDefault="00534A80" w:rsidP="00534A80">
            <w:pPr>
              <w:spacing w:after="0"/>
              <w:rPr>
                <w:rFonts w:cs="Arial"/>
                <w:sz w:val="22"/>
                <w:szCs w:val="22"/>
              </w:rPr>
            </w:pPr>
          </w:p>
          <w:p w14:paraId="7D6554F1" w14:textId="77777777" w:rsidR="00534A80" w:rsidRPr="0036077E" w:rsidRDefault="00534A80" w:rsidP="00534A80">
            <w:pPr>
              <w:numPr>
                <w:ilvl w:val="0"/>
                <w:numId w:val="1"/>
              </w:numPr>
              <w:spacing w:after="0"/>
              <w:ind w:left="714" w:hanging="357"/>
              <w:rPr>
                <w:rFonts w:asciiTheme="minorHAnsi" w:eastAsiaTheme="minorEastAsia" w:hAnsiTheme="minorHAnsi" w:cstheme="minorBidi"/>
                <w:b/>
                <w:bCs/>
                <w:sz w:val="22"/>
                <w:szCs w:val="22"/>
                <w:u w:val="single"/>
              </w:rPr>
            </w:pPr>
            <w:r w:rsidRPr="2F34FCA1">
              <w:rPr>
                <w:sz w:val="22"/>
                <w:szCs w:val="22"/>
              </w:rPr>
              <w:t>The supplier should prepare a project plan and present it with the proposal.</w:t>
            </w:r>
          </w:p>
          <w:p w14:paraId="3378A7F9" w14:textId="77777777" w:rsidR="00534A80" w:rsidRPr="0036077E" w:rsidRDefault="00534A80" w:rsidP="00534A80">
            <w:pPr>
              <w:numPr>
                <w:ilvl w:val="0"/>
                <w:numId w:val="1"/>
              </w:numPr>
              <w:spacing w:after="0"/>
              <w:ind w:left="714" w:hanging="357"/>
              <w:rPr>
                <w:b/>
                <w:bCs/>
                <w:sz w:val="22"/>
                <w:szCs w:val="22"/>
                <w:u w:val="single"/>
              </w:rPr>
            </w:pPr>
            <w:r w:rsidRPr="2F34FCA1">
              <w:rPr>
                <w:sz w:val="22"/>
                <w:szCs w:val="22"/>
              </w:rPr>
              <w:t>If a contract is awarded to the supplier, the plan should be kept up-to-date.</w:t>
            </w:r>
          </w:p>
          <w:p w14:paraId="36D0D034" w14:textId="77777777" w:rsidR="00534A80" w:rsidRPr="0036077E" w:rsidRDefault="00534A80" w:rsidP="00534A80">
            <w:pPr>
              <w:numPr>
                <w:ilvl w:val="0"/>
                <w:numId w:val="1"/>
              </w:numPr>
              <w:spacing w:after="0"/>
              <w:ind w:left="714" w:hanging="357"/>
              <w:rPr>
                <w:b/>
                <w:bCs/>
                <w:sz w:val="22"/>
                <w:szCs w:val="22"/>
                <w:u w:val="single"/>
              </w:rPr>
            </w:pPr>
            <w:r w:rsidRPr="2F34FCA1">
              <w:rPr>
                <w:rFonts w:cs="Arial"/>
                <w:sz w:val="22"/>
                <w:szCs w:val="22"/>
              </w:rPr>
              <w:t xml:space="preserve">Interim presentation of the </w:t>
            </w:r>
            <w:r>
              <w:rPr>
                <w:rFonts w:cs="Arial"/>
                <w:sz w:val="22"/>
                <w:szCs w:val="22"/>
              </w:rPr>
              <w:t>proposed options for future policy/process</w:t>
            </w:r>
            <w:r w:rsidRPr="2F34FCA1">
              <w:rPr>
                <w:rFonts w:cs="Arial"/>
                <w:sz w:val="22"/>
                <w:szCs w:val="22"/>
              </w:rPr>
              <w:t xml:space="preserve"> (</w:t>
            </w:r>
            <w:r w:rsidRPr="2F34FCA1">
              <w:rPr>
                <w:rFonts w:cs="Arial"/>
                <w:color w:val="000000" w:themeColor="text1"/>
                <w:sz w:val="22"/>
                <w:szCs w:val="22"/>
                <w:lang w:eastAsia="en-GB"/>
              </w:rPr>
              <w:t xml:space="preserve">so that ORR has the opportunity to provide comments </w:t>
            </w:r>
            <w:r>
              <w:rPr>
                <w:rFonts w:cs="Arial"/>
                <w:color w:val="000000" w:themeColor="text1"/>
                <w:sz w:val="22"/>
                <w:szCs w:val="22"/>
                <w:lang w:eastAsia="en-GB"/>
              </w:rPr>
              <w:t xml:space="preserve">and direction </w:t>
            </w:r>
            <w:r w:rsidRPr="2F34FCA1">
              <w:rPr>
                <w:rFonts w:cs="Arial"/>
                <w:color w:val="000000" w:themeColor="text1"/>
                <w:sz w:val="22"/>
                <w:szCs w:val="22"/>
                <w:lang w:eastAsia="en-GB"/>
              </w:rPr>
              <w:t xml:space="preserve">before the </w:t>
            </w:r>
            <w:r>
              <w:rPr>
                <w:rFonts w:cs="Arial"/>
                <w:color w:val="000000" w:themeColor="text1"/>
                <w:sz w:val="22"/>
                <w:szCs w:val="22"/>
                <w:lang w:eastAsia="en-GB"/>
              </w:rPr>
              <w:t>policy/process</w:t>
            </w:r>
            <w:r w:rsidRPr="2F34FCA1">
              <w:rPr>
                <w:rFonts w:cs="Arial"/>
                <w:color w:val="000000" w:themeColor="text1"/>
                <w:sz w:val="22"/>
                <w:szCs w:val="22"/>
                <w:lang w:eastAsia="en-GB"/>
              </w:rPr>
              <w:t xml:space="preserve"> is finalised)</w:t>
            </w:r>
          </w:p>
          <w:p w14:paraId="03D01F14" w14:textId="77777777" w:rsidR="00534A80" w:rsidRPr="00534A80" w:rsidRDefault="00534A80" w:rsidP="00534A80">
            <w:pPr>
              <w:numPr>
                <w:ilvl w:val="0"/>
                <w:numId w:val="1"/>
              </w:numPr>
              <w:spacing w:after="0"/>
              <w:ind w:left="714" w:hanging="357"/>
              <w:rPr>
                <w:rFonts w:asciiTheme="minorHAnsi" w:eastAsiaTheme="minorEastAsia" w:hAnsiTheme="minorHAnsi" w:cstheme="minorBidi"/>
                <w:b/>
                <w:bCs/>
                <w:sz w:val="22"/>
                <w:szCs w:val="22"/>
                <w:u w:val="single"/>
              </w:rPr>
            </w:pPr>
            <w:r w:rsidRPr="2F34FCA1">
              <w:rPr>
                <w:rFonts w:cs="Arial"/>
                <w:sz w:val="22"/>
                <w:szCs w:val="22"/>
              </w:rPr>
              <w:t xml:space="preserve">Draft </w:t>
            </w:r>
            <w:r>
              <w:rPr>
                <w:rFonts w:cs="Arial"/>
                <w:sz w:val="22"/>
                <w:szCs w:val="22"/>
              </w:rPr>
              <w:t>policy/process</w:t>
            </w:r>
            <w:r w:rsidRPr="2F34FCA1">
              <w:rPr>
                <w:rFonts w:cs="Arial"/>
                <w:sz w:val="22"/>
                <w:szCs w:val="22"/>
              </w:rPr>
              <w:t xml:space="preserve"> for review</w:t>
            </w:r>
          </w:p>
          <w:p w14:paraId="624500FB" w14:textId="77777777" w:rsidR="00534A80" w:rsidRPr="00534A80" w:rsidRDefault="00534A80" w:rsidP="00534A80">
            <w:pPr>
              <w:numPr>
                <w:ilvl w:val="0"/>
                <w:numId w:val="1"/>
              </w:numPr>
              <w:spacing w:after="0"/>
              <w:ind w:left="714" w:hanging="357"/>
              <w:rPr>
                <w:rFonts w:asciiTheme="minorHAnsi" w:eastAsiaTheme="minorEastAsia" w:hAnsiTheme="minorHAnsi" w:cstheme="minorBidi"/>
                <w:b/>
                <w:bCs/>
                <w:sz w:val="22"/>
                <w:szCs w:val="22"/>
                <w:u w:val="single"/>
              </w:rPr>
            </w:pPr>
            <w:r w:rsidRPr="2F34FCA1">
              <w:rPr>
                <w:rFonts w:cs="Arial"/>
                <w:sz w:val="22"/>
                <w:szCs w:val="22"/>
              </w:rPr>
              <w:t xml:space="preserve">Final </w:t>
            </w:r>
            <w:r>
              <w:rPr>
                <w:rFonts w:cs="Arial"/>
                <w:sz w:val="22"/>
                <w:szCs w:val="22"/>
              </w:rPr>
              <w:t>policy/process (following stakeholder consultation)</w:t>
            </w:r>
          </w:p>
          <w:p w14:paraId="0C43784D" w14:textId="77777777" w:rsidR="00534A80" w:rsidRPr="0036077E" w:rsidRDefault="00534A80" w:rsidP="00534A80">
            <w:pPr>
              <w:numPr>
                <w:ilvl w:val="0"/>
                <w:numId w:val="1"/>
              </w:numPr>
              <w:spacing w:after="0"/>
              <w:ind w:left="714" w:hanging="357"/>
              <w:rPr>
                <w:rFonts w:asciiTheme="minorHAnsi" w:eastAsiaTheme="minorEastAsia" w:hAnsiTheme="minorHAnsi" w:cstheme="minorBidi"/>
                <w:b/>
                <w:bCs/>
                <w:sz w:val="22"/>
                <w:szCs w:val="22"/>
                <w:u w:val="single"/>
              </w:rPr>
            </w:pPr>
            <w:r>
              <w:rPr>
                <w:rFonts w:cs="Arial"/>
                <w:sz w:val="22"/>
                <w:szCs w:val="22"/>
              </w:rPr>
              <w:t>Transition plan</w:t>
            </w:r>
            <w:r w:rsidRPr="2F34FCA1">
              <w:rPr>
                <w:sz w:val="22"/>
                <w:szCs w:val="22"/>
              </w:rPr>
              <w:t xml:space="preserve"> </w:t>
            </w:r>
          </w:p>
          <w:p w14:paraId="136AD0A8" w14:textId="77777777" w:rsidR="00534A80" w:rsidRDefault="00534A80" w:rsidP="0003232D">
            <w:pPr>
              <w:spacing w:after="0"/>
              <w:rPr>
                <w:rFonts w:cs="Arial"/>
                <w:b/>
                <w:sz w:val="22"/>
                <w:szCs w:val="22"/>
              </w:rPr>
            </w:pPr>
          </w:p>
          <w:p w14:paraId="03D376BB" w14:textId="77777777" w:rsidR="00F52BE8" w:rsidRDefault="00F52BE8" w:rsidP="0003232D">
            <w:pPr>
              <w:autoSpaceDE w:val="0"/>
              <w:autoSpaceDN w:val="0"/>
              <w:adjustRightInd w:val="0"/>
              <w:spacing w:after="0"/>
              <w:rPr>
                <w:rFonts w:cs="Arial"/>
                <w:color w:val="000000"/>
                <w:sz w:val="22"/>
                <w:szCs w:val="22"/>
                <w:lang w:eastAsia="en-GB"/>
              </w:rPr>
            </w:pPr>
          </w:p>
          <w:p w14:paraId="627E922A" w14:textId="77777777" w:rsidR="00F52BE8" w:rsidRDefault="00F52BE8" w:rsidP="0003232D">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2CBA31DF" w14:textId="77777777" w:rsidR="00534A80" w:rsidRDefault="00534A80" w:rsidP="0003232D">
            <w:pPr>
              <w:autoSpaceDE w:val="0"/>
              <w:autoSpaceDN w:val="0"/>
              <w:adjustRightInd w:val="0"/>
              <w:spacing w:after="0"/>
              <w:rPr>
                <w:rFonts w:cs="Arial"/>
                <w:b/>
                <w:sz w:val="22"/>
                <w:szCs w:val="22"/>
                <w:lang w:eastAsia="en-GB"/>
              </w:rPr>
            </w:pPr>
          </w:p>
          <w:p w14:paraId="7E17FEF7" w14:textId="77777777" w:rsidR="00534A80" w:rsidRPr="0036077E" w:rsidRDefault="00534A80" w:rsidP="00534A80">
            <w:pPr>
              <w:autoSpaceDE w:val="0"/>
              <w:autoSpaceDN w:val="0"/>
              <w:adjustRightInd w:val="0"/>
              <w:spacing w:after="0"/>
              <w:rPr>
                <w:rFonts w:cs="Arial"/>
                <w:sz w:val="22"/>
                <w:szCs w:val="22"/>
              </w:rPr>
            </w:pPr>
            <w:r w:rsidRPr="2F34FCA1">
              <w:rPr>
                <w:rFonts w:cs="Arial"/>
                <w:sz w:val="22"/>
                <w:szCs w:val="22"/>
              </w:rPr>
              <w:t xml:space="preserve">This project is being paid for from the </w:t>
            </w:r>
            <w:r>
              <w:rPr>
                <w:rFonts w:cs="Arial"/>
                <w:sz w:val="22"/>
                <w:szCs w:val="22"/>
              </w:rPr>
              <w:t xml:space="preserve">Rail Safety </w:t>
            </w:r>
            <w:r w:rsidRPr="2F34FCA1">
              <w:rPr>
                <w:rFonts w:cs="Arial"/>
                <w:sz w:val="22"/>
                <w:szCs w:val="22"/>
              </w:rPr>
              <w:t>Director</w:t>
            </w:r>
            <w:r>
              <w:rPr>
                <w:rFonts w:cs="Arial"/>
                <w:sz w:val="22"/>
                <w:szCs w:val="22"/>
              </w:rPr>
              <w:t>’</w:t>
            </w:r>
            <w:r w:rsidRPr="2F34FCA1">
              <w:rPr>
                <w:rFonts w:cs="Arial"/>
                <w:sz w:val="22"/>
                <w:szCs w:val="22"/>
              </w:rPr>
              <w:t>s (</w:t>
            </w:r>
            <w:r>
              <w:rPr>
                <w:rFonts w:cs="Arial"/>
                <w:sz w:val="22"/>
                <w:szCs w:val="22"/>
              </w:rPr>
              <w:t>Ian Prosser</w:t>
            </w:r>
            <w:r w:rsidRPr="2F34FCA1">
              <w:rPr>
                <w:rFonts w:cs="Arial"/>
                <w:sz w:val="22"/>
                <w:szCs w:val="22"/>
              </w:rPr>
              <w:t xml:space="preserve">) budget. The ORR project manager is Head of </w:t>
            </w:r>
            <w:r>
              <w:rPr>
                <w:rFonts w:cs="Arial"/>
                <w:sz w:val="22"/>
                <w:szCs w:val="22"/>
              </w:rPr>
              <w:t>Interoperability and Rail Vehicle</w:t>
            </w:r>
            <w:r w:rsidRPr="2F34FCA1">
              <w:rPr>
                <w:rFonts w:cs="Arial"/>
                <w:sz w:val="22"/>
                <w:szCs w:val="22"/>
              </w:rPr>
              <w:t xml:space="preserve"> Engineering (</w:t>
            </w:r>
            <w:r>
              <w:rPr>
                <w:rFonts w:cs="Arial"/>
                <w:sz w:val="22"/>
                <w:szCs w:val="22"/>
              </w:rPr>
              <w:t>Pete Gracey</w:t>
            </w:r>
            <w:r w:rsidRPr="2F34FCA1">
              <w:rPr>
                <w:rFonts w:cs="Arial"/>
                <w:sz w:val="22"/>
                <w:szCs w:val="22"/>
              </w:rPr>
              <w:t>).</w:t>
            </w:r>
          </w:p>
          <w:p w14:paraId="799D4A74" w14:textId="77777777" w:rsidR="00534A80" w:rsidRPr="0036077E" w:rsidRDefault="00534A80" w:rsidP="00534A80">
            <w:pPr>
              <w:autoSpaceDE w:val="0"/>
              <w:autoSpaceDN w:val="0"/>
              <w:adjustRightInd w:val="0"/>
              <w:spacing w:after="0"/>
              <w:rPr>
                <w:rFonts w:cs="Arial"/>
                <w:sz w:val="22"/>
                <w:szCs w:val="22"/>
              </w:rPr>
            </w:pPr>
          </w:p>
          <w:p w14:paraId="223E46BE" w14:textId="77777777" w:rsidR="00534A80" w:rsidRPr="0036077E" w:rsidRDefault="00534A80" w:rsidP="00534A80">
            <w:pPr>
              <w:autoSpaceDE w:val="0"/>
              <w:autoSpaceDN w:val="0"/>
              <w:adjustRightInd w:val="0"/>
              <w:spacing w:after="0"/>
            </w:pPr>
            <w:r w:rsidRPr="2F34FCA1">
              <w:rPr>
                <w:rFonts w:eastAsia="Arial" w:cs="Arial"/>
                <w:sz w:val="22"/>
                <w:szCs w:val="22"/>
              </w:rPr>
              <w:t xml:space="preserve">The Consultant shall have a kick off meeting with the </w:t>
            </w:r>
            <w:r>
              <w:rPr>
                <w:rFonts w:eastAsia="Arial" w:cs="Arial"/>
                <w:sz w:val="22"/>
                <w:szCs w:val="22"/>
              </w:rPr>
              <w:t xml:space="preserve">Rail Safely Director, RAD Deputy Director (Strategy &amp; Policy), DRPP Deputy Director (E&amp;AM) </w:t>
            </w:r>
            <w:r w:rsidRPr="2F34FCA1">
              <w:rPr>
                <w:rFonts w:eastAsia="Arial" w:cs="Arial"/>
                <w:sz w:val="22"/>
                <w:szCs w:val="22"/>
              </w:rPr>
              <w:t>and Project Manager (</w:t>
            </w:r>
            <w:proofErr w:type="spellStart"/>
            <w:r w:rsidRPr="2F34FCA1">
              <w:rPr>
                <w:rFonts w:eastAsia="Arial" w:cs="Arial"/>
                <w:sz w:val="22"/>
                <w:szCs w:val="22"/>
              </w:rPr>
              <w:t>MSTeams</w:t>
            </w:r>
            <w:proofErr w:type="spellEnd"/>
            <w:r w:rsidRPr="2F34FCA1">
              <w:rPr>
                <w:rFonts w:eastAsia="Arial" w:cs="Arial"/>
                <w:sz w:val="22"/>
                <w:szCs w:val="22"/>
              </w:rPr>
              <w:t>) where the expectations will be described.</w:t>
            </w:r>
          </w:p>
          <w:p w14:paraId="4A2CB194" w14:textId="77777777" w:rsidR="00534A80" w:rsidRPr="0036077E" w:rsidRDefault="00534A80" w:rsidP="00534A80">
            <w:pPr>
              <w:autoSpaceDE w:val="0"/>
              <w:autoSpaceDN w:val="0"/>
              <w:adjustRightInd w:val="0"/>
              <w:spacing w:after="0"/>
              <w:rPr>
                <w:rFonts w:eastAsia="Arial" w:cs="Arial"/>
                <w:sz w:val="22"/>
                <w:szCs w:val="22"/>
              </w:rPr>
            </w:pPr>
          </w:p>
          <w:p w14:paraId="2FA54A57" w14:textId="77777777" w:rsidR="00534A80" w:rsidRPr="0036077E" w:rsidRDefault="00534A80" w:rsidP="00534A80">
            <w:pPr>
              <w:autoSpaceDE w:val="0"/>
              <w:autoSpaceDN w:val="0"/>
              <w:adjustRightInd w:val="0"/>
              <w:spacing w:after="0"/>
              <w:rPr>
                <w:rFonts w:eastAsia="Arial" w:cs="Arial"/>
                <w:sz w:val="22"/>
                <w:szCs w:val="22"/>
              </w:rPr>
            </w:pPr>
            <w:r w:rsidRPr="2F34FCA1">
              <w:rPr>
                <w:rFonts w:eastAsia="Arial" w:cs="Arial"/>
                <w:sz w:val="22"/>
                <w:szCs w:val="22"/>
              </w:rPr>
              <w:t xml:space="preserve">The Project Manager and the Consultant shall have a minimum weekly </w:t>
            </w:r>
            <w:proofErr w:type="spellStart"/>
            <w:r w:rsidR="00A04512" w:rsidRPr="2F34FCA1">
              <w:rPr>
                <w:rFonts w:eastAsia="Arial" w:cs="Arial"/>
                <w:sz w:val="22"/>
                <w:szCs w:val="22"/>
              </w:rPr>
              <w:t>MSTeams</w:t>
            </w:r>
            <w:proofErr w:type="spellEnd"/>
            <w:r w:rsidR="00A04512" w:rsidRPr="2F34FCA1">
              <w:rPr>
                <w:rFonts w:eastAsia="Arial" w:cs="Arial"/>
                <w:sz w:val="22"/>
                <w:szCs w:val="22"/>
              </w:rPr>
              <w:t xml:space="preserve"> meeting</w:t>
            </w:r>
            <w:r w:rsidRPr="2F34FCA1">
              <w:rPr>
                <w:rFonts w:eastAsia="Arial" w:cs="Arial"/>
                <w:sz w:val="22"/>
                <w:szCs w:val="22"/>
              </w:rPr>
              <w:t xml:space="preserve"> to discuss progress and agree actions.  </w:t>
            </w:r>
          </w:p>
          <w:p w14:paraId="7321C1B2" w14:textId="77777777" w:rsidR="00534A80" w:rsidRPr="0036077E" w:rsidRDefault="00534A80" w:rsidP="00534A80">
            <w:pPr>
              <w:autoSpaceDE w:val="0"/>
              <w:autoSpaceDN w:val="0"/>
              <w:adjustRightInd w:val="0"/>
              <w:spacing w:after="0"/>
              <w:rPr>
                <w:rFonts w:eastAsia="Arial" w:cs="Arial"/>
                <w:sz w:val="22"/>
                <w:szCs w:val="22"/>
              </w:rPr>
            </w:pPr>
          </w:p>
          <w:p w14:paraId="7110BE8D" w14:textId="77777777" w:rsidR="00534A80" w:rsidRPr="0036077E" w:rsidRDefault="00534A80" w:rsidP="00534A80">
            <w:pPr>
              <w:autoSpaceDE w:val="0"/>
              <w:autoSpaceDN w:val="0"/>
              <w:adjustRightInd w:val="0"/>
              <w:spacing w:after="0"/>
            </w:pPr>
            <w:r w:rsidRPr="2F34FCA1">
              <w:rPr>
                <w:rFonts w:eastAsia="Arial" w:cs="Arial"/>
                <w:sz w:val="22"/>
                <w:szCs w:val="22"/>
              </w:rPr>
              <w:t>Following the “kick off” the consultant shall meet (</w:t>
            </w:r>
            <w:proofErr w:type="spellStart"/>
            <w:r w:rsidRPr="2F34FCA1">
              <w:rPr>
                <w:rFonts w:eastAsia="Arial" w:cs="Arial"/>
                <w:sz w:val="22"/>
                <w:szCs w:val="22"/>
              </w:rPr>
              <w:t>MSTeams</w:t>
            </w:r>
            <w:proofErr w:type="spellEnd"/>
            <w:r w:rsidRPr="2F34FCA1">
              <w:rPr>
                <w:rFonts w:eastAsia="Arial" w:cs="Arial"/>
                <w:sz w:val="22"/>
                <w:szCs w:val="22"/>
              </w:rPr>
              <w:t xml:space="preserve">) </w:t>
            </w:r>
            <w:r>
              <w:rPr>
                <w:rFonts w:eastAsia="Arial" w:cs="Arial"/>
                <w:sz w:val="22"/>
                <w:szCs w:val="22"/>
              </w:rPr>
              <w:t>the Project Manager and selected</w:t>
            </w:r>
            <w:r w:rsidRPr="2F34FCA1">
              <w:rPr>
                <w:rFonts w:eastAsia="Arial" w:cs="Arial"/>
                <w:sz w:val="22"/>
                <w:szCs w:val="22"/>
              </w:rPr>
              <w:t xml:space="preserve"> </w:t>
            </w:r>
            <w:r>
              <w:rPr>
                <w:rFonts w:eastAsia="Arial" w:cs="Arial"/>
                <w:sz w:val="22"/>
                <w:szCs w:val="22"/>
              </w:rPr>
              <w:t xml:space="preserve">RPP staff </w:t>
            </w:r>
            <w:r w:rsidRPr="2F34FCA1">
              <w:rPr>
                <w:rFonts w:eastAsia="Arial" w:cs="Arial"/>
                <w:sz w:val="22"/>
                <w:szCs w:val="22"/>
              </w:rPr>
              <w:t xml:space="preserve">to understand what needs to be included in the </w:t>
            </w:r>
            <w:r>
              <w:rPr>
                <w:rFonts w:eastAsia="Arial" w:cs="Arial"/>
                <w:sz w:val="22"/>
                <w:szCs w:val="22"/>
              </w:rPr>
              <w:t>policy</w:t>
            </w:r>
            <w:r w:rsidRPr="2F34FCA1">
              <w:rPr>
                <w:rFonts w:eastAsia="Arial" w:cs="Arial"/>
                <w:sz w:val="22"/>
                <w:szCs w:val="22"/>
              </w:rPr>
              <w:t xml:space="preserve"> and </w:t>
            </w:r>
            <w:r>
              <w:rPr>
                <w:rFonts w:eastAsia="Arial" w:cs="Arial"/>
                <w:sz w:val="22"/>
                <w:szCs w:val="22"/>
              </w:rPr>
              <w:t>process</w:t>
            </w:r>
            <w:r w:rsidRPr="2F34FCA1">
              <w:rPr>
                <w:rFonts w:eastAsia="Arial" w:cs="Arial"/>
                <w:sz w:val="22"/>
                <w:szCs w:val="22"/>
              </w:rPr>
              <w:t>. The consultant shall record this meeting.</w:t>
            </w:r>
          </w:p>
          <w:p w14:paraId="2A6B0EDA" w14:textId="77777777" w:rsidR="00534A80" w:rsidRPr="0036077E" w:rsidRDefault="00534A80" w:rsidP="00534A80">
            <w:pPr>
              <w:autoSpaceDE w:val="0"/>
              <w:autoSpaceDN w:val="0"/>
              <w:adjustRightInd w:val="0"/>
              <w:spacing w:after="0"/>
              <w:rPr>
                <w:rFonts w:eastAsia="Arial" w:cs="Arial"/>
                <w:sz w:val="22"/>
                <w:szCs w:val="22"/>
              </w:rPr>
            </w:pPr>
          </w:p>
          <w:p w14:paraId="68257CC3" w14:textId="77777777" w:rsidR="00534A80" w:rsidRPr="0036077E" w:rsidRDefault="00534A80" w:rsidP="00534A80">
            <w:pPr>
              <w:autoSpaceDE w:val="0"/>
              <w:autoSpaceDN w:val="0"/>
              <w:adjustRightInd w:val="0"/>
              <w:spacing w:after="0"/>
              <w:rPr>
                <w:rFonts w:eastAsia="Arial" w:cs="Arial"/>
                <w:sz w:val="22"/>
                <w:szCs w:val="22"/>
              </w:rPr>
            </w:pPr>
            <w:r w:rsidRPr="2F34FCA1">
              <w:rPr>
                <w:rFonts w:eastAsia="Arial" w:cs="Arial"/>
                <w:sz w:val="22"/>
                <w:szCs w:val="22"/>
              </w:rPr>
              <w:t xml:space="preserve">ORR templates and visual identity guidelines will be used by the Consultant. </w:t>
            </w:r>
          </w:p>
          <w:p w14:paraId="01302E31" w14:textId="77777777" w:rsidR="00F52BE8" w:rsidRPr="0036077E" w:rsidRDefault="00F52BE8" w:rsidP="0003232D">
            <w:pPr>
              <w:autoSpaceDE w:val="0"/>
              <w:autoSpaceDN w:val="0"/>
              <w:adjustRightInd w:val="0"/>
              <w:spacing w:after="0"/>
              <w:rPr>
                <w:rFonts w:cs="Arial"/>
                <w:b/>
              </w:rPr>
            </w:pPr>
          </w:p>
        </w:tc>
      </w:tr>
      <w:tr w:rsidR="00F52BE8" w:rsidRPr="0036077E" w14:paraId="1034AA7A" w14:textId="77777777" w:rsidTr="0003232D">
        <w:trPr>
          <w:trHeight w:val="250"/>
        </w:trPr>
        <w:tc>
          <w:tcPr>
            <w:tcW w:w="8528" w:type="dxa"/>
            <w:shd w:val="clear" w:color="auto" w:fill="99CCFF"/>
          </w:tcPr>
          <w:p w14:paraId="4004B8DC" w14:textId="77777777" w:rsidR="00F52BE8" w:rsidRPr="0036077E" w:rsidRDefault="00F52BE8" w:rsidP="0003232D">
            <w:pPr>
              <w:rPr>
                <w:rFonts w:cs="Arial"/>
                <w:b/>
                <w:sz w:val="28"/>
                <w:szCs w:val="28"/>
              </w:rPr>
            </w:pPr>
            <w:r w:rsidRPr="0036077E">
              <w:rPr>
                <w:rFonts w:cs="Arial"/>
                <w:b/>
                <w:sz w:val="28"/>
                <w:szCs w:val="28"/>
              </w:rPr>
              <w:lastRenderedPageBreak/>
              <w:t>2.4 Project Timescales</w:t>
            </w:r>
          </w:p>
        </w:tc>
      </w:tr>
      <w:tr w:rsidR="00F52BE8" w:rsidRPr="0036077E" w14:paraId="39F8399D" w14:textId="77777777" w:rsidTr="0003232D">
        <w:trPr>
          <w:trHeight w:val="250"/>
        </w:trPr>
        <w:tc>
          <w:tcPr>
            <w:tcW w:w="8528" w:type="dxa"/>
            <w:tcBorders>
              <w:bottom w:val="single" w:sz="4" w:space="0" w:color="auto"/>
            </w:tcBorders>
            <w:shd w:val="clear" w:color="auto" w:fill="auto"/>
          </w:tcPr>
          <w:p w14:paraId="4F7CBE52" w14:textId="77777777" w:rsidR="00A04512" w:rsidRPr="0036077E" w:rsidRDefault="00A04512" w:rsidP="00A04512">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7F9E2BDF" w14:textId="6ABFE3D3" w:rsidR="00A04512" w:rsidRPr="0036077E" w:rsidRDefault="00A04512" w:rsidP="00A04512">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Start-up</w:t>
            </w:r>
            <w:r w:rsidR="007455EE">
              <w:rPr>
                <w:rFonts w:cs="Arial"/>
                <w:color w:val="000000" w:themeColor="text1"/>
                <w:sz w:val="22"/>
                <w:szCs w:val="22"/>
                <w:lang w:eastAsia="en-GB"/>
              </w:rPr>
              <w:t xml:space="preserve"> meeting and commencement </w:t>
            </w:r>
            <w:r w:rsidR="001D4072">
              <w:rPr>
                <w:rFonts w:cs="Arial"/>
                <w:color w:val="000000" w:themeColor="text1"/>
                <w:sz w:val="22"/>
                <w:szCs w:val="22"/>
                <w:lang w:eastAsia="en-GB"/>
              </w:rPr>
              <w:t>0</w:t>
            </w:r>
            <w:r w:rsidR="009A0C57">
              <w:rPr>
                <w:rFonts w:cs="Arial"/>
                <w:color w:val="000000" w:themeColor="text1"/>
                <w:sz w:val="22"/>
                <w:szCs w:val="22"/>
                <w:lang w:eastAsia="en-GB"/>
              </w:rPr>
              <w:t xml:space="preserve">4 or </w:t>
            </w:r>
            <w:r w:rsidR="001D4072">
              <w:rPr>
                <w:rFonts w:cs="Arial"/>
                <w:color w:val="000000" w:themeColor="text1"/>
                <w:sz w:val="22"/>
                <w:szCs w:val="22"/>
                <w:lang w:eastAsia="en-GB"/>
              </w:rPr>
              <w:t>0</w:t>
            </w:r>
            <w:r w:rsidR="009A0C57">
              <w:rPr>
                <w:rFonts w:cs="Arial"/>
                <w:color w:val="000000" w:themeColor="text1"/>
                <w:sz w:val="22"/>
                <w:szCs w:val="22"/>
                <w:lang w:eastAsia="en-GB"/>
              </w:rPr>
              <w:t>7 Dec</w:t>
            </w:r>
            <w:r w:rsidR="007455EE">
              <w:rPr>
                <w:rFonts w:cs="Arial"/>
                <w:color w:val="000000" w:themeColor="text1"/>
                <w:sz w:val="22"/>
                <w:szCs w:val="22"/>
                <w:lang w:eastAsia="en-GB"/>
              </w:rPr>
              <w:t>ember 2020.</w:t>
            </w:r>
          </w:p>
          <w:p w14:paraId="7C5B9B2D" w14:textId="69ADD729" w:rsidR="00825CE8" w:rsidRPr="00825CE8" w:rsidRDefault="00A04512" w:rsidP="00825CE8">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Weekly updates on progress and any issues (MS</w:t>
            </w:r>
            <w:r w:rsidR="009A0C57">
              <w:rPr>
                <w:rFonts w:cs="Arial"/>
                <w:color w:val="000000" w:themeColor="text1"/>
                <w:sz w:val="22"/>
                <w:szCs w:val="22"/>
                <w:lang w:eastAsia="en-GB"/>
              </w:rPr>
              <w:t xml:space="preserve"> </w:t>
            </w:r>
            <w:r w:rsidRPr="2F34FCA1">
              <w:rPr>
                <w:rFonts w:cs="Arial"/>
                <w:color w:val="000000" w:themeColor="text1"/>
                <w:sz w:val="22"/>
                <w:szCs w:val="22"/>
                <w:lang w:eastAsia="en-GB"/>
              </w:rPr>
              <w:t>Teams)</w:t>
            </w:r>
          </w:p>
          <w:p w14:paraId="6E1E8200" w14:textId="5E93FBA1" w:rsidR="00A04512" w:rsidRPr="0036077E" w:rsidRDefault="00A04512" w:rsidP="00A04512">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 xml:space="preserve">Presentation of </w:t>
            </w:r>
            <w:r>
              <w:rPr>
                <w:rFonts w:cs="Arial"/>
                <w:color w:val="000000" w:themeColor="text1"/>
                <w:sz w:val="22"/>
                <w:szCs w:val="22"/>
                <w:lang w:eastAsia="en-GB"/>
              </w:rPr>
              <w:t>options for policy/process</w:t>
            </w:r>
            <w:r w:rsidRPr="2F34FCA1">
              <w:rPr>
                <w:rFonts w:cs="Arial"/>
                <w:color w:val="000000" w:themeColor="text1"/>
                <w:sz w:val="22"/>
                <w:szCs w:val="22"/>
                <w:lang w:eastAsia="en-GB"/>
              </w:rPr>
              <w:t xml:space="preserve"> </w:t>
            </w:r>
            <w:r w:rsidR="007455EE">
              <w:rPr>
                <w:rFonts w:cs="Arial"/>
                <w:color w:val="000000" w:themeColor="text1"/>
                <w:sz w:val="22"/>
                <w:szCs w:val="22"/>
                <w:lang w:eastAsia="en-GB"/>
              </w:rPr>
              <w:t xml:space="preserve">w/c </w:t>
            </w:r>
            <w:r w:rsidR="001D4072">
              <w:rPr>
                <w:rFonts w:cs="Arial"/>
                <w:color w:val="000000" w:themeColor="text1"/>
                <w:sz w:val="22"/>
                <w:szCs w:val="22"/>
                <w:lang w:eastAsia="en-GB"/>
              </w:rPr>
              <w:t>0</w:t>
            </w:r>
            <w:r w:rsidR="009A0C57">
              <w:rPr>
                <w:rFonts w:cs="Arial"/>
                <w:color w:val="000000" w:themeColor="text1"/>
                <w:sz w:val="22"/>
                <w:szCs w:val="22"/>
                <w:lang w:eastAsia="en-GB"/>
              </w:rPr>
              <w:t>4</w:t>
            </w:r>
            <w:r w:rsidR="007455EE">
              <w:rPr>
                <w:rFonts w:cs="Arial"/>
                <w:color w:val="000000" w:themeColor="text1"/>
                <w:sz w:val="22"/>
                <w:szCs w:val="22"/>
                <w:lang w:eastAsia="en-GB"/>
              </w:rPr>
              <w:t xml:space="preserve"> </w:t>
            </w:r>
            <w:r w:rsidR="00825CE8">
              <w:rPr>
                <w:rFonts w:cs="Arial"/>
                <w:color w:val="000000" w:themeColor="text1"/>
                <w:sz w:val="22"/>
                <w:szCs w:val="22"/>
                <w:lang w:eastAsia="en-GB"/>
              </w:rPr>
              <w:t>January</w:t>
            </w:r>
            <w:r w:rsidR="007455EE">
              <w:rPr>
                <w:rFonts w:cs="Arial"/>
                <w:color w:val="000000" w:themeColor="text1"/>
                <w:sz w:val="22"/>
                <w:szCs w:val="22"/>
                <w:lang w:eastAsia="en-GB"/>
              </w:rPr>
              <w:t xml:space="preserve"> </w:t>
            </w:r>
            <w:r w:rsidR="00825CE8">
              <w:rPr>
                <w:rFonts w:cs="Arial"/>
                <w:color w:val="000000" w:themeColor="text1"/>
                <w:sz w:val="22"/>
                <w:szCs w:val="22"/>
                <w:lang w:eastAsia="en-GB"/>
              </w:rPr>
              <w:t xml:space="preserve">2021 </w:t>
            </w:r>
            <w:r w:rsidRPr="2F34FCA1">
              <w:rPr>
                <w:rFonts w:cs="Arial"/>
                <w:color w:val="000000" w:themeColor="text1"/>
                <w:sz w:val="22"/>
                <w:szCs w:val="22"/>
                <w:lang w:eastAsia="en-GB"/>
              </w:rPr>
              <w:t>(or as agreed)</w:t>
            </w:r>
          </w:p>
          <w:p w14:paraId="236E39E8" w14:textId="6E29317E" w:rsidR="00A04512" w:rsidRPr="00A04512" w:rsidRDefault="00A04512" w:rsidP="00A04512">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 xml:space="preserve">Draft </w:t>
            </w:r>
            <w:r>
              <w:rPr>
                <w:rFonts w:cs="Arial"/>
                <w:color w:val="000000" w:themeColor="text1"/>
                <w:sz w:val="22"/>
                <w:szCs w:val="22"/>
                <w:lang w:eastAsia="en-GB"/>
              </w:rPr>
              <w:t>policy/process</w:t>
            </w:r>
            <w:r w:rsidRPr="2F34FCA1">
              <w:rPr>
                <w:rFonts w:cs="Arial"/>
                <w:color w:val="000000" w:themeColor="text1"/>
                <w:sz w:val="22"/>
                <w:szCs w:val="22"/>
                <w:lang w:eastAsia="en-GB"/>
              </w:rPr>
              <w:t xml:space="preserve"> </w:t>
            </w:r>
            <w:r w:rsidR="00825CE8">
              <w:rPr>
                <w:rFonts w:cs="Arial"/>
                <w:color w:val="000000" w:themeColor="text1"/>
                <w:sz w:val="22"/>
                <w:szCs w:val="22"/>
                <w:lang w:eastAsia="en-GB"/>
              </w:rPr>
              <w:t xml:space="preserve">w/c </w:t>
            </w:r>
            <w:r w:rsidR="001D4072">
              <w:rPr>
                <w:rFonts w:cs="Arial"/>
                <w:color w:val="000000" w:themeColor="text1"/>
                <w:sz w:val="22"/>
                <w:szCs w:val="22"/>
                <w:lang w:eastAsia="en-GB"/>
              </w:rPr>
              <w:t>0</w:t>
            </w:r>
            <w:r w:rsidR="00825CE8">
              <w:rPr>
                <w:rFonts w:cs="Arial"/>
                <w:color w:val="000000" w:themeColor="text1"/>
                <w:sz w:val="22"/>
                <w:szCs w:val="22"/>
                <w:lang w:eastAsia="en-GB"/>
              </w:rPr>
              <w:t>1 February</w:t>
            </w:r>
            <w:r w:rsidR="007455EE">
              <w:rPr>
                <w:rFonts w:cs="Arial"/>
                <w:color w:val="000000" w:themeColor="text1"/>
                <w:sz w:val="22"/>
                <w:szCs w:val="22"/>
                <w:lang w:eastAsia="en-GB"/>
              </w:rPr>
              <w:t xml:space="preserve"> 2021</w:t>
            </w:r>
            <w:r w:rsidRPr="2F34FCA1">
              <w:rPr>
                <w:rFonts w:cs="Arial"/>
                <w:color w:val="000000" w:themeColor="text1"/>
                <w:sz w:val="22"/>
                <w:szCs w:val="22"/>
                <w:lang w:eastAsia="en-GB"/>
              </w:rPr>
              <w:t>.</w:t>
            </w:r>
          </w:p>
          <w:p w14:paraId="56B02F27" w14:textId="3D5C9F17" w:rsidR="00A04512" w:rsidRPr="0036077E" w:rsidRDefault="00A04512" w:rsidP="00A04512">
            <w:pPr>
              <w:numPr>
                <w:ilvl w:val="0"/>
                <w:numId w:val="12"/>
              </w:numPr>
              <w:autoSpaceDE w:val="0"/>
              <w:autoSpaceDN w:val="0"/>
              <w:adjustRightInd w:val="0"/>
              <w:spacing w:after="0"/>
              <w:rPr>
                <w:rFonts w:cs="Arial"/>
                <w:color w:val="000000"/>
                <w:sz w:val="22"/>
                <w:szCs w:val="22"/>
                <w:lang w:eastAsia="en-GB"/>
              </w:rPr>
            </w:pPr>
            <w:r>
              <w:rPr>
                <w:rFonts w:cs="Arial"/>
                <w:color w:val="000000" w:themeColor="text1"/>
                <w:sz w:val="22"/>
                <w:szCs w:val="22"/>
                <w:lang w:eastAsia="en-GB"/>
              </w:rPr>
              <w:t xml:space="preserve">Stakeholder consultation </w:t>
            </w:r>
            <w:r w:rsidR="00825CE8">
              <w:rPr>
                <w:rFonts w:cs="Arial"/>
                <w:color w:val="000000" w:themeColor="text1"/>
                <w:sz w:val="22"/>
                <w:szCs w:val="22"/>
                <w:lang w:eastAsia="en-GB"/>
              </w:rPr>
              <w:t xml:space="preserve">from </w:t>
            </w:r>
            <w:r w:rsidR="001D4072">
              <w:rPr>
                <w:rFonts w:cs="Arial"/>
                <w:color w:val="000000" w:themeColor="text1"/>
                <w:sz w:val="22"/>
                <w:szCs w:val="22"/>
                <w:lang w:eastAsia="en-GB"/>
              </w:rPr>
              <w:t>0</w:t>
            </w:r>
            <w:r w:rsidR="00825CE8">
              <w:rPr>
                <w:rFonts w:cs="Arial"/>
                <w:color w:val="000000" w:themeColor="text1"/>
                <w:sz w:val="22"/>
                <w:szCs w:val="22"/>
                <w:lang w:eastAsia="en-GB"/>
              </w:rPr>
              <w:t>8</w:t>
            </w:r>
            <w:r w:rsidR="007455EE">
              <w:rPr>
                <w:rFonts w:cs="Arial"/>
                <w:color w:val="000000" w:themeColor="text1"/>
                <w:sz w:val="22"/>
                <w:szCs w:val="22"/>
                <w:lang w:eastAsia="en-GB"/>
              </w:rPr>
              <w:t xml:space="preserve"> February 2021</w:t>
            </w:r>
            <w:r>
              <w:rPr>
                <w:rFonts w:cs="Arial"/>
                <w:color w:val="000000" w:themeColor="text1"/>
                <w:sz w:val="22"/>
                <w:szCs w:val="22"/>
                <w:lang w:eastAsia="en-GB"/>
              </w:rPr>
              <w:t>.</w:t>
            </w:r>
          </w:p>
          <w:p w14:paraId="400DDC03" w14:textId="79B5C0A2" w:rsidR="00A04512" w:rsidRDefault="00A04512" w:rsidP="00A04512">
            <w:pPr>
              <w:numPr>
                <w:ilvl w:val="0"/>
                <w:numId w:val="12"/>
              </w:numPr>
              <w:autoSpaceDE w:val="0"/>
              <w:autoSpaceDN w:val="0"/>
              <w:adjustRightInd w:val="0"/>
              <w:spacing w:after="0"/>
              <w:rPr>
                <w:rFonts w:cs="Arial"/>
                <w:color w:val="000000"/>
                <w:sz w:val="22"/>
                <w:szCs w:val="22"/>
                <w:lang w:eastAsia="en-GB"/>
              </w:rPr>
            </w:pPr>
            <w:r w:rsidRPr="2F34FCA1">
              <w:rPr>
                <w:rFonts w:cs="Arial"/>
                <w:color w:val="000000" w:themeColor="text1"/>
                <w:sz w:val="22"/>
                <w:szCs w:val="22"/>
                <w:lang w:eastAsia="en-GB"/>
              </w:rPr>
              <w:t xml:space="preserve">Final </w:t>
            </w:r>
            <w:r>
              <w:rPr>
                <w:rFonts w:cs="Arial"/>
                <w:color w:val="000000" w:themeColor="text1"/>
                <w:sz w:val="22"/>
                <w:szCs w:val="22"/>
                <w:lang w:eastAsia="en-GB"/>
              </w:rPr>
              <w:t>policy/process</w:t>
            </w:r>
            <w:r w:rsidR="00823F37">
              <w:rPr>
                <w:rFonts w:cs="Arial"/>
                <w:color w:val="000000" w:themeColor="text1"/>
                <w:sz w:val="22"/>
                <w:szCs w:val="22"/>
                <w:lang w:eastAsia="en-GB"/>
              </w:rPr>
              <w:t xml:space="preserve"> by</w:t>
            </w:r>
            <w:r>
              <w:rPr>
                <w:rFonts w:cs="Arial"/>
                <w:color w:val="000000" w:themeColor="text1"/>
                <w:sz w:val="22"/>
                <w:szCs w:val="22"/>
                <w:lang w:eastAsia="en-GB"/>
              </w:rPr>
              <w:t xml:space="preserve"> </w:t>
            </w:r>
            <w:r w:rsidR="007455EE">
              <w:rPr>
                <w:rFonts w:cs="Arial"/>
                <w:color w:val="000000" w:themeColor="text1"/>
                <w:sz w:val="22"/>
                <w:szCs w:val="22"/>
                <w:lang w:eastAsia="en-GB"/>
              </w:rPr>
              <w:t xml:space="preserve">19 </w:t>
            </w:r>
            <w:r w:rsidR="00825CE8">
              <w:rPr>
                <w:rFonts w:cs="Arial"/>
                <w:color w:val="000000" w:themeColor="text1"/>
                <w:sz w:val="22"/>
                <w:szCs w:val="22"/>
                <w:lang w:eastAsia="en-GB"/>
              </w:rPr>
              <w:t>March</w:t>
            </w:r>
            <w:r w:rsidR="007455EE">
              <w:rPr>
                <w:rFonts w:cs="Arial"/>
                <w:color w:val="000000" w:themeColor="text1"/>
                <w:sz w:val="22"/>
                <w:szCs w:val="22"/>
                <w:lang w:eastAsia="en-GB"/>
              </w:rPr>
              <w:t xml:space="preserve"> 2021</w:t>
            </w:r>
            <w:r>
              <w:rPr>
                <w:rFonts w:cs="Arial"/>
                <w:color w:val="000000" w:themeColor="text1"/>
                <w:sz w:val="22"/>
                <w:szCs w:val="22"/>
                <w:lang w:eastAsia="en-GB"/>
              </w:rPr>
              <w:t>.</w:t>
            </w:r>
          </w:p>
          <w:p w14:paraId="6EBE27B1" w14:textId="77777777" w:rsidR="00A04512" w:rsidRDefault="00A04512" w:rsidP="00A04512">
            <w:pPr>
              <w:autoSpaceDE w:val="0"/>
              <w:autoSpaceDN w:val="0"/>
              <w:adjustRightInd w:val="0"/>
              <w:spacing w:after="0"/>
              <w:rPr>
                <w:rFonts w:cs="Arial"/>
                <w:color w:val="000000"/>
                <w:sz w:val="22"/>
                <w:szCs w:val="22"/>
                <w:lang w:eastAsia="en-GB"/>
              </w:rPr>
            </w:pPr>
          </w:p>
          <w:p w14:paraId="1005B1E2" w14:textId="77777777" w:rsidR="00F52BE8" w:rsidRDefault="00F52BE8" w:rsidP="0003232D">
            <w:pPr>
              <w:autoSpaceDE w:val="0"/>
              <w:autoSpaceDN w:val="0"/>
              <w:adjustRightInd w:val="0"/>
              <w:spacing w:after="0"/>
              <w:rPr>
                <w:rFonts w:cs="Arial"/>
                <w:b/>
                <w:color w:val="000000"/>
                <w:sz w:val="22"/>
                <w:szCs w:val="22"/>
                <w:lang w:eastAsia="en-GB"/>
              </w:rPr>
            </w:pPr>
          </w:p>
          <w:p w14:paraId="4585D2E3" w14:textId="77777777" w:rsidR="00F52BE8" w:rsidRPr="0036077E" w:rsidRDefault="00F52BE8" w:rsidP="0003232D">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292954DC" w14:textId="77777777" w:rsidTr="0003232D">
        <w:trPr>
          <w:trHeight w:val="129"/>
        </w:trPr>
        <w:tc>
          <w:tcPr>
            <w:tcW w:w="8528" w:type="dxa"/>
            <w:shd w:val="clear" w:color="auto" w:fill="99CCFF"/>
          </w:tcPr>
          <w:p w14:paraId="02C70C23" w14:textId="77777777" w:rsidR="00F52BE8" w:rsidRPr="0036077E" w:rsidRDefault="00F52BE8" w:rsidP="0003232D">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0464C54B" w14:textId="77777777" w:rsidTr="0003232D">
        <w:trPr>
          <w:trHeight w:val="127"/>
        </w:trPr>
        <w:tc>
          <w:tcPr>
            <w:tcW w:w="8528" w:type="dxa"/>
            <w:tcBorders>
              <w:bottom w:val="single" w:sz="4" w:space="0" w:color="auto"/>
            </w:tcBorders>
            <w:shd w:val="clear" w:color="auto" w:fill="auto"/>
          </w:tcPr>
          <w:p w14:paraId="4807059E" w14:textId="5D97B20F" w:rsidR="00A04512" w:rsidRPr="00A04512" w:rsidRDefault="00A04512" w:rsidP="00A04512">
            <w:pPr>
              <w:rPr>
                <w:rFonts w:cs="Arial"/>
                <w:color w:val="000000"/>
                <w:sz w:val="22"/>
                <w:szCs w:val="22"/>
              </w:rPr>
            </w:pPr>
            <w:r w:rsidRPr="00A04512">
              <w:rPr>
                <w:sz w:val="22"/>
                <w:szCs w:val="22"/>
              </w:rPr>
              <w:t>The maximum budg</w:t>
            </w:r>
            <w:r w:rsidR="001D4072">
              <w:rPr>
                <w:sz w:val="22"/>
                <w:szCs w:val="22"/>
              </w:rPr>
              <w:t>et for this piece of work is £40,000</w:t>
            </w:r>
            <w:r w:rsidRPr="00A04512">
              <w:rPr>
                <w:sz w:val="22"/>
                <w:szCs w:val="22"/>
              </w:rPr>
              <w:t xml:space="preserve"> (</w:t>
            </w:r>
            <w:proofErr w:type="spellStart"/>
            <w:r w:rsidRPr="00A04512">
              <w:rPr>
                <w:sz w:val="22"/>
                <w:szCs w:val="22"/>
              </w:rPr>
              <w:t>inc.</w:t>
            </w:r>
            <w:proofErr w:type="spellEnd"/>
            <w:r w:rsidRPr="00A04512">
              <w:rPr>
                <w:sz w:val="22"/>
                <w:szCs w:val="22"/>
              </w:rPr>
              <w:t xml:space="preserve"> of expenses, exc. of VAT), </w:t>
            </w:r>
            <w:r w:rsidRPr="00A04512">
              <w:rPr>
                <w:rFonts w:cs="Arial"/>
                <w:color w:val="000000"/>
                <w:sz w:val="22"/>
                <w:szCs w:val="22"/>
              </w:rPr>
              <w:t>however ORR expects bids to be significantly below this threshold.</w:t>
            </w:r>
          </w:p>
          <w:p w14:paraId="506F64E6" w14:textId="77777777" w:rsidR="00A04512" w:rsidRPr="00A04512" w:rsidRDefault="00A04512" w:rsidP="00A04512">
            <w:pPr>
              <w:rPr>
                <w:rFonts w:cs="Arial"/>
                <w:b/>
                <w:bCs/>
                <w:sz w:val="22"/>
                <w:szCs w:val="22"/>
              </w:rPr>
            </w:pPr>
            <w:r w:rsidRPr="00A04512">
              <w:rPr>
                <w:rFonts w:cs="Arial"/>
                <w:b/>
                <w:bCs/>
                <w:sz w:val="22"/>
                <w:szCs w:val="22"/>
              </w:rPr>
              <w:t xml:space="preserve">Payment </w:t>
            </w:r>
          </w:p>
          <w:p w14:paraId="5C7EB7F9" w14:textId="77777777" w:rsidR="00F52BE8" w:rsidRPr="00A04512" w:rsidRDefault="00A04512" w:rsidP="00A04512">
            <w:pPr>
              <w:rPr>
                <w:rFonts w:cs="Arial"/>
                <w:sz w:val="22"/>
                <w:szCs w:val="22"/>
              </w:rPr>
            </w:pPr>
            <w:r w:rsidRPr="00A04512">
              <w:rPr>
                <w:rFonts w:cs="Arial"/>
                <w:sz w:val="22"/>
                <w:szCs w:val="22"/>
              </w:rPr>
              <w:t>Payment of the total fee will be on the delivery and acceptance by ORR of all required outputs and/or deliverables.</w:t>
            </w:r>
          </w:p>
        </w:tc>
      </w:tr>
      <w:tr w:rsidR="00F52BE8" w:rsidRPr="0036077E" w14:paraId="560A10DC" w14:textId="77777777" w:rsidTr="0003232D">
        <w:trPr>
          <w:trHeight w:val="127"/>
        </w:trPr>
        <w:tc>
          <w:tcPr>
            <w:tcW w:w="8528" w:type="dxa"/>
            <w:shd w:val="clear" w:color="auto" w:fill="99CCFF"/>
          </w:tcPr>
          <w:p w14:paraId="28F18F10" w14:textId="77777777" w:rsidR="00F52BE8" w:rsidRPr="0036077E" w:rsidRDefault="00F52BE8" w:rsidP="0003232D">
            <w:pPr>
              <w:rPr>
                <w:rFonts w:cs="Arial"/>
                <w:b/>
                <w:sz w:val="28"/>
                <w:szCs w:val="28"/>
              </w:rPr>
            </w:pPr>
            <w:r w:rsidRPr="0036077E">
              <w:rPr>
                <w:rFonts w:cs="Arial"/>
                <w:b/>
                <w:sz w:val="28"/>
                <w:szCs w:val="28"/>
              </w:rPr>
              <w:t>2.6 Further project related information for bidders</w:t>
            </w:r>
          </w:p>
        </w:tc>
      </w:tr>
      <w:tr w:rsidR="00F52BE8" w:rsidRPr="0036077E" w14:paraId="5D81FE3D" w14:textId="77777777" w:rsidTr="0003232D">
        <w:trPr>
          <w:trHeight w:val="127"/>
        </w:trPr>
        <w:tc>
          <w:tcPr>
            <w:tcW w:w="8528" w:type="dxa"/>
            <w:shd w:val="clear" w:color="auto" w:fill="auto"/>
          </w:tcPr>
          <w:p w14:paraId="5B359CAA" w14:textId="77777777" w:rsidR="00F52BE8" w:rsidRPr="0036077E" w:rsidRDefault="00F52BE8" w:rsidP="0003232D">
            <w:pPr>
              <w:pStyle w:val="ListNumber"/>
              <w:numPr>
                <w:ilvl w:val="0"/>
                <w:numId w:val="0"/>
              </w:numPr>
              <w:spacing w:before="0" w:after="0"/>
              <w:rPr>
                <w:b/>
                <w:sz w:val="22"/>
                <w:szCs w:val="22"/>
              </w:rPr>
            </w:pPr>
            <w:r w:rsidRPr="0036077E">
              <w:rPr>
                <w:b/>
                <w:sz w:val="22"/>
                <w:szCs w:val="22"/>
              </w:rPr>
              <w:t>Intellectual Property Rights</w:t>
            </w:r>
          </w:p>
          <w:p w14:paraId="32C8104F" w14:textId="77777777" w:rsidR="00F52BE8" w:rsidRPr="0036077E" w:rsidRDefault="00F52BE8" w:rsidP="0003232D">
            <w:pPr>
              <w:pStyle w:val="ListNumber"/>
              <w:numPr>
                <w:ilvl w:val="0"/>
                <w:numId w:val="0"/>
              </w:numPr>
              <w:tabs>
                <w:tab w:val="clear" w:pos="720"/>
              </w:tabs>
              <w:spacing w:before="0" w:after="0"/>
              <w:rPr>
                <w:rFonts w:cs="Arial"/>
                <w:color w:val="000000"/>
                <w:sz w:val="22"/>
                <w:szCs w:val="22"/>
              </w:rPr>
            </w:pPr>
          </w:p>
          <w:p w14:paraId="4026656A" w14:textId="77777777" w:rsidR="00F52BE8" w:rsidRPr="0036077E" w:rsidRDefault="00F52BE8" w:rsidP="0003232D">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1C0D6EA0" w14:textId="77777777" w:rsidR="00F52BE8" w:rsidRDefault="00F52BE8" w:rsidP="0003232D">
            <w:pPr>
              <w:pStyle w:val="ListNumber"/>
              <w:numPr>
                <w:ilvl w:val="0"/>
                <w:numId w:val="0"/>
              </w:numPr>
              <w:tabs>
                <w:tab w:val="clear" w:pos="720"/>
              </w:tabs>
              <w:spacing w:before="0"/>
              <w:rPr>
                <w:b/>
                <w:sz w:val="22"/>
                <w:szCs w:val="22"/>
              </w:rPr>
            </w:pPr>
          </w:p>
          <w:p w14:paraId="4A599ECE" w14:textId="77777777" w:rsidR="00F52BE8" w:rsidRDefault="00F52BE8" w:rsidP="0003232D">
            <w:pPr>
              <w:pStyle w:val="ListNumber"/>
              <w:numPr>
                <w:ilvl w:val="0"/>
                <w:numId w:val="0"/>
              </w:numPr>
              <w:tabs>
                <w:tab w:val="clear" w:pos="720"/>
              </w:tabs>
              <w:spacing w:before="0"/>
              <w:rPr>
                <w:b/>
                <w:sz w:val="22"/>
                <w:szCs w:val="22"/>
              </w:rPr>
            </w:pPr>
            <w:r>
              <w:rPr>
                <w:b/>
                <w:sz w:val="22"/>
                <w:szCs w:val="22"/>
              </w:rPr>
              <w:t>Transparency requirements</w:t>
            </w:r>
          </w:p>
          <w:p w14:paraId="6B2E24E4" w14:textId="77777777" w:rsidR="00F52BE8" w:rsidRPr="003974B6" w:rsidRDefault="00F52BE8" w:rsidP="0003232D">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644A39C9" w14:textId="77777777" w:rsidR="00F52BE8" w:rsidRPr="0036077E" w:rsidRDefault="00F52BE8" w:rsidP="0003232D">
            <w:pPr>
              <w:pStyle w:val="ListNumber"/>
              <w:numPr>
                <w:ilvl w:val="0"/>
                <w:numId w:val="0"/>
              </w:numPr>
              <w:spacing w:before="0" w:after="0"/>
              <w:rPr>
                <w:b/>
                <w:sz w:val="22"/>
                <w:szCs w:val="22"/>
              </w:rPr>
            </w:pPr>
            <w:r w:rsidRPr="0036077E">
              <w:rPr>
                <w:b/>
                <w:sz w:val="22"/>
                <w:szCs w:val="22"/>
              </w:rPr>
              <w:t>Confidentiality</w:t>
            </w:r>
          </w:p>
          <w:p w14:paraId="0E97B0B6" w14:textId="77777777" w:rsidR="00F52BE8" w:rsidRPr="0036077E" w:rsidRDefault="00F52BE8" w:rsidP="0003232D">
            <w:pPr>
              <w:pStyle w:val="ListNumber"/>
              <w:numPr>
                <w:ilvl w:val="0"/>
                <w:numId w:val="0"/>
              </w:numPr>
              <w:spacing w:before="0" w:after="0"/>
              <w:rPr>
                <w:sz w:val="22"/>
                <w:szCs w:val="22"/>
              </w:rPr>
            </w:pPr>
          </w:p>
          <w:p w14:paraId="6C62DDAD" w14:textId="77777777" w:rsidR="00F52BE8" w:rsidRDefault="00F52BE8" w:rsidP="0003232D">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27DF3275" w14:textId="77777777" w:rsidR="00F52BE8" w:rsidRPr="0036077E" w:rsidRDefault="00F52BE8" w:rsidP="0003232D">
            <w:pPr>
              <w:pStyle w:val="ListNumber"/>
              <w:numPr>
                <w:ilvl w:val="0"/>
                <w:numId w:val="0"/>
              </w:numPr>
              <w:spacing w:before="0" w:after="0"/>
              <w:rPr>
                <w:sz w:val="22"/>
                <w:szCs w:val="22"/>
              </w:rPr>
            </w:pPr>
          </w:p>
          <w:p w14:paraId="389F68AE" w14:textId="77777777" w:rsidR="00F52BE8" w:rsidRPr="00907369" w:rsidRDefault="00A04512" w:rsidP="0003232D">
            <w:pPr>
              <w:pStyle w:val="ListNumber"/>
              <w:numPr>
                <w:ilvl w:val="0"/>
                <w:numId w:val="0"/>
              </w:numPr>
              <w:spacing w:before="0" w:after="0"/>
              <w:rPr>
                <w:b/>
                <w:sz w:val="22"/>
                <w:szCs w:val="22"/>
              </w:rPr>
            </w:pPr>
            <w:r>
              <w:rPr>
                <w:b/>
                <w:sz w:val="22"/>
                <w:szCs w:val="22"/>
              </w:rPr>
              <w:t>Sub-Contractors</w:t>
            </w:r>
          </w:p>
          <w:p w14:paraId="567F9B33" w14:textId="77777777" w:rsidR="00F52BE8" w:rsidRPr="00907369" w:rsidRDefault="00F52BE8" w:rsidP="0003232D">
            <w:pPr>
              <w:pStyle w:val="ListNumber2"/>
              <w:numPr>
                <w:ilvl w:val="0"/>
                <w:numId w:val="0"/>
              </w:numPr>
              <w:rPr>
                <w:sz w:val="22"/>
                <w:szCs w:val="22"/>
              </w:rPr>
            </w:pPr>
            <w:r w:rsidRPr="00907369">
              <w:rPr>
                <w:sz w:val="22"/>
                <w:szCs w:val="22"/>
              </w:rPr>
              <w:t xml:space="preserve">  Contractors may use sub-contractors subject to the following:</w:t>
            </w:r>
          </w:p>
          <w:p w14:paraId="7871D202"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419298CD" w14:textId="77777777" w:rsidR="00F52BE8" w:rsidRPr="00907369" w:rsidRDefault="00F52BE8" w:rsidP="00F52BE8">
            <w:pPr>
              <w:pStyle w:val="ListNumber2"/>
              <w:numPr>
                <w:ilvl w:val="0"/>
                <w:numId w:val="19"/>
              </w:numPr>
              <w:rPr>
                <w:sz w:val="22"/>
                <w:szCs w:val="22"/>
              </w:rPr>
            </w:pPr>
            <w:r w:rsidRPr="00907369">
              <w:rPr>
                <w:sz w:val="22"/>
                <w:szCs w:val="22"/>
              </w:rPr>
              <w:lastRenderedPageBreak/>
              <w:t xml:space="preserve">That individual sub-contractors are clearly identified, with fee rates and grades made explicit to the same level of detail as for the members of the lead consulting team. </w:t>
            </w:r>
          </w:p>
          <w:p w14:paraId="2FFCD6E7" w14:textId="77777777" w:rsidR="00F52BE8" w:rsidRPr="00907369" w:rsidRDefault="00F52BE8" w:rsidP="0003232D">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11CD1B03" w14:textId="77777777" w:rsidR="00F52BE8" w:rsidRPr="0036077E" w:rsidRDefault="00F52BE8" w:rsidP="0003232D">
            <w:pPr>
              <w:pStyle w:val="ListNumber"/>
              <w:numPr>
                <w:ilvl w:val="0"/>
                <w:numId w:val="0"/>
              </w:numPr>
              <w:spacing w:before="0" w:after="0"/>
              <w:rPr>
                <w:b/>
              </w:rPr>
            </w:pPr>
          </w:p>
          <w:p w14:paraId="0491F352"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6E30513A" w14:textId="77777777" w:rsidR="00907369" w:rsidRPr="00907369" w:rsidRDefault="00907369" w:rsidP="00907369">
            <w:pPr>
              <w:pStyle w:val="BodyTextIndent"/>
              <w:spacing w:after="0"/>
              <w:rPr>
                <w:rFonts w:cs="Arial"/>
                <w:sz w:val="22"/>
                <w:szCs w:val="22"/>
              </w:rPr>
            </w:pPr>
          </w:p>
          <w:p w14:paraId="4EA90000"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4471E96D" w14:textId="77777777" w:rsidR="00D74997" w:rsidRPr="00D74997" w:rsidRDefault="00D74997" w:rsidP="00D74997">
            <w:pPr>
              <w:pStyle w:val="BodyTextIndent"/>
              <w:spacing w:after="0"/>
              <w:ind w:left="0"/>
              <w:rPr>
                <w:rFonts w:cs="Arial"/>
                <w:sz w:val="22"/>
                <w:szCs w:val="22"/>
              </w:rPr>
            </w:pPr>
          </w:p>
          <w:p w14:paraId="6114C3E0"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74AB5AF0" w14:textId="77777777" w:rsidR="00D74997" w:rsidRPr="00D74997" w:rsidRDefault="00D74997" w:rsidP="00D74997">
            <w:pPr>
              <w:pStyle w:val="BodyTextIndent"/>
              <w:spacing w:after="0"/>
              <w:ind w:left="0"/>
              <w:rPr>
                <w:rFonts w:cs="Arial"/>
                <w:sz w:val="22"/>
                <w:szCs w:val="22"/>
              </w:rPr>
            </w:pPr>
          </w:p>
          <w:p w14:paraId="6CCC9EF9"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00FBA4FB" w14:textId="77777777" w:rsidR="00907369" w:rsidRPr="00907369" w:rsidRDefault="00907369" w:rsidP="00907369">
            <w:pPr>
              <w:pStyle w:val="BodyTextIndent"/>
              <w:spacing w:after="0"/>
              <w:ind w:left="0"/>
              <w:rPr>
                <w:rFonts w:cs="Arial"/>
                <w:sz w:val="22"/>
                <w:szCs w:val="22"/>
              </w:rPr>
            </w:pPr>
          </w:p>
          <w:p w14:paraId="50F4E1A9" w14:textId="77777777" w:rsidR="00F52BE8" w:rsidRPr="0036077E" w:rsidRDefault="00F52BE8" w:rsidP="00D74997">
            <w:pPr>
              <w:pStyle w:val="ListNumber"/>
              <w:numPr>
                <w:ilvl w:val="0"/>
                <w:numId w:val="0"/>
              </w:numPr>
              <w:tabs>
                <w:tab w:val="clear" w:pos="720"/>
              </w:tabs>
              <w:spacing w:before="0"/>
              <w:rPr>
                <w:rFonts w:cs="Arial"/>
                <w:b/>
              </w:rPr>
            </w:pPr>
          </w:p>
        </w:tc>
      </w:tr>
    </w:tbl>
    <w:p w14:paraId="5F035A67"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60D69E2E" w14:textId="77777777" w:rsidTr="0003232D">
        <w:tc>
          <w:tcPr>
            <w:tcW w:w="8528" w:type="dxa"/>
            <w:shd w:val="clear" w:color="auto" w:fill="99CCFF"/>
          </w:tcPr>
          <w:p w14:paraId="1EAFFF01" w14:textId="77777777" w:rsidR="00F52BE8" w:rsidRPr="0036077E" w:rsidRDefault="00F52BE8" w:rsidP="0003232D">
            <w:pPr>
              <w:rPr>
                <w:rFonts w:cs="Arial"/>
                <w:b/>
                <w:sz w:val="28"/>
                <w:szCs w:val="28"/>
              </w:rPr>
            </w:pPr>
            <w:r w:rsidRPr="0036077E">
              <w:rPr>
                <w:rFonts w:cs="Arial"/>
                <w:b/>
                <w:sz w:val="28"/>
                <w:szCs w:val="28"/>
              </w:rPr>
              <w:t>3.1 The Tender Response</w:t>
            </w:r>
          </w:p>
        </w:tc>
      </w:tr>
      <w:tr w:rsidR="00F52BE8" w:rsidRPr="0036077E" w14:paraId="2DC6BE06" w14:textId="77777777" w:rsidTr="001D4072">
        <w:trPr>
          <w:trHeight w:val="1266"/>
        </w:trPr>
        <w:tc>
          <w:tcPr>
            <w:tcW w:w="8528" w:type="dxa"/>
            <w:tcBorders>
              <w:bottom w:val="single" w:sz="4" w:space="0" w:color="auto"/>
            </w:tcBorders>
            <w:shd w:val="clear" w:color="auto" w:fill="auto"/>
          </w:tcPr>
          <w:p w14:paraId="247F3C3B" w14:textId="77777777" w:rsidR="00F52BE8" w:rsidRPr="0036077E" w:rsidRDefault="00F52BE8" w:rsidP="0003232D">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w:t>
            </w:r>
            <w:r w:rsidR="00A04512">
              <w:rPr>
                <w:rFonts w:cs="Arial"/>
                <w:sz w:val="22"/>
                <w:szCs w:val="22"/>
              </w:rPr>
              <w:t xml:space="preserve">nformation should be included: </w:t>
            </w:r>
          </w:p>
          <w:p w14:paraId="40365E07" w14:textId="77777777" w:rsidR="00F52BE8" w:rsidRPr="0036077E" w:rsidRDefault="00F52BE8" w:rsidP="0003232D">
            <w:pPr>
              <w:pStyle w:val="Default"/>
              <w:rPr>
                <w:sz w:val="22"/>
                <w:szCs w:val="22"/>
              </w:rPr>
            </w:pPr>
            <w:r w:rsidRPr="0036077E">
              <w:rPr>
                <w:b/>
                <w:bCs/>
                <w:sz w:val="22"/>
                <w:szCs w:val="22"/>
              </w:rPr>
              <w:t xml:space="preserve">a) Understanding of customer's requirements </w:t>
            </w:r>
          </w:p>
          <w:p w14:paraId="00C20E09" w14:textId="77777777" w:rsidR="00F52BE8" w:rsidRPr="0036077E" w:rsidRDefault="00F52BE8" w:rsidP="0003232D">
            <w:pPr>
              <w:autoSpaceDE w:val="0"/>
              <w:autoSpaceDN w:val="0"/>
              <w:adjustRightInd w:val="0"/>
              <w:spacing w:after="0"/>
              <w:rPr>
                <w:rFonts w:cs="Arial"/>
                <w:color w:val="000000"/>
                <w:sz w:val="22"/>
                <w:szCs w:val="22"/>
                <w:lang w:eastAsia="en-GB"/>
              </w:rPr>
            </w:pPr>
          </w:p>
          <w:p w14:paraId="2FA11A6E"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527FB96A" w14:textId="77777777" w:rsidR="00F52BE8" w:rsidRPr="0036077E" w:rsidRDefault="00F52BE8" w:rsidP="0003232D">
            <w:pPr>
              <w:autoSpaceDE w:val="0"/>
              <w:autoSpaceDN w:val="0"/>
              <w:adjustRightInd w:val="0"/>
              <w:spacing w:after="0"/>
              <w:rPr>
                <w:rFonts w:cs="Arial"/>
                <w:color w:val="000000"/>
                <w:sz w:val="22"/>
                <w:szCs w:val="22"/>
                <w:lang w:eastAsia="en-GB"/>
              </w:rPr>
            </w:pPr>
          </w:p>
          <w:p w14:paraId="08F8F97B" w14:textId="77777777" w:rsidR="00F52BE8" w:rsidRPr="00A04512" w:rsidRDefault="00F52BE8" w:rsidP="00A04512">
            <w:pPr>
              <w:rPr>
                <w:rFonts w:cs="Arial"/>
                <w:sz w:val="22"/>
                <w:szCs w:val="22"/>
              </w:rPr>
            </w:pPr>
            <w:r w:rsidRPr="0036077E">
              <w:rPr>
                <w:rFonts w:cs="Arial"/>
                <w:b/>
                <w:bCs/>
                <w:color w:val="000000"/>
                <w:sz w:val="22"/>
                <w:szCs w:val="22"/>
                <w:lang w:eastAsia="en-GB"/>
              </w:rPr>
              <w:t>b) Approach to customer's requirements</w:t>
            </w:r>
          </w:p>
          <w:p w14:paraId="528796EF"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6B631F5" w14:textId="77777777" w:rsidR="00F52BE8" w:rsidRPr="0036077E" w:rsidRDefault="00F52BE8" w:rsidP="0003232D">
            <w:pPr>
              <w:autoSpaceDE w:val="0"/>
              <w:autoSpaceDN w:val="0"/>
              <w:adjustRightInd w:val="0"/>
              <w:spacing w:after="0"/>
              <w:rPr>
                <w:rFonts w:cs="Arial"/>
                <w:color w:val="000000"/>
                <w:sz w:val="22"/>
                <w:szCs w:val="22"/>
                <w:lang w:eastAsia="en-GB"/>
              </w:rPr>
            </w:pPr>
          </w:p>
          <w:p w14:paraId="06A74366"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59D146CB" w14:textId="77777777" w:rsidR="00F52BE8" w:rsidRPr="0036077E" w:rsidRDefault="00F52BE8" w:rsidP="0003232D">
            <w:pPr>
              <w:autoSpaceDE w:val="0"/>
              <w:autoSpaceDN w:val="0"/>
              <w:adjustRightInd w:val="0"/>
              <w:spacing w:after="0"/>
              <w:rPr>
                <w:rFonts w:cs="Arial"/>
                <w:color w:val="000000"/>
                <w:sz w:val="22"/>
                <w:szCs w:val="22"/>
                <w:lang w:eastAsia="en-GB"/>
              </w:rPr>
            </w:pPr>
          </w:p>
          <w:p w14:paraId="4C95B010"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590393F"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28F0DACA" w14:textId="77777777" w:rsidR="00F52BE8" w:rsidRDefault="00F52BE8" w:rsidP="00F52BE8">
            <w:pPr>
              <w:pStyle w:val="ListNumber"/>
              <w:numPr>
                <w:ilvl w:val="0"/>
                <w:numId w:val="6"/>
              </w:numPr>
              <w:rPr>
                <w:sz w:val="22"/>
                <w:szCs w:val="22"/>
              </w:rPr>
            </w:pPr>
            <w:r>
              <w:rPr>
                <w:sz w:val="22"/>
                <w:szCs w:val="22"/>
              </w:rPr>
              <w:t>Compliance  with any security requirements outlined in the SOR, including details of accreditation for systems (e.g.</w:t>
            </w:r>
            <w:r>
              <w:t xml:space="preserve"> ISO27000, Cyber Essentials)</w:t>
            </w:r>
            <w:r>
              <w:rPr>
                <w:sz w:val="22"/>
                <w:szCs w:val="22"/>
              </w:rPr>
              <w:t xml:space="preserve"> etc.</w:t>
            </w:r>
          </w:p>
          <w:p w14:paraId="3B063400" w14:textId="77777777" w:rsidR="00A04512" w:rsidRPr="00A04512" w:rsidRDefault="00F52BE8" w:rsidP="00A04512">
            <w:pPr>
              <w:pStyle w:val="ListNumber"/>
              <w:numPr>
                <w:ilvl w:val="0"/>
                <w:numId w:val="6"/>
              </w:numPr>
              <w:rPr>
                <w:sz w:val="22"/>
                <w:szCs w:val="22"/>
              </w:rPr>
            </w:pPr>
            <w:r w:rsidRPr="0036077E">
              <w:rPr>
                <w:sz w:val="22"/>
                <w:szCs w:val="22"/>
              </w:rPr>
              <w:t xml:space="preserve">What support bidders will require from ORR; </w:t>
            </w:r>
          </w:p>
          <w:p w14:paraId="7805BBD0" w14:textId="77777777" w:rsidR="00F52BE8" w:rsidRPr="00A04512" w:rsidRDefault="00F52BE8" w:rsidP="00A04512">
            <w:pPr>
              <w:pStyle w:val="ListNumber"/>
              <w:numPr>
                <w:ilvl w:val="0"/>
                <w:numId w:val="0"/>
              </w:numPr>
              <w:rPr>
                <w:b/>
                <w:bCs/>
                <w:sz w:val="22"/>
                <w:szCs w:val="22"/>
              </w:rPr>
            </w:pPr>
            <w:r w:rsidRPr="001D4072">
              <w:rPr>
                <w:b/>
                <w:sz w:val="22"/>
                <w:szCs w:val="22"/>
              </w:rPr>
              <w:t>c)</w:t>
            </w:r>
            <w:r w:rsidRPr="0036077E">
              <w:rPr>
                <w:sz w:val="22"/>
                <w:szCs w:val="22"/>
              </w:rPr>
              <w:t xml:space="preserve">  </w:t>
            </w:r>
            <w:r w:rsidR="00A04512">
              <w:rPr>
                <w:b/>
                <w:bCs/>
                <w:sz w:val="22"/>
                <w:szCs w:val="22"/>
              </w:rPr>
              <w:t>Proposed delivery team</w:t>
            </w:r>
          </w:p>
          <w:p w14:paraId="0F03164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047A2AB7" w14:textId="77777777" w:rsidR="00F52BE8" w:rsidRPr="0036077E" w:rsidRDefault="00F52BE8" w:rsidP="0003232D">
            <w:pPr>
              <w:autoSpaceDE w:val="0"/>
              <w:autoSpaceDN w:val="0"/>
              <w:adjustRightInd w:val="0"/>
              <w:spacing w:after="0"/>
              <w:rPr>
                <w:rFonts w:cs="Arial"/>
                <w:color w:val="000000"/>
                <w:sz w:val="22"/>
                <w:szCs w:val="22"/>
                <w:lang w:eastAsia="en-GB"/>
              </w:rPr>
            </w:pPr>
          </w:p>
          <w:p w14:paraId="5DC55332"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76157F26" w14:textId="77777777" w:rsidR="00F52BE8" w:rsidRPr="00C251D3" w:rsidRDefault="00F52BE8" w:rsidP="0003232D">
            <w:pPr>
              <w:autoSpaceDE w:val="0"/>
              <w:autoSpaceDN w:val="0"/>
              <w:adjustRightInd w:val="0"/>
              <w:spacing w:after="0"/>
              <w:ind w:left="360"/>
              <w:rPr>
                <w:rFonts w:cs="Arial"/>
                <w:color w:val="000000"/>
                <w:sz w:val="22"/>
                <w:szCs w:val="22"/>
                <w:lang w:eastAsia="en-GB"/>
              </w:rPr>
            </w:pPr>
          </w:p>
          <w:p w14:paraId="31BBDAC7" w14:textId="77777777" w:rsidR="00F52BE8" w:rsidRDefault="00F52BE8" w:rsidP="00A04512">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EC4D572" w14:textId="77777777" w:rsidR="00A04512" w:rsidRPr="00A04512" w:rsidRDefault="00A04512" w:rsidP="00A04512">
            <w:pPr>
              <w:autoSpaceDE w:val="0"/>
              <w:autoSpaceDN w:val="0"/>
              <w:adjustRightInd w:val="0"/>
              <w:spacing w:after="0"/>
              <w:rPr>
                <w:rFonts w:cs="Arial"/>
                <w:color w:val="000000"/>
                <w:sz w:val="22"/>
                <w:szCs w:val="22"/>
                <w:lang w:eastAsia="en-GB"/>
              </w:rPr>
            </w:pPr>
          </w:p>
          <w:p w14:paraId="303D1F07" w14:textId="77777777" w:rsidR="00A04512" w:rsidRPr="00A04512" w:rsidRDefault="00F52BE8" w:rsidP="0093349B">
            <w:pPr>
              <w:numPr>
                <w:ilvl w:val="0"/>
                <w:numId w:val="6"/>
              </w:numPr>
              <w:rPr>
                <w:rFonts w:cs="Arial"/>
                <w:b/>
                <w:sz w:val="22"/>
                <w:szCs w:val="22"/>
              </w:rPr>
            </w:pPr>
            <w:r w:rsidRPr="00A04512">
              <w:rPr>
                <w:rFonts w:cs="Arial"/>
                <w:sz w:val="22"/>
                <w:szCs w:val="22"/>
              </w:rPr>
              <w:t>Some relevant examples of previous work that bidders have carried out (</w:t>
            </w:r>
            <w:proofErr w:type="spellStart"/>
            <w:r w:rsidRPr="00A04512">
              <w:rPr>
                <w:rFonts w:cs="Arial"/>
                <w:sz w:val="22"/>
                <w:szCs w:val="22"/>
              </w:rPr>
              <w:t>eg</w:t>
            </w:r>
            <w:proofErr w:type="spellEnd"/>
            <w:r w:rsidRPr="00A04512">
              <w:rPr>
                <w:rFonts w:cs="Arial"/>
                <w:sz w:val="22"/>
                <w:szCs w:val="22"/>
              </w:rPr>
              <w:t xml:space="preserve">. case studies) </w:t>
            </w:r>
          </w:p>
          <w:p w14:paraId="33DC1441" w14:textId="77777777" w:rsidR="00F52BE8" w:rsidRPr="00A04512" w:rsidRDefault="00F52BE8" w:rsidP="00A04512">
            <w:pPr>
              <w:rPr>
                <w:rFonts w:cs="Arial"/>
                <w:b/>
                <w:sz w:val="22"/>
                <w:szCs w:val="22"/>
              </w:rPr>
            </w:pPr>
            <w:r w:rsidRPr="00A04512">
              <w:rPr>
                <w:rFonts w:cs="Arial"/>
                <w:b/>
                <w:sz w:val="22"/>
                <w:szCs w:val="22"/>
              </w:rPr>
              <w:t>d) Pricing</w:t>
            </w:r>
          </w:p>
          <w:p w14:paraId="1D01CABF" w14:textId="77777777" w:rsidR="00F52BE8" w:rsidRPr="004A4C80" w:rsidRDefault="00F52BE8" w:rsidP="0003232D">
            <w:pPr>
              <w:pStyle w:val="Default"/>
            </w:pPr>
            <w:r w:rsidRPr="0036077E">
              <w:rPr>
                <w:sz w:val="22"/>
                <w:szCs w:val="22"/>
              </w:rPr>
              <w:t>A fixed fee for the project inclusive of all expense. This should include</w:t>
            </w:r>
          </w:p>
          <w:p w14:paraId="68CBBFA6" w14:textId="77777777" w:rsidR="00F52BE8" w:rsidRPr="0036077E" w:rsidRDefault="00F52BE8" w:rsidP="0003232D">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B844155" w14:textId="77777777" w:rsidR="00F52BE8" w:rsidRDefault="00F52BE8" w:rsidP="0003232D">
            <w:pPr>
              <w:autoSpaceDE w:val="0"/>
              <w:autoSpaceDN w:val="0"/>
              <w:adjustRightInd w:val="0"/>
              <w:spacing w:after="0"/>
              <w:rPr>
                <w:rFonts w:cs="Arial"/>
                <w:color w:val="000000"/>
                <w:sz w:val="22"/>
                <w:szCs w:val="22"/>
                <w:lang w:eastAsia="en-GB"/>
              </w:rPr>
            </w:pPr>
          </w:p>
          <w:p w14:paraId="4BCB47A6" w14:textId="77777777" w:rsidR="009878A7" w:rsidRPr="009878A7" w:rsidRDefault="009878A7" w:rsidP="0003232D">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50888930" w14:textId="77777777" w:rsidR="009878A7" w:rsidRDefault="009878A7" w:rsidP="0003232D">
            <w:pPr>
              <w:autoSpaceDE w:val="0"/>
              <w:autoSpaceDN w:val="0"/>
              <w:adjustRightInd w:val="0"/>
              <w:spacing w:after="0"/>
              <w:rPr>
                <w:rFonts w:cs="Arial"/>
                <w:color w:val="000000"/>
                <w:sz w:val="22"/>
                <w:szCs w:val="22"/>
                <w:lang w:eastAsia="en-GB"/>
              </w:rPr>
            </w:pPr>
          </w:p>
          <w:p w14:paraId="2103E722"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626852D4" w14:textId="77777777" w:rsidTr="0003232D">
        <w:trPr>
          <w:trHeight w:val="353"/>
        </w:trPr>
        <w:tc>
          <w:tcPr>
            <w:tcW w:w="8528" w:type="dxa"/>
            <w:tcBorders>
              <w:bottom w:val="single" w:sz="4" w:space="0" w:color="auto"/>
            </w:tcBorders>
            <w:shd w:val="clear" w:color="auto" w:fill="99CCFF"/>
          </w:tcPr>
          <w:p w14:paraId="3C74A846" w14:textId="77777777" w:rsidR="00F52BE8" w:rsidRPr="0036077E" w:rsidRDefault="00F52BE8" w:rsidP="0003232D">
            <w:pPr>
              <w:rPr>
                <w:rFonts w:cs="Arial"/>
                <w:b/>
                <w:sz w:val="28"/>
                <w:szCs w:val="28"/>
              </w:rPr>
            </w:pPr>
            <w:r w:rsidRPr="0036077E">
              <w:rPr>
                <w:rFonts w:cs="Arial"/>
                <w:b/>
                <w:sz w:val="28"/>
                <w:szCs w:val="28"/>
              </w:rPr>
              <w:lastRenderedPageBreak/>
              <w:t>3.2 Evaluation Criteria</w:t>
            </w:r>
          </w:p>
        </w:tc>
      </w:tr>
      <w:tr w:rsidR="00F52BE8" w:rsidRPr="0036077E" w14:paraId="47670EA2" w14:textId="77777777" w:rsidTr="0003232D">
        <w:trPr>
          <w:trHeight w:val="352"/>
        </w:trPr>
        <w:tc>
          <w:tcPr>
            <w:tcW w:w="8528" w:type="dxa"/>
            <w:tcBorders>
              <w:bottom w:val="single" w:sz="4" w:space="0" w:color="auto"/>
            </w:tcBorders>
            <w:shd w:val="clear" w:color="auto" w:fill="auto"/>
          </w:tcPr>
          <w:p w14:paraId="573E8135"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13EFA134"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B07FE4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2CB331C7"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7189717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40D3AC37"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38291B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131D3496"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27711D1" w14:textId="77777777" w:rsidR="00F52BE8" w:rsidRPr="0036077E" w:rsidRDefault="00F52BE8" w:rsidP="0003232D">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CF36907" w14:textId="77777777" w:rsidR="00F52BE8" w:rsidRDefault="00F52BE8" w:rsidP="007455EE">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Tenders will be evaluated according to</w:t>
            </w:r>
            <w:r w:rsidR="007455EE">
              <w:rPr>
                <w:sz w:val="22"/>
                <w:szCs w:val="22"/>
              </w:rPr>
              <w:t xml:space="preserve"> weighted criteria as follows: </w:t>
            </w:r>
          </w:p>
          <w:p w14:paraId="7110ECCF" w14:textId="77777777" w:rsidR="007455EE" w:rsidRPr="007455EE" w:rsidRDefault="007455EE" w:rsidP="007455EE">
            <w:pPr>
              <w:pStyle w:val="ListNumber"/>
              <w:numPr>
                <w:ilvl w:val="0"/>
                <w:numId w:val="0"/>
              </w:numPr>
              <w:rPr>
                <w:sz w:val="22"/>
                <w:szCs w:val="22"/>
              </w:rPr>
            </w:pPr>
          </w:p>
          <w:p w14:paraId="3159B50A" w14:textId="77777777" w:rsidR="00F52BE8" w:rsidRPr="0036077E" w:rsidRDefault="00F52BE8" w:rsidP="0003232D">
            <w:pPr>
              <w:pStyle w:val="ListNumber"/>
              <w:numPr>
                <w:ilvl w:val="0"/>
                <w:numId w:val="0"/>
              </w:numPr>
              <w:rPr>
                <w:rFonts w:cs="Arial"/>
                <w:szCs w:val="24"/>
              </w:rPr>
            </w:pPr>
            <w:r w:rsidRPr="0036077E">
              <w:rPr>
                <w:rFonts w:cs="Arial"/>
                <w:b/>
                <w:szCs w:val="24"/>
              </w:rPr>
              <w:t>Methodology (</w:t>
            </w:r>
            <w:r w:rsidR="007455EE">
              <w:rPr>
                <w:rFonts w:cs="Arial"/>
                <w:b/>
                <w:szCs w:val="24"/>
              </w:rPr>
              <w:t>25</w:t>
            </w:r>
            <w:r w:rsidRPr="0036077E">
              <w:rPr>
                <w:rFonts w:cs="Arial"/>
                <w:b/>
                <w:szCs w:val="24"/>
              </w:rPr>
              <w:t>%)</w:t>
            </w:r>
          </w:p>
          <w:p w14:paraId="59831394" w14:textId="77777777" w:rsidR="00F52BE8" w:rsidRPr="0036077E" w:rsidRDefault="00F52BE8" w:rsidP="0003232D">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1492F188" w14:textId="77777777" w:rsidR="00F52BE8" w:rsidRPr="0036077E" w:rsidRDefault="00F52BE8" w:rsidP="0003232D">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64489CEF" w14:textId="77777777" w:rsidR="00F52BE8" w:rsidRPr="0036077E" w:rsidRDefault="00F52BE8" w:rsidP="0003232D">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50B9754F"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75D63488"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35AA47A2" w14:textId="77777777" w:rsidR="00F52BE8" w:rsidRPr="0036077E" w:rsidRDefault="00F52BE8" w:rsidP="0003232D">
            <w:pPr>
              <w:pStyle w:val="ListNumber"/>
              <w:numPr>
                <w:ilvl w:val="0"/>
                <w:numId w:val="0"/>
              </w:numPr>
              <w:tabs>
                <w:tab w:val="clear" w:pos="720"/>
                <w:tab w:val="left" w:pos="426"/>
              </w:tabs>
              <w:rPr>
                <w:rFonts w:cs="Arial"/>
                <w:sz w:val="22"/>
                <w:szCs w:val="22"/>
              </w:rPr>
            </w:pPr>
          </w:p>
          <w:p w14:paraId="608AE000" w14:textId="77777777" w:rsidR="00F52BE8" w:rsidRPr="0036077E" w:rsidRDefault="00F52BE8" w:rsidP="0003232D">
            <w:pPr>
              <w:pStyle w:val="ListNumber"/>
              <w:numPr>
                <w:ilvl w:val="0"/>
                <w:numId w:val="0"/>
              </w:numPr>
              <w:rPr>
                <w:rFonts w:cs="Arial"/>
                <w:b/>
                <w:bCs/>
                <w:szCs w:val="24"/>
                <w:lang w:eastAsia="en-GB"/>
              </w:rPr>
            </w:pPr>
            <w:r w:rsidRPr="0036077E">
              <w:rPr>
                <w:rFonts w:cs="Arial"/>
                <w:b/>
                <w:bCs/>
                <w:szCs w:val="24"/>
                <w:lang w:eastAsia="en-GB"/>
              </w:rPr>
              <w:t>Delivery (</w:t>
            </w:r>
            <w:r w:rsidR="007455EE">
              <w:rPr>
                <w:rFonts w:cs="Arial"/>
                <w:b/>
                <w:bCs/>
                <w:szCs w:val="24"/>
                <w:lang w:eastAsia="en-GB"/>
              </w:rPr>
              <w:t>20</w:t>
            </w:r>
            <w:r w:rsidRPr="0036077E">
              <w:rPr>
                <w:rFonts w:cs="Arial"/>
                <w:b/>
                <w:bCs/>
                <w:szCs w:val="24"/>
                <w:lang w:eastAsia="en-GB"/>
              </w:rPr>
              <w:t>%)</w:t>
            </w:r>
          </w:p>
          <w:p w14:paraId="4AC04B26" w14:textId="77777777" w:rsidR="00F52BE8" w:rsidRPr="0036077E" w:rsidRDefault="00F52BE8" w:rsidP="0003232D">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E0FC0E7" w14:textId="77777777" w:rsidR="00F52BE8" w:rsidRPr="0036077E" w:rsidRDefault="00F52BE8" w:rsidP="0003232D">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4D683E6D" w14:textId="77777777" w:rsidR="00F52BE8" w:rsidRPr="0036077E" w:rsidRDefault="00F52BE8" w:rsidP="0003232D">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332FB3A4" w14:textId="77777777" w:rsidR="00F52BE8" w:rsidRPr="0036077E" w:rsidRDefault="00F52BE8" w:rsidP="0003232D">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480B5E77" w14:textId="77777777" w:rsidR="00F52BE8" w:rsidRPr="0036077E" w:rsidRDefault="00F52BE8" w:rsidP="0003232D">
            <w:pPr>
              <w:pStyle w:val="ListNumber"/>
              <w:numPr>
                <w:ilvl w:val="0"/>
                <w:numId w:val="0"/>
              </w:numPr>
              <w:rPr>
                <w:rFonts w:cs="Arial"/>
                <w:sz w:val="22"/>
                <w:szCs w:val="22"/>
              </w:rPr>
            </w:pPr>
          </w:p>
          <w:p w14:paraId="7733C46F" w14:textId="77777777" w:rsidR="00F52BE8" w:rsidRPr="0036077E" w:rsidRDefault="00F52BE8" w:rsidP="0003232D">
            <w:pPr>
              <w:pStyle w:val="ListNumber"/>
              <w:numPr>
                <w:ilvl w:val="0"/>
                <w:numId w:val="0"/>
              </w:numPr>
              <w:tabs>
                <w:tab w:val="clear" w:pos="720"/>
                <w:tab w:val="left" w:pos="426"/>
              </w:tabs>
              <w:rPr>
                <w:rFonts w:cs="Arial"/>
                <w:b/>
                <w:szCs w:val="24"/>
              </w:rPr>
            </w:pPr>
            <w:r w:rsidRPr="0036077E">
              <w:rPr>
                <w:rFonts w:cs="Arial"/>
                <w:b/>
                <w:szCs w:val="24"/>
              </w:rPr>
              <w:t>Experience (</w:t>
            </w:r>
            <w:r w:rsidR="007455EE">
              <w:rPr>
                <w:rFonts w:cs="Arial"/>
                <w:b/>
                <w:szCs w:val="24"/>
              </w:rPr>
              <w:t>25</w:t>
            </w:r>
            <w:r w:rsidRPr="0036077E">
              <w:rPr>
                <w:rFonts w:cs="Arial"/>
                <w:b/>
                <w:szCs w:val="24"/>
              </w:rPr>
              <w:t>%)</w:t>
            </w:r>
          </w:p>
          <w:p w14:paraId="1803C1ED" w14:textId="77777777" w:rsidR="00F52BE8" w:rsidRPr="0036077E" w:rsidRDefault="00F52BE8" w:rsidP="0003232D">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3334E47" w14:textId="77777777" w:rsidR="00F52BE8" w:rsidRPr="0036077E" w:rsidRDefault="00F52BE8" w:rsidP="0003232D">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424EE7F0" w14:textId="77777777" w:rsidR="00F52BE8" w:rsidRPr="0036077E" w:rsidRDefault="00F52BE8" w:rsidP="0003232D">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6824BC79" w14:textId="77777777" w:rsidR="00F52BE8" w:rsidRPr="0036077E" w:rsidRDefault="00F52BE8" w:rsidP="0003232D">
            <w:pPr>
              <w:pStyle w:val="ListNumber"/>
              <w:numPr>
                <w:ilvl w:val="0"/>
                <w:numId w:val="0"/>
              </w:numPr>
              <w:tabs>
                <w:tab w:val="clear" w:pos="720"/>
                <w:tab w:val="left" w:pos="426"/>
              </w:tabs>
              <w:rPr>
                <w:rFonts w:cs="Arial"/>
                <w:sz w:val="22"/>
                <w:szCs w:val="22"/>
              </w:rPr>
            </w:pPr>
          </w:p>
          <w:p w14:paraId="645F6970" w14:textId="77777777" w:rsidR="00F52BE8" w:rsidRPr="0036077E" w:rsidRDefault="00F52BE8" w:rsidP="0003232D">
            <w:pPr>
              <w:pStyle w:val="ListNumber"/>
              <w:numPr>
                <w:ilvl w:val="0"/>
                <w:numId w:val="0"/>
              </w:numPr>
              <w:rPr>
                <w:rFonts w:cs="Arial"/>
                <w:szCs w:val="24"/>
              </w:rPr>
            </w:pPr>
            <w:r w:rsidRPr="0036077E">
              <w:rPr>
                <w:rFonts w:cs="Arial"/>
                <w:b/>
                <w:szCs w:val="24"/>
              </w:rPr>
              <w:t>Cost / Value for money (</w:t>
            </w:r>
            <w:r w:rsidR="007455EE">
              <w:rPr>
                <w:rFonts w:cs="Arial"/>
                <w:b/>
                <w:szCs w:val="24"/>
              </w:rPr>
              <w:t>30</w:t>
            </w:r>
            <w:r w:rsidRPr="0036077E">
              <w:rPr>
                <w:rFonts w:cs="Arial"/>
                <w:b/>
                <w:szCs w:val="24"/>
              </w:rPr>
              <w:t>%)</w:t>
            </w:r>
          </w:p>
          <w:p w14:paraId="3B5CD4B7" w14:textId="77777777" w:rsidR="00F52BE8" w:rsidRPr="0036077E" w:rsidRDefault="00F52BE8" w:rsidP="0003232D">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735940F3" w14:textId="77777777" w:rsidR="00F52BE8" w:rsidRPr="0036077E" w:rsidRDefault="00F52BE8" w:rsidP="0003232D">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4AF167A7"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421DADA0"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079ABD01"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565175BA"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E1E3A6A"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38B39FD1"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E06EE50" w14:textId="77777777" w:rsidR="00F52BE8" w:rsidRPr="005178AE" w:rsidRDefault="00F52BE8" w:rsidP="0003232D">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91F3B1C"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2A223D6C" w14:textId="77777777" w:rsidR="00F52BE8" w:rsidRPr="005178AE" w:rsidRDefault="00F52BE8" w:rsidP="0003232D">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E9B2435" w14:textId="77777777" w:rsidR="00F52BE8" w:rsidRPr="005178AE" w:rsidRDefault="00F52BE8" w:rsidP="0003232D">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0C90C80" w14:textId="77777777" w:rsidR="00F52BE8" w:rsidRPr="005178AE" w:rsidRDefault="00F52BE8" w:rsidP="0003232D">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BF15F18" w14:textId="77777777" w:rsidR="00F52BE8" w:rsidRPr="005178AE" w:rsidRDefault="00F52BE8" w:rsidP="0003232D">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5D9F854" w14:textId="77777777" w:rsidR="00F52BE8" w:rsidRPr="005178AE" w:rsidRDefault="00F52BE8" w:rsidP="0003232D">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189BD7" w14:textId="77777777" w:rsidR="00F52BE8" w:rsidRPr="005178AE" w:rsidRDefault="00F52BE8" w:rsidP="0003232D">
                  <w:pPr>
                    <w:autoSpaceDE w:val="0"/>
                    <w:autoSpaceDN w:val="0"/>
                    <w:adjustRightInd w:val="0"/>
                    <w:rPr>
                      <w:rFonts w:cs="Arial"/>
                      <w:color w:val="000000"/>
                      <w:sz w:val="20"/>
                    </w:rPr>
                  </w:pPr>
                </w:p>
              </w:tc>
            </w:tr>
            <w:tr w:rsidR="00F52BE8" w:rsidRPr="005178AE" w14:paraId="418490F6"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5E2B56E5" w14:textId="77777777" w:rsidR="00F52BE8" w:rsidRPr="005178AE" w:rsidRDefault="00F52BE8" w:rsidP="0003232D">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FB17219" w14:textId="77777777" w:rsidR="00F52BE8" w:rsidRPr="005178AE" w:rsidRDefault="00F52BE8" w:rsidP="0003232D">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572F9EF" w14:textId="77777777" w:rsidR="00F52BE8" w:rsidRPr="005178AE" w:rsidRDefault="00F52BE8" w:rsidP="0003232D">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76EAF8EC" w14:textId="77777777" w:rsidR="00F52BE8" w:rsidRPr="005178AE" w:rsidRDefault="00F52BE8" w:rsidP="0003232D">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F5C714B" w14:textId="77777777" w:rsidR="00F52BE8" w:rsidRPr="005178AE" w:rsidRDefault="00F52BE8" w:rsidP="0003232D">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087311F5" w14:textId="77777777" w:rsidR="00F52BE8" w:rsidRPr="005178AE" w:rsidRDefault="00F52BE8" w:rsidP="0003232D">
                  <w:pPr>
                    <w:autoSpaceDE w:val="0"/>
                    <w:autoSpaceDN w:val="0"/>
                    <w:adjustRightInd w:val="0"/>
                    <w:rPr>
                      <w:rFonts w:cs="Arial"/>
                      <w:color w:val="000000"/>
                      <w:sz w:val="20"/>
                    </w:rPr>
                  </w:pPr>
                </w:p>
              </w:tc>
            </w:tr>
            <w:tr w:rsidR="00F52BE8" w:rsidRPr="005178AE" w14:paraId="12BBCB57" w14:textId="77777777" w:rsidTr="0003232D">
              <w:trPr>
                <w:cantSplit/>
              </w:trPr>
              <w:tc>
                <w:tcPr>
                  <w:tcW w:w="1599" w:type="dxa"/>
                  <w:tcBorders>
                    <w:top w:val="single" w:sz="4" w:space="0" w:color="000000"/>
                    <w:left w:val="single" w:sz="4" w:space="0" w:color="000000"/>
                    <w:bottom w:val="single" w:sz="4" w:space="0" w:color="000000"/>
                    <w:right w:val="single" w:sz="4" w:space="0" w:color="000000"/>
                  </w:tcBorders>
                </w:tcPr>
                <w:p w14:paraId="15BA069C" w14:textId="77777777" w:rsidR="00F52BE8" w:rsidRPr="005178AE" w:rsidRDefault="00F52BE8" w:rsidP="0003232D">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C9C4EF6" w14:textId="77777777" w:rsidR="00F52BE8" w:rsidRPr="005178AE" w:rsidRDefault="00F52BE8" w:rsidP="0003232D">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38E075D" w14:textId="77777777" w:rsidR="00F52BE8" w:rsidRPr="005178AE" w:rsidRDefault="00F52BE8" w:rsidP="0003232D">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ABD4603" w14:textId="77777777" w:rsidR="00F52BE8" w:rsidRPr="005178AE" w:rsidRDefault="00F52BE8" w:rsidP="0003232D">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A33C903" w14:textId="77777777" w:rsidR="00F52BE8" w:rsidRPr="005178AE" w:rsidRDefault="00F52BE8" w:rsidP="0003232D">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B375D2" w14:textId="77777777" w:rsidR="00F52BE8" w:rsidRPr="005178AE" w:rsidRDefault="00F52BE8" w:rsidP="0003232D">
                  <w:pPr>
                    <w:autoSpaceDE w:val="0"/>
                    <w:autoSpaceDN w:val="0"/>
                    <w:adjustRightInd w:val="0"/>
                    <w:rPr>
                      <w:rFonts w:cs="Arial"/>
                      <w:color w:val="000000"/>
                      <w:sz w:val="20"/>
                    </w:rPr>
                  </w:pPr>
                </w:p>
              </w:tc>
            </w:tr>
          </w:tbl>
          <w:p w14:paraId="4974781C" w14:textId="77777777" w:rsidR="00F52BE8" w:rsidRPr="0036077E" w:rsidRDefault="00F52BE8" w:rsidP="0003232D">
            <w:pPr>
              <w:rPr>
                <w:sz w:val="22"/>
                <w:szCs w:val="22"/>
              </w:rPr>
            </w:pPr>
          </w:p>
          <w:p w14:paraId="1430AA28" w14:textId="77777777" w:rsidR="00F52BE8" w:rsidRPr="0036077E" w:rsidRDefault="00F52BE8" w:rsidP="0003232D">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1C2D784A" w14:textId="77777777" w:rsidTr="0003232D">
              <w:trPr>
                <w:trHeight w:val="223"/>
              </w:trPr>
              <w:tc>
                <w:tcPr>
                  <w:tcW w:w="851" w:type="dxa"/>
                  <w:tcBorders>
                    <w:bottom w:val="single" w:sz="4" w:space="0" w:color="auto"/>
                  </w:tcBorders>
                  <w:shd w:val="clear" w:color="auto" w:fill="auto"/>
                  <w:vAlign w:val="center"/>
                </w:tcPr>
                <w:p w14:paraId="29FC8E29" w14:textId="77777777" w:rsidR="00F52BE8" w:rsidRPr="0036077E" w:rsidRDefault="00F52BE8" w:rsidP="0003232D">
                  <w:pPr>
                    <w:jc w:val="center"/>
                    <w:rPr>
                      <w:b/>
                      <w:sz w:val="20"/>
                    </w:rPr>
                  </w:pPr>
                  <w:r w:rsidRPr="0036077E">
                    <w:rPr>
                      <w:b/>
                      <w:sz w:val="20"/>
                    </w:rPr>
                    <w:t>Grade</w:t>
                  </w:r>
                </w:p>
              </w:tc>
              <w:tc>
                <w:tcPr>
                  <w:tcW w:w="6840" w:type="dxa"/>
                  <w:shd w:val="clear" w:color="auto" w:fill="auto"/>
                  <w:vAlign w:val="bottom"/>
                </w:tcPr>
                <w:p w14:paraId="58E67543" w14:textId="77777777" w:rsidR="00F52BE8" w:rsidRPr="0036077E" w:rsidRDefault="00F52BE8" w:rsidP="0003232D">
                  <w:pPr>
                    <w:jc w:val="center"/>
                    <w:rPr>
                      <w:b/>
                      <w:sz w:val="20"/>
                    </w:rPr>
                  </w:pPr>
                  <w:r w:rsidRPr="0036077E">
                    <w:rPr>
                      <w:b/>
                      <w:sz w:val="20"/>
                    </w:rPr>
                    <w:t>Requirement</w:t>
                  </w:r>
                </w:p>
              </w:tc>
            </w:tr>
            <w:tr w:rsidR="00F52BE8" w14:paraId="300A0935" w14:textId="77777777" w:rsidTr="0003232D">
              <w:trPr>
                <w:trHeight w:hRule="exact" w:val="680"/>
              </w:trPr>
              <w:tc>
                <w:tcPr>
                  <w:tcW w:w="851" w:type="dxa"/>
                  <w:tcBorders>
                    <w:bottom w:val="single" w:sz="4" w:space="0" w:color="auto"/>
                  </w:tcBorders>
                  <w:shd w:val="clear" w:color="auto" w:fill="auto"/>
                </w:tcPr>
                <w:p w14:paraId="176C6668" w14:textId="77777777" w:rsidR="00F52BE8" w:rsidRPr="0036077E" w:rsidRDefault="00F52BE8" w:rsidP="0003232D">
                  <w:pPr>
                    <w:rPr>
                      <w:sz w:val="20"/>
                    </w:rPr>
                  </w:pPr>
                  <w:r w:rsidRPr="0036077E">
                    <w:rPr>
                      <w:sz w:val="20"/>
                    </w:rPr>
                    <w:t>Junior consultant</w:t>
                  </w:r>
                </w:p>
              </w:tc>
              <w:tc>
                <w:tcPr>
                  <w:tcW w:w="0" w:type="auto"/>
                  <w:tcBorders>
                    <w:bottom w:val="single" w:sz="4" w:space="0" w:color="auto"/>
                  </w:tcBorders>
                  <w:shd w:val="clear" w:color="auto" w:fill="auto"/>
                </w:tcPr>
                <w:p w14:paraId="34A16E1C" w14:textId="77777777" w:rsidR="00F52BE8" w:rsidRPr="0036077E" w:rsidRDefault="00F52BE8" w:rsidP="0003232D">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2108B120" w14:textId="77777777" w:rsidTr="0003232D">
              <w:trPr>
                <w:trHeight w:hRule="exact" w:val="907"/>
              </w:trPr>
              <w:tc>
                <w:tcPr>
                  <w:tcW w:w="851" w:type="dxa"/>
                  <w:shd w:val="clear" w:color="auto" w:fill="auto"/>
                </w:tcPr>
                <w:p w14:paraId="0C0FF25A" w14:textId="77777777" w:rsidR="00F52BE8" w:rsidRPr="0036077E" w:rsidRDefault="00F52BE8" w:rsidP="0003232D">
                  <w:pPr>
                    <w:rPr>
                      <w:sz w:val="20"/>
                    </w:rPr>
                  </w:pPr>
                  <w:r w:rsidRPr="0036077E">
                    <w:rPr>
                      <w:sz w:val="20"/>
                    </w:rPr>
                    <w:t>Consultant</w:t>
                  </w:r>
                </w:p>
              </w:tc>
              <w:tc>
                <w:tcPr>
                  <w:tcW w:w="0" w:type="auto"/>
                  <w:shd w:val="clear" w:color="auto" w:fill="auto"/>
                </w:tcPr>
                <w:p w14:paraId="5AD10DBB" w14:textId="77777777" w:rsidR="00F52BE8" w:rsidRPr="0036077E" w:rsidRDefault="00F52BE8" w:rsidP="0003232D">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15C6B95F" w14:textId="77777777" w:rsidTr="0003232D">
              <w:trPr>
                <w:trHeight w:hRule="exact" w:val="964"/>
              </w:trPr>
              <w:tc>
                <w:tcPr>
                  <w:tcW w:w="851" w:type="dxa"/>
                  <w:shd w:val="clear" w:color="auto" w:fill="auto"/>
                </w:tcPr>
                <w:p w14:paraId="657FEB92" w14:textId="77777777" w:rsidR="00F52BE8" w:rsidRPr="0036077E" w:rsidRDefault="00F52BE8" w:rsidP="0003232D">
                  <w:pPr>
                    <w:rPr>
                      <w:sz w:val="20"/>
                    </w:rPr>
                  </w:pPr>
                  <w:r w:rsidRPr="0036077E">
                    <w:rPr>
                      <w:sz w:val="20"/>
                    </w:rPr>
                    <w:t>Senior Consultant</w:t>
                  </w:r>
                </w:p>
              </w:tc>
              <w:tc>
                <w:tcPr>
                  <w:tcW w:w="0" w:type="auto"/>
                  <w:shd w:val="clear" w:color="auto" w:fill="auto"/>
                </w:tcPr>
                <w:p w14:paraId="777D1CCC" w14:textId="77777777" w:rsidR="00F52BE8" w:rsidRPr="0036077E" w:rsidRDefault="00F52BE8" w:rsidP="0003232D">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38472FAC" w14:textId="77777777" w:rsidTr="0003232D">
              <w:trPr>
                <w:trHeight w:hRule="exact" w:val="1134"/>
              </w:trPr>
              <w:tc>
                <w:tcPr>
                  <w:tcW w:w="851" w:type="dxa"/>
                  <w:shd w:val="clear" w:color="auto" w:fill="auto"/>
                </w:tcPr>
                <w:p w14:paraId="03C21D59" w14:textId="77777777" w:rsidR="00F52BE8" w:rsidRPr="0036077E" w:rsidRDefault="00F52BE8" w:rsidP="0003232D">
                  <w:pPr>
                    <w:rPr>
                      <w:sz w:val="20"/>
                    </w:rPr>
                  </w:pPr>
                  <w:r w:rsidRPr="0036077E">
                    <w:rPr>
                      <w:sz w:val="20"/>
                    </w:rPr>
                    <w:t>Principal Consultant</w:t>
                  </w:r>
                </w:p>
              </w:tc>
              <w:tc>
                <w:tcPr>
                  <w:tcW w:w="0" w:type="auto"/>
                  <w:shd w:val="clear" w:color="auto" w:fill="auto"/>
                </w:tcPr>
                <w:p w14:paraId="48EC9CC6" w14:textId="77777777" w:rsidR="00F52BE8" w:rsidRPr="0036077E" w:rsidRDefault="00F52BE8" w:rsidP="0003232D">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37956C4" w14:textId="77777777" w:rsidTr="0003232D">
              <w:trPr>
                <w:trHeight w:hRule="exact" w:val="1134"/>
              </w:trPr>
              <w:tc>
                <w:tcPr>
                  <w:tcW w:w="851" w:type="dxa"/>
                  <w:shd w:val="clear" w:color="auto" w:fill="auto"/>
                </w:tcPr>
                <w:p w14:paraId="1DFCA7DD" w14:textId="77777777" w:rsidR="00F52BE8" w:rsidRPr="0036077E" w:rsidRDefault="00F52BE8" w:rsidP="0003232D">
                  <w:pPr>
                    <w:rPr>
                      <w:sz w:val="20"/>
                    </w:rPr>
                  </w:pPr>
                  <w:r w:rsidRPr="0036077E">
                    <w:rPr>
                      <w:sz w:val="20"/>
                    </w:rPr>
                    <w:t>Managing Consultant</w:t>
                  </w:r>
                </w:p>
              </w:tc>
              <w:tc>
                <w:tcPr>
                  <w:tcW w:w="0" w:type="auto"/>
                  <w:shd w:val="clear" w:color="auto" w:fill="auto"/>
                </w:tcPr>
                <w:p w14:paraId="00C07C9D" w14:textId="77777777" w:rsidR="00F52BE8" w:rsidRPr="0036077E" w:rsidRDefault="00F52BE8" w:rsidP="0003232D">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6E8E40C5" w14:textId="77777777" w:rsidTr="0003232D">
              <w:trPr>
                <w:trHeight w:hRule="exact" w:val="1221"/>
              </w:trPr>
              <w:tc>
                <w:tcPr>
                  <w:tcW w:w="851" w:type="dxa"/>
                  <w:shd w:val="clear" w:color="auto" w:fill="auto"/>
                </w:tcPr>
                <w:p w14:paraId="1102A534" w14:textId="77777777" w:rsidR="00F52BE8" w:rsidRPr="0036077E" w:rsidRDefault="00F52BE8" w:rsidP="0003232D">
                  <w:pPr>
                    <w:rPr>
                      <w:sz w:val="20"/>
                    </w:rPr>
                  </w:pPr>
                  <w:r w:rsidRPr="0036077E">
                    <w:rPr>
                      <w:sz w:val="20"/>
                    </w:rPr>
                    <w:lastRenderedPageBreak/>
                    <w:t>Director / Partner</w:t>
                  </w:r>
                </w:p>
                <w:p w14:paraId="2D886E9E" w14:textId="77777777" w:rsidR="00F52BE8" w:rsidRPr="0036077E" w:rsidRDefault="00F52BE8" w:rsidP="0003232D">
                  <w:pPr>
                    <w:rPr>
                      <w:sz w:val="20"/>
                    </w:rPr>
                  </w:pPr>
                </w:p>
              </w:tc>
              <w:tc>
                <w:tcPr>
                  <w:tcW w:w="0" w:type="auto"/>
                  <w:shd w:val="clear" w:color="auto" w:fill="auto"/>
                </w:tcPr>
                <w:p w14:paraId="66087C1D" w14:textId="77777777" w:rsidR="00F52BE8" w:rsidRPr="0036077E" w:rsidRDefault="00F52BE8" w:rsidP="0003232D">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6257B668" w14:textId="77777777" w:rsidR="00F52BE8" w:rsidRPr="0036077E" w:rsidRDefault="00F52BE8" w:rsidP="0003232D">
            <w:pPr>
              <w:rPr>
                <w:sz w:val="22"/>
                <w:szCs w:val="22"/>
              </w:rPr>
            </w:pPr>
          </w:p>
          <w:p w14:paraId="59FDA2E6" w14:textId="77777777" w:rsidR="00F52BE8" w:rsidRPr="0036077E" w:rsidRDefault="00F52BE8" w:rsidP="0003232D">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057B315F" w14:textId="77777777" w:rsidTr="0003232D">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25F39B4" w14:textId="77777777" w:rsidR="00F52BE8" w:rsidRPr="0045576C" w:rsidRDefault="00F52BE8" w:rsidP="0003232D">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A359AA9" w14:textId="77777777" w:rsidR="00F52BE8" w:rsidRPr="0045576C" w:rsidRDefault="00F52BE8" w:rsidP="0003232D">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4E9388D7" w14:textId="77777777" w:rsidTr="0003232D">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221B32C" w14:textId="77777777" w:rsidR="00F52BE8" w:rsidRPr="0045576C" w:rsidRDefault="00F52BE8" w:rsidP="0003232D">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1E37886" w14:textId="77777777" w:rsidR="00F52BE8" w:rsidRPr="0045576C" w:rsidRDefault="00F52BE8" w:rsidP="0003232D">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22037A7C" w14:textId="77777777" w:rsidTr="0003232D">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0CF589FC" w14:textId="77777777" w:rsidR="00F52BE8" w:rsidRPr="0045576C" w:rsidRDefault="00F52BE8" w:rsidP="0003232D">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2BB2EE9" w14:textId="77777777" w:rsidR="00F52BE8" w:rsidRPr="0045576C" w:rsidRDefault="00F52BE8" w:rsidP="0003232D">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7C238018" w14:textId="77777777" w:rsidTr="0003232D">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A7EB8B7" w14:textId="77777777" w:rsidR="00F52BE8" w:rsidRPr="0045576C" w:rsidRDefault="00F52BE8" w:rsidP="0003232D">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A81443B" w14:textId="77777777" w:rsidR="00F52BE8" w:rsidRPr="0045576C" w:rsidRDefault="00F52BE8" w:rsidP="0003232D">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78F611CD" w14:textId="77777777" w:rsidR="00F52BE8" w:rsidRPr="0036077E" w:rsidRDefault="00F52BE8" w:rsidP="0003232D">
            <w:pPr>
              <w:rPr>
                <w:rFonts w:cs="Arial"/>
                <w:sz w:val="22"/>
                <w:szCs w:val="22"/>
              </w:rPr>
            </w:pPr>
          </w:p>
          <w:p w14:paraId="1315D3B2" w14:textId="77777777" w:rsidR="00F52BE8" w:rsidRPr="0036077E" w:rsidRDefault="00F52BE8" w:rsidP="0003232D">
            <w:pPr>
              <w:rPr>
                <w:rFonts w:cs="Arial"/>
                <w:sz w:val="22"/>
                <w:szCs w:val="22"/>
              </w:rPr>
            </w:pPr>
          </w:p>
        </w:tc>
      </w:tr>
    </w:tbl>
    <w:p w14:paraId="57A934D1" w14:textId="77777777" w:rsidR="00F52BE8" w:rsidRDefault="00F52BE8" w:rsidP="00F52BE8">
      <w:pPr>
        <w:rPr>
          <w:rFonts w:cs="Arial"/>
          <w:b/>
          <w:sz w:val="32"/>
          <w:szCs w:val="32"/>
          <w:u w:val="single"/>
        </w:rPr>
        <w:sectPr w:rsidR="00F52BE8" w:rsidSect="0003232D">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618" w:left="1797" w:header="709" w:footer="709" w:gutter="0"/>
          <w:cols w:space="708"/>
          <w:docGrid w:linePitch="360"/>
        </w:sectPr>
      </w:pPr>
    </w:p>
    <w:p w14:paraId="115C1935"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153FD395"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CA4BFFD"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676623FA"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7455EE" w:rsidRPr="0036077E" w14:paraId="1FAA65DA" w14:textId="77777777" w:rsidTr="0003232D">
        <w:tc>
          <w:tcPr>
            <w:tcW w:w="4928" w:type="dxa"/>
            <w:shd w:val="clear" w:color="auto" w:fill="auto"/>
          </w:tcPr>
          <w:p w14:paraId="547F0A35" w14:textId="77777777" w:rsidR="00F52BE8" w:rsidRPr="0036077E" w:rsidRDefault="00F52BE8" w:rsidP="0003232D">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28B76BAC" w14:textId="77777777" w:rsidR="00F52BE8" w:rsidRPr="0036077E" w:rsidRDefault="00F52BE8" w:rsidP="0003232D">
            <w:pPr>
              <w:pStyle w:val="ListNumber"/>
              <w:numPr>
                <w:ilvl w:val="0"/>
                <w:numId w:val="0"/>
              </w:numPr>
              <w:spacing w:before="0" w:after="0"/>
              <w:rPr>
                <w:rFonts w:cs="Arial"/>
                <w:b/>
              </w:rPr>
            </w:pPr>
            <w:r w:rsidRPr="0036077E">
              <w:rPr>
                <w:rFonts w:cs="Arial"/>
                <w:b/>
              </w:rPr>
              <w:t>Timescale</w:t>
            </w:r>
          </w:p>
        </w:tc>
      </w:tr>
      <w:tr w:rsidR="007455EE" w:rsidRPr="0036077E" w14:paraId="1C090B48" w14:textId="77777777" w:rsidTr="0003232D">
        <w:tc>
          <w:tcPr>
            <w:tcW w:w="4928" w:type="dxa"/>
            <w:shd w:val="clear" w:color="auto" w:fill="auto"/>
          </w:tcPr>
          <w:p w14:paraId="671210CB" w14:textId="77777777" w:rsidR="00F52BE8" w:rsidRPr="0036077E" w:rsidRDefault="00F52BE8" w:rsidP="0003232D">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3B1B2938" w14:textId="6B9F8CAD" w:rsidR="00F52BE8" w:rsidRPr="0036077E" w:rsidRDefault="00BA663B" w:rsidP="009A0C57">
            <w:pPr>
              <w:pStyle w:val="ListNumber"/>
              <w:numPr>
                <w:ilvl w:val="0"/>
                <w:numId w:val="0"/>
              </w:numPr>
              <w:spacing w:before="0" w:after="0"/>
              <w:rPr>
                <w:rFonts w:cs="Arial"/>
              </w:rPr>
            </w:pPr>
            <w:r>
              <w:rPr>
                <w:rFonts w:cs="Arial"/>
              </w:rPr>
              <w:t>05</w:t>
            </w:r>
            <w:r w:rsidR="007455EE">
              <w:rPr>
                <w:rFonts w:cs="Arial"/>
              </w:rPr>
              <w:t xml:space="preserve"> </w:t>
            </w:r>
            <w:r w:rsidR="009A0C57">
              <w:rPr>
                <w:rFonts w:cs="Arial"/>
              </w:rPr>
              <w:t>November</w:t>
            </w:r>
            <w:r w:rsidR="007455EE">
              <w:rPr>
                <w:rFonts w:cs="Arial"/>
              </w:rPr>
              <w:t xml:space="preserve"> 2020</w:t>
            </w:r>
          </w:p>
        </w:tc>
      </w:tr>
      <w:tr w:rsidR="007455EE" w:rsidRPr="0036077E" w14:paraId="1D7CB2D7" w14:textId="77777777" w:rsidTr="0003232D">
        <w:tc>
          <w:tcPr>
            <w:tcW w:w="4928" w:type="dxa"/>
            <w:shd w:val="clear" w:color="auto" w:fill="auto"/>
          </w:tcPr>
          <w:p w14:paraId="22029D01" w14:textId="77777777" w:rsidR="00F52BE8" w:rsidRPr="0036077E" w:rsidRDefault="00F52BE8" w:rsidP="0003232D">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594DECA7" w14:textId="5DD67BC4" w:rsidR="00F52BE8" w:rsidRPr="0036077E" w:rsidRDefault="00BA663B" w:rsidP="007455EE">
            <w:pPr>
              <w:pStyle w:val="ListNumber"/>
              <w:numPr>
                <w:ilvl w:val="0"/>
                <w:numId w:val="0"/>
              </w:numPr>
              <w:spacing w:before="0" w:after="0"/>
              <w:rPr>
                <w:rFonts w:cs="Arial"/>
              </w:rPr>
            </w:pPr>
            <w:r>
              <w:rPr>
                <w:rFonts w:cs="Arial"/>
              </w:rPr>
              <w:t>12</w:t>
            </w:r>
            <w:bookmarkStart w:id="0" w:name="_GoBack"/>
            <w:bookmarkEnd w:id="0"/>
            <w:r w:rsidR="009A0C57">
              <w:rPr>
                <w:rFonts w:cs="Arial"/>
              </w:rPr>
              <w:t xml:space="preserve"> November 2020</w:t>
            </w:r>
            <w:r w:rsidR="001D4072">
              <w:rPr>
                <w:rFonts w:cs="Arial"/>
              </w:rPr>
              <w:t xml:space="preserve"> 12:00pm</w:t>
            </w:r>
          </w:p>
        </w:tc>
      </w:tr>
      <w:tr w:rsidR="007455EE" w:rsidRPr="0036077E" w14:paraId="31DD3691" w14:textId="77777777" w:rsidTr="0003232D">
        <w:tc>
          <w:tcPr>
            <w:tcW w:w="4928" w:type="dxa"/>
            <w:shd w:val="clear" w:color="auto" w:fill="auto"/>
          </w:tcPr>
          <w:p w14:paraId="53E5925C" w14:textId="77777777" w:rsidR="00F52BE8" w:rsidRPr="0036077E" w:rsidRDefault="00F52BE8" w:rsidP="0003232D">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92CAC5D" w14:textId="68D56E3D" w:rsidR="00F52BE8" w:rsidRPr="0036077E" w:rsidRDefault="00BA663B" w:rsidP="007455EE">
            <w:pPr>
              <w:pStyle w:val="ListNumber"/>
              <w:numPr>
                <w:ilvl w:val="0"/>
                <w:numId w:val="0"/>
              </w:numPr>
              <w:spacing w:before="0" w:after="0"/>
              <w:rPr>
                <w:rFonts w:cs="Arial"/>
              </w:rPr>
            </w:pPr>
            <w:r>
              <w:rPr>
                <w:rFonts w:cs="Arial"/>
              </w:rPr>
              <w:t>19</w:t>
            </w:r>
            <w:r w:rsidR="009A0C57">
              <w:rPr>
                <w:rFonts w:cs="Arial"/>
              </w:rPr>
              <w:t xml:space="preserve"> November</w:t>
            </w:r>
            <w:r w:rsidR="007455EE">
              <w:rPr>
                <w:rFonts w:cs="Arial"/>
              </w:rPr>
              <w:t xml:space="preserve"> 2020</w:t>
            </w:r>
            <w:r w:rsidR="001D4072">
              <w:rPr>
                <w:rFonts w:cs="Arial"/>
              </w:rPr>
              <w:t xml:space="preserve"> 12:00pm</w:t>
            </w:r>
          </w:p>
        </w:tc>
      </w:tr>
      <w:tr w:rsidR="007455EE" w:rsidRPr="0036077E" w14:paraId="79D99EF7" w14:textId="77777777" w:rsidTr="0003232D">
        <w:tc>
          <w:tcPr>
            <w:tcW w:w="4928" w:type="dxa"/>
            <w:shd w:val="clear" w:color="auto" w:fill="auto"/>
          </w:tcPr>
          <w:p w14:paraId="0E8316CB" w14:textId="77777777" w:rsidR="00F52BE8" w:rsidRPr="0036077E" w:rsidRDefault="00F52BE8" w:rsidP="0003232D">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560E3379" w14:textId="6C214AC0" w:rsidR="00F52BE8" w:rsidRPr="0036077E" w:rsidRDefault="00BA663B" w:rsidP="009A0C57">
            <w:pPr>
              <w:pStyle w:val="ListNumber"/>
              <w:numPr>
                <w:ilvl w:val="0"/>
                <w:numId w:val="0"/>
              </w:numPr>
              <w:spacing w:before="0" w:after="0"/>
              <w:rPr>
                <w:rFonts w:cs="Arial"/>
              </w:rPr>
            </w:pPr>
            <w:r>
              <w:rPr>
                <w:rFonts w:cs="Arial"/>
              </w:rPr>
              <w:t>24</w:t>
            </w:r>
            <w:r w:rsidR="007455EE">
              <w:rPr>
                <w:rFonts w:cs="Arial"/>
              </w:rPr>
              <w:t xml:space="preserve"> November 2020</w:t>
            </w:r>
          </w:p>
        </w:tc>
      </w:tr>
      <w:tr w:rsidR="007455EE" w:rsidRPr="0036077E" w14:paraId="5BDBB591" w14:textId="77777777" w:rsidTr="0003232D">
        <w:tc>
          <w:tcPr>
            <w:tcW w:w="4928" w:type="dxa"/>
            <w:shd w:val="clear" w:color="auto" w:fill="auto"/>
          </w:tcPr>
          <w:p w14:paraId="2CB46D28" w14:textId="77777777" w:rsidR="00F52BE8" w:rsidRPr="0036077E" w:rsidRDefault="00F52BE8" w:rsidP="0003232D">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20CC6216" w14:textId="791CB8E2" w:rsidR="00F52BE8" w:rsidRPr="0036077E" w:rsidRDefault="009A0C57" w:rsidP="007455EE">
            <w:pPr>
              <w:pStyle w:val="ListNumber"/>
              <w:numPr>
                <w:ilvl w:val="0"/>
                <w:numId w:val="0"/>
              </w:numPr>
              <w:spacing w:before="0" w:after="0"/>
              <w:rPr>
                <w:rFonts w:cs="Arial"/>
              </w:rPr>
            </w:pPr>
            <w:r>
              <w:rPr>
                <w:rFonts w:cs="Arial"/>
              </w:rPr>
              <w:t>26/27</w:t>
            </w:r>
            <w:r w:rsidR="007455EE">
              <w:rPr>
                <w:rFonts w:cs="Arial"/>
              </w:rPr>
              <w:t xml:space="preserve"> November 2020</w:t>
            </w:r>
          </w:p>
        </w:tc>
      </w:tr>
      <w:tr w:rsidR="007455EE" w:rsidRPr="0036077E" w14:paraId="240E76FC" w14:textId="77777777" w:rsidTr="0003232D">
        <w:tc>
          <w:tcPr>
            <w:tcW w:w="4928" w:type="dxa"/>
            <w:shd w:val="clear" w:color="auto" w:fill="auto"/>
          </w:tcPr>
          <w:p w14:paraId="16D151C5" w14:textId="77777777" w:rsidR="00F52BE8" w:rsidRPr="0036077E" w:rsidRDefault="00F52BE8" w:rsidP="0003232D">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773AC117" w14:textId="150BF000" w:rsidR="00F52BE8" w:rsidRPr="0036077E" w:rsidRDefault="001D4072" w:rsidP="009A0C57">
            <w:pPr>
              <w:pStyle w:val="ListNumber"/>
              <w:numPr>
                <w:ilvl w:val="0"/>
                <w:numId w:val="0"/>
              </w:numPr>
              <w:spacing w:before="0" w:after="0"/>
              <w:rPr>
                <w:rFonts w:cs="Arial"/>
              </w:rPr>
            </w:pPr>
            <w:r>
              <w:rPr>
                <w:rFonts w:cs="Arial"/>
              </w:rPr>
              <w:t>0</w:t>
            </w:r>
            <w:r w:rsidR="009A0C57">
              <w:rPr>
                <w:rFonts w:cs="Arial"/>
              </w:rPr>
              <w:t>2 Dece</w:t>
            </w:r>
            <w:r w:rsidR="007455EE">
              <w:rPr>
                <w:rFonts w:cs="Arial"/>
              </w:rPr>
              <w:t>mber 2020</w:t>
            </w:r>
          </w:p>
        </w:tc>
      </w:tr>
      <w:tr w:rsidR="007455EE" w:rsidRPr="0036077E" w14:paraId="25FA68C7" w14:textId="77777777" w:rsidTr="0003232D">
        <w:tc>
          <w:tcPr>
            <w:tcW w:w="4928" w:type="dxa"/>
            <w:shd w:val="clear" w:color="auto" w:fill="auto"/>
          </w:tcPr>
          <w:p w14:paraId="59F75D1D" w14:textId="77777777" w:rsidR="00F52BE8" w:rsidRPr="0036077E" w:rsidRDefault="00F52BE8" w:rsidP="0003232D">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01BC0AE3" w14:textId="3B7287BD" w:rsidR="00F52BE8" w:rsidRPr="0036077E" w:rsidRDefault="001D4072" w:rsidP="009A0C57">
            <w:pPr>
              <w:pStyle w:val="ListNumber"/>
              <w:numPr>
                <w:ilvl w:val="0"/>
                <w:numId w:val="0"/>
              </w:numPr>
              <w:spacing w:before="0" w:after="0"/>
              <w:rPr>
                <w:rFonts w:cs="Arial"/>
              </w:rPr>
            </w:pPr>
            <w:r>
              <w:rPr>
                <w:rFonts w:cs="Arial"/>
              </w:rPr>
              <w:t>0</w:t>
            </w:r>
            <w:r w:rsidR="009A0C57">
              <w:rPr>
                <w:rFonts w:cs="Arial"/>
              </w:rPr>
              <w:t xml:space="preserve">4 or </w:t>
            </w:r>
            <w:r>
              <w:rPr>
                <w:rFonts w:cs="Arial"/>
              </w:rPr>
              <w:t>0</w:t>
            </w:r>
            <w:r w:rsidR="009A0C57">
              <w:rPr>
                <w:rFonts w:cs="Arial"/>
              </w:rPr>
              <w:t>7 Dec</w:t>
            </w:r>
            <w:r w:rsidR="007455EE">
              <w:rPr>
                <w:rFonts w:cs="Arial"/>
              </w:rPr>
              <w:t>ember 2020</w:t>
            </w:r>
          </w:p>
        </w:tc>
      </w:tr>
    </w:tbl>
    <w:p w14:paraId="12926A9F"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16111574" w14:textId="77777777" w:rsidR="00F52BE8" w:rsidRDefault="00F52BE8" w:rsidP="00F52BE8">
      <w:pPr>
        <w:jc w:val="both"/>
        <w:rPr>
          <w:rFonts w:cs="Arial"/>
          <w:sz w:val="28"/>
          <w:szCs w:val="28"/>
          <w:u w:val="single"/>
        </w:rPr>
      </w:pPr>
    </w:p>
    <w:p w14:paraId="2870C5C1"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095F42F3" w14:textId="77777777" w:rsidR="00F52BE8" w:rsidRDefault="00F52BE8" w:rsidP="00F52BE8">
      <w:pPr>
        <w:jc w:val="both"/>
        <w:rPr>
          <w:rFonts w:cs="Arial"/>
          <w:b/>
        </w:rPr>
      </w:pPr>
      <w:r>
        <w:rPr>
          <w:rFonts w:cs="Arial"/>
          <w:b/>
        </w:rPr>
        <w:t>Amendments to ITT document</w:t>
      </w:r>
    </w:p>
    <w:p w14:paraId="269822D8"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357D85A5" w14:textId="77777777" w:rsidR="00F52BE8" w:rsidRPr="0041543F" w:rsidRDefault="00F52BE8" w:rsidP="00F52BE8">
      <w:pPr>
        <w:keepNext/>
        <w:jc w:val="both"/>
        <w:rPr>
          <w:b/>
        </w:rPr>
      </w:pPr>
      <w:r>
        <w:rPr>
          <w:b/>
        </w:rPr>
        <w:t>Clarifications &amp; Queries</w:t>
      </w:r>
    </w:p>
    <w:p w14:paraId="2B7CE83B"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71E5D860" w14:textId="77777777" w:rsidR="00F52BE8" w:rsidRPr="0041543F" w:rsidRDefault="00F52BE8" w:rsidP="00F52BE8">
      <w:pPr>
        <w:jc w:val="both"/>
        <w:rPr>
          <w:rFonts w:cs="Arial"/>
          <w:b/>
        </w:rPr>
      </w:pPr>
      <w:r>
        <w:rPr>
          <w:rFonts w:cs="Arial"/>
          <w:b/>
        </w:rPr>
        <w:t>Submission Process</w:t>
      </w:r>
    </w:p>
    <w:p w14:paraId="19AADCE1"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AE85CE9"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4F4120D3"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109511C0"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41D6B716" w14:textId="77777777" w:rsidR="00F52BE8" w:rsidRDefault="00F52BE8" w:rsidP="00F52BE8">
      <w:pPr>
        <w:jc w:val="both"/>
        <w:rPr>
          <w:rFonts w:cs="Arial"/>
          <w:b/>
        </w:rPr>
      </w:pPr>
    </w:p>
    <w:p w14:paraId="653A93A4" w14:textId="77777777" w:rsidR="00F52BE8" w:rsidRPr="0075067D" w:rsidRDefault="00F52BE8" w:rsidP="00F52BE8">
      <w:pPr>
        <w:jc w:val="both"/>
        <w:rPr>
          <w:rFonts w:cs="Arial"/>
        </w:rPr>
      </w:pPr>
      <w:r>
        <w:rPr>
          <w:rFonts w:cs="Arial"/>
          <w:b/>
        </w:rPr>
        <w:t>Cost &amp; Pricing Information</w:t>
      </w:r>
    </w:p>
    <w:p w14:paraId="133EF3D1"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11C485A"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510A412"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4A733EA6" w14:textId="77777777" w:rsidR="00F52BE8" w:rsidRDefault="00F52BE8" w:rsidP="00F52BE8">
      <w:pPr>
        <w:pStyle w:val="ListNumber"/>
        <w:numPr>
          <w:ilvl w:val="0"/>
          <w:numId w:val="0"/>
        </w:numPr>
        <w:rPr>
          <w:b/>
        </w:rPr>
      </w:pPr>
    </w:p>
    <w:p w14:paraId="423746AA" w14:textId="77777777" w:rsidR="00F52BE8" w:rsidRPr="00720321" w:rsidRDefault="00F52BE8" w:rsidP="00F52BE8">
      <w:pPr>
        <w:pStyle w:val="ListNumber"/>
        <w:numPr>
          <w:ilvl w:val="0"/>
          <w:numId w:val="0"/>
        </w:numPr>
        <w:rPr>
          <w:b/>
        </w:rPr>
      </w:pPr>
      <w:r w:rsidRPr="00720321">
        <w:rPr>
          <w:b/>
        </w:rPr>
        <w:t>References</w:t>
      </w:r>
    </w:p>
    <w:p w14:paraId="5D9EB1DC" w14:textId="77777777" w:rsidR="00F52BE8" w:rsidRDefault="00F52BE8" w:rsidP="00F52BE8">
      <w:pPr>
        <w:pStyle w:val="ListNumber"/>
        <w:numPr>
          <w:ilvl w:val="0"/>
          <w:numId w:val="0"/>
        </w:numPr>
      </w:pPr>
      <w:r>
        <w:t>References provided as part of the tender may be approached during the tender stage</w:t>
      </w:r>
    </w:p>
    <w:p w14:paraId="2C1A376A" w14:textId="77777777" w:rsidR="00F52BE8" w:rsidRDefault="00F52BE8" w:rsidP="00F52BE8">
      <w:pPr>
        <w:pStyle w:val="ListNumber"/>
        <w:numPr>
          <w:ilvl w:val="0"/>
          <w:numId w:val="0"/>
        </w:numPr>
      </w:pPr>
    </w:p>
    <w:p w14:paraId="04CCA5F8" w14:textId="77777777" w:rsidR="00F52BE8" w:rsidRPr="00720321" w:rsidRDefault="00F52BE8" w:rsidP="00F52BE8">
      <w:pPr>
        <w:pStyle w:val="ListNumber"/>
        <w:numPr>
          <w:ilvl w:val="0"/>
          <w:numId w:val="0"/>
        </w:numPr>
        <w:rPr>
          <w:b/>
        </w:rPr>
      </w:pPr>
      <w:r w:rsidRPr="00720321">
        <w:rPr>
          <w:b/>
        </w:rPr>
        <w:t>Contractual Information</w:t>
      </w:r>
    </w:p>
    <w:p w14:paraId="3A07C10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5684401E" w14:textId="77777777" w:rsidR="00F52BE8" w:rsidRPr="00720321" w:rsidRDefault="00F52BE8" w:rsidP="00F52BE8">
      <w:pPr>
        <w:pStyle w:val="Default"/>
      </w:pPr>
    </w:p>
    <w:p w14:paraId="2A9CA94C"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7179FC0" w14:textId="77777777" w:rsidR="00F52BE8" w:rsidRDefault="00F52BE8" w:rsidP="00F52BE8">
      <w:pPr>
        <w:pStyle w:val="Default"/>
        <w:rPr>
          <w:sz w:val="22"/>
          <w:szCs w:val="22"/>
        </w:rPr>
      </w:pPr>
    </w:p>
    <w:p w14:paraId="40586C1B"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1B381C1B" w14:textId="77777777" w:rsidR="00F52BE8" w:rsidRDefault="00F52BE8" w:rsidP="00F52BE8">
      <w:pPr>
        <w:pStyle w:val="Default"/>
      </w:pPr>
    </w:p>
    <w:p w14:paraId="529AF88C"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1E3DEA4E"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485264D6"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A9790C9" w14:textId="77777777" w:rsidTr="0003232D">
        <w:tc>
          <w:tcPr>
            <w:tcW w:w="2132" w:type="dxa"/>
            <w:shd w:val="clear" w:color="auto" w:fill="auto"/>
          </w:tcPr>
          <w:p w14:paraId="1BF34FEB" w14:textId="77777777" w:rsidR="00F52BE8" w:rsidRPr="0036077E" w:rsidRDefault="00F52BE8" w:rsidP="0003232D">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604DAC9B" w14:textId="77777777" w:rsidR="00F52BE8" w:rsidRPr="0036077E" w:rsidRDefault="00F52BE8" w:rsidP="0003232D">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1EE3A607" w14:textId="77777777" w:rsidR="00F52BE8" w:rsidRPr="0036077E" w:rsidRDefault="00F52BE8" w:rsidP="0003232D">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E652DB7" w14:textId="77777777" w:rsidR="00F52BE8" w:rsidRPr="0036077E" w:rsidRDefault="00F52BE8" w:rsidP="0003232D">
            <w:pPr>
              <w:pStyle w:val="ListNumber"/>
              <w:numPr>
                <w:ilvl w:val="0"/>
                <w:numId w:val="0"/>
              </w:numPr>
              <w:rPr>
                <w:b/>
                <w:i/>
                <w:sz w:val="22"/>
                <w:szCs w:val="22"/>
              </w:rPr>
            </w:pPr>
            <w:r w:rsidRPr="0036077E">
              <w:rPr>
                <w:b/>
                <w:i/>
                <w:sz w:val="22"/>
                <w:szCs w:val="22"/>
              </w:rPr>
              <w:t>Rational for amendment</w:t>
            </w:r>
          </w:p>
        </w:tc>
      </w:tr>
      <w:tr w:rsidR="00F52BE8" w14:paraId="62F7F811" w14:textId="77777777" w:rsidTr="0003232D">
        <w:tc>
          <w:tcPr>
            <w:tcW w:w="2132" w:type="dxa"/>
            <w:shd w:val="clear" w:color="auto" w:fill="auto"/>
          </w:tcPr>
          <w:p w14:paraId="139A378E" w14:textId="77777777" w:rsidR="00F52BE8" w:rsidRDefault="00F52BE8" w:rsidP="0003232D">
            <w:pPr>
              <w:pStyle w:val="ListNumber"/>
              <w:numPr>
                <w:ilvl w:val="0"/>
                <w:numId w:val="0"/>
              </w:numPr>
            </w:pPr>
          </w:p>
        </w:tc>
        <w:tc>
          <w:tcPr>
            <w:tcW w:w="2132" w:type="dxa"/>
            <w:shd w:val="clear" w:color="auto" w:fill="auto"/>
          </w:tcPr>
          <w:p w14:paraId="1E51EF78" w14:textId="77777777" w:rsidR="00F52BE8" w:rsidRDefault="00F52BE8" w:rsidP="0003232D">
            <w:pPr>
              <w:pStyle w:val="ListNumber"/>
              <w:numPr>
                <w:ilvl w:val="0"/>
                <w:numId w:val="0"/>
              </w:numPr>
            </w:pPr>
          </w:p>
        </w:tc>
        <w:tc>
          <w:tcPr>
            <w:tcW w:w="2132" w:type="dxa"/>
            <w:shd w:val="clear" w:color="auto" w:fill="auto"/>
          </w:tcPr>
          <w:p w14:paraId="485CA0DD" w14:textId="77777777" w:rsidR="00F52BE8" w:rsidRDefault="00F52BE8" w:rsidP="0003232D">
            <w:pPr>
              <w:pStyle w:val="ListNumber"/>
              <w:numPr>
                <w:ilvl w:val="0"/>
                <w:numId w:val="0"/>
              </w:numPr>
            </w:pPr>
          </w:p>
        </w:tc>
        <w:tc>
          <w:tcPr>
            <w:tcW w:w="2132" w:type="dxa"/>
            <w:shd w:val="clear" w:color="auto" w:fill="auto"/>
          </w:tcPr>
          <w:p w14:paraId="2494290F" w14:textId="77777777" w:rsidR="00F52BE8" w:rsidRDefault="00F52BE8" w:rsidP="0003232D">
            <w:pPr>
              <w:pStyle w:val="ListNumber"/>
              <w:numPr>
                <w:ilvl w:val="0"/>
                <w:numId w:val="0"/>
              </w:numPr>
            </w:pPr>
          </w:p>
        </w:tc>
      </w:tr>
      <w:tr w:rsidR="00F52BE8" w14:paraId="42D50647" w14:textId="77777777" w:rsidTr="0003232D">
        <w:tc>
          <w:tcPr>
            <w:tcW w:w="2132" w:type="dxa"/>
            <w:shd w:val="clear" w:color="auto" w:fill="auto"/>
          </w:tcPr>
          <w:p w14:paraId="5DF4994A" w14:textId="77777777" w:rsidR="00F52BE8" w:rsidRDefault="00F52BE8" w:rsidP="0003232D">
            <w:pPr>
              <w:pStyle w:val="ListNumber"/>
              <w:numPr>
                <w:ilvl w:val="0"/>
                <w:numId w:val="0"/>
              </w:numPr>
            </w:pPr>
          </w:p>
        </w:tc>
        <w:tc>
          <w:tcPr>
            <w:tcW w:w="2132" w:type="dxa"/>
            <w:shd w:val="clear" w:color="auto" w:fill="auto"/>
          </w:tcPr>
          <w:p w14:paraId="0BA9820E" w14:textId="77777777" w:rsidR="00F52BE8" w:rsidRDefault="00F52BE8" w:rsidP="0003232D">
            <w:pPr>
              <w:pStyle w:val="ListNumber"/>
              <w:numPr>
                <w:ilvl w:val="0"/>
                <w:numId w:val="0"/>
              </w:numPr>
            </w:pPr>
          </w:p>
        </w:tc>
        <w:tc>
          <w:tcPr>
            <w:tcW w:w="2132" w:type="dxa"/>
            <w:shd w:val="clear" w:color="auto" w:fill="auto"/>
          </w:tcPr>
          <w:p w14:paraId="00EF0238" w14:textId="77777777" w:rsidR="00F52BE8" w:rsidRDefault="00F52BE8" w:rsidP="0003232D">
            <w:pPr>
              <w:pStyle w:val="ListNumber"/>
              <w:numPr>
                <w:ilvl w:val="0"/>
                <w:numId w:val="0"/>
              </w:numPr>
            </w:pPr>
          </w:p>
        </w:tc>
        <w:tc>
          <w:tcPr>
            <w:tcW w:w="2132" w:type="dxa"/>
            <w:shd w:val="clear" w:color="auto" w:fill="auto"/>
          </w:tcPr>
          <w:p w14:paraId="6C34DB7C" w14:textId="77777777" w:rsidR="00F52BE8" w:rsidRDefault="00F52BE8" w:rsidP="0003232D">
            <w:pPr>
              <w:pStyle w:val="ListNumber"/>
              <w:numPr>
                <w:ilvl w:val="0"/>
                <w:numId w:val="0"/>
              </w:numPr>
            </w:pPr>
          </w:p>
        </w:tc>
      </w:tr>
    </w:tbl>
    <w:p w14:paraId="015EBC45" w14:textId="77777777" w:rsidR="00F52BE8" w:rsidRPr="00720321" w:rsidRDefault="00F52BE8" w:rsidP="00F52BE8">
      <w:pPr>
        <w:pStyle w:val="Default"/>
      </w:pPr>
    </w:p>
    <w:p w14:paraId="2A695AD1" w14:textId="77777777" w:rsidR="00F52BE8" w:rsidRDefault="00F52BE8" w:rsidP="00F52BE8">
      <w:pPr>
        <w:pStyle w:val="Default"/>
        <w:rPr>
          <w:sz w:val="22"/>
          <w:szCs w:val="22"/>
        </w:rPr>
      </w:pPr>
    </w:p>
    <w:p w14:paraId="26CDBCCD" w14:textId="77777777" w:rsidR="00F52BE8" w:rsidRPr="00497E02" w:rsidRDefault="00F52BE8" w:rsidP="00F52BE8">
      <w:pPr>
        <w:pStyle w:val="Default"/>
      </w:pPr>
      <w:r w:rsidRPr="00497E02">
        <w:t xml:space="preserve">Any services arising from this ITT will be carried out pursuant to the contract which comprises of: </w:t>
      </w:r>
    </w:p>
    <w:p w14:paraId="3DD0BE48" w14:textId="77777777" w:rsidR="00F52BE8" w:rsidRPr="00497E02" w:rsidRDefault="00F52BE8" w:rsidP="00F52BE8">
      <w:pPr>
        <w:pStyle w:val="Default"/>
      </w:pPr>
    </w:p>
    <w:p w14:paraId="0C209C06" w14:textId="77777777" w:rsidR="00F52BE8" w:rsidRPr="00497E02" w:rsidRDefault="00F52BE8" w:rsidP="00F52BE8">
      <w:pPr>
        <w:pStyle w:val="Default"/>
        <w:numPr>
          <w:ilvl w:val="0"/>
          <w:numId w:val="14"/>
        </w:numPr>
      </w:pPr>
      <w:r>
        <w:t>ORR Terms &amp; Conditions</w:t>
      </w:r>
      <w:r w:rsidRPr="00497E02">
        <w:t xml:space="preserve">; </w:t>
      </w:r>
    </w:p>
    <w:p w14:paraId="5A0E5577" w14:textId="77777777" w:rsidR="00F52BE8" w:rsidRPr="00497E02" w:rsidRDefault="00F52BE8" w:rsidP="00F52BE8">
      <w:pPr>
        <w:pStyle w:val="Default"/>
      </w:pPr>
    </w:p>
    <w:p w14:paraId="72F1946A" w14:textId="77777777" w:rsidR="00F52BE8" w:rsidRPr="00497E02" w:rsidRDefault="00F52BE8" w:rsidP="00F52BE8">
      <w:pPr>
        <w:pStyle w:val="Default"/>
        <w:numPr>
          <w:ilvl w:val="0"/>
          <w:numId w:val="14"/>
        </w:numPr>
      </w:pPr>
      <w:r w:rsidRPr="00497E02">
        <w:t>Service Schedules;</w:t>
      </w:r>
    </w:p>
    <w:p w14:paraId="38D78CB6" w14:textId="77777777" w:rsidR="00F52BE8" w:rsidRPr="00497E02" w:rsidRDefault="00F52BE8" w:rsidP="00F52BE8">
      <w:pPr>
        <w:pStyle w:val="Default"/>
      </w:pPr>
    </w:p>
    <w:p w14:paraId="403DF2AA"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239347B7" w14:textId="77777777" w:rsidR="00F52BE8" w:rsidRPr="00497E02" w:rsidRDefault="00F52BE8" w:rsidP="00F52BE8">
      <w:pPr>
        <w:pStyle w:val="Default"/>
      </w:pPr>
    </w:p>
    <w:p w14:paraId="6432F6CB"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1232B63F" w14:textId="77777777" w:rsidR="00F52BE8" w:rsidRDefault="00F52BE8" w:rsidP="00F52BE8">
      <w:pPr>
        <w:pStyle w:val="ListNumber"/>
        <w:numPr>
          <w:ilvl w:val="0"/>
          <w:numId w:val="0"/>
        </w:numPr>
      </w:pPr>
    </w:p>
    <w:p w14:paraId="3E8642F6" w14:textId="77777777" w:rsidR="00F52BE8" w:rsidRDefault="00F52BE8" w:rsidP="00F52BE8">
      <w:pPr>
        <w:pStyle w:val="Heading2"/>
      </w:pPr>
      <w:r>
        <w:t>ORR’s Transparency Obligations and the Freedom of Information Act 2000 (the Act)</w:t>
      </w:r>
    </w:p>
    <w:p w14:paraId="3FC3BA6C"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52D3A005" w14:textId="77777777" w:rsidR="00F52BE8" w:rsidRDefault="00F52BE8" w:rsidP="00F52BE8">
      <w:pPr>
        <w:pStyle w:val="ListNumber"/>
        <w:numPr>
          <w:ilvl w:val="0"/>
          <w:numId w:val="0"/>
        </w:numPr>
      </w:pPr>
      <w:r>
        <w:t>Typically the following information will be published:</w:t>
      </w:r>
    </w:p>
    <w:p w14:paraId="1BAEB10B"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17CAA294" w14:textId="77777777" w:rsidR="00F52BE8" w:rsidRDefault="00F52BE8" w:rsidP="00F52BE8">
      <w:pPr>
        <w:pStyle w:val="ListNumber"/>
        <w:numPr>
          <w:ilvl w:val="0"/>
          <w:numId w:val="20"/>
        </w:numPr>
      </w:pPr>
      <w:r>
        <w:t>performance metrics and management of them</w:t>
      </w:r>
    </w:p>
    <w:p w14:paraId="53CBC85A" w14:textId="77777777" w:rsidR="00F52BE8" w:rsidRDefault="00F52BE8" w:rsidP="00F52BE8">
      <w:pPr>
        <w:pStyle w:val="ListNumber"/>
        <w:numPr>
          <w:ilvl w:val="0"/>
          <w:numId w:val="20"/>
        </w:numPr>
      </w:pPr>
      <w:r>
        <w:t>plans for management of underperformance and its financial impact</w:t>
      </w:r>
    </w:p>
    <w:p w14:paraId="4BD21490"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556BB96B" w14:textId="77777777" w:rsidR="00F52BE8" w:rsidRDefault="00F52BE8" w:rsidP="00F52BE8">
      <w:pPr>
        <w:pStyle w:val="ListNumber"/>
        <w:numPr>
          <w:ilvl w:val="0"/>
          <w:numId w:val="20"/>
        </w:numPr>
      </w:pPr>
      <w:r>
        <w:t>resource plans</w:t>
      </w:r>
    </w:p>
    <w:p w14:paraId="20B5274C" w14:textId="77777777" w:rsidR="00F52BE8" w:rsidRDefault="00F52BE8" w:rsidP="00F52BE8">
      <w:pPr>
        <w:pStyle w:val="ListNumber"/>
        <w:numPr>
          <w:ilvl w:val="0"/>
          <w:numId w:val="20"/>
        </w:numPr>
      </w:pPr>
      <w:r>
        <w:t>service improvement plans</w:t>
      </w:r>
    </w:p>
    <w:p w14:paraId="60B157E3"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E859209" w14:textId="77777777" w:rsidR="00F52BE8" w:rsidRDefault="00F52BE8" w:rsidP="00F52BE8">
      <w:pPr>
        <w:pStyle w:val="ListNumber"/>
        <w:numPr>
          <w:ilvl w:val="0"/>
          <w:numId w:val="0"/>
        </w:numPr>
      </w:pPr>
    </w:p>
    <w:p w14:paraId="35400C55"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7525E108"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3C3DC79E" w14:textId="77777777" w:rsidTr="0003232D">
        <w:tc>
          <w:tcPr>
            <w:tcW w:w="1368" w:type="dxa"/>
            <w:shd w:val="clear" w:color="auto" w:fill="auto"/>
          </w:tcPr>
          <w:p w14:paraId="4936ED09" w14:textId="77777777" w:rsidR="00F52BE8" w:rsidRDefault="00F52BE8" w:rsidP="0003232D">
            <w:pPr>
              <w:pStyle w:val="ListNumber"/>
              <w:numPr>
                <w:ilvl w:val="0"/>
                <w:numId w:val="0"/>
              </w:numPr>
            </w:pPr>
            <w:smartTag w:uri="urn:schemas-microsoft-com:office:smarttags" w:element="place">
              <w:r>
                <w:t>Para</w:t>
              </w:r>
            </w:smartTag>
            <w:r>
              <w:t>. No.</w:t>
            </w:r>
          </w:p>
        </w:tc>
        <w:tc>
          <w:tcPr>
            <w:tcW w:w="3600" w:type="dxa"/>
            <w:shd w:val="clear" w:color="auto" w:fill="auto"/>
          </w:tcPr>
          <w:p w14:paraId="5B30594B" w14:textId="77777777" w:rsidR="00F52BE8" w:rsidRDefault="00F52BE8" w:rsidP="0003232D">
            <w:pPr>
              <w:pStyle w:val="ListNumber"/>
              <w:numPr>
                <w:ilvl w:val="0"/>
                <w:numId w:val="0"/>
              </w:numPr>
            </w:pPr>
            <w:r>
              <w:t>Description</w:t>
            </w:r>
          </w:p>
        </w:tc>
        <w:tc>
          <w:tcPr>
            <w:tcW w:w="3560" w:type="dxa"/>
            <w:shd w:val="clear" w:color="auto" w:fill="auto"/>
          </w:tcPr>
          <w:p w14:paraId="68DE8915" w14:textId="77777777" w:rsidR="00F52BE8" w:rsidRDefault="00F52BE8" w:rsidP="0003232D">
            <w:pPr>
              <w:pStyle w:val="ListNumber"/>
              <w:numPr>
                <w:ilvl w:val="0"/>
                <w:numId w:val="0"/>
              </w:numPr>
            </w:pPr>
            <w:r>
              <w:t>Applicable exemption under FOIA 2000</w:t>
            </w:r>
          </w:p>
        </w:tc>
      </w:tr>
      <w:tr w:rsidR="00F52BE8" w14:paraId="4A31522A" w14:textId="77777777" w:rsidTr="0003232D">
        <w:tc>
          <w:tcPr>
            <w:tcW w:w="1368" w:type="dxa"/>
            <w:shd w:val="clear" w:color="auto" w:fill="auto"/>
          </w:tcPr>
          <w:p w14:paraId="291FBBD6" w14:textId="77777777" w:rsidR="00F52BE8" w:rsidRDefault="00F52BE8" w:rsidP="0003232D">
            <w:pPr>
              <w:pStyle w:val="ListNumber"/>
              <w:numPr>
                <w:ilvl w:val="0"/>
                <w:numId w:val="0"/>
              </w:numPr>
            </w:pPr>
          </w:p>
        </w:tc>
        <w:tc>
          <w:tcPr>
            <w:tcW w:w="3600" w:type="dxa"/>
            <w:shd w:val="clear" w:color="auto" w:fill="auto"/>
          </w:tcPr>
          <w:p w14:paraId="4175C680" w14:textId="77777777" w:rsidR="00F52BE8" w:rsidRDefault="00F52BE8" w:rsidP="0003232D">
            <w:pPr>
              <w:pStyle w:val="ListNumber"/>
              <w:numPr>
                <w:ilvl w:val="0"/>
                <w:numId w:val="0"/>
              </w:numPr>
            </w:pPr>
          </w:p>
        </w:tc>
        <w:tc>
          <w:tcPr>
            <w:tcW w:w="3560" w:type="dxa"/>
            <w:shd w:val="clear" w:color="auto" w:fill="auto"/>
          </w:tcPr>
          <w:p w14:paraId="5E4CFA75" w14:textId="77777777" w:rsidR="00F52BE8" w:rsidRDefault="00F52BE8" w:rsidP="0003232D">
            <w:pPr>
              <w:pStyle w:val="ListNumber"/>
              <w:numPr>
                <w:ilvl w:val="0"/>
                <w:numId w:val="0"/>
              </w:numPr>
            </w:pPr>
          </w:p>
        </w:tc>
      </w:tr>
      <w:tr w:rsidR="00F52BE8" w14:paraId="439E4767" w14:textId="77777777" w:rsidTr="0003232D">
        <w:tc>
          <w:tcPr>
            <w:tcW w:w="1368" w:type="dxa"/>
            <w:shd w:val="clear" w:color="auto" w:fill="auto"/>
          </w:tcPr>
          <w:p w14:paraId="6129F22B" w14:textId="77777777" w:rsidR="00F52BE8" w:rsidRDefault="00F52BE8" w:rsidP="0003232D">
            <w:pPr>
              <w:pStyle w:val="ListNumber"/>
              <w:numPr>
                <w:ilvl w:val="0"/>
                <w:numId w:val="0"/>
              </w:numPr>
            </w:pPr>
          </w:p>
        </w:tc>
        <w:tc>
          <w:tcPr>
            <w:tcW w:w="3600" w:type="dxa"/>
            <w:shd w:val="clear" w:color="auto" w:fill="auto"/>
          </w:tcPr>
          <w:p w14:paraId="213C3E74" w14:textId="77777777" w:rsidR="00F52BE8" w:rsidRDefault="00F52BE8" w:rsidP="0003232D">
            <w:pPr>
              <w:pStyle w:val="ListNumber"/>
              <w:numPr>
                <w:ilvl w:val="0"/>
                <w:numId w:val="0"/>
              </w:numPr>
            </w:pPr>
          </w:p>
        </w:tc>
        <w:tc>
          <w:tcPr>
            <w:tcW w:w="3560" w:type="dxa"/>
            <w:shd w:val="clear" w:color="auto" w:fill="auto"/>
          </w:tcPr>
          <w:p w14:paraId="1F34B206" w14:textId="77777777" w:rsidR="00F52BE8" w:rsidRDefault="00F52BE8" w:rsidP="0003232D">
            <w:pPr>
              <w:pStyle w:val="ListNumber"/>
              <w:numPr>
                <w:ilvl w:val="0"/>
                <w:numId w:val="0"/>
              </w:numPr>
            </w:pPr>
          </w:p>
        </w:tc>
      </w:tr>
      <w:tr w:rsidR="00F52BE8" w14:paraId="562C334E" w14:textId="77777777" w:rsidTr="0003232D">
        <w:tc>
          <w:tcPr>
            <w:tcW w:w="1368" w:type="dxa"/>
            <w:shd w:val="clear" w:color="auto" w:fill="auto"/>
          </w:tcPr>
          <w:p w14:paraId="2A260F3D" w14:textId="77777777" w:rsidR="00F52BE8" w:rsidRDefault="00F52BE8" w:rsidP="0003232D">
            <w:pPr>
              <w:pStyle w:val="ListNumber"/>
              <w:numPr>
                <w:ilvl w:val="0"/>
                <w:numId w:val="0"/>
              </w:numPr>
            </w:pPr>
          </w:p>
        </w:tc>
        <w:tc>
          <w:tcPr>
            <w:tcW w:w="3600" w:type="dxa"/>
            <w:shd w:val="clear" w:color="auto" w:fill="auto"/>
          </w:tcPr>
          <w:p w14:paraId="11236251" w14:textId="77777777" w:rsidR="00F52BE8" w:rsidRDefault="00F52BE8" w:rsidP="0003232D">
            <w:pPr>
              <w:pStyle w:val="ListNumber"/>
              <w:numPr>
                <w:ilvl w:val="0"/>
                <w:numId w:val="0"/>
              </w:numPr>
            </w:pPr>
          </w:p>
        </w:tc>
        <w:tc>
          <w:tcPr>
            <w:tcW w:w="3560" w:type="dxa"/>
            <w:shd w:val="clear" w:color="auto" w:fill="auto"/>
          </w:tcPr>
          <w:p w14:paraId="157F7806" w14:textId="77777777" w:rsidR="00F52BE8" w:rsidRDefault="00F52BE8" w:rsidP="0003232D">
            <w:pPr>
              <w:pStyle w:val="ListNumber"/>
              <w:numPr>
                <w:ilvl w:val="0"/>
                <w:numId w:val="0"/>
              </w:numPr>
            </w:pPr>
          </w:p>
        </w:tc>
      </w:tr>
    </w:tbl>
    <w:p w14:paraId="78B908DB" w14:textId="77777777" w:rsidR="00F52BE8" w:rsidRDefault="00F52BE8" w:rsidP="00F52BE8">
      <w:pPr>
        <w:pStyle w:val="ListNumber"/>
        <w:numPr>
          <w:ilvl w:val="0"/>
          <w:numId w:val="0"/>
        </w:numPr>
      </w:pPr>
    </w:p>
    <w:p w14:paraId="6D95AB5F" w14:textId="77777777" w:rsidR="00F52BE8" w:rsidRPr="00B251F0" w:rsidRDefault="00F52BE8" w:rsidP="00F52BE8">
      <w:pPr>
        <w:pStyle w:val="ListNumber"/>
        <w:numPr>
          <w:ilvl w:val="0"/>
          <w:numId w:val="0"/>
        </w:numPr>
      </w:pPr>
    </w:p>
    <w:p w14:paraId="21DC586B" w14:textId="77777777" w:rsidR="0003232D" w:rsidRDefault="0003232D"/>
    <w:sectPr w:rsidR="0003232D">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4E17" w14:textId="77777777" w:rsidR="002009EB" w:rsidRDefault="002009EB">
      <w:pPr>
        <w:spacing w:after="0"/>
      </w:pPr>
      <w:r>
        <w:separator/>
      </w:r>
    </w:p>
  </w:endnote>
  <w:endnote w:type="continuationSeparator" w:id="0">
    <w:p w14:paraId="6E8D3A93" w14:textId="77777777" w:rsidR="002009EB" w:rsidRDefault="00200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FD0C5" w14:textId="77777777" w:rsidR="0003232D" w:rsidRDefault="00032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6826" w14:textId="77777777" w:rsidR="0003232D" w:rsidRPr="00673759" w:rsidRDefault="0003232D" w:rsidP="0003232D">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A2E5" w14:textId="77777777" w:rsidR="0003232D" w:rsidRDefault="00032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1AD5" w14:textId="77777777" w:rsidR="002009EB" w:rsidRDefault="002009EB">
      <w:pPr>
        <w:spacing w:after="0"/>
      </w:pPr>
      <w:r>
        <w:separator/>
      </w:r>
    </w:p>
  </w:footnote>
  <w:footnote w:type="continuationSeparator" w:id="0">
    <w:p w14:paraId="021147D6" w14:textId="77777777" w:rsidR="002009EB" w:rsidRDefault="002009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4F78" w14:textId="77777777" w:rsidR="0003232D" w:rsidRDefault="00032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CE7D" w14:textId="77777777" w:rsidR="0003232D" w:rsidRDefault="00032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10782" w14:textId="77777777" w:rsidR="0003232D" w:rsidRDefault="00032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778"/>
    <w:multiLevelType w:val="hybridMultilevel"/>
    <w:tmpl w:val="AE2C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B0A3E"/>
    <w:multiLevelType w:val="hybridMultilevel"/>
    <w:tmpl w:val="5316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7930E8"/>
    <w:multiLevelType w:val="hybridMultilevel"/>
    <w:tmpl w:val="E2FA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B7231"/>
    <w:multiLevelType w:val="hybridMultilevel"/>
    <w:tmpl w:val="3AF8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935FAA"/>
    <w:multiLevelType w:val="hybridMultilevel"/>
    <w:tmpl w:val="F2AAFD8E"/>
    <w:lvl w:ilvl="0" w:tplc="FA3688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C10144"/>
    <w:multiLevelType w:val="hybridMultilevel"/>
    <w:tmpl w:val="81F4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AD5E7C"/>
    <w:multiLevelType w:val="hybridMultilevel"/>
    <w:tmpl w:val="EE6E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8"/>
  </w:num>
  <w:num w:numId="4">
    <w:abstractNumId w:val="21"/>
  </w:num>
  <w:num w:numId="5">
    <w:abstractNumId w:val="13"/>
  </w:num>
  <w:num w:numId="6">
    <w:abstractNumId w:val="1"/>
  </w:num>
  <w:num w:numId="7">
    <w:abstractNumId w:val="18"/>
  </w:num>
  <w:num w:numId="8">
    <w:abstractNumId w:val="6"/>
  </w:num>
  <w:num w:numId="9">
    <w:abstractNumId w:val="9"/>
  </w:num>
  <w:num w:numId="10">
    <w:abstractNumId w:val="16"/>
  </w:num>
  <w:num w:numId="11">
    <w:abstractNumId w:val="27"/>
  </w:num>
  <w:num w:numId="12">
    <w:abstractNumId w:val="7"/>
  </w:num>
  <w:num w:numId="13">
    <w:abstractNumId w:val="4"/>
  </w:num>
  <w:num w:numId="14">
    <w:abstractNumId w:val="15"/>
  </w:num>
  <w:num w:numId="15">
    <w:abstractNumId w:val="29"/>
  </w:num>
  <w:num w:numId="16">
    <w:abstractNumId w:val="2"/>
  </w:num>
  <w:num w:numId="17">
    <w:abstractNumId w:val="25"/>
  </w:num>
  <w:num w:numId="18">
    <w:abstractNumId w:val="12"/>
  </w:num>
  <w:num w:numId="19">
    <w:abstractNumId w:val="10"/>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0"/>
  </w:num>
  <w:num w:numId="25">
    <w:abstractNumId w:val="14"/>
  </w:num>
  <w:num w:numId="26">
    <w:abstractNumId w:val="17"/>
  </w:num>
  <w:num w:numId="27">
    <w:abstractNumId w:val="26"/>
  </w:num>
  <w:num w:numId="28">
    <w:abstractNumId w:val="3"/>
  </w:num>
  <w:num w:numId="29">
    <w:abstractNumId w:val="2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03617"/>
    <w:rsid w:val="00007021"/>
    <w:rsid w:val="0003232D"/>
    <w:rsid w:val="00046286"/>
    <w:rsid w:val="000B3471"/>
    <w:rsid w:val="001845B5"/>
    <w:rsid w:val="001A5D12"/>
    <w:rsid w:val="001D4072"/>
    <w:rsid w:val="002009EB"/>
    <w:rsid w:val="00243C6B"/>
    <w:rsid w:val="00276394"/>
    <w:rsid w:val="00296648"/>
    <w:rsid w:val="002D321B"/>
    <w:rsid w:val="003B51D4"/>
    <w:rsid w:val="00441703"/>
    <w:rsid w:val="004E0EAD"/>
    <w:rsid w:val="00534A80"/>
    <w:rsid w:val="00590D84"/>
    <w:rsid w:val="005D2408"/>
    <w:rsid w:val="006011EE"/>
    <w:rsid w:val="00606C91"/>
    <w:rsid w:val="00642340"/>
    <w:rsid w:val="006A16CB"/>
    <w:rsid w:val="006C7837"/>
    <w:rsid w:val="007455EE"/>
    <w:rsid w:val="00772B52"/>
    <w:rsid w:val="007C1DCA"/>
    <w:rsid w:val="007E11A6"/>
    <w:rsid w:val="00823F37"/>
    <w:rsid w:val="00825CE8"/>
    <w:rsid w:val="00867323"/>
    <w:rsid w:val="00907369"/>
    <w:rsid w:val="00932CDA"/>
    <w:rsid w:val="00946831"/>
    <w:rsid w:val="0095182A"/>
    <w:rsid w:val="009878A7"/>
    <w:rsid w:val="009A0C57"/>
    <w:rsid w:val="009F7EF8"/>
    <w:rsid w:val="00A04512"/>
    <w:rsid w:val="00B379DC"/>
    <w:rsid w:val="00BA0579"/>
    <w:rsid w:val="00BA663B"/>
    <w:rsid w:val="00C860AF"/>
    <w:rsid w:val="00D22CBB"/>
    <w:rsid w:val="00D44732"/>
    <w:rsid w:val="00D74997"/>
    <w:rsid w:val="00D97652"/>
    <w:rsid w:val="00DD157C"/>
    <w:rsid w:val="00E50667"/>
    <w:rsid w:val="00E55C04"/>
    <w:rsid w:val="00EB491F"/>
    <w:rsid w:val="00F26B55"/>
    <w:rsid w:val="00F52BE8"/>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9531F4B"/>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2D321B"/>
    <w:rPr>
      <w:color w:val="954F72" w:themeColor="followedHyperlink"/>
      <w:u w:val="single"/>
    </w:rPr>
  </w:style>
  <w:style w:type="character" w:styleId="CommentReference">
    <w:name w:val="annotation reference"/>
    <w:basedOn w:val="DefaultParagraphFont"/>
    <w:uiPriority w:val="99"/>
    <w:semiHidden/>
    <w:unhideWhenUsed/>
    <w:rsid w:val="005D2408"/>
    <w:rPr>
      <w:sz w:val="16"/>
      <w:szCs w:val="16"/>
    </w:rPr>
  </w:style>
  <w:style w:type="paragraph" w:styleId="CommentText">
    <w:name w:val="annotation text"/>
    <w:basedOn w:val="Normal"/>
    <w:link w:val="CommentTextChar"/>
    <w:uiPriority w:val="99"/>
    <w:semiHidden/>
    <w:unhideWhenUsed/>
    <w:rsid w:val="005D2408"/>
    <w:rPr>
      <w:sz w:val="20"/>
    </w:rPr>
  </w:style>
  <w:style w:type="character" w:customStyle="1" w:styleId="CommentTextChar">
    <w:name w:val="Comment Text Char"/>
    <w:basedOn w:val="DefaultParagraphFont"/>
    <w:link w:val="CommentText"/>
    <w:uiPriority w:val="99"/>
    <w:semiHidden/>
    <w:rsid w:val="005D240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2408"/>
    <w:rPr>
      <w:b/>
      <w:bCs/>
    </w:rPr>
  </w:style>
  <w:style w:type="character" w:customStyle="1" w:styleId="CommentSubjectChar">
    <w:name w:val="Comment Subject Char"/>
    <w:basedOn w:val="CommentTextChar"/>
    <w:link w:val="CommentSubject"/>
    <w:uiPriority w:val="99"/>
    <w:semiHidden/>
    <w:rsid w:val="005D2408"/>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5D24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40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r.gov.uk/sites/default/files/2020-10/authorisations-under-interoperability-regulations-policy-statemen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r.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DF61D19BCE21449DC1384695FC940D" ma:contentTypeVersion="13" ma:contentTypeDescription="Create a new document." ma:contentTypeScope="" ma:versionID="b43e69127d16a6ef6fbc58032f31639a">
  <xsd:schema xmlns:xsd="http://www.w3.org/2001/XMLSchema" xmlns:xs="http://www.w3.org/2001/XMLSchema" xmlns:p="http://schemas.microsoft.com/office/2006/metadata/properties" xmlns:ns3="a202fda0-ba01-4b4b-a603-0aaa1016de70" xmlns:ns4="8cb8df80-908d-40aa-bb7d-cf72c5718b69" targetNamespace="http://schemas.microsoft.com/office/2006/metadata/properties" ma:root="true" ma:fieldsID="785dd0cc0e0b9ebd89c2a71e65e51ed9" ns3:_="" ns4:_="">
    <xsd:import namespace="a202fda0-ba01-4b4b-a603-0aaa1016de70"/>
    <xsd:import namespace="8cb8df80-908d-40aa-bb7d-cf72c5718b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fda0-ba01-4b4b-a603-0aaa1016d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8df80-908d-40aa-bb7d-cf72c5718b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E1701-2D82-45C3-9F6B-D82FCAFD79C1}">
  <ds:schemaRefs>
    <ds:schemaRef ds:uri="http://schemas.microsoft.com/sharepoint/v3/contenttype/forms"/>
  </ds:schemaRefs>
</ds:datastoreItem>
</file>

<file path=customXml/itemProps2.xml><?xml version="1.0" encoding="utf-8"?>
<ds:datastoreItem xmlns:ds="http://schemas.openxmlformats.org/officeDocument/2006/customXml" ds:itemID="{351F585C-25F2-40A5-B4E8-FC2E696401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684C71-2540-4559-91E5-C30770C7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fda0-ba01-4b4b-a603-0aaa1016de70"/>
    <ds:schemaRef ds:uri="8cb8df80-908d-40aa-bb7d-cf72c571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15</cp:revision>
  <dcterms:created xsi:type="dcterms:W3CDTF">2020-10-09T15:47:00Z</dcterms:created>
  <dcterms:modified xsi:type="dcterms:W3CDTF">2020-11-05T10:58:00Z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0x010100B7DF61D19BCE21449DC1384695FC940D</vt:lpwstr>
  </property>
</Properties>
</file>