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4E1570">
          <w:pPr>
            <w:pStyle w:val="Heading1"/>
          </w:pPr>
          <w:r>
            <w:t>Invitation to Tender (ITT) and Statement of Requirement</w:t>
          </w:r>
        </w:p>
      </w:sdtContent>
    </w:sdt>
    <w:p w14:paraId="4F86B0DD" w14:textId="18048C75" w:rsidR="001E5E9B" w:rsidRPr="00686325" w:rsidRDefault="001E5E9B" w:rsidP="001E5E9B">
      <w:pPr>
        <w:rPr>
          <w:rFonts w:cs="Arial"/>
          <w:b/>
          <w:sz w:val="40"/>
          <w:szCs w:val="40"/>
        </w:rPr>
      </w:pPr>
      <w:r w:rsidRPr="00686325">
        <w:rPr>
          <w:rFonts w:cs="Arial"/>
          <w:b/>
          <w:sz w:val="40"/>
          <w:szCs w:val="40"/>
        </w:rPr>
        <w:t xml:space="preserve">Regulatory good practice, </w:t>
      </w:r>
      <w:proofErr w:type="gramStart"/>
      <w:r w:rsidR="00686325" w:rsidRPr="00686325">
        <w:rPr>
          <w:rFonts w:cs="Arial"/>
          <w:b/>
          <w:sz w:val="40"/>
          <w:szCs w:val="40"/>
        </w:rPr>
        <w:t>incentives</w:t>
      </w:r>
      <w:proofErr w:type="gramEnd"/>
      <w:r w:rsidR="00686325">
        <w:rPr>
          <w:rFonts w:cs="Arial"/>
          <w:b/>
          <w:sz w:val="40"/>
          <w:szCs w:val="40"/>
        </w:rPr>
        <w:t xml:space="preserve"> </w:t>
      </w:r>
      <w:r w:rsidRPr="00686325">
        <w:rPr>
          <w:rFonts w:cs="Arial"/>
          <w:b/>
          <w:sz w:val="40"/>
          <w:szCs w:val="40"/>
        </w:rPr>
        <w:t>and benchmarking package</w:t>
      </w:r>
    </w:p>
    <w:sdt>
      <w:sdtPr>
        <w:rPr>
          <w:bCs/>
          <w:sz w:val="24"/>
          <w:szCs w:val="24"/>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2-11-09T00:00:00Z">
          <w:dateFormat w:val="dd MMMM yyyy"/>
          <w:lid w:val="en-GB"/>
          <w:storeMappedDataAs w:val="dateTime"/>
          <w:calendar w:val="gregorian"/>
        </w:date>
      </w:sdtPr>
      <w:sdtEndPr/>
      <w:sdtContent>
        <w:p w14:paraId="38D7D855" w14:textId="7D3BFD2D" w:rsidR="00FC6860" w:rsidRPr="00686325" w:rsidRDefault="001E5E9B" w:rsidP="001E5E9B">
          <w:pPr>
            <w:pStyle w:val="Heading1"/>
            <w:rPr>
              <w:sz w:val="24"/>
              <w:szCs w:val="24"/>
            </w:rPr>
          </w:pPr>
          <w:r w:rsidRPr="00686325">
            <w:rPr>
              <w:bCs/>
              <w:sz w:val="24"/>
              <w:szCs w:val="24"/>
            </w:rPr>
            <w:t>09 November 2022</w:t>
          </w:r>
        </w:p>
      </w:sdtContent>
    </w:sdt>
    <w:p w14:paraId="512B2E87" w14:textId="77777777" w:rsidR="003E5612" w:rsidRPr="001358EF" w:rsidRDefault="003E5612" w:rsidP="003E5612">
      <w:pPr>
        <w:rPr>
          <w:b/>
          <w:bCs/>
        </w:rPr>
      </w:pPr>
    </w:p>
    <w:p w14:paraId="0B23CADF" w14:textId="5ED64EF5" w:rsidR="003E5612" w:rsidRPr="001358EF" w:rsidRDefault="003E5612" w:rsidP="003E5612">
      <w:pPr>
        <w:pStyle w:val="NormalBulletround"/>
        <w:rPr>
          <w:b/>
          <w:bCs/>
        </w:rPr>
      </w:pPr>
      <w:proofErr w:type="spellStart"/>
      <w:r w:rsidRPr="003E5612">
        <w:rPr>
          <w:b/>
          <w:bCs/>
        </w:rPr>
        <w:t>CPV</w:t>
      </w:r>
      <w:proofErr w:type="spellEnd"/>
      <w:r w:rsidRPr="003E5612">
        <w:rPr>
          <w:b/>
          <w:bCs/>
        </w:rPr>
        <w:t xml:space="preserve"> Code: </w:t>
      </w:r>
      <w:r w:rsidR="001358EF" w:rsidRPr="001358EF">
        <w:rPr>
          <w:b/>
          <w:bCs/>
        </w:rPr>
        <w:t>73210000</w:t>
      </w:r>
    </w:p>
    <w:p w14:paraId="4B92FCBC" w14:textId="7D67669A" w:rsidR="00FC6860" w:rsidRPr="00574B16" w:rsidRDefault="003E5612" w:rsidP="003E5612">
      <w:pPr>
        <w:pStyle w:val="NormalBulletround"/>
        <w:rPr>
          <w:b/>
          <w:bCs/>
          <w:color w:val="B1173B"/>
        </w:rPr>
      </w:pPr>
      <w:r w:rsidRPr="003E5612">
        <w:rPr>
          <w:b/>
          <w:bCs/>
        </w:rPr>
        <w:t>Tender Reference:</w:t>
      </w:r>
      <w:r w:rsidRPr="001E5E9B">
        <w:rPr>
          <w:b/>
          <w:bCs/>
        </w:rPr>
        <w:t xml:space="preserve"> </w:t>
      </w:r>
      <w:r w:rsidR="001E5E9B" w:rsidRPr="001E5E9B">
        <w:rPr>
          <w:b/>
          <w:bCs/>
        </w:rPr>
        <w:t>ORR/CT/22-33</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1358EF">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1358EF">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1358EF">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1358EF">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1358EF">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1358EF">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1358EF">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1358EF">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1358EF">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1358EF">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1358EF">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1358EF">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1358EF">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1358EF">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1358EF">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1358EF">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1358EF">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1358EF">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1358EF">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1358EF">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1358EF">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1358EF">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49C40AA4" w:rsidR="00A02455" w:rsidRPr="00686325" w:rsidRDefault="00A02455" w:rsidP="00A02455">
      <w:pPr>
        <w:rPr>
          <w:rFonts w:cs="Arial"/>
          <w:b/>
          <w:sz w:val="40"/>
          <w:szCs w:val="40"/>
        </w:rPr>
      </w:pPr>
      <w:r>
        <w:t xml:space="preserve">The purpose of this document is to invite proposals for </w:t>
      </w:r>
      <w:r w:rsidR="00686325" w:rsidRPr="00686325">
        <w:t>Regulatory good practice, incentives and benchmarking package</w:t>
      </w:r>
      <w:r w:rsidR="00686325">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 xml:space="preserve">Enforce the law and ensure that the industry delivers continuous improvement in the health and safety of passengers, the workforce and public, by achieving excellence in health and safety culture, </w:t>
      </w:r>
      <w:proofErr w:type="gramStart"/>
      <w:r>
        <w:t>management</w:t>
      </w:r>
      <w:proofErr w:type="gramEnd"/>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7DCD4A92" w14:textId="77777777" w:rsidR="00365B11" w:rsidRDefault="00365B11" w:rsidP="00490915">
      <w:pPr>
        <w:pStyle w:val="Heading3"/>
      </w:pPr>
      <w:bookmarkStart w:id="7" w:name="_Toc111551916"/>
    </w:p>
    <w:p w14:paraId="3D22F1BB" w14:textId="4D457CB0" w:rsidR="00490915" w:rsidRDefault="00490915" w:rsidP="00490915">
      <w:pPr>
        <w:pStyle w:val="Heading3"/>
      </w:pPr>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53DA45A3" w14:textId="77777777" w:rsidR="001E5E9B" w:rsidRPr="00686325" w:rsidRDefault="001E5E9B" w:rsidP="001E5E9B">
      <w:pPr>
        <w:spacing w:line="256" w:lineRule="auto"/>
        <w:rPr>
          <w:rFonts w:cs="Arial"/>
          <w:bCs/>
          <w:szCs w:val="24"/>
          <w:lang w:val="en-US"/>
        </w:rPr>
      </w:pPr>
      <w:r w:rsidRPr="00686325">
        <w:rPr>
          <w:rFonts w:cs="Arial"/>
          <w:szCs w:val="24"/>
          <w:lang w:val="en-US"/>
        </w:rPr>
        <w:t xml:space="preserve">The Office of Road and Rail (ORR) </w:t>
      </w:r>
      <w:r w:rsidRPr="00686325">
        <w:rPr>
          <w:rFonts w:cs="Arial"/>
          <w:bCs/>
          <w:szCs w:val="24"/>
          <w:lang w:val="en-US"/>
        </w:rPr>
        <w:t xml:space="preserve">regulates two effectively monopoly transport infrastructure managers: National Highways for the strategic road network (SRN) in England and Network Rail for the rail network in Great Britain [exceptions for rail include </w:t>
      </w:r>
      <w:proofErr w:type="spellStart"/>
      <w:r w:rsidRPr="00686325">
        <w:rPr>
          <w:rFonts w:cs="Arial"/>
          <w:bCs/>
          <w:szCs w:val="24"/>
          <w:lang w:val="en-US"/>
        </w:rPr>
        <w:t>HS1</w:t>
      </w:r>
      <w:proofErr w:type="spellEnd"/>
      <w:r w:rsidRPr="00686325">
        <w:rPr>
          <w:rFonts w:cs="Arial"/>
          <w:bCs/>
          <w:szCs w:val="24"/>
          <w:lang w:val="en-US"/>
        </w:rPr>
        <w:t xml:space="preserve"> and the Core Valley lines in Wales]. </w:t>
      </w:r>
    </w:p>
    <w:p w14:paraId="77AE5414" w14:textId="77777777" w:rsidR="001E5E9B" w:rsidRPr="00686325" w:rsidRDefault="001E5E9B" w:rsidP="001E5E9B">
      <w:pPr>
        <w:spacing w:line="256" w:lineRule="auto"/>
        <w:rPr>
          <w:rFonts w:cs="Arial"/>
          <w:szCs w:val="24"/>
          <w:lang w:val="en-US"/>
        </w:rPr>
      </w:pPr>
      <w:r w:rsidRPr="00686325">
        <w:rPr>
          <w:rFonts w:cs="Arial"/>
          <w:szCs w:val="24"/>
          <w:lang w:val="en-US"/>
        </w:rPr>
        <w:t xml:space="preserve">ORR is responsible for holding National Highways to account for its performance and efficiency. National Highways operates, maintains, and improves the SRN – the motorways and main 'A' roads in England. Further information as to the scope of our role is set out in sections 10 to 13 of the </w:t>
      </w:r>
      <w:hyperlink r:id="rId20" w:history="1">
        <w:r w:rsidRPr="00686325">
          <w:rPr>
            <w:rStyle w:val="Hyperlink"/>
            <w:rFonts w:cs="Arial"/>
            <w:szCs w:val="24"/>
            <w:lang w:val="en-US"/>
          </w:rPr>
          <w:t>Infrastructure Act 2015</w:t>
        </w:r>
      </w:hyperlink>
      <w:r w:rsidRPr="00686325">
        <w:rPr>
          <w:rFonts w:cs="Arial"/>
          <w:szCs w:val="24"/>
          <w:lang w:val="en-US"/>
        </w:rPr>
        <w:t xml:space="preserve">, a </w:t>
      </w:r>
      <w:hyperlink r:id="rId21" w:history="1">
        <w:r w:rsidRPr="00686325">
          <w:rPr>
            <w:rStyle w:val="Hyperlink"/>
            <w:rFonts w:cs="Arial"/>
            <w:szCs w:val="24"/>
            <w:lang w:val="en-US"/>
          </w:rPr>
          <w:t>Memorandum of Understanding (MoU)</w:t>
        </w:r>
      </w:hyperlink>
      <w:r w:rsidRPr="00686325">
        <w:rPr>
          <w:rFonts w:cs="Arial"/>
          <w:szCs w:val="24"/>
          <w:lang w:val="en-US"/>
        </w:rPr>
        <w:t xml:space="preserve"> between the Department for Transport (</w:t>
      </w:r>
      <w:proofErr w:type="spellStart"/>
      <w:r w:rsidRPr="00686325">
        <w:rPr>
          <w:rFonts w:cs="Arial"/>
          <w:szCs w:val="24"/>
          <w:lang w:val="en-US"/>
        </w:rPr>
        <w:t>DfT</w:t>
      </w:r>
      <w:proofErr w:type="spellEnd"/>
      <w:r w:rsidRPr="00686325">
        <w:rPr>
          <w:rFonts w:cs="Arial"/>
          <w:szCs w:val="24"/>
          <w:lang w:val="en-US"/>
        </w:rPr>
        <w:t xml:space="preserve">) and ORR and </w:t>
      </w:r>
      <w:hyperlink r:id="rId22" w:history="1">
        <w:r w:rsidRPr="00686325">
          <w:rPr>
            <w:rStyle w:val="Hyperlink"/>
            <w:rFonts w:cs="Arial"/>
            <w:szCs w:val="24"/>
            <w:lang w:val="en-US"/>
          </w:rPr>
          <w:t>statutory guidance</w:t>
        </w:r>
      </w:hyperlink>
      <w:r w:rsidRPr="00686325">
        <w:rPr>
          <w:rFonts w:cs="Arial"/>
          <w:szCs w:val="24"/>
          <w:lang w:val="en-US"/>
        </w:rPr>
        <w:t>.</w:t>
      </w:r>
    </w:p>
    <w:p w14:paraId="75DC899C" w14:textId="77777777" w:rsidR="001E5E9B" w:rsidRPr="00686325" w:rsidRDefault="001E5E9B" w:rsidP="001E5E9B">
      <w:pPr>
        <w:spacing w:line="256" w:lineRule="auto"/>
        <w:rPr>
          <w:rFonts w:cs="Times New Roman"/>
          <w:szCs w:val="24"/>
          <w:lang w:val="en-US"/>
        </w:rPr>
      </w:pPr>
      <w:r w:rsidRPr="00686325">
        <w:rPr>
          <w:rFonts w:cs="Arial"/>
          <w:szCs w:val="24"/>
          <w:lang w:val="en-US"/>
        </w:rPr>
        <w:t xml:space="preserve">ORR holds Network Rail and High Speed 1 to account and has economic regulatory functions in relation to railways in Northern Ireland and the UK section of the Channel Tunnel. ORR operates within the </w:t>
      </w:r>
      <w:hyperlink r:id="rId23" w:history="1">
        <w:r w:rsidRPr="00686325">
          <w:rPr>
            <w:rStyle w:val="Hyperlink"/>
            <w:rFonts w:cs="Arial"/>
            <w:szCs w:val="24"/>
            <w:lang w:val="en-US"/>
          </w:rPr>
          <w:t>framework set</w:t>
        </w:r>
      </w:hyperlink>
      <w:r w:rsidRPr="00686325">
        <w:rPr>
          <w:szCs w:val="24"/>
          <w:lang w:val="en-US"/>
        </w:rPr>
        <w:t xml:space="preserve"> up by the </w:t>
      </w:r>
      <w:hyperlink r:id="rId24" w:history="1">
        <w:r w:rsidRPr="00686325">
          <w:rPr>
            <w:rStyle w:val="Hyperlink"/>
            <w:szCs w:val="24"/>
            <w:lang w:val="en-US"/>
          </w:rPr>
          <w:t>Railways Act 1993</w:t>
        </w:r>
      </w:hyperlink>
      <w:r w:rsidRPr="00686325">
        <w:rPr>
          <w:szCs w:val="24"/>
          <w:lang w:val="en-US"/>
        </w:rPr>
        <w:t>, as amended. It</w:t>
      </w:r>
      <w:r w:rsidRPr="00686325">
        <w:rPr>
          <w:rFonts w:cs="Arial"/>
          <w:szCs w:val="24"/>
          <w:lang w:val="en-US"/>
        </w:rPr>
        <w:t xml:space="preserve"> is accountable through Parliament and the courts. </w:t>
      </w:r>
      <w:proofErr w:type="spellStart"/>
      <w:r w:rsidRPr="00686325">
        <w:rPr>
          <w:rFonts w:eastAsia="Arial" w:cs="Arial"/>
          <w:szCs w:val="24"/>
          <w:lang w:val="en-US"/>
        </w:rPr>
        <w:t>ORR’s</w:t>
      </w:r>
      <w:proofErr w:type="spellEnd"/>
      <w:r w:rsidRPr="00686325">
        <w:rPr>
          <w:rFonts w:eastAsia="Arial" w:cs="Arial"/>
          <w:szCs w:val="24"/>
          <w:lang w:val="en-US"/>
        </w:rPr>
        <w:t xml:space="preserve"> roles could be expanded under the reform of Britain’s rail governance system advanced in the </w:t>
      </w:r>
      <w:hyperlink r:id="rId25" w:history="1">
        <w:r w:rsidRPr="00686325">
          <w:rPr>
            <w:rStyle w:val="Hyperlink"/>
            <w:rFonts w:eastAsia="Arial" w:cs="Arial"/>
            <w:szCs w:val="24"/>
            <w:lang w:val="en-US"/>
          </w:rPr>
          <w:t>William-</w:t>
        </w:r>
        <w:proofErr w:type="spellStart"/>
        <w:r w:rsidRPr="00686325">
          <w:rPr>
            <w:rStyle w:val="Hyperlink"/>
            <w:rFonts w:eastAsia="Arial" w:cs="Arial"/>
            <w:szCs w:val="24"/>
            <w:lang w:val="en-US"/>
          </w:rPr>
          <w:t>Shapps</w:t>
        </w:r>
        <w:proofErr w:type="spellEnd"/>
        <w:r w:rsidRPr="00686325">
          <w:rPr>
            <w:rStyle w:val="Hyperlink"/>
            <w:rFonts w:eastAsia="Arial" w:cs="Arial"/>
            <w:szCs w:val="24"/>
            <w:lang w:val="en-US"/>
          </w:rPr>
          <w:t xml:space="preserve"> Plan for Rail</w:t>
        </w:r>
      </w:hyperlink>
      <w:r w:rsidRPr="00686325">
        <w:rPr>
          <w:rFonts w:eastAsia="Arial" w:cs="Arial"/>
          <w:szCs w:val="24"/>
          <w:lang w:val="en-US"/>
        </w:rPr>
        <w:t xml:space="preserve">. This intends to create Great British Railways to integrate, under national leadership, the management of track and train of </w:t>
      </w:r>
      <w:proofErr w:type="gramStart"/>
      <w:r w:rsidRPr="00686325">
        <w:rPr>
          <w:rFonts w:eastAsia="Arial" w:cs="Arial"/>
          <w:szCs w:val="24"/>
          <w:lang w:val="en-US"/>
        </w:rPr>
        <w:t>the majority of</w:t>
      </w:r>
      <w:proofErr w:type="gramEnd"/>
      <w:r w:rsidRPr="00686325">
        <w:rPr>
          <w:rFonts w:eastAsia="Arial" w:cs="Arial"/>
          <w:szCs w:val="24"/>
          <w:lang w:val="en-US"/>
        </w:rPr>
        <w:t xml:space="preserve"> the network. ORR would gain new whole-system oversight roles under the plan.</w:t>
      </w:r>
    </w:p>
    <w:p w14:paraId="289819BD" w14:textId="77777777" w:rsidR="001E5E9B" w:rsidRPr="00686325" w:rsidRDefault="001E5E9B" w:rsidP="001E5E9B">
      <w:pPr>
        <w:spacing w:line="256" w:lineRule="auto"/>
        <w:rPr>
          <w:rFonts w:cs="Arial"/>
          <w:szCs w:val="24"/>
          <w:lang w:val="en-US"/>
        </w:rPr>
      </w:pPr>
      <w:r w:rsidRPr="00686325">
        <w:rPr>
          <w:rFonts w:cs="Arial"/>
          <w:szCs w:val="24"/>
          <w:lang w:val="en-US"/>
        </w:rPr>
        <w:t xml:space="preserve">Like all UK regulators, ORR has a duty to take account of the four principles of better regulation and be transparent, accountable, </w:t>
      </w:r>
      <w:proofErr w:type="gramStart"/>
      <w:r w:rsidRPr="00686325">
        <w:rPr>
          <w:rFonts w:cs="Arial"/>
          <w:szCs w:val="24"/>
          <w:lang w:val="en-US"/>
        </w:rPr>
        <w:t>proportionate</w:t>
      </w:r>
      <w:proofErr w:type="gramEnd"/>
      <w:r w:rsidRPr="00686325">
        <w:rPr>
          <w:rFonts w:cs="Arial"/>
          <w:szCs w:val="24"/>
          <w:lang w:val="en-US"/>
        </w:rPr>
        <w:t xml:space="preserve"> and consistent [Legislative and Regulatory Reform Act 2006, section 21]. It must also have regard to the </w:t>
      </w:r>
      <w:hyperlink r:id="rId26" w:history="1">
        <w:r w:rsidRPr="00686325">
          <w:rPr>
            <w:rStyle w:val="Hyperlink"/>
            <w:rFonts w:cs="Arial"/>
            <w:szCs w:val="24"/>
            <w:lang w:val="en-US"/>
          </w:rPr>
          <w:t>Regulators’ Code</w:t>
        </w:r>
      </w:hyperlink>
      <w:r w:rsidRPr="00686325">
        <w:rPr>
          <w:rFonts w:cs="Arial"/>
          <w:szCs w:val="24"/>
          <w:lang w:val="en-US"/>
        </w:rPr>
        <w:t xml:space="preserve"> and the principles contained therein.</w:t>
      </w:r>
    </w:p>
    <w:p w14:paraId="2555CE5E" w14:textId="62D48755" w:rsidR="001E5E9B" w:rsidRPr="00574B16" w:rsidRDefault="001E5E9B" w:rsidP="001E5E9B">
      <w:pPr>
        <w:rPr>
          <w:b/>
          <w:bCs/>
          <w:color w:val="B1173B"/>
        </w:rPr>
      </w:pPr>
      <w:r w:rsidRPr="00686325">
        <w:rPr>
          <w:rFonts w:cs="Arial"/>
          <w:szCs w:val="24"/>
          <w:lang w:val="en-US"/>
        </w:rPr>
        <w:t>A good regulator should be attuned or aware, intelligent and dynamic [</w:t>
      </w:r>
      <w:hyperlink r:id="rId27" w:history="1">
        <w:r w:rsidRPr="00686325">
          <w:rPr>
            <w:rStyle w:val="Hyperlink"/>
            <w:rFonts w:cs="Arial"/>
            <w:szCs w:val="24"/>
            <w:lang w:val="en-US"/>
          </w:rPr>
          <w:t>Baldwin, LSE, 2015</w:t>
        </w:r>
      </w:hyperlink>
      <w:r w:rsidRPr="00686325">
        <w:rPr>
          <w:rFonts w:cs="Arial"/>
          <w:szCs w:val="24"/>
          <w:lang w:val="en-US"/>
        </w:rPr>
        <w:t>]. This package of work speaks</w:t>
      </w:r>
      <w:r>
        <w:rPr>
          <w:rFonts w:cs="Arial"/>
          <w:sz w:val="22"/>
          <w:lang w:val="en-US"/>
        </w:rPr>
        <w:t xml:space="preserve"> to all three principles and how ORR can demonstrate regulatory excellence.</w:t>
      </w:r>
    </w:p>
    <w:p w14:paraId="74919ACA" w14:textId="178F61FF" w:rsidR="00F20E70" w:rsidRDefault="00F20E70" w:rsidP="00F20E70">
      <w:pPr>
        <w:pStyle w:val="Heading3"/>
      </w:pPr>
      <w:bookmarkStart w:id="11" w:name="_Toc111551920"/>
      <w:r>
        <w:t>2.2 Project Objectives and Scope</w:t>
      </w:r>
      <w:bookmarkEnd w:id="11"/>
    </w:p>
    <w:p w14:paraId="46D34EDE" w14:textId="77777777" w:rsidR="001E5E9B" w:rsidRPr="00686325" w:rsidRDefault="001E5E9B" w:rsidP="001E5E9B">
      <w:pPr>
        <w:spacing w:line="256" w:lineRule="auto"/>
        <w:rPr>
          <w:rFonts w:cs="Arial"/>
          <w:szCs w:val="24"/>
          <w:lang w:val="en-US"/>
        </w:rPr>
      </w:pPr>
      <w:bookmarkStart w:id="12" w:name="_Toc111551921"/>
      <w:r w:rsidRPr="00686325">
        <w:rPr>
          <w:rFonts w:cs="Arial"/>
          <w:szCs w:val="24"/>
          <w:lang w:val="en-US"/>
        </w:rPr>
        <w:t xml:space="preserve">The overarching objective of this commission is to help ORR understand the extent to which other regulators both in the UK and abroad (in for example, North America, </w:t>
      </w:r>
      <w:proofErr w:type="gramStart"/>
      <w:r w:rsidRPr="00686325">
        <w:rPr>
          <w:rFonts w:cs="Arial"/>
          <w:szCs w:val="24"/>
          <w:lang w:val="en-US"/>
        </w:rPr>
        <w:t>Europe</w:t>
      </w:r>
      <w:proofErr w:type="gramEnd"/>
      <w:r w:rsidRPr="00686325">
        <w:rPr>
          <w:rFonts w:cs="Arial"/>
          <w:szCs w:val="24"/>
          <w:lang w:val="en-US"/>
        </w:rPr>
        <w:t xml:space="preserve"> and Japan): </w:t>
      </w:r>
    </w:p>
    <w:p w14:paraId="338570F8" w14:textId="0316F298" w:rsidR="001E5E9B" w:rsidRPr="00686325" w:rsidRDefault="001E5E9B" w:rsidP="001E5E9B">
      <w:pPr>
        <w:spacing w:line="256" w:lineRule="auto"/>
        <w:rPr>
          <w:rFonts w:cs="Arial"/>
          <w:bCs/>
          <w:szCs w:val="24"/>
          <w:lang w:val="en-US"/>
        </w:rPr>
      </w:pPr>
      <w:r w:rsidRPr="00686325">
        <w:rPr>
          <w:rFonts w:cs="Arial"/>
          <w:bCs/>
          <w:szCs w:val="24"/>
          <w:lang w:val="en-US"/>
        </w:rPr>
        <w:t xml:space="preserve">(1) use </w:t>
      </w:r>
      <w:proofErr w:type="spellStart"/>
      <w:r w:rsidRPr="00686325">
        <w:rPr>
          <w:rFonts w:cs="Arial"/>
          <w:bCs/>
          <w:szCs w:val="24"/>
          <w:lang w:val="en-US"/>
        </w:rPr>
        <w:t>behavio</w:t>
      </w:r>
      <w:r w:rsidR="001358EF">
        <w:rPr>
          <w:rFonts w:cs="Arial"/>
          <w:bCs/>
          <w:szCs w:val="24"/>
          <w:lang w:val="en-US"/>
        </w:rPr>
        <w:t>u</w:t>
      </w:r>
      <w:r w:rsidRPr="00686325">
        <w:rPr>
          <w:rFonts w:cs="Arial"/>
          <w:bCs/>
          <w:szCs w:val="24"/>
          <w:lang w:val="en-US"/>
        </w:rPr>
        <w:t>ral</w:t>
      </w:r>
      <w:proofErr w:type="spellEnd"/>
      <w:r w:rsidRPr="00686325">
        <w:rPr>
          <w:rFonts w:cs="Arial"/>
          <w:bCs/>
          <w:szCs w:val="24"/>
          <w:lang w:val="en-US"/>
        </w:rPr>
        <w:t xml:space="preserve"> science and </w:t>
      </w:r>
      <w:proofErr w:type="spellStart"/>
      <w:r w:rsidRPr="00686325">
        <w:rPr>
          <w:rFonts w:cs="Arial"/>
          <w:bCs/>
          <w:szCs w:val="24"/>
          <w:lang w:val="en-US"/>
        </w:rPr>
        <w:t>behavio</w:t>
      </w:r>
      <w:r w:rsidR="001358EF">
        <w:rPr>
          <w:rFonts w:cs="Arial"/>
          <w:bCs/>
          <w:szCs w:val="24"/>
          <w:lang w:val="en-US"/>
        </w:rPr>
        <w:t>u</w:t>
      </w:r>
      <w:r w:rsidRPr="00686325">
        <w:rPr>
          <w:rFonts w:cs="Arial"/>
          <w:bCs/>
          <w:szCs w:val="24"/>
          <w:lang w:val="en-US"/>
        </w:rPr>
        <w:t>ral</w:t>
      </w:r>
      <w:proofErr w:type="spellEnd"/>
      <w:r w:rsidRPr="00686325">
        <w:rPr>
          <w:rFonts w:cs="Arial"/>
          <w:bCs/>
          <w:szCs w:val="24"/>
          <w:lang w:val="en-US"/>
        </w:rPr>
        <w:t xml:space="preserve"> economics principles and </w:t>
      </w:r>
      <w:proofErr w:type="gramStart"/>
      <w:r w:rsidRPr="00686325">
        <w:rPr>
          <w:rFonts w:cs="Arial"/>
          <w:bCs/>
          <w:szCs w:val="24"/>
          <w:lang w:val="en-US"/>
        </w:rPr>
        <w:t>methods;</w:t>
      </w:r>
      <w:proofErr w:type="gramEnd"/>
    </w:p>
    <w:p w14:paraId="214B972A"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(2) assess and manage regulatory risk; and </w:t>
      </w:r>
    </w:p>
    <w:p w14:paraId="6BF2DB28" w14:textId="77777777" w:rsidR="001E5E9B" w:rsidRPr="00686325" w:rsidRDefault="001E5E9B" w:rsidP="001E5E9B">
      <w:pPr>
        <w:spacing w:line="256" w:lineRule="auto"/>
        <w:rPr>
          <w:rFonts w:cs="Arial"/>
          <w:bCs/>
          <w:szCs w:val="24"/>
          <w:lang w:val="en-US"/>
        </w:rPr>
      </w:pPr>
      <w:r w:rsidRPr="00686325">
        <w:rPr>
          <w:rFonts w:cs="Arial"/>
          <w:bCs/>
          <w:szCs w:val="24"/>
          <w:lang w:val="en-US"/>
        </w:rPr>
        <w:lastRenderedPageBreak/>
        <w:t xml:space="preserve">(3) undertake stakeholder engagement, public </w:t>
      </w:r>
      <w:proofErr w:type="gramStart"/>
      <w:r w:rsidRPr="00686325">
        <w:rPr>
          <w:rFonts w:cs="Arial"/>
          <w:bCs/>
          <w:szCs w:val="24"/>
          <w:lang w:val="en-US"/>
        </w:rPr>
        <w:t>consultation</w:t>
      </w:r>
      <w:proofErr w:type="gramEnd"/>
      <w:r w:rsidRPr="00686325">
        <w:rPr>
          <w:rFonts w:cs="Arial"/>
          <w:bCs/>
          <w:szCs w:val="24"/>
          <w:lang w:val="en-US"/>
        </w:rPr>
        <w:t xml:space="preserve"> and act transparently </w:t>
      </w:r>
    </w:p>
    <w:p w14:paraId="5ECE7083"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to drive good outcomes, including constructive relationships in their regulated sectors. </w:t>
      </w:r>
    </w:p>
    <w:p w14:paraId="30BF297B"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The work is intended to improve and enhance </w:t>
      </w:r>
      <w:proofErr w:type="spellStart"/>
      <w:r w:rsidRPr="00686325">
        <w:rPr>
          <w:rFonts w:cs="Arial"/>
          <w:bCs/>
          <w:szCs w:val="24"/>
          <w:lang w:val="en-US"/>
        </w:rPr>
        <w:t>ORR’s</w:t>
      </w:r>
      <w:proofErr w:type="spellEnd"/>
      <w:r w:rsidRPr="00686325">
        <w:rPr>
          <w:rFonts w:cs="Arial"/>
          <w:bCs/>
          <w:szCs w:val="24"/>
          <w:lang w:val="en-US"/>
        </w:rPr>
        <w:t xml:space="preserve"> regulatory understanding and deepen the breadth of regulatory experience it can learn from, in the UK and internationally, to effectively discharge its legal functions.</w:t>
      </w:r>
    </w:p>
    <w:p w14:paraId="30A72FFF"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This work will complement </w:t>
      </w:r>
      <w:proofErr w:type="spellStart"/>
      <w:r w:rsidRPr="00686325">
        <w:rPr>
          <w:rFonts w:cs="Arial"/>
          <w:bCs/>
          <w:szCs w:val="24"/>
          <w:lang w:val="en-US"/>
        </w:rPr>
        <w:t>ORR’s</w:t>
      </w:r>
      <w:proofErr w:type="spellEnd"/>
      <w:r w:rsidRPr="00686325">
        <w:rPr>
          <w:rFonts w:cs="Arial"/>
          <w:bCs/>
          <w:szCs w:val="24"/>
          <w:lang w:val="en-US"/>
        </w:rPr>
        <w:t xml:space="preserve"> internal work to develop its approaches for the third road period (2025-20) and railway control period 7 (2024-29).</w:t>
      </w:r>
    </w:p>
    <w:p w14:paraId="41C0DF7A"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The requirements can be described with reference to three distinct projects. We see these as a combination of desk-based exercises and primary research. We expect the primary research to be properly targeted to drive maximum value from the budget and to add depth and richness. </w:t>
      </w:r>
    </w:p>
    <w:p w14:paraId="1F4A25E9" w14:textId="77777777" w:rsidR="001E5E9B" w:rsidRPr="00686325" w:rsidRDefault="001E5E9B" w:rsidP="001E5E9B">
      <w:pPr>
        <w:spacing w:line="256" w:lineRule="auto"/>
        <w:rPr>
          <w:rFonts w:cs="Arial"/>
          <w:bCs/>
          <w:szCs w:val="24"/>
          <w:lang w:val="en-US"/>
        </w:rPr>
      </w:pPr>
      <w:r w:rsidRPr="00686325">
        <w:rPr>
          <w:rFonts w:cs="Arial"/>
          <w:bCs/>
          <w:szCs w:val="24"/>
          <w:lang w:val="en-US"/>
        </w:rPr>
        <w:t>For each project, we would expect the winning bidder to look at comparable regulated industries that would speak to the specific complexities of regulating publicly owned monopolies, particularly in the transportation sector.</w:t>
      </w:r>
    </w:p>
    <w:p w14:paraId="7A9D2645" w14:textId="0CF58CFD" w:rsidR="001E5E9B" w:rsidRPr="00686325" w:rsidRDefault="001E5E9B" w:rsidP="001E5E9B">
      <w:pPr>
        <w:spacing w:line="256" w:lineRule="auto"/>
        <w:rPr>
          <w:rFonts w:cs="Arial"/>
          <w:b/>
          <w:bCs/>
          <w:szCs w:val="24"/>
          <w:lang w:val="en-US"/>
        </w:rPr>
      </w:pPr>
      <w:r w:rsidRPr="00686325">
        <w:rPr>
          <w:rFonts w:cs="Arial"/>
          <w:b/>
          <w:szCs w:val="24"/>
          <w:lang w:val="en-US"/>
        </w:rPr>
        <w:t xml:space="preserve">Project 1: Good practice for the use of </w:t>
      </w:r>
      <w:proofErr w:type="spellStart"/>
      <w:r w:rsidRPr="00686325">
        <w:rPr>
          <w:rFonts w:cs="Arial"/>
          <w:b/>
          <w:szCs w:val="24"/>
          <w:lang w:val="en-US"/>
        </w:rPr>
        <w:t>behavio</w:t>
      </w:r>
      <w:r w:rsidR="001358EF">
        <w:rPr>
          <w:rFonts w:cs="Arial"/>
          <w:b/>
          <w:szCs w:val="24"/>
          <w:lang w:val="en-US"/>
        </w:rPr>
        <w:t>u</w:t>
      </w:r>
      <w:r w:rsidRPr="00686325">
        <w:rPr>
          <w:rFonts w:cs="Arial"/>
          <w:b/>
          <w:szCs w:val="24"/>
          <w:lang w:val="en-US"/>
        </w:rPr>
        <w:t>ral</w:t>
      </w:r>
      <w:proofErr w:type="spellEnd"/>
      <w:r w:rsidRPr="00686325">
        <w:rPr>
          <w:rFonts w:cs="Arial"/>
          <w:b/>
          <w:szCs w:val="24"/>
          <w:lang w:val="en-US"/>
        </w:rPr>
        <w:t xml:space="preserve"> science and </w:t>
      </w:r>
      <w:proofErr w:type="spellStart"/>
      <w:r w:rsidRPr="00686325">
        <w:rPr>
          <w:rFonts w:cs="Arial"/>
          <w:b/>
          <w:szCs w:val="24"/>
          <w:lang w:val="en-US"/>
        </w:rPr>
        <w:t>behavio</w:t>
      </w:r>
      <w:r w:rsidR="001358EF">
        <w:rPr>
          <w:rFonts w:cs="Arial"/>
          <w:b/>
          <w:szCs w:val="24"/>
          <w:lang w:val="en-US"/>
        </w:rPr>
        <w:t>u</w:t>
      </w:r>
      <w:r w:rsidRPr="00686325">
        <w:rPr>
          <w:rFonts w:cs="Arial"/>
          <w:b/>
          <w:szCs w:val="24"/>
          <w:lang w:val="en-US"/>
        </w:rPr>
        <w:t>ral</w:t>
      </w:r>
      <w:proofErr w:type="spellEnd"/>
      <w:r w:rsidRPr="00686325">
        <w:rPr>
          <w:rFonts w:cs="Arial"/>
          <w:b/>
          <w:szCs w:val="24"/>
          <w:lang w:val="en-US"/>
        </w:rPr>
        <w:t xml:space="preserve"> economics by transport and utility regulators to drive positive outcomes </w:t>
      </w:r>
    </w:p>
    <w:p w14:paraId="79D221F8"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This work should build on the </w:t>
      </w:r>
      <w:hyperlink r:id="rId28" w:history="1">
        <w:r w:rsidRPr="00686325">
          <w:rPr>
            <w:rStyle w:val="Hyperlink"/>
            <w:rFonts w:cs="Arial"/>
            <w:bCs/>
            <w:szCs w:val="24"/>
            <w:lang w:val="en-US"/>
          </w:rPr>
          <w:t xml:space="preserve">work of Prof. Nick </w:t>
        </w:r>
        <w:proofErr w:type="spellStart"/>
        <w:r w:rsidRPr="00686325">
          <w:rPr>
            <w:rStyle w:val="Hyperlink"/>
            <w:rFonts w:cs="Arial"/>
            <w:bCs/>
            <w:szCs w:val="24"/>
            <w:lang w:val="en-US"/>
          </w:rPr>
          <w:t>Chater</w:t>
        </w:r>
        <w:proofErr w:type="spellEnd"/>
      </w:hyperlink>
      <w:r w:rsidRPr="00686325">
        <w:rPr>
          <w:rFonts w:cs="Arial"/>
          <w:bCs/>
          <w:szCs w:val="24"/>
          <w:lang w:val="en-US"/>
        </w:rPr>
        <w:t xml:space="preserve"> for ORR, published in November 2018. It should consider </w:t>
      </w:r>
      <w:proofErr w:type="gramStart"/>
      <w:r w:rsidRPr="00686325">
        <w:rPr>
          <w:rFonts w:cs="Arial"/>
          <w:bCs/>
          <w:szCs w:val="24"/>
          <w:lang w:val="en-US"/>
        </w:rPr>
        <w:t>in particular the</w:t>
      </w:r>
      <w:proofErr w:type="gramEnd"/>
      <w:r w:rsidRPr="00686325">
        <w:rPr>
          <w:rFonts w:cs="Arial"/>
          <w:bCs/>
          <w:szCs w:val="24"/>
          <w:lang w:val="en-US"/>
        </w:rPr>
        <w:t xml:space="preserve"> three areas set out below: </w:t>
      </w:r>
    </w:p>
    <w:p w14:paraId="0D6E1F82" w14:textId="77777777" w:rsidR="001E5E9B" w:rsidRPr="00686325" w:rsidRDefault="001E5E9B" w:rsidP="001E5E9B">
      <w:pPr>
        <w:spacing w:line="256" w:lineRule="auto"/>
        <w:rPr>
          <w:rFonts w:cs="Arial"/>
          <w:szCs w:val="24"/>
          <w:lang w:val="en-US"/>
        </w:rPr>
      </w:pPr>
      <w:r w:rsidRPr="00686325">
        <w:rPr>
          <w:rFonts w:cs="Arial"/>
          <w:szCs w:val="24"/>
          <w:lang w:val="en-US"/>
        </w:rPr>
        <w:t>(</w:t>
      </w:r>
      <w:proofErr w:type="spellStart"/>
      <w:r w:rsidRPr="00686325">
        <w:rPr>
          <w:rFonts w:cs="Arial"/>
          <w:szCs w:val="24"/>
          <w:lang w:val="en-US"/>
        </w:rPr>
        <w:t>i</w:t>
      </w:r>
      <w:proofErr w:type="spellEnd"/>
      <w:r w:rsidRPr="00686325">
        <w:rPr>
          <w:rFonts w:cs="Arial"/>
          <w:szCs w:val="24"/>
          <w:lang w:val="en-US"/>
        </w:rPr>
        <w:t>) how regulators encourage positive “social contracts” between themselves and their regulated entities, including how they build a sense of common purpose and teamwork, and where the balance optimally sits with incentives that may encourage a more adversarial culture (such as enforcement</w:t>
      </w:r>
      <w:proofErr w:type="gramStart"/>
      <w:r w:rsidRPr="00686325">
        <w:rPr>
          <w:rFonts w:cs="Arial"/>
          <w:szCs w:val="24"/>
          <w:lang w:val="en-US"/>
        </w:rPr>
        <w:t>);</w:t>
      </w:r>
      <w:proofErr w:type="gramEnd"/>
    </w:p>
    <w:p w14:paraId="54BB6DCE" w14:textId="4C49C7FE" w:rsidR="001E5E9B" w:rsidRPr="00686325" w:rsidRDefault="001E5E9B" w:rsidP="001E5E9B">
      <w:pPr>
        <w:spacing w:line="256" w:lineRule="auto"/>
        <w:rPr>
          <w:rFonts w:cs="Arial"/>
          <w:bCs/>
          <w:szCs w:val="24"/>
          <w:lang w:val="en-US"/>
        </w:rPr>
      </w:pPr>
      <w:r w:rsidRPr="00686325">
        <w:rPr>
          <w:rFonts w:cs="Arial"/>
          <w:bCs/>
          <w:szCs w:val="24"/>
          <w:lang w:val="en-US"/>
        </w:rPr>
        <w:t>(ii) how regulators encourage and facilitate appropriate norms of behavior in regulated entities, including how to embed cultural change, rather than (or complementary to) focusing on outcomes; and</w:t>
      </w:r>
    </w:p>
    <w:p w14:paraId="35705ECA" w14:textId="77777777" w:rsidR="001E5E9B" w:rsidRPr="00686325" w:rsidRDefault="001E5E9B" w:rsidP="001E5E9B">
      <w:pPr>
        <w:spacing w:line="256" w:lineRule="auto"/>
        <w:rPr>
          <w:rFonts w:cs="Arial"/>
          <w:bCs/>
          <w:szCs w:val="24"/>
          <w:lang w:val="en-US"/>
        </w:rPr>
      </w:pPr>
      <w:r w:rsidRPr="00686325">
        <w:rPr>
          <w:rFonts w:cs="Arial"/>
          <w:bCs/>
          <w:szCs w:val="24"/>
          <w:lang w:val="en-US"/>
        </w:rPr>
        <w:t>(iii) how regulators create or nurture a culture of public service, integrity, and cooperativeness with regulated entities when working to common objectives. For example, how rigorous evaluation and scrutiny from the regulator can be perceived and accepted by those entities as a helpful mechanism to achieve common goals of public service, integrity, and cooperativeness rather than being perceived as a burden.</w:t>
      </w:r>
    </w:p>
    <w:p w14:paraId="32F134E3" w14:textId="77777777" w:rsidR="001E5E9B" w:rsidRPr="00686325" w:rsidRDefault="001E5E9B" w:rsidP="001E5E9B">
      <w:pPr>
        <w:spacing w:line="256" w:lineRule="auto"/>
        <w:rPr>
          <w:rFonts w:cs="Arial"/>
          <w:bCs/>
          <w:szCs w:val="24"/>
          <w:lang w:val="en-US"/>
        </w:rPr>
      </w:pPr>
      <w:r w:rsidRPr="00686325">
        <w:rPr>
          <w:rFonts w:cs="Arial"/>
          <w:b/>
          <w:szCs w:val="24"/>
          <w:lang w:val="en-US"/>
        </w:rPr>
        <w:t>Project 2:</w:t>
      </w:r>
      <w:r w:rsidRPr="00686325">
        <w:rPr>
          <w:rFonts w:cs="Arial"/>
          <w:bCs/>
          <w:szCs w:val="24"/>
          <w:lang w:val="en-US"/>
        </w:rPr>
        <w:t xml:space="preserve"> </w:t>
      </w:r>
      <w:r w:rsidRPr="00686325">
        <w:rPr>
          <w:rFonts w:cs="Arial"/>
          <w:b/>
          <w:bCs/>
          <w:szCs w:val="24"/>
          <w:lang w:val="en-US"/>
        </w:rPr>
        <w:t xml:space="preserve">Good practice for the use of regulatory risk analysis by transport and utility regulators </w:t>
      </w:r>
    </w:p>
    <w:p w14:paraId="6A86C992"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This work should consider </w:t>
      </w:r>
      <w:proofErr w:type="gramStart"/>
      <w:r w:rsidRPr="00686325">
        <w:rPr>
          <w:rFonts w:cs="Arial"/>
          <w:bCs/>
          <w:szCs w:val="24"/>
          <w:lang w:val="en-US"/>
        </w:rPr>
        <w:t>in particular the</w:t>
      </w:r>
      <w:proofErr w:type="gramEnd"/>
      <w:r w:rsidRPr="00686325">
        <w:rPr>
          <w:rFonts w:cs="Arial"/>
          <w:bCs/>
          <w:szCs w:val="24"/>
          <w:lang w:val="en-US"/>
        </w:rPr>
        <w:t xml:space="preserve"> three areas set out below: </w:t>
      </w:r>
    </w:p>
    <w:p w14:paraId="4FEFCF76" w14:textId="63E4D708" w:rsidR="001E5E9B" w:rsidRPr="00686325" w:rsidRDefault="001E5E9B" w:rsidP="001E5E9B">
      <w:pPr>
        <w:spacing w:line="256" w:lineRule="auto"/>
        <w:rPr>
          <w:rFonts w:cs="Arial"/>
          <w:bCs/>
          <w:szCs w:val="24"/>
          <w:lang w:val="en-US"/>
        </w:rPr>
      </w:pPr>
      <w:r w:rsidRPr="00686325">
        <w:rPr>
          <w:rFonts w:cs="Arial"/>
          <w:bCs/>
          <w:szCs w:val="24"/>
          <w:lang w:val="en-US"/>
        </w:rPr>
        <w:lastRenderedPageBreak/>
        <w:t>(</w:t>
      </w:r>
      <w:proofErr w:type="spellStart"/>
      <w:r w:rsidRPr="00686325">
        <w:rPr>
          <w:rFonts w:cs="Arial"/>
          <w:bCs/>
          <w:szCs w:val="24"/>
          <w:lang w:val="en-US"/>
        </w:rPr>
        <w:t>i</w:t>
      </w:r>
      <w:proofErr w:type="spellEnd"/>
      <w:r w:rsidRPr="00686325">
        <w:rPr>
          <w:rFonts w:cs="Arial"/>
          <w:bCs/>
          <w:szCs w:val="24"/>
          <w:lang w:val="en-US"/>
        </w:rPr>
        <w:t xml:space="preserve">) how regulators balance regulatory and outcome risks (for example, the risk of a license condition breach vs risk associated with the external impacts of such a breach), including how they classify and evaluate such risks, what factors affect this and </w:t>
      </w:r>
      <w:proofErr w:type="gramStart"/>
      <w:r w:rsidRPr="00686325">
        <w:rPr>
          <w:rFonts w:cs="Arial"/>
          <w:bCs/>
          <w:szCs w:val="24"/>
          <w:lang w:val="en-US"/>
        </w:rPr>
        <w:t>why;</w:t>
      </w:r>
      <w:proofErr w:type="gramEnd"/>
    </w:p>
    <w:p w14:paraId="3DF6D183"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(ii) how regulators use this sort of risk analysis to influence their decision making on matters of informal escalation of concerns and formal enforcement action; and </w:t>
      </w:r>
    </w:p>
    <w:p w14:paraId="40D05ACB"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(iii) how regulators evaluate and take account of external perception of risk when conducting such analysis (for example, where there is a difference between regulatory risk, external </w:t>
      </w:r>
      <w:proofErr w:type="gramStart"/>
      <w:r w:rsidRPr="00686325">
        <w:rPr>
          <w:rFonts w:cs="Arial"/>
          <w:bCs/>
          <w:szCs w:val="24"/>
          <w:lang w:val="en-US"/>
        </w:rPr>
        <w:t>risk</w:t>
      </w:r>
      <w:proofErr w:type="gramEnd"/>
      <w:r w:rsidRPr="00686325">
        <w:rPr>
          <w:rFonts w:cs="Arial"/>
          <w:bCs/>
          <w:szCs w:val="24"/>
          <w:lang w:val="en-US"/>
        </w:rPr>
        <w:t xml:space="preserve"> and the perception of external risk by the public and/or stakeholders).</w:t>
      </w:r>
    </w:p>
    <w:p w14:paraId="1437ED2C" w14:textId="77777777" w:rsidR="001E5E9B" w:rsidRPr="00686325" w:rsidRDefault="001E5E9B" w:rsidP="001E5E9B">
      <w:pPr>
        <w:spacing w:line="256" w:lineRule="auto"/>
        <w:rPr>
          <w:rFonts w:cs="Arial"/>
          <w:bCs/>
          <w:szCs w:val="24"/>
          <w:lang w:val="en-US"/>
        </w:rPr>
      </w:pPr>
      <w:r w:rsidRPr="00686325">
        <w:rPr>
          <w:rFonts w:cs="Arial"/>
          <w:b/>
          <w:szCs w:val="24"/>
          <w:lang w:val="en-US"/>
        </w:rPr>
        <w:t>Project 3: Good practice for regulatory</w:t>
      </w:r>
      <w:r w:rsidRPr="00686325">
        <w:rPr>
          <w:rFonts w:cs="Arial"/>
          <w:bCs/>
          <w:szCs w:val="24"/>
          <w:lang w:val="en-US"/>
        </w:rPr>
        <w:t xml:space="preserve"> </w:t>
      </w:r>
      <w:r w:rsidRPr="00686325">
        <w:rPr>
          <w:rFonts w:cs="Arial"/>
          <w:b/>
          <w:bCs/>
          <w:szCs w:val="24"/>
          <w:lang w:val="en-US"/>
        </w:rPr>
        <w:t>approaches to stakeholder engagement, public consultation and transparency by transport and utility regulators</w:t>
      </w:r>
    </w:p>
    <w:p w14:paraId="40927924"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This work should consider </w:t>
      </w:r>
      <w:proofErr w:type="gramStart"/>
      <w:r w:rsidRPr="00686325">
        <w:rPr>
          <w:rFonts w:cs="Arial"/>
          <w:bCs/>
          <w:szCs w:val="24"/>
          <w:lang w:val="en-US"/>
        </w:rPr>
        <w:t>in particular the</w:t>
      </w:r>
      <w:proofErr w:type="gramEnd"/>
      <w:r w:rsidRPr="00686325">
        <w:rPr>
          <w:rFonts w:cs="Arial"/>
          <w:bCs/>
          <w:szCs w:val="24"/>
          <w:lang w:val="en-US"/>
        </w:rPr>
        <w:t xml:space="preserve"> four areas set out below: </w:t>
      </w:r>
    </w:p>
    <w:p w14:paraId="4E3E30D8" w14:textId="77777777" w:rsidR="001E5E9B" w:rsidRPr="00686325" w:rsidRDefault="001E5E9B" w:rsidP="001E5E9B">
      <w:pPr>
        <w:spacing w:line="256" w:lineRule="auto"/>
        <w:rPr>
          <w:rFonts w:cs="Arial"/>
          <w:bCs/>
          <w:szCs w:val="24"/>
          <w:lang w:val="en-US"/>
        </w:rPr>
      </w:pPr>
      <w:r w:rsidRPr="00686325">
        <w:rPr>
          <w:rFonts w:cs="Arial"/>
          <w:bCs/>
          <w:szCs w:val="24"/>
          <w:lang w:val="en-US"/>
        </w:rPr>
        <w:t>(</w:t>
      </w:r>
      <w:proofErr w:type="spellStart"/>
      <w:r w:rsidRPr="00686325">
        <w:rPr>
          <w:rFonts w:cs="Arial"/>
          <w:bCs/>
          <w:szCs w:val="24"/>
          <w:lang w:val="en-US"/>
        </w:rPr>
        <w:t>i</w:t>
      </w:r>
      <w:proofErr w:type="spellEnd"/>
      <w:r w:rsidRPr="00686325">
        <w:rPr>
          <w:rFonts w:cs="Arial"/>
          <w:bCs/>
          <w:szCs w:val="24"/>
          <w:lang w:val="en-US"/>
        </w:rPr>
        <w:t>) whether regulators have a published ‘regulatory strategy’ approach, how and why they took a decision in this regard and what benefits, if any, have derived to the regulator from such a publication (including in relation to its government sponsor department or body where applicable, its relationship to its regulated entity(</w:t>
      </w:r>
      <w:proofErr w:type="spellStart"/>
      <w:r w:rsidRPr="00686325">
        <w:rPr>
          <w:rFonts w:cs="Arial"/>
          <w:bCs/>
          <w:szCs w:val="24"/>
          <w:lang w:val="en-US"/>
        </w:rPr>
        <w:t>ies</w:t>
      </w:r>
      <w:proofErr w:type="spellEnd"/>
      <w:r w:rsidRPr="00686325">
        <w:rPr>
          <w:rFonts w:cs="Arial"/>
          <w:bCs/>
          <w:szCs w:val="24"/>
          <w:lang w:val="en-US"/>
        </w:rPr>
        <w:t>) and public perception of its activities</w:t>
      </w:r>
      <w:proofErr w:type="gramStart"/>
      <w:r w:rsidRPr="00686325">
        <w:rPr>
          <w:rFonts w:cs="Arial"/>
          <w:bCs/>
          <w:szCs w:val="24"/>
          <w:lang w:val="en-US"/>
        </w:rPr>
        <w:t>);</w:t>
      </w:r>
      <w:proofErr w:type="gramEnd"/>
    </w:p>
    <w:p w14:paraId="42E4B558" w14:textId="77777777" w:rsidR="001E5E9B" w:rsidRPr="00686325" w:rsidRDefault="001E5E9B" w:rsidP="001E5E9B">
      <w:pPr>
        <w:spacing w:line="256" w:lineRule="auto"/>
        <w:rPr>
          <w:rFonts w:cs="Arial"/>
          <w:bCs/>
          <w:szCs w:val="24"/>
          <w:lang w:val="en-US"/>
        </w:rPr>
      </w:pPr>
      <w:r w:rsidRPr="00686325">
        <w:rPr>
          <w:rFonts w:cs="Arial"/>
          <w:bCs/>
          <w:szCs w:val="24"/>
          <w:lang w:val="en-US"/>
        </w:rPr>
        <w:t xml:space="preserve">(ii) how regulators effectively choose modes of stakeholder engagement and, where applicable, public participation in which the most appropriate people participate, in the most appropriate way, exerting the right level of influence to achieve the regulator’s aims. To include whether regulators employ </w:t>
      </w:r>
      <w:hyperlink r:id="rId29" w:history="1">
        <w:r w:rsidRPr="00686325">
          <w:rPr>
            <w:rStyle w:val="Hyperlink"/>
            <w:rFonts w:cs="Arial"/>
            <w:bCs/>
            <w:szCs w:val="24"/>
            <w:lang w:val="en-US"/>
          </w:rPr>
          <w:t>Prof. Archon Fung’s ‘democracy cube’</w:t>
        </w:r>
      </w:hyperlink>
      <w:r w:rsidRPr="00686325">
        <w:rPr>
          <w:rFonts w:cs="Arial"/>
          <w:bCs/>
          <w:szCs w:val="24"/>
          <w:lang w:val="en-US"/>
        </w:rPr>
        <w:t xml:space="preserve"> approach, its demonstrated benefits and limitations; </w:t>
      </w:r>
    </w:p>
    <w:p w14:paraId="5B0DD9DE" w14:textId="77777777" w:rsidR="001E5E9B" w:rsidRPr="00686325" w:rsidRDefault="001E5E9B" w:rsidP="001E5E9B">
      <w:pPr>
        <w:spacing w:line="256" w:lineRule="auto"/>
        <w:rPr>
          <w:rFonts w:cs="Arial"/>
          <w:bCs/>
          <w:szCs w:val="24"/>
          <w:lang w:val="en-US"/>
        </w:rPr>
      </w:pPr>
      <w:r w:rsidRPr="00686325">
        <w:rPr>
          <w:rFonts w:cs="Arial"/>
          <w:bCs/>
          <w:szCs w:val="24"/>
          <w:lang w:val="en-US"/>
        </w:rPr>
        <w:t>(iii) how regulators decide to consult on policy or regulatory approach changes with their regulated entities and the public; how such decisions are taken and on what basis, to what end and how differences are resolved between the aims of regulators and regulated entities; and</w:t>
      </w:r>
    </w:p>
    <w:p w14:paraId="0F5E3D58" w14:textId="77777777" w:rsidR="001E5E9B" w:rsidRPr="00686325" w:rsidRDefault="001E5E9B" w:rsidP="001E5E9B">
      <w:pPr>
        <w:pStyle w:val="Heading3"/>
        <w:rPr>
          <w:rFonts w:eastAsiaTheme="minorHAnsi" w:cs="Arial"/>
          <w:b w:val="0"/>
          <w:bCs/>
          <w:color w:val="auto"/>
          <w:sz w:val="24"/>
          <w:lang w:val="en-US"/>
        </w:rPr>
      </w:pPr>
      <w:r w:rsidRPr="00686325">
        <w:rPr>
          <w:rFonts w:eastAsiaTheme="minorHAnsi" w:cs="Arial"/>
          <w:b w:val="0"/>
          <w:bCs/>
          <w:color w:val="auto"/>
          <w:sz w:val="24"/>
          <w:lang w:val="en-US"/>
        </w:rPr>
        <w:t xml:space="preserve">(iv) how different regulatory approaches to transparency support better regulation principles, to show ‘clean hands’, to </w:t>
      </w:r>
      <w:proofErr w:type="spellStart"/>
      <w:r w:rsidRPr="00686325">
        <w:rPr>
          <w:rFonts w:eastAsiaTheme="minorHAnsi" w:cs="Arial"/>
          <w:b w:val="0"/>
          <w:bCs/>
          <w:color w:val="auto"/>
          <w:sz w:val="24"/>
          <w:lang w:val="en-US"/>
        </w:rPr>
        <w:t>legitimise</w:t>
      </w:r>
      <w:proofErr w:type="spellEnd"/>
      <w:r w:rsidRPr="00686325">
        <w:rPr>
          <w:rFonts w:eastAsiaTheme="minorHAnsi" w:cs="Arial"/>
          <w:b w:val="0"/>
          <w:bCs/>
          <w:color w:val="auto"/>
          <w:sz w:val="24"/>
          <w:lang w:val="en-US"/>
        </w:rPr>
        <w:t xml:space="preserve"> their choices and to help them identify those parts of the regulatory process that work well and where there are problems (of reality or perception).</w:t>
      </w:r>
    </w:p>
    <w:p w14:paraId="6CD87194" w14:textId="2A99DF2A" w:rsidR="001E5E9B" w:rsidRPr="001E5E9B" w:rsidRDefault="003F3CB0" w:rsidP="001E5E9B">
      <w:pPr>
        <w:pStyle w:val="Heading3"/>
      </w:pPr>
      <w:r w:rsidRPr="003F3CB0">
        <w:t>2.3 Project Outputs, Deliverables and Contract Management</w:t>
      </w:r>
      <w:bookmarkEnd w:id="12"/>
    </w:p>
    <w:p w14:paraId="468A36A0" w14:textId="77777777" w:rsidR="001E5E9B" w:rsidRPr="00686325" w:rsidRDefault="001E5E9B" w:rsidP="001E5E9B">
      <w:pPr>
        <w:spacing w:after="0" w:line="256" w:lineRule="auto"/>
        <w:rPr>
          <w:rFonts w:cs="Arial"/>
          <w:bCs/>
          <w:szCs w:val="24"/>
          <w:lang w:val="en-US"/>
        </w:rPr>
      </w:pPr>
      <w:r w:rsidRPr="00686325">
        <w:rPr>
          <w:rFonts w:cs="Arial"/>
          <w:bCs/>
          <w:szCs w:val="24"/>
          <w:lang w:val="en-US"/>
        </w:rPr>
        <w:t>The required deliverables are:</w:t>
      </w:r>
    </w:p>
    <w:p w14:paraId="3F5E6C45" w14:textId="77777777" w:rsidR="001E5E9B" w:rsidRPr="00686325" w:rsidRDefault="001E5E9B" w:rsidP="001E5E9B">
      <w:pPr>
        <w:spacing w:after="0" w:line="256" w:lineRule="auto"/>
        <w:rPr>
          <w:rFonts w:cs="Arial"/>
          <w:bCs/>
          <w:szCs w:val="24"/>
          <w:lang w:val="en-US"/>
        </w:rPr>
      </w:pPr>
    </w:p>
    <w:p w14:paraId="246C6C3C" w14:textId="77777777" w:rsidR="001E5E9B" w:rsidRPr="00686325" w:rsidRDefault="001E5E9B" w:rsidP="001E5E9B">
      <w:pPr>
        <w:numPr>
          <w:ilvl w:val="0"/>
          <w:numId w:val="33"/>
        </w:numPr>
        <w:spacing w:after="0" w:line="256" w:lineRule="auto"/>
        <w:rPr>
          <w:rFonts w:cs="Arial"/>
          <w:bCs/>
          <w:szCs w:val="24"/>
          <w:lang w:val="en-US"/>
        </w:rPr>
      </w:pPr>
      <w:r w:rsidRPr="00686325">
        <w:rPr>
          <w:rFonts w:cs="Arial"/>
          <w:bCs/>
          <w:szCs w:val="24"/>
          <w:lang w:val="en-US"/>
        </w:rPr>
        <w:t xml:space="preserve">three draft reports/papers for comment that </w:t>
      </w:r>
      <w:proofErr w:type="spellStart"/>
      <w:r w:rsidRPr="00686325">
        <w:rPr>
          <w:rFonts w:cs="Arial"/>
          <w:bCs/>
          <w:szCs w:val="24"/>
          <w:lang w:val="en-US"/>
        </w:rPr>
        <w:t>summarise</w:t>
      </w:r>
      <w:proofErr w:type="spellEnd"/>
      <w:r w:rsidRPr="00686325">
        <w:rPr>
          <w:rFonts w:cs="Arial"/>
          <w:bCs/>
          <w:szCs w:val="24"/>
          <w:lang w:val="en-US"/>
        </w:rPr>
        <w:t xml:space="preserve"> good practice, and draw useful conclusions for the </w:t>
      </w:r>
      <w:proofErr w:type="spellStart"/>
      <w:r w:rsidRPr="00686325">
        <w:rPr>
          <w:rFonts w:cs="Arial"/>
          <w:bCs/>
          <w:szCs w:val="24"/>
          <w:lang w:val="en-US"/>
        </w:rPr>
        <w:t>ORR’s</w:t>
      </w:r>
      <w:proofErr w:type="spellEnd"/>
      <w:r w:rsidRPr="00686325">
        <w:rPr>
          <w:rFonts w:cs="Arial"/>
          <w:bCs/>
          <w:szCs w:val="24"/>
          <w:lang w:val="en-US"/>
        </w:rPr>
        <w:t xml:space="preserve"> road and rail functions; to include comparative or benchmarking analysis from at least three regulated utility or transportation sectors </w:t>
      </w:r>
      <w:r w:rsidRPr="00686325">
        <w:rPr>
          <w:rFonts w:cs="Arial"/>
          <w:bCs/>
          <w:szCs w:val="24"/>
          <w:lang w:val="en-US"/>
        </w:rPr>
        <w:lastRenderedPageBreak/>
        <w:t xml:space="preserve">in the UK or abroad and at least one detailed case study from a transportation sector in the UK or </w:t>
      </w:r>
      <w:proofErr w:type="gramStart"/>
      <w:r w:rsidRPr="00686325">
        <w:rPr>
          <w:rFonts w:cs="Arial"/>
          <w:bCs/>
          <w:szCs w:val="24"/>
          <w:lang w:val="en-US"/>
        </w:rPr>
        <w:t>abroad;</w:t>
      </w:r>
      <w:proofErr w:type="gramEnd"/>
    </w:p>
    <w:p w14:paraId="6E80F31D" w14:textId="77777777" w:rsidR="001E5E9B" w:rsidRPr="00686325" w:rsidRDefault="001E5E9B" w:rsidP="001E5E9B">
      <w:pPr>
        <w:numPr>
          <w:ilvl w:val="0"/>
          <w:numId w:val="33"/>
        </w:numPr>
        <w:spacing w:after="0" w:line="256" w:lineRule="auto"/>
        <w:rPr>
          <w:rFonts w:cs="Arial"/>
          <w:bCs/>
          <w:szCs w:val="24"/>
          <w:lang w:val="en-US"/>
        </w:rPr>
      </w:pPr>
      <w:r w:rsidRPr="00686325">
        <w:rPr>
          <w:rFonts w:cs="Arial"/>
          <w:bCs/>
          <w:szCs w:val="24"/>
          <w:lang w:val="en-US"/>
        </w:rPr>
        <w:t xml:space="preserve">three final reports as above that incorporate amendments from </w:t>
      </w:r>
      <w:proofErr w:type="gramStart"/>
      <w:r w:rsidRPr="00686325">
        <w:rPr>
          <w:rFonts w:cs="Arial"/>
          <w:bCs/>
          <w:szCs w:val="24"/>
          <w:lang w:val="en-US"/>
        </w:rPr>
        <w:t>ORR;</w:t>
      </w:r>
      <w:proofErr w:type="gramEnd"/>
      <w:r w:rsidRPr="00686325">
        <w:rPr>
          <w:rFonts w:cs="Arial"/>
          <w:bCs/>
          <w:szCs w:val="24"/>
          <w:lang w:val="en-US"/>
        </w:rPr>
        <w:t xml:space="preserve"> and</w:t>
      </w:r>
    </w:p>
    <w:p w14:paraId="63FB9E03" w14:textId="77777777" w:rsidR="001E5E9B" w:rsidRPr="00686325" w:rsidRDefault="001E5E9B" w:rsidP="001E5E9B">
      <w:pPr>
        <w:numPr>
          <w:ilvl w:val="0"/>
          <w:numId w:val="33"/>
        </w:numPr>
        <w:spacing w:after="0" w:line="256" w:lineRule="auto"/>
        <w:rPr>
          <w:rFonts w:cs="Arial"/>
          <w:bCs/>
          <w:szCs w:val="24"/>
          <w:lang w:val="en-US"/>
        </w:rPr>
      </w:pPr>
      <w:r w:rsidRPr="00686325">
        <w:rPr>
          <w:rFonts w:cs="Arial"/>
          <w:bCs/>
          <w:szCs w:val="24"/>
          <w:lang w:val="en-US"/>
        </w:rPr>
        <w:t>a final presentation to be made to ORR.</w:t>
      </w:r>
    </w:p>
    <w:p w14:paraId="46E9CA4E" w14:textId="77777777" w:rsidR="001E5E9B" w:rsidRPr="00686325" w:rsidRDefault="001E5E9B" w:rsidP="001E5E9B">
      <w:pPr>
        <w:spacing w:after="0" w:line="256" w:lineRule="auto"/>
        <w:rPr>
          <w:rFonts w:cs="Arial"/>
          <w:bCs/>
          <w:szCs w:val="24"/>
          <w:lang w:val="en-US"/>
        </w:rPr>
      </w:pPr>
    </w:p>
    <w:p w14:paraId="1202FDC9" w14:textId="77777777" w:rsidR="001E5E9B" w:rsidRPr="00686325" w:rsidRDefault="001E5E9B" w:rsidP="001E5E9B">
      <w:pPr>
        <w:spacing w:after="0" w:line="256" w:lineRule="auto"/>
        <w:rPr>
          <w:rFonts w:cs="Arial"/>
          <w:bCs/>
          <w:szCs w:val="24"/>
          <w:lang w:val="en-US"/>
        </w:rPr>
      </w:pPr>
      <w:r w:rsidRPr="00686325">
        <w:rPr>
          <w:rFonts w:cs="Arial"/>
          <w:bCs/>
          <w:szCs w:val="24"/>
          <w:lang w:val="en-US"/>
        </w:rPr>
        <w:t xml:space="preserve">As a public body we are legally required to comply with accessibility guidelines. The final reports/papers must be in a format that meets web accessibility regulations. The relevant guidance is available on </w:t>
      </w:r>
      <w:hyperlink r:id="rId30" w:history="1">
        <w:proofErr w:type="spellStart"/>
        <w:r w:rsidRPr="00686325">
          <w:rPr>
            <w:rStyle w:val="Hyperlink"/>
            <w:rFonts w:cs="Arial"/>
            <w:bCs/>
            <w:szCs w:val="24"/>
            <w:lang w:val="en-US"/>
          </w:rPr>
          <w:t>ORR’s</w:t>
        </w:r>
        <w:proofErr w:type="spellEnd"/>
        <w:r w:rsidRPr="00686325">
          <w:rPr>
            <w:rStyle w:val="Hyperlink"/>
            <w:rFonts w:cs="Arial"/>
            <w:bCs/>
            <w:szCs w:val="24"/>
            <w:lang w:val="en-US"/>
          </w:rPr>
          <w:t xml:space="preserve"> website</w:t>
        </w:r>
      </w:hyperlink>
      <w:r w:rsidRPr="00686325">
        <w:rPr>
          <w:rFonts w:cs="Arial"/>
          <w:bCs/>
          <w:szCs w:val="24"/>
          <w:lang w:val="en-US"/>
        </w:rPr>
        <w:t xml:space="preserve">. </w:t>
      </w:r>
    </w:p>
    <w:p w14:paraId="17CECDA1" w14:textId="77777777" w:rsidR="001E5E9B" w:rsidRDefault="001E5E9B" w:rsidP="001E5E9B">
      <w:pPr>
        <w:spacing w:after="0" w:line="256" w:lineRule="auto"/>
        <w:rPr>
          <w:rFonts w:cs="Arial"/>
          <w:bCs/>
          <w:sz w:val="22"/>
          <w:lang w:val="en-US"/>
        </w:rPr>
      </w:pPr>
    </w:p>
    <w:p w14:paraId="44E3A021" w14:textId="77777777" w:rsidR="001E5E9B" w:rsidRDefault="001E5E9B" w:rsidP="001E5E9B">
      <w:pPr>
        <w:spacing w:after="0" w:line="256" w:lineRule="auto"/>
        <w:rPr>
          <w:rFonts w:cs="Arial"/>
          <w:bCs/>
          <w:sz w:val="22"/>
          <w:lang w:val="en-US"/>
        </w:rPr>
      </w:pPr>
    </w:p>
    <w:p w14:paraId="30DFB785" w14:textId="2FA6F5B6" w:rsidR="00DB02EF" w:rsidRDefault="00DB02EF" w:rsidP="001E5E9B">
      <w:pPr>
        <w:pStyle w:val="Heading4"/>
      </w:pPr>
      <w:r>
        <w:t>Contract Management Requirements</w:t>
      </w:r>
    </w:p>
    <w:p w14:paraId="73056C91" w14:textId="77777777" w:rsidR="001E5E9B" w:rsidRPr="00686325" w:rsidRDefault="001E5E9B" w:rsidP="00AF7AF9">
      <w:pPr>
        <w:pStyle w:val="Heading3"/>
        <w:rPr>
          <w:rFonts w:eastAsiaTheme="minorHAnsi" w:cs="Arial"/>
          <w:b w:val="0"/>
          <w:bCs/>
          <w:color w:val="auto"/>
          <w:sz w:val="24"/>
          <w:lang w:val="en-US"/>
        </w:rPr>
      </w:pPr>
      <w:bookmarkStart w:id="13" w:name="_Toc111551922"/>
      <w:r w:rsidRPr="00686325">
        <w:rPr>
          <w:rFonts w:eastAsiaTheme="minorHAnsi" w:cs="Arial"/>
          <w:b w:val="0"/>
          <w:bCs/>
          <w:color w:val="auto"/>
          <w:sz w:val="24"/>
          <w:lang w:val="en-US"/>
        </w:rPr>
        <w:t xml:space="preserve">The project manager for this package of work is based in Scotland. We would expect to hold progress meetings on a fortnightly basis via MS Teams. Consultants should provide a brief emailed progress report in advance. </w:t>
      </w:r>
    </w:p>
    <w:p w14:paraId="75F8969E" w14:textId="61CF9148" w:rsidR="00D6160E" w:rsidRDefault="00AF7AF9" w:rsidP="00AF7AF9">
      <w:pPr>
        <w:pStyle w:val="Heading3"/>
      </w:pPr>
      <w:r>
        <w:t>2.4 Project Timescales</w:t>
      </w:r>
      <w:bookmarkEnd w:id="13"/>
    </w:p>
    <w:p w14:paraId="3223A80D" w14:textId="0CF33B4B" w:rsidR="001E5E9B" w:rsidRPr="00686325" w:rsidRDefault="001E5E9B" w:rsidP="001E5E9B">
      <w:pPr>
        <w:numPr>
          <w:ilvl w:val="0"/>
          <w:numId w:val="34"/>
        </w:numPr>
        <w:rPr>
          <w:rFonts w:cs="Arial"/>
          <w:bCs/>
          <w:szCs w:val="24"/>
        </w:rPr>
      </w:pPr>
      <w:bookmarkStart w:id="14" w:name="_Toc111551923"/>
      <w:r w:rsidRPr="00686325">
        <w:rPr>
          <w:rFonts w:cs="Arial"/>
          <w:bCs/>
          <w:szCs w:val="24"/>
        </w:rPr>
        <w:t>Project Inception Meeting</w:t>
      </w:r>
      <w:r w:rsidR="00365B11">
        <w:rPr>
          <w:rFonts w:cs="Arial"/>
          <w:bCs/>
          <w:szCs w:val="24"/>
        </w:rPr>
        <w:t xml:space="preserve"> </w:t>
      </w:r>
      <w:r w:rsidRPr="00686325">
        <w:rPr>
          <w:rFonts w:cs="Arial"/>
          <w:bCs/>
          <w:szCs w:val="24"/>
        </w:rPr>
        <w:t>19 December 2022</w:t>
      </w:r>
    </w:p>
    <w:p w14:paraId="1CF2DA1C" w14:textId="77777777" w:rsidR="001E5E9B" w:rsidRPr="00686325" w:rsidRDefault="001E5E9B" w:rsidP="001E5E9B">
      <w:pPr>
        <w:numPr>
          <w:ilvl w:val="0"/>
          <w:numId w:val="34"/>
        </w:numPr>
        <w:rPr>
          <w:rFonts w:cs="Arial"/>
          <w:bCs/>
          <w:szCs w:val="24"/>
        </w:rPr>
      </w:pPr>
      <w:r w:rsidRPr="00686325">
        <w:rPr>
          <w:rFonts w:cs="Arial"/>
          <w:bCs/>
          <w:szCs w:val="24"/>
        </w:rPr>
        <w:t>Draft reports by mid-February 2023</w:t>
      </w:r>
    </w:p>
    <w:p w14:paraId="5D5D40F7" w14:textId="357E1BE7" w:rsidR="001E5E9B" w:rsidRPr="00686325" w:rsidRDefault="001E5E9B" w:rsidP="001E5E9B">
      <w:pPr>
        <w:pStyle w:val="Heading3"/>
        <w:numPr>
          <w:ilvl w:val="0"/>
          <w:numId w:val="34"/>
        </w:numPr>
        <w:rPr>
          <w:rFonts w:eastAsiaTheme="minorHAnsi" w:cs="Arial"/>
          <w:b w:val="0"/>
          <w:bCs/>
          <w:color w:val="auto"/>
          <w:sz w:val="24"/>
        </w:rPr>
      </w:pPr>
      <w:r w:rsidRPr="00686325">
        <w:rPr>
          <w:rFonts w:eastAsiaTheme="minorHAnsi" w:cs="Arial"/>
          <w:b w:val="0"/>
          <w:bCs/>
          <w:color w:val="auto"/>
          <w:sz w:val="24"/>
        </w:rPr>
        <w:t>Final reports by end February 2023</w:t>
      </w:r>
    </w:p>
    <w:p w14:paraId="76E3EE61" w14:textId="3062E7A4" w:rsidR="00AF7AF9" w:rsidRDefault="00AF7AF9" w:rsidP="001E5E9B">
      <w:pPr>
        <w:pStyle w:val="Heading3"/>
      </w:pPr>
      <w:r w:rsidRPr="00AF7AF9">
        <w:t>2.5 Budget and Payment Schedule</w:t>
      </w:r>
      <w:bookmarkEnd w:id="14"/>
    </w:p>
    <w:p w14:paraId="3AB1D28D" w14:textId="77777777" w:rsidR="001E5E9B" w:rsidRPr="00686325" w:rsidRDefault="001E5E9B" w:rsidP="001E5E9B">
      <w:pPr>
        <w:rPr>
          <w:rFonts w:cs="Arial"/>
          <w:color w:val="000000"/>
          <w:szCs w:val="24"/>
        </w:rPr>
      </w:pPr>
      <w:bookmarkStart w:id="15" w:name="_Toc111551924"/>
      <w:r w:rsidRPr="00686325">
        <w:rPr>
          <w:szCs w:val="24"/>
        </w:rPr>
        <w:t>The maximum budget for this piece of work is £50,000 (inc. of expenses, exc. of VAT)</w:t>
      </w:r>
      <w:r w:rsidRPr="00686325">
        <w:rPr>
          <w:rFonts w:cs="Arial"/>
          <w:color w:val="000000"/>
          <w:szCs w:val="24"/>
        </w:rPr>
        <w:t>.</w:t>
      </w:r>
    </w:p>
    <w:p w14:paraId="7767925C" w14:textId="77777777" w:rsidR="001E5E9B" w:rsidRPr="00686325" w:rsidRDefault="001E5E9B" w:rsidP="001E5E9B">
      <w:pPr>
        <w:pStyle w:val="Heading3"/>
        <w:rPr>
          <w:rFonts w:eastAsiaTheme="minorHAnsi" w:cstheme="minorBidi"/>
          <w:b w:val="0"/>
          <w:color w:val="auto"/>
          <w:sz w:val="24"/>
        </w:rPr>
      </w:pPr>
      <w:r w:rsidRPr="00686325">
        <w:rPr>
          <w:rFonts w:eastAsiaTheme="minorHAnsi" w:cstheme="minorBidi"/>
          <w:b w:val="0"/>
          <w:color w:val="auto"/>
          <w:sz w:val="24"/>
        </w:rPr>
        <w:t xml:space="preserve">Payment of the total fee will be on the delivery and acceptance by ORR of all required outputs and/or deliverables. </w:t>
      </w:r>
    </w:p>
    <w:p w14:paraId="3BB5AE4A" w14:textId="3A6608AC" w:rsidR="00AF7AF9" w:rsidRDefault="00AF7AF9" w:rsidP="001E5E9B">
      <w:pPr>
        <w:pStyle w:val="Heading3"/>
      </w:pPr>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lastRenderedPageBreak/>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4321FD02" w:rsidR="001768F1" w:rsidRDefault="001768F1" w:rsidP="001768F1">
      <w:r>
        <w:t xml:space="preserve">The proposals for this project should include an outline of how bidders will meet the requirement outlined in section (ii) “Statement of Requirement”. The following information should be included </w:t>
      </w:r>
    </w:p>
    <w:p w14:paraId="0696CABC" w14:textId="13E563FF" w:rsidR="001768F1" w:rsidRPr="001E7C87" w:rsidRDefault="001768F1" w:rsidP="00D07E76">
      <w:pPr>
        <w:pStyle w:val="NormalBulletalpha"/>
        <w:numPr>
          <w:ilvl w:val="1"/>
          <w:numId w:val="28"/>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E7A7098" w:rsidR="001768F1" w:rsidRDefault="001768F1" w:rsidP="001E7C87">
      <w:pPr>
        <w:pStyle w:val="NormalBullet-"/>
      </w:pPr>
      <w:r>
        <w:t>Provide an explanation of the proposed approach</w:t>
      </w:r>
      <w:r w:rsidR="00686325">
        <w:t xml:space="preserve"> </w:t>
      </w:r>
      <w:r>
        <w:t xml:space="preserve">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w:t>
      </w:r>
      <w:proofErr w:type="gramStart"/>
      <w:r>
        <w:t>e.g.</w:t>
      </w:r>
      <w:proofErr w:type="gramEnd"/>
      <w:r>
        <w:t xml:space="preserve"> right to work in the UK)</w:t>
      </w:r>
    </w:p>
    <w:p w14:paraId="5F3C04C1" w14:textId="460BB598" w:rsidR="001768F1" w:rsidRDefault="001768F1" w:rsidP="001E7C87">
      <w:pPr>
        <w:pStyle w:val="NormalBullet-"/>
      </w:pPr>
      <w:r>
        <w:lastRenderedPageBreak/>
        <w:t>Some relevant examples of previous work that bidders have carried out (</w:t>
      </w:r>
      <w:proofErr w:type="gramStart"/>
      <w:r>
        <w:t>e</w:t>
      </w:r>
      <w:r w:rsidR="00686325">
        <w:t>.</w:t>
      </w:r>
      <w:r>
        <w:t>g</w:t>
      </w:r>
      <w:r w:rsidR="00686325">
        <w:t>.</w:t>
      </w:r>
      <w:proofErr w:type="gramEnd"/>
      <w:r>
        <w:t xml:space="preserve"> case studies)</w:t>
      </w:r>
      <w:r w:rsidRPr="00686325">
        <w:t xml:space="preserve"> AND/OR </w:t>
      </w:r>
      <w:r w:rsidR="00686325">
        <w:t>d</w:t>
      </w:r>
      <w:r>
        <w:t>etails of at least two relevant reference projects along with contact details of clients</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2BEF4A6A" w:rsidR="005C29ED" w:rsidRDefault="005C29ED" w:rsidP="005C29ED">
      <w:pPr>
        <w:pStyle w:val="NormalBulletround"/>
      </w:pPr>
      <w:r>
        <w:t>Compliance with contractual arrangements.</w:t>
      </w:r>
    </w:p>
    <w:p w14:paraId="092980E7" w14:textId="77777777" w:rsidR="005C29ED" w:rsidRDefault="005C29ED" w:rsidP="005C29ED">
      <w:r>
        <w:t xml:space="preserve">Tenders that are not compliant may be disqualified from the process.  We reserve the right to clarify any issues regarding a Bidder’s compliance. It will be at </w:t>
      </w:r>
      <w:proofErr w:type="spellStart"/>
      <w:r>
        <w:t>ORR's</w:t>
      </w:r>
      <w:proofErr w:type="spellEnd"/>
      <w:r>
        <w:t xml:space="preserve"> sole discretion whether to include the relevant Bidder’s response in the next stage of the process. </w:t>
      </w:r>
    </w:p>
    <w:p w14:paraId="1842D25F" w14:textId="1188D4E1" w:rsidR="005C29ED" w:rsidRDefault="005C29ED" w:rsidP="005C29ED">
      <w:r>
        <w:t xml:space="preserve">The contract will be awarded to the Bidder(s) submitting the </w:t>
      </w:r>
      <w:r w:rsidRPr="005C29ED">
        <w:rPr>
          <w:b/>
          <w:bCs/>
        </w:rPr>
        <w:t>‘most economically advantageous tender’</w:t>
      </w:r>
      <w:r>
        <w:t xml:space="preserve">. Tenders will be evaluated according to weighted criteria as follows: </w:t>
      </w:r>
    </w:p>
    <w:p w14:paraId="03D0E6C2" w14:textId="4DF76C33" w:rsidR="005C29ED" w:rsidRDefault="005C29ED" w:rsidP="00D61976">
      <w:pPr>
        <w:pStyle w:val="Heading4"/>
      </w:pPr>
      <w:r>
        <w:lastRenderedPageBreak/>
        <w:t xml:space="preserve">Methodology </w:t>
      </w:r>
      <w:r w:rsidRPr="00686325">
        <w:t>(</w:t>
      </w:r>
      <w:r w:rsidR="00686325" w:rsidRPr="00686325">
        <w:t>30</w:t>
      </w:r>
      <w:r w:rsidRPr="00686325">
        <w:t>%)</w:t>
      </w:r>
    </w:p>
    <w:p w14:paraId="00314D37" w14:textId="77777777" w:rsidR="005C29ED" w:rsidRDefault="005C29ED" w:rsidP="005C29ED">
      <w:r>
        <w:t xml:space="preserve">The proposal should set out the methodology by which the project requirement will be initiated, </w:t>
      </w:r>
      <w:proofErr w:type="gramStart"/>
      <w:r>
        <w:t>delivered</w:t>
      </w:r>
      <w:proofErr w:type="gramEnd"/>
      <w:r>
        <w:t xml:space="preserve">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29"/>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29"/>
        </w:numPr>
      </w:pPr>
      <w:r>
        <w:t xml:space="preserve">Explain how your organisation will work in partnership with </w:t>
      </w:r>
      <w:proofErr w:type="spellStart"/>
      <w:r>
        <w:t>ORR’s</w:t>
      </w:r>
      <w:proofErr w:type="spellEnd"/>
      <w:r>
        <w:t xml:space="preserve"> project manager to ensure that the requirement is met</w:t>
      </w:r>
    </w:p>
    <w:p w14:paraId="5A025B94" w14:textId="4A20F6C2" w:rsidR="005C29ED" w:rsidRDefault="005C29ED" w:rsidP="00D61976">
      <w:pPr>
        <w:pStyle w:val="NormalBulletalpha"/>
        <w:numPr>
          <w:ilvl w:val="1"/>
          <w:numId w:val="29"/>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29"/>
        </w:numPr>
      </w:pPr>
      <w:r>
        <w:t>Outline how the proposed approach utilises innovative consultation methodologies to develop a diverse and comprehensive evidence-base</w:t>
      </w:r>
    </w:p>
    <w:p w14:paraId="09DB644F" w14:textId="498DA221" w:rsidR="005C29ED" w:rsidRDefault="005C29ED" w:rsidP="00350594">
      <w:pPr>
        <w:pStyle w:val="Heading4"/>
      </w:pPr>
      <w:r>
        <w:t xml:space="preserve">Delivery </w:t>
      </w:r>
      <w:r w:rsidRPr="00686325">
        <w:t>(</w:t>
      </w:r>
      <w:r w:rsidR="00686325" w:rsidRPr="00686325">
        <w:t>20</w:t>
      </w:r>
      <w:r w:rsidRPr="00686325">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0"/>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26EEBB90" w:rsidR="005C29ED" w:rsidRPr="00686325" w:rsidRDefault="005C29ED" w:rsidP="00350594">
      <w:pPr>
        <w:pStyle w:val="Heading4"/>
      </w:pPr>
      <w:r>
        <w:t xml:space="preserve">Experience </w:t>
      </w:r>
      <w:r w:rsidRPr="00686325">
        <w:t>(</w:t>
      </w:r>
      <w:r w:rsidR="00686325" w:rsidRPr="00686325">
        <w:t>20</w:t>
      </w:r>
      <w:r w:rsidRPr="00686325">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1"/>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7CFF4270" w:rsidR="005C29ED" w:rsidRDefault="005C29ED" w:rsidP="00350594">
      <w:pPr>
        <w:pStyle w:val="Heading4"/>
      </w:pPr>
      <w:r>
        <w:t xml:space="preserve">Cost / Value for money </w:t>
      </w:r>
      <w:r w:rsidRPr="00686325">
        <w:t>(</w:t>
      </w:r>
      <w:r w:rsidR="00686325" w:rsidRPr="00686325">
        <w:t>30</w:t>
      </w:r>
      <w:r w:rsidRPr="00686325">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00400432">
        <w:trPr>
          <w:tblHeader/>
        </w:trPr>
        <w:tc>
          <w:tcPr>
            <w:tcW w:w="4928" w:type="dxa"/>
            <w:tcBorders>
              <w:bottom w:val="single" w:sz="12" w:space="0" w:color="FFFFFF"/>
            </w:tcBorders>
            <w:shd w:val="solid" w:color="253268" w:themeColor="dark2" w:fill="253268" w:themeFill="dark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cBorders>
            <w:shd w:val="solid" w:color="253268" w:themeColor="dark2" w:fill="253268" w:themeFill="dark2"/>
          </w:tcPr>
          <w:p w14:paraId="0749132E" w14:textId="77777777" w:rsidR="00400432" w:rsidRPr="00400432" w:rsidRDefault="00400432" w:rsidP="00400432">
            <w:pPr>
              <w:pStyle w:val="TblHeading"/>
            </w:pPr>
            <w:r w:rsidRPr="00400432">
              <w:t>Timescale</w:t>
            </w:r>
          </w:p>
        </w:tc>
      </w:tr>
      <w:tr w:rsidR="00400432" w:rsidRPr="00400432" w14:paraId="36ED9179" w14:textId="77777777" w:rsidTr="00400432">
        <w:tc>
          <w:tcPr>
            <w:tcW w:w="4928" w:type="dxa"/>
            <w:tcBorders>
              <w:bottom w:val="single" w:sz="12" w:space="0" w:color="FFFFFF"/>
            </w:tcBorders>
            <w:shd w:val="solid" w:color="FFFFFF" w:fill="FFFFFF"/>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cBorders>
            <w:shd w:val="solid" w:color="FFFFFF" w:fill="FFFFFF"/>
          </w:tcPr>
          <w:p w14:paraId="0B221E35" w14:textId="2D6A8371" w:rsidR="00400432" w:rsidRPr="00400432" w:rsidRDefault="00686325" w:rsidP="0001648F">
            <w:pPr>
              <w:pStyle w:val="TblText"/>
              <w:ind w:left="0"/>
            </w:pPr>
            <w:r>
              <w:t xml:space="preserve">09 Nov 22 </w:t>
            </w:r>
          </w:p>
        </w:tc>
      </w:tr>
      <w:tr w:rsidR="00400432" w:rsidRPr="00400432" w14:paraId="42283B80" w14:textId="77777777" w:rsidTr="00400432">
        <w:tc>
          <w:tcPr>
            <w:tcW w:w="4928" w:type="dxa"/>
            <w:tcBorders>
              <w:bottom w:val="single" w:sz="12" w:space="0" w:color="FFFFFF"/>
            </w:tcBorders>
            <w:shd w:val="solid" w:color="E4E7F5" w:themeColor="text2" w:themeTint="19" w:fill="E4E7F5" w:themeFill="text2" w:themeFillTint="19"/>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cBorders>
            <w:shd w:val="solid" w:color="E4E7F5" w:themeColor="text2" w:themeTint="19" w:fill="E4E7F5" w:themeFill="text2" w:themeFillTint="19"/>
          </w:tcPr>
          <w:p w14:paraId="4308C2DC" w14:textId="6ECCABA3" w:rsidR="00400432" w:rsidRPr="00400432" w:rsidRDefault="001358EF" w:rsidP="0001648F">
            <w:pPr>
              <w:pStyle w:val="TblText"/>
              <w:ind w:left="0"/>
            </w:pPr>
            <w:r>
              <w:t>23</w:t>
            </w:r>
            <w:r w:rsidR="0001648F">
              <w:t xml:space="preserve"> Nov 22</w:t>
            </w:r>
            <w:r w:rsidR="00365B11">
              <w:t xml:space="preserve"> </w:t>
            </w:r>
            <w:proofErr w:type="spellStart"/>
            <w:r w:rsidR="00365B11">
              <w:t>12pm</w:t>
            </w:r>
            <w:proofErr w:type="spellEnd"/>
          </w:p>
        </w:tc>
      </w:tr>
      <w:tr w:rsidR="00400432" w:rsidRPr="00400432" w14:paraId="66301268" w14:textId="77777777" w:rsidTr="00400432">
        <w:tc>
          <w:tcPr>
            <w:tcW w:w="4928" w:type="dxa"/>
            <w:tcBorders>
              <w:bottom w:val="single" w:sz="12" w:space="0" w:color="FFFFFF"/>
            </w:tcBorders>
            <w:shd w:val="solid" w:color="FFFFFF" w:fill="FFFFFF"/>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cBorders>
            <w:shd w:val="solid" w:color="FFFFFF" w:fill="FFFFFF"/>
          </w:tcPr>
          <w:p w14:paraId="63343DB4" w14:textId="4DD4F14F" w:rsidR="00400432" w:rsidRPr="00400432" w:rsidRDefault="0001648F" w:rsidP="0001648F">
            <w:pPr>
              <w:pStyle w:val="TblText"/>
              <w:ind w:left="0"/>
            </w:pPr>
            <w:r>
              <w:t>0</w:t>
            </w:r>
            <w:r w:rsidR="00686325">
              <w:t>1</w:t>
            </w:r>
            <w:r>
              <w:t xml:space="preserve"> Dec 22</w:t>
            </w:r>
            <w:r w:rsidR="00365B11">
              <w:t xml:space="preserve"> </w:t>
            </w:r>
            <w:proofErr w:type="spellStart"/>
            <w:r w:rsidR="00365B11">
              <w:t>12pm</w:t>
            </w:r>
            <w:proofErr w:type="spellEnd"/>
          </w:p>
        </w:tc>
      </w:tr>
      <w:tr w:rsidR="00400432" w:rsidRPr="00400432" w14:paraId="4B08FCC5" w14:textId="77777777" w:rsidTr="00400432">
        <w:tc>
          <w:tcPr>
            <w:tcW w:w="4928" w:type="dxa"/>
            <w:tcBorders>
              <w:bottom w:val="single" w:sz="12" w:space="0" w:color="FFFFFF"/>
            </w:tcBorders>
            <w:shd w:val="solid" w:color="E4E7F5" w:themeColor="text2" w:themeTint="19" w:fill="E4E7F5" w:themeFill="text2" w:themeFillTint="19"/>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cBorders>
            <w:shd w:val="solid" w:color="E4E7F5" w:themeColor="text2" w:themeTint="19" w:fill="E4E7F5" w:themeFill="text2" w:themeFillTint="19"/>
          </w:tcPr>
          <w:p w14:paraId="572895D5" w14:textId="6EFB656A" w:rsidR="00400432" w:rsidRPr="00400432" w:rsidRDefault="0001648F" w:rsidP="00686325">
            <w:pPr>
              <w:pStyle w:val="TblText"/>
              <w:ind w:left="0"/>
            </w:pPr>
            <w:r>
              <w:t>0</w:t>
            </w:r>
            <w:r w:rsidR="00686325">
              <w:t>7</w:t>
            </w:r>
            <w:r>
              <w:t xml:space="preserve"> Dec 22</w:t>
            </w:r>
          </w:p>
        </w:tc>
      </w:tr>
      <w:tr w:rsidR="00400432" w:rsidRPr="00400432" w14:paraId="0217C7BB" w14:textId="77777777" w:rsidTr="00400432">
        <w:tc>
          <w:tcPr>
            <w:tcW w:w="4928" w:type="dxa"/>
            <w:tcBorders>
              <w:bottom w:val="single" w:sz="12" w:space="0" w:color="FFFFFF"/>
            </w:tcBorders>
            <w:shd w:val="solid" w:color="FFFFFF" w:fill="FFFFFF"/>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cBorders>
            <w:shd w:val="solid" w:color="FFFFFF" w:fill="FFFFFF"/>
          </w:tcPr>
          <w:p w14:paraId="565B27EE" w14:textId="2468772F" w:rsidR="00400432" w:rsidRPr="00400432" w:rsidRDefault="0001648F" w:rsidP="0001648F">
            <w:pPr>
              <w:pStyle w:val="TblText"/>
              <w:ind w:left="0"/>
            </w:pPr>
            <w:r>
              <w:t>13 Dec 22</w:t>
            </w:r>
          </w:p>
        </w:tc>
      </w:tr>
      <w:tr w:rsidR="00400432" w:rsidRPr="00400432" w14:paraId="2D3D0936" w14:textId="77777777" w:rsidTr="00400432">
        <w:tc>
          <w:tcPr>
            <w:tcW w:w="4928" w:type="dxa"/>
            <w:tcBorders>
              <w:bottom w:val="single" w:sz="12" w:space="0" w:color="FFFFFF"/>
            </w:tcBorders>
            <w:shd w:val="solid" w:color="E4E7F5" w:themeColor="text2" w:themeTint="19" w:fill="E4E7F5" w:themeFill="text2" w:themeFillTint="19"/>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cBorders>
            <w:shd w:val="solid" w:color="E4E7F5" w:themeColor="text2" w:themeTint="19" w:fill="E4E7F5" w:themeFill="text2" w:themeFillTint="19"/>
          </w:tcPr>
          <w:p w14:paraId="2FF6E1B1" w14:textId="4D2E5DCC" w:rsidR="00400432" w:rsidRPr="00400432" w:rsidRDefault="0001648F" w:rsidP="0001648F">
            <w:pPr>
              <w:pStyle w:val="TblText"/>
              <w:ind w:left="0"/>
            </w:pPr>
            <w:r>
              <w:t>16 Dec 22</w:t>
            </w:r>
          </w:p>
        </w:tc>
      </w:tr>
      <w:tr w:rsidR="00400432" w:rsidRPr="00400432" w14:paraId="3E83975E" w14:textId="77777777" w:rsidTr="00400432">
        <w:tc>
          <w:tcPr>
            <w:tcW w:w="4928" w:type="dxa"/>
            <w:shd w:val="solid" w:color="FFFFFF" w:fill="FFFFFF"/>
          </w:tcPr>
          <w:p w14:paraId="19972227" w14:textId="658B1D49" w:rsidR="00400432" w:rsidRPr="00400432" w:rsidRDefault="00400432" w:rsidP="00400432">
            <w:pPr>
              <w:pStyle w:val="TblText"/>
            </w:pPr>
            <w:r w:rsidRPr="00400432">
              <w:t>Project Inception Meeting</w:t>
            </w:r>
          </w:p>
        </w:tc>
        <w:tc>
          <w:tcPr>
            <w:tcW w:w="3600" w:type="dxa"/>
            <w:shd w:val="solid" w:color="FFFFFF" w:fill="FFFFFF"/>
          </w:tcPr>
          <w:p w14:paraId="5605FB39" w14:textId="69A94164" w:rsidR="00400432" w:rsidRPr="00400432" w:rsidRDefault="0001648F" w:rsidP="0001648F">
            <w:pPr>
              <w:pStyle w:val="TblText"/>
              <w:ind w:left="0"/>
            </w:pPr>
            <w:r>
              <w:t>19 Dec 22</w:t>
            </w:r>
          </w:p>
        </w:tc>
      </w:tr>
    </w:tbl>
    <w:p w14:paraId="34A006DD" w14:textId="42636392" w:rsidR="002D3643" w:rsidRDefault="00400432" w:rsidP="00400432">
      <w:pPr>
        <w:pStyle w:val="TblSource"/>
      </w:pPr>
      <w:r w:rsidRPr="00400432">
        <w:t xml:space="preserve">Please ensure that the Project Manager and other key consultants who will be delivering this work are available to give presentations on the interview date </w:t>
      </w:r>
    </w:p>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w:t>
      </w:r>
      <w:r>
        <w:lastRenderedPageBreak/>
        <w:t xml:space="preserve">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w:t>
      </w:r>
      <w:r>
        <w:lastRenderedPageBreak/>
        <w:t xml:space="preserve">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t>
      </w:r>
      <w:r>
        <w:lastRenderedPageBreak/>
        <w:t xml:space="preserve">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32"/>
          <w:headerReference w:type="default" r:id="rId33"/>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35"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36"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37"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38"/>
      <w:headerReference w:type="default" r:id="rId39"/>
      <w:footerReference w:type="even" r:id="rId40"/>
      <w:footerReference w:type="default" r:id="rId41"/>
      <w:headerReference w:type="first" r:id="rId42"/>
      <w:footerReference w:type="first" r:id="rId4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9D7A4" w14:textId="77777777" w:rsidR="00FC6860" w:rsidRDefault="00FC6860" w:rsidP="00555585">
      <w:pPr>
        <w:spacing w:after="0" w:line="240" w:lineRule="auto"/>
      </w:pPr>
      <w:r>
        <w:separator/>
      </w:r>
    </w:p>
  </w:endnote>
  <w:endnote w:type="continuationSeparator" w:id="0">
    <w:p w14:paraId="2486195E" w14:textId="77777777" w:rsidR="00FC6860" w:rsidRDefault="00FC6860"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149C" w14:textId="77777777" w:rsidR="00FC6860" w:rsidRDefault="00FC6860" w:rsidP="00555585">
      <w:pPr>
        <w:spacing w:after="0" w:line="240" w:lineRule="auto"/>
      </w:pPr>
      <w:r>
        <w:separator/>
      </w:r>
    </w:p>
  </w:footnote>
  <w:footnote w:type="continuationSeparator" w:id="0">
    <w:p w14:paraId="75461C3C" w14:textId="77777777" w:rsidR="00FC6860" w:rsidRDefault="00FC6860"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1358EF">
      <w:fldChar w:fldCharType="begin"/>
    </w:r>
    <w:r w:rsidR="001358EF">
      <w:instrText xml:space="preserve"> DOCVARIABLE  txtHdr  \* MERGEFORMAT </w:instrText>
    </w:r>
    <w:r w:rsidR="001358EF">
      <w:fldChar w:fldCharType="separate"/>
    </w:r>
    <w:r w:rsidRPr="00D25F7E">
      <w:rPr>
        <w:b w:val="0"/>
        <w:bCs/>
        <w:lang w:val="en-US"/>
      </w:rPr>
      <w:instrText>ITT</w:instrText>
    </w:r>
    <w:r w:rsidR="001358EF">
      <w:rPr>
        <w:b w:val="0"/>
        <w:bCs/>
        <w:lang w:val="en-US"/>
      </w:rPr>
      <w:fldChar w:fldCharType="end"/>
    </w:r>
    <w:r w:rsidRPr="00AC3B7A">
      <w:instrText xml:space="preserve"> = "Error! No document variable supplied." " " </w:instrText>
    </w:r>
    <w:r w:rsidR="001358EF">
      <w:fldChar w:fldCharType="begin"/>
    </w:r>
    <w:r w:rsidR="001358EF">
      <w:instrText xml:space="preserve"> DOCVARIABLE  txtHdr \* MERGEFORMAT </w:instrText>
    </w:r>
    <w:r w:rsidR="001358EF">
      <w:fldChar w:fldCharType="separate"/>
    </w:r>
    <w:r>
      <w:instrText>ITT</w:instrText>
    </w:r>
    <w:r w:rsidR="001358EF">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1358EF">
      <w:fldChar w:fldCharType="begin"/>
    </w:r>
    <w:r w:rsidR="001358EF">
      <w:instrText xml:space="preserve"> DOCVARIABLE  txtHdr  \* MERGEFORMAT </w:instrText>
    </w:r>
    <w:r w:rsidR="001358EF">
      <w:fldChar w:fldCharType="separate"/>
    </w:r>
    <w:r w:rsidRPr="00D25F7E">
      <w:rPr>
        <w:b w:val="0"/>
        <w:bCs/>
        <w:lang w:val="en-US"/>
      </w:rPr>
      <w:instrText>ITT</w:instrText>
    </w:r>
    <w:r w:rsidR="001358EF">
      <w:rPr>
        <w:b w:val="0"/>
        <w:bCs/>
        <w:lang w:val="en-US"/>
      </w:rPr>
      <w:fldChar w:fldCharType="end"/>
    </w:r>
    <w:r w:rsidRPr="00AC3B7A">
      <w:instrText xml:space="preserve"> = "Error! No document variable supplied." " " </w:instrText>
    </w:r>
    <w:r w:rsidR="001358EF">
      <w:fldChar w:fldCharType="begin"/>
    </w:r>
    <w:r w:rsidR="001358EF">
      <w:instrText xml:space="preserve"> DOCVARIAB</w:instrText>
    </w:r>
    <w:r w:rsidR="001358EF">
      <w:instrText xml:space="preserve">LE  txtHdr \* MERGEFORMAT </w:instrText>
    </w:r>
    <w:r w:rsidR="001358EF">
      <w:fldChar w:fldCharType="separate"/>
    </w:r>
    <w:r>
      <w:instrText>ITT</w:instrText>
    </w:r>
    <w:r w:rsidR="001358EF">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2" w:name="bmkBackPage"/>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6443BFC"/>
    <w:multiLevelType w:val="hybridMultilevel"/>
    <w:tmpl w:val="BAC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96852"/>
    <w:multiLevelType w:val="multilevel"/>
    <w:tmpl w:val="D79C245A"/>
    <w:numStyleLink w:val="ORRNormalList"/>
  </w:abstractNum>
  <w:abstractNum w:abstractNumId="11" w15:restartNumberingAfterBreak="0">
    <w:nsid w:val="39A76BCC"/>
    <w:multiLevelType w:val="multilevel"/>
    <w:tmpl w:val="D79C245A"/>
    <w:numStyleLink w:val="ORRNormalList"/>
  </w:abstractNum>
  <w:abstractNum w:abstractNumId="12"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cs="Times New Roman" w:hint="default"/>
        <w:b w:val="0"/>
        <w:i w:val="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D5682"/>
    <w:multiLevelType w:val="multilevel"/>
    <w:tmpl w:val="EAD453D0"/>
    <w:numStyleLink w:val="NumbListHighlight"/>
  </w:abstractNum>
  <w:abstractNum w:abstractNumId="19"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15:restartNumberingAfterBreak="0">
    <w:nsid w:val="774C62AB"/>
    <w:multiLevelType w:val="multilevel"/>
    <w:tmpl w:val="6B204466"/>
    <w:numStyleLink w:val="ORRAnnex"/>
  </w:abstractNum>
  <w:abstractNum w:abstractNumId="22" w15:restartNumberingAfterBreak="0">
    <w:nsid w:val="7DDA5CB4"/>
    <w:multiLevelType w:val="multilevel"/>
    <w:tmpl w:val="6B204466"/>
    <w:numStyleLink w:val="ORRAnnex"/>
  </w:abstractNum>
  <w:num w:numId="1" w16cid:durableId="123300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0"/>
  </w:num>
  <w:num w:numId="3" w16cid:durableId="615990203">
    <w:abstractNumId w:val="6"/>
  </w:num>
  <w:num w:numId="4" w16cid:durableId="1539008159">
    <w:abstractNumId w:val="15"/>
  </w:num>
  <w:num w:numId="5" w16cid:durableId="1334801291">
    <w:abstractNumId w:val="7"/>
  </w:num>
  <w:num w:numId="6" w16cid:durableId="116142554">
    <w:abstractNumId w:val="11"/>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18"/>
  </w:num>
  <w:num w:numId="12" w16cid:durableId="435447028">
    <w:abstractNumId w:val="16"/>
  </w:num>
  <w:num w:numId="13" w16cid:durableId="2048019962">
    <w:abstractNumId w:val="21"/>
  </w:num>
  <w:num w:numId="14" w16cid:durableId="2025738407">
    <w:abstractNumId w:val="18"/>
  </w:num>
  <w:num w:numId="15" w16cid:durableId="150879135">
    <w:abstractNumId w:val="18"/>
  </w:num>
  <w:num w:numId="16" w16cid:durableId="891042484">
    <w:abstractNumId w:val="18"/>
  </w:num>
  <w:num w:numId="17" w16cid:durableId="727414043">
    <w:abstractNumId w:val="16"/>
  </w:num>
  <w:num w:numId="18" w16cid:durableId="1027833524">
    <w:abstractNumId w:val="1"/>
  </w:num>
  <w:num w:numId="19" w16cid:durableId="50661355">
    <w:abstractNumId w:val="5"/>
  </w:num>
  <w:num w:numId="20" w16cid:durableId="1446195555">
    <w:abstractNumId w:val="3"/>
  </w:num>
  <w:num w:numId="21" w16cid:durableId="558327301">
    <w:abstractNumId w:val="22"/>
  </w:num>
  <w:num w:numId="22" w16cid:durableId="463500638">
    <w:abstractNumId w:val="13"/>
  </w:num>
  <w:num w:numId="23" w16cid:durableId="1527019102">
    <w:abstractNumId w:val="2"/>
  </w:num>
  <w:num w:numId="24" w16cid:durableId="199210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10"/>
  </w:num>
  <w:num w:numId="26" w16cid:durableId="1830293373">
    <w:abstractNumId w:val="19"/>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14"/>
  </w:num>
  <w:num w:numId="33" w16cid:durableId="812675197">
    <w:abstractNumId w:val="17"/>
    <w:lvlOverride w:ilvl="0"/>
    <w:lvlOverride w:ilvl="1">
      <w:startOverride w:val="1"/>
    </w:lvlOverride>
    <w:lvlOverride w:ilvl="2"/>
    <w:lvlOverride w:ilvl="3"/>
    <w:lvlOverride w:ilvl="4"/>
    <w:lvlOverride w:ilvl="5"/>
    <w:lvlOverride w:ilvl="6"/>
    <w:lvlOverride w:ilvl="7"/>
    <w:lvlOverride w:ilvl="8"/>
  </w:num>
  <w:num w:numId="34" w16cid:durableId="183596959">
    <w:abstractNumId w:val="9"/>
  </w:num>
  <w:num w:numId="35" w16cid:durableId="17188221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1648F"/>
    <w:rsid w:val="0002210B"/>
    <w:rsid w:val="0003350C"/>
    <w:rsid w:val="00036DEB"/>
    <w:rsid w:val="00037BD2"/>
    <w:rsid w:val="00042B65"/>
    <w:rsid w:val="00043DA2"/>
    <w:rsid w:val="0004428A"/>
    <w:rsid w:val="0005181F"/>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E135E"/>
    <w:rsid w:val="000E5AB1"/>
    <w:rsid w:val="000E5E49"/>
    <w:rsid w:val="000F4554"/>
    <w:rsid w:val="000F5529"/>
    <w:rsid w:val="000F70BB"/>
    <w:rsid w:val="000F7BB6"/>
    <w:rsid w:val="001012B6"/>
    <w:rsid w:val="00102F62"/>
    <w:rsid w:val="00120892"/>
    <w:rsid w:val="0012193D"/>
    <w:rsid w:val="00124D1D"/>
    <w:rsid w:val="001358EF"/>
    <w:rsid w:val="00137015"/>
    <w:rsid w:val="00141746"/>
    <w:rsid w:val="001526A6"/>
    <w:rsid w:val="00155088"/>
    <w:rsid w:val="0015625B"/>
    <w:rsid w:val="00156D5F"/>
    <w:rsid w:val="00160B26"/>
    <w:rsid w:val="00162B03"/>
    <w:rsid w:val="001659DD"/>
    <w:rsid w:val="00175A76"/>
    <w:rsid w:val="001768F1"/>
    <w:rsid w:val="00180E47"/>
    <w:rsid w:val="001858EB"/>
    <w:rsid w:val="00194E09"/>
    <w:rsid w:val="00195C79"/>
    <w:rsid w:val="001A00F0"/>
    <w:rsid w:val="001A1058"/>
    <w:rsid w:val="001B3FD8"/>
    <w:rsid w:val="001B54A7"/>
    <w:rsid w:val="001B551F"/>
    <w:rsid w:val="001B5A48"/>
    <w:rsid w:val="001B62CD"/>
    <w:rsid w:val="001B71F8"/>
    <w:rsid w:val="001C60A4"/>
    <w:rsid w:val="001D1536"/>
    <w:rsid w:val="001D590D"/>
    <w:rsid w:val="001D5DF3"/>
    <w:rsid w:val="001E23F4"/>
    <w:rsid w:val="001E5E9B"/>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433A"/>
    <w:rsid w:val="00286CF2"/>
    <w:rsid w:val="0028735A"/>
    <w:rsid w:val="0029283C"/>
    <w:rsid w:val="00293D38"/>
    <w:rsid w:val="00297104"/>
    <w:rsid w:val="002B7995"/>
    <w:rsid w:val="002C5A50"/>
    <w:rsid w:val="002C6E70"/>
    <w:rsid w:val="002D0E5B"/>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65B11"/>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D0868"/>
    <w:rsid w:val="003D1485"/>
    <w:rsid w:val="003D1B7D"/>
    <w:rsid w:val="003D1CC2"/>
    <w:rsid w:val="003D30C6"/>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72B6"/>
    <w:rsid w:val="0043752D"/>
    <w:rsid w:val="00437772"/>
    <w:rsid w:val="004462A6"/>
    <w:rsid w:val="00446747"/>
    <w:rsid w:val="00451C67"/>
    <w:rsid w:val="00452F29"/>
    <w:rsid w:val="00454D76"/>
    <w:rsid w:val="00457556"/>
    <w:rsid w:val="00465E6B"/>
    <w:rsid w:val="00472A7C"/>
    <w:rsid w:val="00476327"/>
    <w:rsid w:val="0048300B"/>
    <w:rsid w:val="0048774B"/>
    <w:rsid w:val="00490915"/>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13440"/>
    <w:rsid w:val="00615D12"/>
    <w:rsid w:val="00617B7F"/>
    <w:rsid w:val="006242F0"/>
    <w:rsid w:val="006316B1"/>
    <w:rsid w:val="00632A37"/>
    <w:rsid w:val="00636173"/>
    <w:rsid w:val="00637198"/>
    <w:rsid w:val="00640445"/>
    <w:rsid w:val="00645EB9"/>
    <w:rsid w:val="006465D2"/>
    <w:rsid w:val="0065616A"/>
    <w:rsid w:val="0066567C"/>
    <w:rsid w:val="0066651F"/>
    <w:rsid w:val="006701F0"/>
    <w:rsid w:val="00680F51"/>
    <w:rsid w:val="00683A4B"/>
    <w:rsid w:val="00683F80"/>
    <w:rsid w:val="00686325"/>
    <w:rsid w:val="00691342"/>
    <w:rsid w:val="006A063F"/>
    <w:rsid w:val="006A6751"/>
    <w:rsid w:val="006B10E9"/>
    <w:rsid w:val="006B198C"/>
    <w:rsid w:val="006B27E0"/>
    <w:rsid w:val="006C004C"/>
    <w:rsid w:val="006C02BD"/>
    <w:rsid w:val="006C15DB"/>
    <w:rsid w:val="006D1DD8"/>
    <w:rsid w:val="006D4741"/>
    <w:rsid w:val="006D6465"/>
    <w:rsid w:val="006E1B6F"/>
    <w:rsid w:val="006E214D"/>
    <w:rsid w:val="006E25F6"/>
    <w:rsid w:val="006E55C1"/>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79D8"/>
    <w:rsid w:val="00773068"/>
    <w:rsid w:val="00785937"/>
    <w:rsid w:val="00790401"/>
    <w:rsid w:val="00790AD2"/>
    <w:rsid w:val="0079264A"/>
    <w:rsid w:val="00796755"/>
    <w:rsid w:val="00796E71"/>
    <w:rsid w:val="007979A7"/>
    <w:rsid w:val="00797F75"/>
    <w:rsid w:val="007A1F12"/>
    <w:rsid w:val="007B1555"/>
    <w:rsid w:val="007C43C1"/>
    <w:rsid w:val="007D5014"/>
    <w:rsid w:val="007E2744"/>
    <w:rsid w:val="007E4EC4"/>
    <w:rsid w:val="007E6E4B"/>
    <w:rsid w:val="007F3F24"/>
    <w:rsid w:val="007F4B75"/>
    <w:rsid w:val="007F6498"/>
    <w:rsid w:val="007F6B18"/>
    <w:rsid w:val="00806042"/>
    <w:rsid w:val="008122F2"/>
    <w:rsid w:val="008145A2"/>
    <w:rsid w:val="0081555F"/>
    <w:rsid w:val="0081639D"/>
    <w:rsid w:val="008174A6"/>
    <w:rsid w:val="00826F5D"/>
    <w:rsid w:val="008277B1"/>
    <w:rsid w:val="00831EE0"/>
    <w:rsid w:val="0083798F"/>
    <w:rsid w:val="00841B8C"/>
    <w:rsid w:val="008422F2"/>
    <w:rsid w:val="00845EDF"/>
    <w:rsid w:val="008475B8"/>
    <w:rsid w:val="00851E44"/>
    <w:rsid w:val="00852E5A"/>
    <w:rsid w:val="00856DAD"/>
    <w:rsid w:val="008624E2"/>
    <w:rsid w:val="008640BB"/>
    <w:rsid w:val="008667A9"/>
    <w:rsid w:val="00873479"/>
    <w:rsid w:val="0087426B"/>
    <w:rsid w:val="00882BEF"/>
    <w:rsid w:val="00884568"/>
    <w:rsid w:val="00885126"/>
    <w:rsid w:val="00886DE9"/>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3800"/>
    <w:rsid w:val="00914861"/>
    <w:rsid w:val="00916C88"/>
    <w:rsid w:val="00917106"/>
    <w:rsid w:val="00920F55"/>
    <w:rsid w:val="009265DD"/>
    <w:rsid w:val="009319AE"/>
    <w:rsid w:val="009375BF"/>
    <w:rsid w:val="0094130E"/>
    <w:rsid w:val="009617D1"/>
    <w:rsid w:val="00963E0B"/>
    <w:rsid w:val="009646F5"/>
    <w:rsid w:val="00973BC6"/>
    <w:rsid w:val="009757DA"/>
    <w:rsid w:val="00981E60"/>
    <w:rsid w:val="009822CC"/>
    <w:rsid w:val="00982820"/>
    <w:rsid w:val="009852F9"/>
    <w:rsid w:val="0099269F"/>
    <w:rsid w:val="00992B05"/>
    <w:rsid w:val="00994102"/>
    <w:rsid w:val="009942BE"/>
    <w:rsid w:val="009A5DA3"/>
    <w:rsid w:val="009B04F7"/>
    <w:rsid w:val="009B5565"/>
    <w:rsid w:val="009C3E78"/>
    <w:rsid w:val="009C7888"/>
    <w:rsid w:val="009D4BF5"/>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2FBD"/>
    <w:rsid w:val="00A5113C"/>
    <w:rsid w:val="00A525B9"/>
    <w:rsid w:val="00A575FC"/>
    <w:rsid w:val="00A66AC8"/>
    <w:rsid w:val="00A67863"/>
    <w:rsid w:val="00A70557"/>
    <w:rsid w:val="00A739EA"/>
    <w:rsid w:val="00A73FDA"/>
    <w:rsid w:val="00A77317"/>
    <w:rsid w:val="00A90826"/>
    <w:rsid w:val="00A93476"/>
    <w:rsid w:val="00A95FB0"/>
    <w:rsid w:val="00AB3000"/>
    <w:rsid w:val="00AB6599"/>
    <w:rsid w:val="00AC3F17"/>
    <w:rsid w:val="00AE1221"/>
    <w:rsid w:val="00AF205E"/>
    <w:rsid w:val="00AF41B0"/>
    <w:rsid w:val="00AF5A70"/>
    <w:rsid w:val="00AF7AF9"/>
    <w:rsid w:val="00B017A5"/>
    <w:rsid w:val="00B04D1F"/>
    <w:rsid w:val="00B0622B"/>
    <w:rsid w:val="00B111AB"/>
    <w:rsid w:val="00B20994"/>
    <w:rsid w:val="00B2713B"/>
    <w:rsid w:val="00B2773F"/>
    <w:rsid w:val="00B30895"/>
    <w:rsid w:val="00B328C8"/>
    <w:rsid w:val="00B334A0"/>
    <w:rsid w:val="00B34AB1"/>
    <w:rsid w:val="00B34DB3"/>
    <w:rsid w:val="00B50669"/>
    <w:rsid w:val="00B509AD"/>
    <w:rsid w:val="00B5283A"/>
    <w:rsid w:val="00B546CE"/>
    <w:rsid w:val="00B56A4E"/>
    <w:rsid w:val="00B5762E"/>
    <w:rsid w:val="00B7284B"/>
    <w:rsid w:val="00B73C52"/>
    <w:rsid w:val="00B80C9B"/>
    <w:rsid w:val="00B81AB7"/>
    <w:rsid w:val="00B8365D"/>
    <w:rsid w:val="00B906DF"/>
    <w:rsid w:val="00B91F92"/>
    <w:rsid w:val="00B946A3"/>
    <w:rsid w:val="00BA010D"/>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2F12"/>
    <w:rsid w:val="00D435F4"/>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50CC"/>
    <w:rsid w:val="00E507FC"/>
    <w:rsid w:val="00E54EEF"/>
    <w:rsid w:val="00E5669C"/>
    <w:rsid w:val="00E61A8D"/>
    <w:rsid w:val="00E63058"/>
    <w:rsid w:val="00E638CC"/>
    <w:rsid w:val="00E73450"/>
    <w:rsid w:val="00E73568"/>
    <w:rsid w:val="00E8348A"/>
    <w:rsid w:val="00E871F3"/>
    <w:rsid w:val="00E90359"/>
    <w:rsid w:val="00E90510"/>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670B0"/>
    <w:rsid w:val="00F679B4"/>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64883">
      <w:bodyDiv w:val="1"/>
      <w:marLeft w:val="0"/>
      <w:marRight w:val="0"/>
      <w:marTop w:val="0"/>
      <w:marBottom w:val="0"/>
      <w:divBdr>
        <w:top w:val="none" w:sz="0" w:space="0" w:color="auto"/>
        <w:left w:val="none" w:sz="0" w:space="0" w:color="auto"/>
        <w:bottom w:val="none" w:sz="0" w:space="0" w:color="auto"/>
        <w:right w:val="none" w:sz="0" w:space="0" w:color="auto"/>
      </w:divBdr>
    </w:div>
    <w:div w:id="763962996">
      <w:bodyDiv w:val="1"/>
      <w:marLeft w:val="0"/>
      <w:marRight w:val="0"/>
      <w:marTop w:val="0"/>
      <w:marBottom w:val="0"/>
      <w:divBdr>
        <w:top w:val="none" w:sz="0" w:space="0" w:color="auto"/>
        <w:left w:val="none" w:sz="0" w:space="0" w:color="auto"/>
        <w:bottom w:val="none" w:sz="0" w:space="0" w:color="auto"/>
        <w:right w:val="none" w:sz="0" w:space="0" w:color="auto"/>
      </w:divBdr>
    </w:div>
    <w:div w:id="960770226">
      <w:bodyDiv w:val="1"/>
      <w:marLeft w:val="0"/>
      <w:marRight w:val="0"/>
      <w:marTop w:val="0"/>
      <w:marBottom w:val="0"/>
      <w:divBdr>
        <w:top w:val="none" w:sz="0" w:space="0" w:color="auto"/>
        <w:left w:val="none" w:sz="0" w:space="0" w:color="auto"/>
        <w:bottom w:val="none" w:sz="0" w:space="0" w:color="auto"/>
        <w:right w:val="none" w:sz="0" w:space="0" w:color="auto"/>
      </w:divBdr>
    </w:div>
    <w:div w:id="1041395807">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677492092">
      <w:bodyDiv w:val="1"/>
      <w:marLeft w:val="0"/>
      <w:marRight w:val="0"/>
      <w:marTop w:val="0"/>
      <w:marBottom w:val="0"/>
      <w:divBdr>
        <w:top w:val="none" w:sz="0" w:space="0" w:color="auto"/>
        <w:left w:val="none" w:sz="0" w:space="0" w:color="auto"/>
        <w:bottom w:val="none" w:sz="0" w:space="0" w:color="auto"/>
        <w:right w:val="none" w:sz="0" w:space="0" w:color="auto"/>
      </w:divBdr>
    </w:div>
    <w:div w:id="1716194203">
      <w:bodyDiv w:val="1"/>
      <w:marLeft w:val="0"/>
      <w:marRight w:val="0"/>
      <w:marTop w:val="0"/>
      <w:marBottom w:val="0"/>
      <w:divBdr>
        <w:top w:val="none" w:sz="0" w:space="0" w:color="auto"/>
        <w:left w:val="none" w:sz="0" w:space="0" w:color="auto"/>
        <w:bottom w:val="none" w:sz="0" w:space="0" w:color="auto"/>
        <w:right w:val="none" w:sz="0" w:space="0" w:color="auto"/>
      </w:divBdr>
    </w:div>
    <w:div w:id="19435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assets.publishing.service.gov.uk/government/uploads/system/uploads/attachment_data/file/913510/14-705-regulators-code.pdf" TargetMode="External"/><Relationship Id="rId39" Type="http://schemas.openxmlformats.org/officeDocument/2006/relationships/header" Target="header9.xml"/><Relationship Id="rId21" Type="http://schemas.openxmlformats.org/officeDocument/2006/relationships/hyperlink" Target="https://assets.publishing.service.gov.uk/government/uploads/system/uploads/attachment_data/file/411801/mou-orr.pdf" TargetMode="External"/><Relationship Id="rId34" Type="http://schemas.openxmlformats.org/officeDocument/2006/relationships/image" Target="media/image4.png"/><Relationship Id="rId42" Type="http://schemas.openxmlformats.org/officeDocument/2006/relationships/header" Target="header10.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www.researchgate.net/publication/333107804_The_Many_Faces_of_Participation_in_Sci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legislation.gov.uk/ukpga/1993/43/contents" TargetMode="External"/><Relationship Id="rId32" Type="http://schemas.openxmlformats.org/officeDocument/2006/relationships/header" Target="header6.xml"/><Relationship Id="rId37" Type="http://schemas.openxmlformats.org/officeDocument/2006/relationships/hyperlink" Target="mailto:procurementteam@orr.gov.uk" TargetMode="External"/><Relationship Id="rId40" Type="http://schemas.openxmlformats.org/officeDocument/2006/relationships/footer" Target="footer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about/how-we-work/strategy-duties/law-and-our-duties" TargetMode="External"/><Relationship Id="rId28" Type="http://schemas.openxmlformats.org/officeDocument/2006/relationships/hyperlink" Target="https://www.orr.gov.uk/media/17138" TargetMode="External"/><Relationship Id="rId36" Type="http://schemas.openxmlformats.org/officeDocument/2006/relationships/hyperlink" Target="https://www.gov.uk/contracts-finder" TargetMode="Externa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yperlink" Target="https://www.orr.gov.uk/media/23638"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assets.publishing.service.gov.uk/government/uploads/system/uploads/attachment_data/file/411076/statutory-guidance-on-fines.pdf" TargetMode="External"/><Relationship Id="rId27" Type="http://schemas.openxmlformats.org/officeDocument/2006/relationships/hyperlink" Target="https://www.law.upenn.edu/live/files/4711-baldwin-ppr-bicregulatordiscussionpaper-062015pdf" TargetMode="External"/><Relationship Id="rId30" Type="http://schemas.openxmlformats.org/officeDocument/2006/relationships/hyperlink" Target="https://www.orr.gov.uk/media/23638" TargetMode="External"/><Relationship Id="rId35" Type="http://schemas.openxmlformats.org/officeDocument/2006/relationships/hyperlink" Target="http:\\www.nationalarchives.gov.uk/doc/open-government-licence/version/3" TargetMode="External"/><Relationship Id="rId43"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gov.uk/government/publications/great-british-railways-williams-shapps-plan-for-rail" TargetMode="External"/><Relationship Id="rId33" Type="http://schemas.openxmlformats.org/officeDocument/2006/relationships/header" Target="header7.xml"/><Relationship Id="rId38" Type="http://schemas.openxmlformats.org/officeDocument/2006/relationships/header" Target="header8.xml"/><Relationship Id="rId46" Type="http://schemas.openxmlformats.org/officeDocument/2006/relationships/theme" Target="theme/theme1.xml"/><Relationship Id="rId20" Type="http://schemas.openxmlformats.org/officeDocument/2006/relationships/hyperlink" Target="https://www.legislation.gov.uk/ukpga/2015/7/contents" TargetMode="External"/><Relationship Id="rId41"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624DF8"/>
    <w:rsid w:val="00843948"/>
    <w:rsid w:val="009E0644"/>
    <w:rsid w:val="00A257DF"/>
    <w:rsid w:val="00A72823"/>
    <w:rsid w:val="00C506B8"/>
    <w:rsid w:val="00F0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353</TotalTime>
  <Pages>23</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Title of project</dc:subject>
  <dc:creator>Angeriz-Santos, Paula</dc:creator>
  <cp:keywords/>
  <dc:description/>
  <cp:lastModifiedBy>Augusto, Barbara</cp:lastModifiedBy>
  <cp:revision>13</cp:revision>
  <cp:lastPrinted>2021-02-24T15:29:00Z</cp:lastPrinted>
  <dcterms:created xsi:type="dcterms:W3CDTF">2022-10-20T09:56:00Z</dcterms:created>
  <dcterms:modified xsi:type="dcterms:W3CDTF">2022-11-08T21:02:00Z</dcterms:modified>
</cp:coreProperties>
</file>