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05" w:rsidRDefault="00A15905" w:rsidP="00A1590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This Framework Agreement RM3788 is for use by Contracting Authorities in the United Kingdom that exist on </w:t>
      </w:r>
      <w:r>
        <w:rPr>
          <w:rFonts w:ascii="Calibri" w:hAnsi="Calibri"/>
          <w:b/>
          <w:bCs/>
          <w:color w:val="1F497D"/>
          <w:sz w:val="22"/>
          <w:szCs w:val="22"/>
          <w:shd w:val="clear" w:color="auto" w:fill="FFFF00"/>
        </w:rPr>
        <w:t>[INSERT DATE ON WHICH THE OJEU FOR THE RELEVANT FRAMEWORK AGREEMENT IS TO BE PUBLISHED]</w:t>
      </w:r>
      <w:bookmarkStart w:id="0" w:name="_GoBack"/>
      <w:bookmarkEnd w:id="0"/>
      <w:r w:rsidR="0088589A">
        <w:rPr>
          <w:rFonts w:ascii="Calibri" w:hAnsi="Calibri"/>
          <w:b/>
          <w:bCs/>
          <w:color w:val="1F497D"/>
          <w:sz w:val="22"/>
          <w:szCs w:val="22"/>
          <w:shd w:val="clear" w:color="auto" w:fill="FFFF00"/>
        </w:rPr>
        <w:t xml:space="preserve"> </w:t>
      </w:r>
      <w:r>
        <w:rPr>
          <w:rFonts w:ascii="Calibri" w:hAnsi="Calibri"/>
          <w:b/>
          <w:bCs/>
          <w:color w:val="1F497D"/>
          <w:sz w:val="22"/>
          <w:szCs w:val="22"/>
        </w:rPr>
        <w:t>and which fall into one or more of the following categories:</w:t>
      </w:r>
    </w:p>
    <w:p w:rsidR="00A15905" w:rsidRDefault="00A15905" w:rsidP="00A1590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b/>
          <w:bCs/>
          <w:color w:val="1F497D"/>
          <w:sz w:val="22"/>
          <w:szCs w:val="22"/>
        </w:rPr>
      </w:pPr>
    </w:p>
    <w:p w:rsidR="00A15905" w:rsidRDefault="00A15905" w:rsidP="000D628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Any of the following:</w:t>
      </w:r>
    </w:p>
    <w:p w:rsidR="009812DE" w:rsidRDefault="009812DE" w:rsidP="000D62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</w:p>
    <w:p w:rsidR="00033F59" w:rsidRDefault="00033F59" w:rsidP="00033F59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</w:t>
      </w:r>
      <w:r>
        <w:rPr>
          <w:rFonts w:ascii="Calibri" w:hAnsi="Calibri"/>
          <w:b/>
          <w:bCs/>
          <w:color w:val="1F497D"/>
          <w:sz w:val="22"/>
          <w:szCs w:val="22"/>
        </w:rPr>
        <w:t>a</w:t>
      </w:r>
      <w:r>
        <w:rPr>
          <w:rFonts w:ascii="Calibri" w:hAnsi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   </w:t>
      </w:r>
      <w:r>
        <w:rPr>
          <w:rFonts w:ascii="Calibri" w:hAnsi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033F59" w:rsidRDefault="00033F59" w:rsidP="00033F5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(b</w:t>
      </w:r>
      <w:r>
        <w:rPr>
          <w:rFonts w:ascii="Calibri" w:hAnsi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   </w:t>
      </w:r>
      <w:r>
        <w:rPr>
          <w:rFonts w:ascii="Calibri" w:hAnsi="Calibri"/>
          <w:b/>
          <w:bCs/>
          <w:color w:val="1F497D"/>
          <w:sz w:val="22"/>
          <w:szCs w:val="22"/>
        </w:rPr>
        <w:t>Assembly Sponsored Public Bodies (ASPBs);</w:t>
      </w:r>
    </w:p>
    <w:p w:rsidR="00033F59" w:rsidRDefault="00033F59" w:rsidP="00033F5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(c)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 </w:t>
      </w:r>
      <w:r w:rsidRPr="008B492F">
        <w:rPr>
          <w:rFonts w:ascii="Calibri" w:hAnsi="Calibri"/>
          <w:b/>
          <w:bCs/>
          <w:color w:val="1F497D"/>
          <w:sz w:val="22"/>
          <w:szCs w:val="22"/>
        </w:rPr>
        <w:t>Other parts of Central Government holding Crown Status employing Civil Servants</w:t>
      </w:r>
      <w:r>
        <w:rPr>
          <w:rFonts w:ascii="Calibri" w:hAnsi="Calibri"/>
          <w:b/>
          <w:bCs/>
          <w:color w:val="1F497D"/>
          <w:sz w:val="22"/>
          <w:szCs w:val="22"/>
        </w:rPr>
        <w:t>;</w:t>
      </w:r>
    </w:p>
    <w:p w:rsidR="00033F59" w:rsidRDefault="00033F59" w:rsidP="00033F5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(d</w:t>
      </w:r>
      <w:r>
        <w:rPr>
          <w:rFonts w:ascii="Calibri" w:hAnsi="Calibri"/>
          <w:b/>
          <w:bCs/>
          <w:color w:val="1F497D"/>
          <w:sz w:val="22"/>
          <w:szCs w:val="22"/>
        </w:rPr>
        <w:t>)</w:t>
      </w:r>
      <w:r w:rsidRPr="008B492F">
        <w:t xml:space="preserve"> </w:t>
      </w:r>
      <w:r w:rsidRPr="008B492F">
        <w:rPr>
          <w:rFonts w:ascii="Calibri" w:hAnsi="Calibri"/>
          <w:b/>
          <w:bCs/>
          <w:color w:val="1F497D"/>
          <w:sz w:val="22"/>
          <w:szCs w:val="22"/>
        </w:rPr>
        <w:t>All non-Crown Status Government Companies wholly or partly owned by Central Government Departments</w:t>
      </w:r>
      <w:r>
        <w:rPr>
          <w:rFonts w:ascii="Calibri" w:hAnsi="Calibri"/>
          <w:b/>
          <w:bCs/>
          <w:color w:val="1F497D"/>
          <w:sz w:val="22"/>
          <w:szCs w:val="22"/>
        </w:rPr>
        <w:t>, and their subsidiaries.</w:t>
      </w:r>
    </w:p>
    <w:p w:rsidR="000D6282" w:rsidRDefault="000D6282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</w:t>
      </w:r>
      <w:r w:rsidR="00033F59">
        <w:rPr>
          <w:rFonts w:ascii="Calibri" w:hAnsi="Calibri"/>
          <w:b/>
          <w:bCs/>
          <w:color w:val="1F497D"/>
          <w:sz w:val="22"/>
          <w:szCs w:val="22"/>
        </w:rPr>
        <w:t>e</w:t>
      </w:r>
      <w:r>
        <w:rPr>
          <w:rFonts w:ascii="Calibri" w:hAnsi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     </w:t>
      </w:r>
      <w:r>
        <w:rPr>
          <w:rFonts w:ascii="Calibri" w:hAnsi="Calibri"/>
          <w:b/>
          <w:bCs/>
          <w:color w:val="1F497D"/>
          <w:sz w:val="22"/>
          <w:szCs w:val="22"/>
        </w:rPr>
        <w:t>Police forces;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(f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Fire and rescue services;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(g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Ambulance services;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(h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 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Maritime and coastguard agency services;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i</w:t>
      </w:r>
      <w:proofErr w:type="spellEnd"/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NHS bodies;</w:t>
      </w:r>
    </w:p>
    <w:p w:rsidR="000D6282" w:rsidRDefault="000D6282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</w:t>
      </w:r>
      <w:r w:rsidR="00033F59">
        <w:rPr>
          <w:rFonts w:ascii="Calibri" w:hAnsi="Calibri"/>
          <w:b/>
          <w:bCs/>
          <w:color w:val="1F497D"/>
          <w:sz w:val="22"/>
          <w:szCs w:val="22"/>
        </w:rPr>
        <w:t>j</w:t>
      </w:r>
      <w:r>
        <w:rPr>
          <w:rFonts w:ascii="Calibri" w:hAnsi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    </w:t>
      </w:r>
      <w:r>
        <w:rPr>
          <w:rFonts w:ascii="Calibri" w:hAnsi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(k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 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Hospices;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(l)</w:t>
      </w:r>
      <w:r w:rsidR="000D6282">
        <w:rPr>
          <w:b/>
          <w:bCs/>
          <w:color w:val="1F497D"/>
          <w:sz w:val="14"/>
          <w:szCs w:val="14"/>
        </w:rPr>
        <w:t xml:space="preserve"> 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National Parks;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(m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(n)</w:t>
      </w:r>
      <w:r w:rsidR="000D6282">
        <w:rPr>
          <w:b/>
          <w:bCs/>
          <w:color w:val="1F497D"/>
          <w:sz w:val="14"/>
          <w:szCs w:val="14"/>
        </w:rPr>
        <w:t>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Third sector and charities;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(o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Citizens advice bodies;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(p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(q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Public corporations;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(r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Public financial bodies or institutions;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(s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Public pension funds;</w:t>
      </w:r>
    </w:p>
    <w:p w:rsid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(t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)</w:t>
      </w:r>
      <w:r w:rsidR="000D6282">
        <w:rPr>
          <w:b/>
          <w:bCs/>
          <w:color w:val="1F497D"/>
          <w:sz w:val="14"/>
          <w:szCs w:val="14"/>
        </w:rPr>
        <w:t xml:space="preserve">   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>Central banks; and</w:t>
      </w:r>
    </w:p>
    <w:p w:rsidR="000D6282" w:rsidRPr="000D6282" w:rsidRDefault="00033F59" w:rsidP="000D628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(u</w:t>
      </w:r>
      <w:r w:rsidR="000D6282">
        <w:rPr>
          <w:rFonts w:ascii="Calibri" w:hAnsi="Calibri"/>
          <w:b/>
          <w:bCs/>
          <w:color w:val="1F497D"/>
          <w:sz w:val="22"/>
          <w:szCs w:val="22"/>
        </w:rPr>
        <w:t xml:space="preserve">)   Any company, finances wholly or mainly, by the Contracting Authorities listed above. </w:t>
      </w:r>
    </w:p>
    <w:p w:rsidR="000D6282" w:rsidRDefault="000D6282" w:rsidP="000D6282">
      <w:pPr>
        <w:pStyle w:val="NormalWeb"/>
        <w:shd w:val="clear" w:color="auto" w:fill="FFFFFF"/>
        <w:spacing w:before="0" w:beforeAutospacing="0" w:after="0" w:afterAutospacing="0"/>
      </w:pPr>
    </w:p>
    <w:p w:rsidR="002F6669" w:rsidRPr="000D6282" w:rsidRDefault="00A15905" w:rsidP="000D6282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</w:p>
    <w:p w:rsidR="002F6669" w:rsidRDefault="002F6669" w:rsidP="002F666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2. Additionally any of the following will be enabled to use Lot 1</w:t>
      </w:r>
      <w:r w:rsidR="0031118E">
        <w:rPr>
          <w:rFonts w:ascii="Calibri" w:hAnsi="Calibri"/>
          <w:b/>
          <w:bCs/>
          <w:color w:val="1F497D"/>
          <w:sz w:val="22"/>
          <w:szCs w:val="22"/>
        </w:rPr>
        <w:t xml:space="preserve"> only</w:t>
      </w:r>
      <w:r w:rsidRPr="002F6669">
        <w:t xml:space="preserve"> </w:t>
      </w:r>
      <w:r w:rsidRPr="002F6669">
        <w:rPr>
          <w:rFonts w:ascii="Calibri" w:hAnsi="Calibri"/>
          <w:b/>
          <w:bCs/>
          <w:color w:val="1F497D"/>
          <w:sz w:val="22"/>
          <w:szCs w:val="22"/>
        </w:rPr>
        <w:t>for transactional property work (including non-complex conveyancing and work relating to leases and licences) or employment litigation or other litigation work where the value of the fees the P</w:t>
      </w:r>
      <w:r w:rsidR="00884076">
        <w:rPr>
          <w:rFonts w:ascii="Calibri" w:hAnsi="Calibri"/>
          <w:b/>
          <w:bCs/>
          <w:color w:val="1F497D"/>
          <w:sz w:val="22"/>
          <w:szCs w:val="22"/>
        </w:rPr>
        <w:t xml:space="preserve">anel Buyer incurs does not exceed </w:t>
      </w:r>
      <w:r w:rsidRPr="002F6669">
        <w:rPr>
          <w:rFonts w:ascii="Calibri" w:hAnsi="Calibri"/>
          <w:b/>
          <w:bCs/>
          <w:color w:val="1F497D"/>
          <w:sz w:val="22"/>
          <w:szCs w:val="22"/>
        </w:rPr>
        <w:t>twenty thousand pounds (£20,000)</w:t>
      </w:r>
      <w:r>
        <w:rPr>
          <w:rFonts w:ascii="Calibri" w:hAnsi="Calibri"/>
          <w:b/>
          <w:bCs/>
          <w:color w:val="1F497D"/>
          <w:sz w:val="22"/>
          <w:szCs w:val="22"/>
        </w:rPr>
        <w:t>, and Lot 5:</w:t>
      </w:r>
    </w:p>
    <w:p w:rsidR="002F6669" w:rsidRDefault="002F6669" w:rsidP="002F666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</w:p>
    <w:p w:rsidR="002F6669" w:rsidRDefault="002F6669" w:rsidP="002F6669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    </w:t>
      </w:r>
      <w:r>
        <w:rPr>
          <w:rFonts w:ascii="Calibri" w:hAnsi="Calibri"/>
          <w:b/>
          <w:bCs/>
          <w:color w:val="1F497D"/>
          <w:sz w:val="22"/>
          <w:szCs w:val="22"/>
        </w:rPr>
        <w:t>Ministerial government departments;</w:t>
      </w:r>
    </w:p>
    <w:p w:rsidR="002F6669" w:rsidRDefault="002F6669" w:rsidP="002F6669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 </w:t>
      </w:r>
      <w:r>
        <w:rPr>
          <w:rFonts w:ascii="Calibri" w:hAnsi="Calibri"/>
          <w:b/>
          <w:bCs/>
          <w:color w:val="1F497D"/>
          <w:sz w:val="22"/>
          <w:szCs w:val="22"/>
        </w:rPr>
        <w:t>Non ministerial government departments;</w:t>
      </w:r>
    </w:p>
    <w:p w:rsidR="002F6669" w:rsidRDefault="002F6669" w:rsidP="002F666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    </w:t>
      </w:r>
      <w:r>
        <w:rPr>
          <w:rFonts w:ascii="Calibri" w:hAnsi="Calibri"/>
          <w:b/>
          <w:bCs/>
          <w:color w:val="1F497D"/>
          <w:sz w:val="22"/>
          <w:szCs w:val="22"/>
        </w:rPr>
        <w:t>Executive agencies of</w:t>
      </w:r>
      <w:r w:rsidR="00B94561">
        <w:rPr>
          <w:rFonts w:ascii="Calibri" w:hAnsi="Calibri"/>
          <w:b/>
          <w:bCs/>
          <w:color w:val="1F497D"/>
          <w:sz w:val="22"/>
          <w:szCs w:val="22"/>
        </w:rPr>
        <w:t xml:space="preserve"> (a) and (b) above</w:t>
      </w:r>
      <w:r>
        <w:rPr>
          <w:rFonts w:ascii="Calibri" w:hAnsi="Calibri"/>
          <w:b/>
          <w:bCs/>
          <w:color w:val="1F497D"/>
          <w:sz w:val="22"/>
          <w:szCs w:val="22"/>
        </w:rPr>
        <w:t>;</w:t>
      </w:r>
    </w:p>
    <w:p w:rsidR="00AB6318" w:rsidRDefault="00AB6318" w:rsidP="00033F5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b/>
          <w:bCs/>
          <w:color w:val="1F497D"/>
          <w:sz w:val="22"/>
          <w:szCs w:val="22"/>
        </w:rPr>
      </w:pPr>
    </w:p>
    <w:p w:rsidR="00AB6318" w:rsidRPr="00AB6318" w:rsidRDefault="00AB6318" w:rsidP="00AB63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The bodies enabled to use each lot are listed here: &lt;insert link to spreadsheet&gt;.</w:t>
      </w:r>
    </w:p>
    <w:p w:rsidR="00BF5A5D" w:rsidRDefault="008B492F" w:rsidP="008B492F">
      <w:r>
        <w:t>.</w:t>
      </w:r>
    </w:p>
    <w:sectPr w:rsidR="00BF5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D76"/>
    <w:multiLevelType w:val="hybridMultilevel"/>
    <w:tmpl w:val="D6C85D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705DBC"/>
    <w:multiLevelType w:val="hybridMultilevel"/>
    <w:tmpl w:val="50FAD776"/>
    <w:lvl w:ilvl="0" w:tplc="C38C829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F4732"/>
    <w:multiLevelType w:val="hybridMultilevel"/>
    <w:tmpl w:val="D8C21E5C"/>
    <w:lvl w:ilvl="0" w:tplc="7A44EA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3E70F9"/>
    <w:multiLevelType w:val="hybridMultilevel"/>
    <w:tmpl w:val="87425BA4"/>
    <w:lvl w:ilvl="0" w:tplc="093E13C4">
      <w:start w:val="1"/>
      <w:numFmt w:val="lowerLetter"/>
      <w:lvlText w:val="(%1)"/>
      <w:lvlJc w:val="left"/>
      <w:pPr>
        <w:ind w:left="180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05"/>
    <w:rsid w:val="00033F59"/>
    <w:rsid w:val="000D6282"/>
    <w:rsid w:val="002A2109"/>
    <w:rsid w:val="002F6669"/>
    <w:rsid w:val="0031118E"/>
    <w:rsid w:val="00884076"/>
    <w:rsid w:val="0088589A"/>
    <w:rsid w:val="008B492F"/>
    <w:rsid w:val="009812DE"/>
    <w:rsid w:val="00A15905"/>
    <w:rsid w:val="00A555C5"/>
    <w:rsid w:val="00AB6318"/>
    <w:rsid w:val="00B94561"/>
    <w:rsid w:val="00B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7D3A0-3CB8-4C03-BBAB-70D7B780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Lips</dc:creator>
  <cp:keywords/>
  <dc:description/>
  <cp:lastModifiedBy>Constance Lips</cp:lastModifiedBy>
  <cp:revision>3</cp:revision>
  <dcterms:created xsi:type="dcterms:W3CDTF">2018-05-13T09:58:00Z</dcterms:created>
  <dcterms:modified xsi:type="dcterms:W3CDTF">2018-05-16T10:48:00Z</dcterms:modified>
</cp:coreProperties>
</file>