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ABC71" w14:textId="77777777" w:rsidR="001D5830" w:rsidRDefault="009663B9">
      <w:pPr>
        <w:pStyle w:val="BodyText"/>
        <w:rPr>
          <w:rFonts w:ascii="Times New Roman"/>
          <w:sz w:val="20"/>
        </w:rPr>
      </w:pPr>
      <w:r w:rsidRPr="009663B9">
        <w:rPr>
          <w:noProof/>
        </w:rPr>
        <w:drawing>
          <wp:inline distT="0" distB="0" distL="0" distR="0" wp14:anchorId="3E235861" wp14:editId="6D0252CC">
            <wp:extent cx="2400300" cy="1009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C2108" w14:textId="77777777" w:rsidR="009663B9" w:rsidRDefault="009663B9" w:rsidP="009663B9">
      <w:pPr>
        <w:pStyle w:val="BodyText"/>
        <w:spacing w:before="11"/>
        <w:jc w:val="center"/>
        <w:rPr>
          <w:b/>
          <w:sz w:val="72"/>
          <w:szCs w:val="72"/>
        </w:rPr>
      </w:pPr>
    </w:p>
    <w:p w14:paraId="77CBEB8C" w14:textId="77777777" w:rsidR="009663B9" w:rsidRDefault="009663B9" w:rsidP="009663B9">
      <w:pPr>
        <w:pStyle w:val="BodyText"/>
        <w:spacing w:before="11"/>
        <w:jc w:val="center"/>
        <w:rPr>
          <w:b/>
          <w:sz w:val="72"/>
          <w:szCs w:val="72"/>
        </w:rPr>
      </w:pPr>
    </w:p>
    <w:p w14:paraId="65184A2D" w14:textId="77777777" w:rsidR="009663B9" w:rsidRDefault="009663B9" w:rsidP="009663B9">
      <w:pPr>
        <w:pStyle w:val="BodyText"/>
        <w:spacing w:before="11"/>
        <w:jc w:val="center"/>
        <w:rPr>
          <w:b/>
          <w:sz w:val="72"/>
          <w:szCs w:val="72"/>
        </w:rPr>
      </w:pPr>
    </w:p>
    <w:p w14:paraId="6FE284F9" w14:textId="77777777" w:rsidR="009663B9" w:rsidRDefault="009663B9" w:rsidP="009663B9">
      <w:pPr>
        <w:pStyle w:val="BodyText"/>
        <w:spacing w:before="11"/>
        <w:jc w:val="center"/>
        <w:rPr>
          <w:b/>
          <w:sz w:val="72"/>
          <w:szCs w:val="72"/>
        </w:rPr>
      </w:pPr>
    </w:p>
    <w:p w14:paraId="022993A5" w14:textId="77777777" w:rsidR="00671293" w:rsidRDefault="00671293" w:rsidP="009663B9">
      <w:pPr>
        <w:pStyle w:val="BodyText"/>
        <w:spacing w:before="11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BASS </w:t>
      </w:r>
    </w:p>
    <w:p w14:paraId="6014427C" w14:textId="449423AE" w:rsidR="001D5830" w:rsidRDefault="00671293" w:rsidP="009663B9">
      <w:pPr>
        <w:pStyle w:val="BodyText"/>
        <w:spacing w:before="11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Empty </w:t>
      </w:r>
      <w:r w:rsidR="009663B9" w:rsidRPr="009663B9">
        <w:rPr>
          <w:b/>
          <w:sz w:val="72"/>
          <w:szCs w:val="72"/>
        </w:rPr>
        <w:t>Property P</w:t>
      </w:r>
      <w:r>
        <w:rPr>
          <w:b/>
          <w:sz w:val="72"/>
          <w:szCs w:val="72"/>
        </w:rPr>
        <w:t>olicy</w:t>
      </w:r>
    </w:p>
    <w:p w14:paraId="04477CF8" w14:textId="77777777" w:rsidR="009663B9" w:rsidRDefault="009663B9" w:rsidP="0047334B">
      <w:pPr>
        <w:pStyle w:val="BodyText"/>
        <w:spacing w:before="11"/>
        <w:jc w:val="both"/>
        <w:rPr>
          <w:b/>
          <w:sz w:val="72"/>
          <w:szCs w:val="72"/>
        </w:rPr>
      </w:pPr>
    </w:p>
    <w:p w14:paraId="1CC2DB98" w14:textId="12B3A52D" w:rsidR="00671293" w:rsidRPr="00671293" w:rsidRDefault="00671293" w:rsidP="00671293">
      <w:pPr>
        <w:spacing w:before="75"/>
        <w:ind w:left="230" w:right="99"/>
        <w:rPr>
          <w:sz w:val="24"/>
          <w:szCs w:val="24"/>
        </w:rPr>
      </w:pPr>
      <w:r w:rsidRPr="00671293">
        <w:rPr>
          <w:sz w:val="24"/>
          <w:szCs w:val="24"/>
        </w:rPr>
        <w:t>This Policy is supported by the</w:t>
      </w:r>
      <w:r>
        <w:rPr>
          <w:sz w:val="24"/>
          <w:szCs w:val="24"/>
        </w:rPr>
        <w:t>: -</w:t>
      </w:r>
    </w:p>
    <w:p w14:paraId="4600D388" w14:textId="48003B31" w:rsidR="00671293" w:rsidRPr="00671293" w:rsidRDefault="00671293" w:rsidP="00671293">
      <w:pPr>
        <w:spacing w:before="75"/>
        <w:ind w:left="230" w:right="99"/>
        <w:rPr>
          <w:b/>
          <w:sz w:val="24"/>
          <w:szCs w:val="24"/>
        </w:rPr>
      </w:pPr>
      <w:r w:rsidRPr="00671293">
        <w:rPr>
          <w:b/>
          <w:sz w:val="24"/>
          <w:szCs w:val="24"/>
        </w:rPr>
        <w:t>BASS Contract</w:t>
      </w:r>
      <w:r>
        <w:rPr>
          <w:b/>
          <w:sz w:val="24"/>
          <w:szCs w:val="24"/>
        </w:rPr>
        <w:t xml:space="preserve"> </w:t>
      </w:r>
      <w:r w:rsidRPr="00671293">
        <w:rPr>
          <w:b/>
          <w:sz w:val="24"/>
          <w:szCs w:val="24"/>
        </w:rPr>
        <w:t>Empty Property (Void) Management Procedure</w:t>
      </w:r>
      <w:r>
        <w:rPr>
          <w:b/>
          <w:sz w:val="24"/>
          <w:szCs w:val="24"/>
        </w:rPr>
        <w:t xml:space="preserve"> Document</w:t>
      </w:r>
    </w:p>
    <w:p w14:paraId="3D20CE72" w14:textId="435B85F7" w:rsidR="003F3CB0" w:rsidRDefault="003F3CB0" w:rsidP="0047334B">
      <w:pPr>
        <w:pStyle w:val="BodyText"/>
        <w:spacing w:before="11"/>
        <w:jc w:val="both"/>
        <w:rPr>
          <w:b/>
        </w:rPr>
      </w:pPr>
    </w:p>
    <w:p w14:paraId="3D99E574" w14:textId="54045753" w:rsidR="003F3CB0" w:rsidRDefault="003F3CB0" w:rsidP="0047334B">
      <w:pPr>
        <w:pStyle w:val="BodyText"/>
        <w:spacing w:before="11"/>
        <w:jc w:val="both"/>
        <w:rPr>
          <w:b/>
        </w:rPr>
      </w:pPr>
    </w:p>
    <w:p w14:paraId="4596F03B" w14:textId="4A8AE28C" w:rsidR="003F3CB0" w:rsidRDefault="003F3CB0" w:rsidP="0047334B">
      <w:pPr>
        <w:pStyle w:val="BodyText"/>
        <w:spacing w:before="11"/>
        <w:jc w:val="both"/>
        <w:rPr>
          <w:b/>
        </w:rPr>
      </w:pPr>
    </w:p>
    <w:p w14:paraId="4D21E9E7" w14:textId="291722FA" w:rsidR="003F3CB0" w:rsidRDefault="003F3CB0" w:rsidP="0047334B">
      <w:pPr>
        <w:pStyle w:val="BodyText"/>
        <w:spacing w:before="11"/>
        <w:jc w:val="both"/>
        <w:rPr>
          <w:b/>
        </w:rPr>
      </w:pPr>
    </w:p>
    <w:p w14:paraId="77A5A569" w14:textId="28C7B01F" w:rsidR="003F3CB0" w:rsidRDefault="003F3CB0" w:rsidP="0047334B">
      <w:pPr>
        <w:pStyle w:val="BodyText"/>
        <w:spacing w:before="11"/>
        <w:jc w:val="both"/>
        <w:rPr>
          <w:b/>
        </w:rPr>
      </w:pPr>
    </w:p>
    <w:p w14:paraId="0FBC5C39" w14:textId="77777777" w:rsidR="003F3CB0" w:rsidRDefault="003F3CB0" w:rsidP="0047334B">
      <w:pPr>
        <w:pStyle w:val="BodyText"/>
        <w:spacing w:before="11"/>
        <w:jc w:val="both"/>
        <w:rPr>
          <w:b/>
        </w:rPr>
      </w:pPr>
    </w:p>
    <w:p w14:paraId="03C24200" w14:textId="77777777" w:rsidR="003F3CB0" w:rsidRPr="0047334B" w:rsidRDefault="003F3CB0" w:rsidP="003F3CB0">
      <w:pPr>
        <w:pStyle w:val="BodyText"/>
        <w:spacing w:before="11"/>
        <w:jc w:val="both"/>
        <w:rPr>
          <w:b/>
        </w:rPr>
      </w:pPr>
    </w:p>
    <w:tbl>
      <w:tblPr>
        <w:tblW w:w="0" w:type="auto"/>
        <w:tblInd w:w="2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2156"/>
        <w:gridCol w:w="2142"/>
        <w:gridCol w:w="2123"/>
      </w:tblGrid>
      <w:tr w:rsidR="003F3CB0" w14:paraId="24BE9024" w14:textId="77777777" w:rsidTr="00A42034">
        <w:trPr>
          <w:trHeight w:val="398"/>
        </w:trPr>
        <w:tc>
          <w:tcPr>
            <w:tcW w:w="4393" w:type="dxa"/>
            <w:gridSpan w:val="2"/>
            <w:tcBorders>
              <w:left w:val="single" w:sz="2" w:space="0" w:color="BEBEBE"/>
            </w:tcBorders>
            <w:tcMar>
              <w:top w:w="85" w:type="dxa"/>
              <w:bottom w:w="85" w:type="dxa"/>
            </w:tcMar>
          </w:tcPr>
          <w:p w14:paraId="4E6AB81D" w14:textId="48DDE3B0" w:rsidR="003F3CB0" w:rsidRDefault="003F3CB0" w:rsidP="00A42034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Title: </w:t>
            </w:r>
            <w:r w:rsidR="00A7446F">
              <w:rPr>
                <w:b/>
                <w:sz w:val="24"/>
              </w:rPr>
              <w:t>BASS Empty</w:t>
            </w:r>
            <w:r>
              <w:rPr>
                <w:b/>
                <w:sz w:val="24"/>
              </w:rPr>
              <w:t xml:space="preserve"> Property P</w:t>
            </w:r>
            <w:r w:rsidR="00A7446F">
              <w:rPr>
                <w:b/>
                <w:sz w:val="24"/>
              </w:rPr>
              <w:t>olicy</w:t>
            </w:r>
          </w:p>
        </w:tc>
        <w:tc>
          <w:tcPr>
            <w:tcW w:w="4265" w:type="dxa"/>
            <w:gridSpan w:val="2"/>
            <w:tcBorders>
              <w:right w:val="single" w:sz="2" w:space="0" w:color="BEBEBE"/>
            </w:tcBorders>
            <w:tcMar>
              <w:top w:w="85" w:type="dxa"/>
              <w:bottom w:w="85" w:type="dxa"/>
            </w:tcMar>
          </w:tcPr>
          <w:p w14:paraId="6F2620A0" w14:textId="77777777" w:rsidR="003F3CB0" w:rsidRDefault="003F3CB0" w:rsidP="00A42034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Reference Number: </w:t>
            </w:r>
          </w:p>
        </w:tc>
      </w:tr>
      <w:tr w:rsidR="003F3CB0" w14:paraId="248BD0DE" w14:textId="77777777" w:rsidTr="00A42034">
        <w:trPr>
          <w:trHeight w:val="475"/>
        </w:trPr>
        <w:tc>
          <w:tcPr>
            <w:tcW w:w="2237" w:type="dxa"/>
            <w:tcBorders>
              <w:left w:val="single" w:sz="2" w:space="0" w:color="BEBEBE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DAC6BDA" w14:textId="77777777" w:rsidR="003F3CB0" w:rsidRDefault="003F3CB0" w:rsidP="00A42034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  <w:tc>
          <w:tcPr>
            <w:tcW w:w="2156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AB25B92" w14:textId="77777777" w:rsidR="003F3CB0" w:rsidRDefault="003F3CB0" w:rsidP="00A4203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Draft</w:t>
            </w:r>
          </w:p>
        </w:tc>
        <w:tc>
          <w:tcPr>
            <w:tcW w:w="2142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76FAD8E" w14:textId="77777777" w:rsidR="003F3CB0" w:rsidRDefault="003F3CB0" w:rsidP="00A42034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Publication</w:t>
            </w:r>
          </w:p>
        </w:tc>
        <w:tc>
          <w:tcPr>
            <w:tcW w:w="2123" w:type="dxa"/>
            <w:tcBorders>
              <w:right w:val="single" w:sz="2" w:space="0" w:color="BEBEBE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261FF4C" w14:textId="77777777" w:rsidR="003F3CB0" w:rsidRDefault="003F3CB0" w:rsidP="00A420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Internal</w:t>
            </w:r>
          </w:p>
        </w:tc>
      </w:tr>
      <w:tr w:rsidR="003F3CB0" w14:paraId="59C2D6EE" w14:textId="77777777" w:rsidTr="00A42034">
        <w:trPr>
          <w:trHeight w:val="753"/>
        </w:trPr>
        <w:tc>
          <w:tcPr>
            <w:tcW w:w="2237" w:type="dxa"/>
            <w:tcBorders>
              <w:left w:val="single" w:sz="2" w:space="0" w:color="BEBEBE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2D8885A" w14:textId="77777777" w:rsidR="003F3CB0" w:rsidRDefault="003F3CB0" w:rsidP="00A42034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Publication Date</w:t>
            </w:r>
          </w:p>
        </w:tc>
        <w:tc>
          <w:tcPr>
            <w:tcW w:w="2156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7F3A4E8" w14:textId="01337103" w:rsidR="003F3CB0" w:rsidRDefault="00A7446F" w:rsidP="00A4203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April</w:t>
            </w:r>
            <w:r w:rsidR="003F3CB0">
              <w:rPr>
                <w:sz w:val="24"/>
              </w:rPr>
              <w:t xml:space="preserve"> 2018</w:t>
            </w:r>
          </w:p>
        </w:tc>
        <w:tc>
          <w:tcPr>
            <w:tcW w:w="2142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90A4BAD" w14:textId="77777777" w:rsidR="003F3CB0" w:rsidRDefault="003F3CB0" w:rsidP="00A42034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Authorised by:</w:t>
            </w:r>
          </w:p>
        </w:tc>
        <w:tc>
          <w:tcPr>
            <w:tcW w:w="2123" w:type="dxa"/>
            <w:tcBorders>
              <w:right w:val="single" w:sz="2" w:space="0" w:color="BEBEBE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B05D4D5" w14:textId="77777777" w:rsidR="003F3CB0" w:rsidRDefault="003F3CB0" w:rsidP="00A42034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Executive Leadership Team</w:t>
            </w:r>
          </w:p>
        </w:tc>
      </w:tr>
      <w:tr w:rsidR="003F3CB0" w14:paraId="4CE0E077" w14:textId="77777777" w:rsidTr="00A42034">
        <w:trPr>
          <w:trHeight w:val="475"/>
        </w:trPr>
        <w:tc>
          <w:tcPr>
            <w:tcW w:w="2237" w:type="dxa"/>
            <w:tcBorders>
              <w:left w:val="single" w:sz="2" w:space="0" w:color="BEBEBE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2BC4380" w14:textId="77777777" w:rsidR="003F3CB0" w:rsidRDefault="003F3CB0" w:rsidP="00A42034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Revision</w:t>
            </w:r>
          </w:p>
        </w:tc>
        <w:tc>
          <w:tcPr>
            <w:tcW w:w="2156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B765394" w14:textId="77777777" w:rsidR="003F3CB0" w:rsidRDefault="003F3CB0" w:rsidP="00A4203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2142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5711294" w14:textId="77777777" w:rsidR="003F3CB0" w:rsidRDefault="003F3CB0" w:rsidP="00A42034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Date Authorised</w:t>
            </w:r>
          </w:p>
        </w:tc>
        <w:tc>
          <w:tcPr>
            <w:tcW w:w="2123" w:type="dxa"/>
            <w:tcBorders>
              <w:right w:val="single" w:sz="2" w:space="0" w:color="BEBEBE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DE2B25A" w14:textId="77777777" w:rsidR="003F3CB0" w:rsidRDefault="003F3CB0" w:rsidP="00A4203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F3CB0" w14:paraId="613433F4" w14:textId="77777777" w:rsidTr="00A42034">
        <w:trPr>
          <w:trHeight w:val="475"/>
        </w:trPr>
        <w:tc>
          <w:tcPr>
            <w:tcW w:w="2237" w:type="dxa"/>
            <w:tcBorders>
              <w:left w:val="single" w:sz="2" w:space="0" w:color="BEBEBE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A1010CA" w14:textId="77777777" w:rsidR="003F3CB0" w:rsidRDefault="003F3CB0" w:rsidP="00A42034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Review Date</w:t>
            </w:r>
          </w:p>
        </w:tc>
        <w:tc>
          <w:tcPr>
            <w:tcW w:w="2156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561143E" w14:textId="77777777" w:rsidR="003F3CB0" w:rsidRDefault="003F3CB0" w:rsidP="00A4203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March 2021</w:t>
            </w:r>
          </w:p>
        </w:tc>
        <w:tc>
          <w:tcPr>
            <w:tcW w:w="2142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8522F7D" w14:textId="77777777" w:rsidR="003F3CB0" w:rsidRDefault="003F3CB0" w:rsidP="00A42034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Last Review</w:t>
            </w:r>
          </w:p>
        </w:tc>
        <w:tc>
          <w:tcPr>
            <w:tcW w:w="2123" w:type="dxa"/>
            <w:tcBorders>
              <w:right w:val="single" w:sz="2" w:space="0" w:color="BEBEBE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3F4CB9F" w14:textId="77777777" w:rsidR="003F3CB0" w:rsidRDefault="003F3CB0" w:rsidP="00A420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Not Applicable</w:t>
            </w:r>
          </w:p>
        </w:tc>
      </w:tr>
    </w:tbl>
    <w:p w14:paraId="0C6958CE" w14:textId="1347BAEE" w:rsidR="0047334B" w:rsidRDefault="0047334B" w:rsidP="0047334B">
      <w:pPr>
        <w:pStyle w:val="BodyText"/>
        <w:spacing w:before="11"/>
        <w:jc w:val="both"/>
        <w:rPr>
          <w:b/>
        </w:rPr>
      </w:pPr>
    </w:p>
    <w:p w14:paraId="41DAEAC4" w14:textId="77777777" w:rsidR="00B23CA2" w:rsidRDefault="00B23CA2" w:rsidP="0047334B">
      <w:pPr>
        <w:pStyle w:val="BodyText"/>
        <w:spacing w:before="11"/>
        <w:jc w:val="both"/>
        <w:rPr>
          <w:b/>
        </w:rPr>
      </w:pPr>
    </w:p>
    <w:p w14:paraId="40809660" w14:textId="77777777" w:rsidR="0047334B" w:rsidRDefault="0047334B" w:rsidP="0047334B">
      <w:pPr>
        <w:pStyle w:val="BodyText"/>
        <w:spacing w:before="11"/>
        <w:jc w:val="both"/>
        <w:rPr>
          <w:b/>
        </w:rPr>
      </w:pPr>
    </w:p>
    <w:p w14:paraId="2015BBEA" w14:textId="296FFB78" w:rsidR="0047334B" w:rsidRDefault="003F3CB0" w:rsidP="003F3CB0">
      <w:pPr>
        <w:pStyle w:val="BodyText"/>
        <w:spacing w:before="11"/>
        <w:jc w:val="center"/>
        <w:rPr>
          <w:b/>
          <w:sz w:val="32"/>
          <w:szCs w:val="32"/>
        </w:rPr>
      </w:pPr>
      <w:r w:rsidRPr="003F3CB0">
        <w:rPr>
          <w:b/>
          <w:sz w:val="32"/>
          <w:szCs w:val="32"/>
        </w:rPr>
        <w:t>CONTENTS</w:t>
      </w:r>
    </w:p>
    <w:p w14:paraId="480EF67F" w14:textId="0113400E" w:rsidR="003F3CB0" w:rsidRDefault="003F3CB0" w:rsidP="003F3CB0">
      <w:pPr>
        <w:pStyle w:val="BodyText"/>
        <w:spacing w:before="11"/>
        <w:jc w:val="both"/>
        <w:rPr>
          <w:b/>
          <w:sz w:val="32"/>
          <w:szCs w:val="32"/>
        </w:rPr>
      </w:pPr>
    </w:p>
    <w:p w14:paraId="5A8D0B5D" w14:textId="3C2DCD03" w:rsidR="003F3CB0" w:rsidRDefault="003F3CB0" w:rsidP="003F3CB0">
      <w:pPr>
        <w:pStyle w:val="BodyText"/>
        <w:numPr>
          <w:ilvl w:val="0"/>
          <w:numId w:val="10"/>
        </w:numPr>
        <w:spacing w:before="1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Introduction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page 2</w:t>
      </w:r>
    </w:p>
    <w:p w14:paraId="441EC601" w14:textId="77777777" w:rsidR="003F3CB0" w:rsidRDefault="003F3CB0" w:rsidP="003F3CB0">
      <w:pPr>
        <w:pStyle w:val="BodyText"/>
        <w:spacing w:before="11"/>
        <w:ind w:left="720"/>
        <w:jc w:val="both"/>
        <w:rPr>
          <w:b/>
          <w:sz w:val="32"/>
          <w:szCs w:val="32"/>
        </w:rPr>
      </w:pPr>
    </w:p>
    <w:p w14:paraId="0630F3D6" w14:textId="77777777" w:rsidR="00B23CA2" w:rsidRDefault="003F3CB0" w:rsidP="003F3CB0">
      <w:pPr>
        <w:pStyle w:val="BodyText"/>
        <w:numPr>
          <w:ilvl w:val="0"/>
          <w:numId w:val="10"/>
        </w:numPr>
        <w:spacing w:before="1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Assessment Process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page 2</w:t>
      </w:r>
    </w:p>
    <w:p w14:paraId="1F070A46" w14:textId="77777777" w:rsidR="00B23CA2" w:rsidRDefault="00B23CA2" w:rsidP="00B23CA2">
      <w:pPr>
        <w:pStyle w:val="ListParagraph"/>
        <w:rPr>
          <w:b/>
          <w:sz w:val="32"/>
          <w:szCs w:val="32"/>
        </w:rPr>
      </w:pPr>
    </w:p>
    <w:p w14:paraId="5A1B593B" w14:textId="77777777" w:rsidR="00B23CA2" w:rsidRDefault="00B23CA2" w:rsidP="003F3CB0">
      <w:pPr>
        <w:pStyle w:val="BodyText"/>
        <w:numPr>
          <w:ilvl w:val="0"/>
          <w:numId w:val="10"/>
        </w:numPr>
        <w:spacing w:before="1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Lease Arrangements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page 3</w:t>
      </w:r>
    </w:p>
    <w:p w14:paraId="663B127C" w14:textId="77777777" w:rsidR="00B23CA2" w:rsidRDefault="00B23CA2" w:rsidP="00B23CA2">
      <w:pPr>
        <w:pStyle w:val="ListParagraph"/>
        <w:rPr>
          <w:b/>
          <w:sz w:val="32"/>
          <w:szCs w:val="32"/>
        </w:rPr>
      </w:pPr>
    </w:p>
    <w:p w14:paraId="1AEF6536" w14:textId="7A40C71C" w:rsidR="00B23CA2" w:rsidRDefault="00671293" w:rsidP="003F3CB0">
      <w:pPr>
        <w:pStyle w:val="BodyText"/>
        <w:numPr>
          <w:ilvl w:val="0"/>
          <w:numId w:val="10"/>
        </w:numPr>
        <w:spacing w:before="1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High Level </w:t>
      </w:r>
      <w:r w:rsidR="00B23CA2">
        <w:rPr>
          <w:b/>
          <w:sz w:val="32"/>
          <w:szCs w:val="32"/>
        </w:rPr>
        <w:t xml:space="preserve">Detailed Process </w:t>
      </w:r>
      <w:r w:rsidR="00AD506D">
        <w:rPr>
          <w:b/>
          <w:sz w:val="32"/>
          <w:szCs w:val="32"/>
        </w:rPr>
        <w:tab/>
      </w:r>
      <w:r w:rsidR="00AD506D">
        <w:rPr>
          <w:b/>
          <w:sz w:val="32"/>
          <w:szCs w:val="32"/>
        </w:rPr>
        <w:tab/>
      </w:r>
      <w:r w:rsidR="00AD506D">
        <w:rPr>
          <w:b/>
          <w:sz w:val="32"/>
          <w:szCs w:val="32"/>
        </w:rPr>
        <w:tab/>
        <w:t>page 3</w:t>
      </w:r>
    </w:p>
    <w:p w14:paraId="42BF2963" w14:textId="77777777" w:rsidR="006B511E" w:rsidRDefault="006B511E" w:rsidP="006B511E">
      <w:pPr>
        <w:pStyle w:val="ListParagraph"/>
        <w:rPr>
          <w:b/>
          <w:sz w:val="32"/>
          <w:szCs w:val="32"/>
        </w:rPr>
      </w:pPr>
    </w:p>
    <w:p w14:paraId="222363FA" w14:textId="287AE44E" w:rsidR="006B511E" w:rsidRDefault="006B511E" w:rsidP="003F3CB0">
      <w:pPr>
        <w:pStyle w:val="BodyText"/>
        <w:numPr>
          <w:ilvl w:val="0"/>
          <w:numId w:val="10"/>
        </w:numPr>
        <w:spacing w:before="1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Property Procurement &amp; Provision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page 4</w:t>
      </w:r>
    </w:p>
    <w:p w14:paraId="6D0A992A" w14:textId="77777777" w:rsidR="00B23CA2" w:rsidRDefault="00B23CA2" w:rsidP="00B23CA2">
      <w:pPr>
        <w:pStyle w:val="ListParagraph"/>
        <w:rPr>
          <w:b/>
          <w:sz w:val="32"/>
          <w:szCs w:val="32"/>
        </w:rPr>
      </w:pPr>
    </w:p>
    <w:p w14:paraId="427C183C" w14:textId="4BEB9A0C" w:rsidR="00B23CA2" w:rsidRDefault="00B23CA2" w:rsidP="00671293">
      <w:pPr>
        <w:pStyle w:val="BodyText"/>
        <w:spacing w:before="11"/>
        <w:jc w:val="both"/>
        <w:rPr>
          <w:b/>
          <w:sz w:val="32"/>
          <w:szCs w:val="32"/>
        </w:rPr>
      </w:pPr>
    </w:p>
    <w:p w14:paraId="2DBA812D" w14:textId="77777777" w:rsidR="00B23CA2" w:rsidRDefault="00B23CA2" w:rsidP="00B23CA2">
      <w:pPr>
        <w:pStyle w:val="ListParagraph"/>
        <w:rPr>
          <w:b/>
          <w:sz w:val="32"/>
          <w:szCs w:val="32"/>
        </w:rPr>
      </w:pPr>
    </w:p>
    <w:p w14:paraId="3FC3359D" w14:textId="6E0C2445" w:rsidR="003F3CB0" w:rsidRDefault="00AD506D" w:rsidP="00B23CA2">
      <w:pPr>
        <w:pStyle w:val="BodyText"/>
        <w:spacing w:before="11"/>
        <w:jc w:val="both"/>
      </w:pPr>
      <w:r w:rsidRPr="00AD506D">
        <w:rPr>
          <w:b/>
        </w:rPr>
        <w:t>Preface</w:t>
      </w:r>
    </w:p>
    <w:p w14:paraId="09447AA8" w14:textId="77777777" w:rsidR="00AD506D" w:rsidRDefault="00AD506D" w:rsidP="00B23CA2">
      <w:pPr>
        <w:pStyle w:val="BodyText"/>
        <w:spacing w:before="11"/>
        <w:jc w:val="both"/>
      </w:pPr>
    </w:p>
    <w:p w14:paraId="03A29597" w14:textId="29429801" w:rsidR="00AD506D" w:rsidRDefault="00AD506D" w:rsidP="00AD506D">
      <w:pPr>
        <w:pStyle w:val="BodyText"/>
        <w:spacing w:before="11"/>
        <w:jc w:val="both"/>
      </w:pPr>
      <w:r>
        <w:t>This Policy is fully supported by the ‘</w:t>
      </w:r>
      <w:bookmarkStart w:id="0" w:name="_Hlk511306696"/>
      <w:r>
        <w:t>BASS Contract Empty Property (Void) Management Procedure’ document</w:t>
      </w:r>
      <w:bookmarkEnd w:id="0"/>
      <w:r>
        <w:t>, which sets out the detail</w:t>
      </w:r>
      <w:r w:rsidR="00BF1C52">
        <w:t>ed</w:t>
      </w:r>
      <w:r>
        <w:t xml:space="preserve"> void management process.  The procedures </w:t>
      </w:r>
      <w:r w:rsidR="00F914E0">
        <w:t>include</w:t>
      </w:r>
      <w:r w:rsidR="0012791C">
        <w:t>; detailed guidance,</w:t>
      </w:r>
      <w:r>
        <w:t xml:space="preserve"> a process flowchart and stage checklist to aid meeting the aims of this policy and ensure as reasonably </w:t>
      </w:r>
      <w:proofErr w:type="gramStart"/>
      <w:r>
        <w:t>practicable</w:t>
      </w:r>
      <w:proofErr w:type="gramEnd"/>
      <w:r>
        <w:t xml:space="preserve"> that Nacro meets its obligations of the Bail Accommodation Support Service Contract with the Ministry of Justice. </w:t>
      </w:r>
    </w:p>
    <w:p w14:paraId="403AB024" w14:textId="77777777" w:rsidR="00AD506D" w:rsidRDefault="00AD506D" w:rsidP="00AD506D">
      <w:pPr>
        <w:pStyle w:val="BodyText"/>
        <w:spacing w:before="11"/>
        <w:jc w:val="both"/>
      </w:pPr>
    </w:p>
    <w:p w14:paraId="2B9DA24E" w14:textId="596852CA" w:rsidR="0012791C" w:rsidRDefault="0012791C" w:rsidP="00AD506D">
      <w:pPr>
        <w:pStyle w:val="BodyText"/>
        <w:spacing w:before="11"/>
        <w:jc w:val="both"/>
        <w:rPr>
          <w:b/>
        </w:rPr>
      </w:pPr>
      <w:r w:rsidRPr="0012791C">
        <w:rPr>
          <w:b/>
        </w:rPr>
        <w:t>Policy Aims</w:t>
      </w:r>
    </w:p>
    <w:p w14:paraId="123D0207" w14:textId="49837692" w:rsidR="0012791C" w:rsidRPr="00F914E0" w:rsidRDefault="0012791C" w:rsidP="00AD506D">
      <w:pPr>
        <w:pStyle w:val="BodyText"/>
        <w:spacing w:before="11"/>
        <w:jc w:val="both"/>
      </w:pPr>
    </w:p>
    <w:p w14:paraId="4CC0CA01" w14:textId="1445BB6D" w:rsidR="00F914E0" w:rsidRDefault="00F914E0" w:rsidP="00AD506D">
      <w:pPr>
        <w:pStyle w:val="BodyText"/>
        <w:spacing w:before="11"/>
        <w:jc w:val="both"/>
      </w:pPr>
      <w:r w:rsidRPr="00F914E0">
        <w:t>The purpose of this</w:t>
      </w:r>
      <w:r>
        <w:t xml:space="preserve"> Policy is to outline Nacro’s approach to Empty Property Management and standardise where possible BASS and Nacro void management processes and standards.  Whist ensuring Nacro’s business </w:t>
      </w:r>
      <w:proofErr w:type="gramStart"/>
      <w:r>
        <w:t>objectives</w:t>
      </w:r>
      <w:proofErr w:type="gramEnd"/>
      <w:r>
        <w:t xml:space="preserve"> are met and the requirements of the BASS contract are delivered within </w:t>
      </w:r>
      <w:proofErr w:type="spellStart"/>
      <w:r>
        <w:t>MoJ’s</w:t>
      </w:r>
      <w:proofErr w:type="spellEnd"/>
      <w:r>
        <w:t xml:space="preserve"> expectations as set out with</w:t>
      </w:r>
      <w:r w:rsidR="00A058C9">
        <w:t>in</w:t>
      </w:r>
      <w:r>
        <w:t xml:space="preserve"> their Service Specification Schedules.  Ensuring ‘Service User’ experience is </w:t>
      </w:r>
      <w:r w:rsidR="006F42C5">
        <w:t xml:space="preserve">of an acceptable standard, by striving for continuous improvement of a value for money quality accommodation and support service.   </w:t>
      </w:r>
    </w:p>
    <w:p w14:paraId="0B46A522" w14:textId="3039C260" w:rsidR="00F914E0" w:rsidRDefault="00F914E0" w:rsidP="00AD506D">
      <w:pPr>
        <w:pStyle w:val="BodyText"/>
        <w:spacing w:before="11"/>
        <w:jc w:val="both"/>
      </w:pPr>
    </w:p>
    <w:p w14:paraId="32E2991E" w14:textId="2FE8CFEF" w:rsidR="00F914E0" w:rsidRDefault="00F914E0" w:rsidP="00AD506D">
      <w:pPr>
        <w:pStyle w:val="BodyText"/>
        <w:spacing w:before="11"/>
        <w:jc w:val="both"/>
      </w:pPr>
    </w:p>
    <w:p w14:paraId="2D8A3CD4" w14:textId="77777777" w:rsidR="00F914E0" w:rsidRDefault="00F914E0" w:rsidP="00AD506D">
      <w:pPr>
        <w:pStyle w:val="BodyText"/>
        <w:spacing w:before="11"/>
        <w:jc w:val="both"/>
      </w:pPr>
    </w:p>
    <w:p w14:paraId="535D96C8" w14:textId="1B12711E" w:rsidR="0012791C" w:rsidRDefault="00F914E0" w:rsidP="00AD506D">
      <w:pPr>
        <w:pStyle w:val="BodyText"/>
        <w:spacing w:before="11"/>
        <w:jc w:val="both"/>
      </w:pPr>
      <w:r w:rsidRPr="00F914E0">
        <w:t xml:space="preserve"> </w:t>
      </w:r>
    </w:p>
    <w:p w14:paraId="091DA164" w14:textId="4B1A8498" w:rsidR="00F914E0" w:rsidRPr="00F914E0" w:rsidRDefault="00F914E0" w:rsidP="00AD506D">
      <w:pPr>
        <w:pStyle w:val="BodyText"/>
        <w:spacing w:before="11"/>
        <w:jc w:val="both"/>
        <w:sectPr w:rsidR="00F914E0" w:rsidRPr="00F914E0" w:rsidSect="00AD506D">
          <w:headerReference w:type="even" r:id="rId8"/>
          <w:headerReference w:type="default" r:id="rId9"/>
          <w:footerReference w:type="default" r:id="rId10"/>
          <w:headerReference w:type="first" r:id="rId11"/>
          <w:pgSz w:w="11900" w:h="16840"/>
          <w:pgMar w:top="1338" w:right="1338" w:bottom="1162" w:left="1503" w:header="0" w:footer="964" w:gutter="0"/>
          <w:pgNumType w:start="0"/>
          <w:cols w:space="720"/>
        </w:sectPr>
      </w:pPr>
    </w:p>
    <w:p w14:paraId="739B5C17" w14:textId="77777777" w:rsidR="00B23CA2" w:rsidRDefault="00B23CA2" w:rsidP="00B23CA2">
      <w:pPr>
        <w:pStyle w:val="ListParagraph"/>
        <w:numPr>
          <w:ilvl w:val="0"/>
          <w:numId w:val="7"/>
        </w:numPr>
        <w:tabs>
          <w:tab w:val="left" w:pos="1020"/>
        </w:tabs>
        <w:rPr>
          <w:b/>
          <w:sz w:val="29"/>
        </w:rPr>
      </w:pPr>
      <w:r w:rsidRPr="00E22BED">
        <w:rPr>
          <w:b/>
          <w:sz w:val="29"/>
        </w:rPr>
        <w:lastRenderedPageBreak/>
        <w:t>Introduction</w:t>
      </w:r>
    </w:p>
    <w:p w14:paraId="2A28E1B5" w14:textId="77777777" w:rsidR="00B23CA2" w:rsidRDefault="00B23CA2" w:rsidP="00B23CA2">
      <w:pPr>
        <w:tabs>
          <w:tab w:val="left" w:pos="1020"/>
        </w:tabs>
        <w:rPr>
          <w:b/>
          <w:sz w:val="29"/>
        </w:rPr>
      </w:pPr>
    </w:p>
    <w:p w14:paraId="7D67A043" w14:textId="77777777" w:rsidR="00B23CA2" w:rsidRDefault="00B23CA2" w:rsidP="00B23CA2">
      <w:pPr>
        <w:pStyle w:val="ListParagraph"/>
        <w:numPr>
          <w:ilvl w:val="1"/>
          <w:numId w:val="7"/>
        </w:numPr>
        <w:tabs>
          <w:tab w:val="left" w:pos="1020"/>
        </w:tabs>
        <w:ind w:left="1020"/>
        <w:jc w:val="both"/>
        <w:rPr>
          <w:sz w:val="24"/>
          <w:szCs w:val="24"/>
        </w:rPr>
      </w:pPr>
      <w:r w:rsidRPr="006F7B96">
        <w:rPr>
          <w:sz w:val="24"/>
          <w:szCs w:val="24"/>
        </w:rPr>
        <w:t xml:space="preserve">Nacro is committed to delivering a high standard </w:t>
      </w:r>
      <w:r>
        <w:rPr>
          <w:sz w:val="24"/>
          <w:szCs w:val="24"/>
        </w:rPr>
        <w:t xml:space="preserve">quality accommodation for all its service users, whilst meeting the criteria of standards and supply within the BASS Contract, in particular; a </w:t>
      </w:r>
      <w:r w:rsidRPr="009E2A7D">
        <w:rPr>
          <w:b/>
          <w:sz w:val="24"/>
          <w:szCs w:val="24"/>
        </w:rPr>
        <w:t>Seven Day</w:t>
      </w:r>
      <w:r>
        <w:rPr>
          <w:sz w:val="24"/>
          <w:szCs w:val="24"/>
        </w:rPr>
        <w:t xml:space="preserve"> turnaround for voids.</w:t>
      </w:r>
    </w:p>
    <w:p w14:paraId="0B7C1D6F" w14:textId="77777777" w:rsidR="00B23CA2" w:rsidRDefault="00B23CA2" w:rsidP="00B23CA2">
      <w:pPr>
        <w:pStyle w:val="ListParagraph"/>
        <w:tabs>
          <w:tab w:val="left" w:pos="1020"/>
        </w:tabs>
        <w:ind w:left="1020" w:firstLine="0"/>
        <w:jc w:val="both"/>
        <w:rPr>
          <w:sz w:val="24"/>
          <w:szCs w:val="24"/>
        </w:rPr>
      </w:pPr>
    </w:p>
    <w:p w14:paraId="3381DECD" w14:textId="76330A08" w:rsidR="00B23CA2" w:rsidRDefault="00B23CA2" w:rsidP="00B23CA2">
      <w:pPr>
        <w:pStyle w:val="ListParagraph"/>
        <w:numPr>
          <w:ilvl w:val="1"/>
          <w:numId w:val="7"/>
        </w:numPr>
        <w:tabs>
          <w:tab w:val="left" w:pos="1020"/>
        </w:tabs>
        <w:ind w:left="1020"/>
        <w:jc w:val="both"/>
        <w:rPr>
          <w:sz w:val="24"/>
          <w:szCs w:val="24"/>
        </w:rPr>
      </w:pPr>
      <w:r w:rsidRPr="00E06392">
        <w:rPr>
          <w:sz w:val="24"/>
          <w:szCs w:val="24"/>
        </w:rPr>
        <w:t>The purpose of th</w:t>
      </w:r>
      <w:r w:rsidR="00895173">
        <w:rPr>
          <w:sz w:val="24"/>
          <w:szCs w:val="24"/>
        </w:rPr>
        <w:t>is</w:t>
      </w:r>
      <w:r w:rsidRPr="00E06392">
        <w:rPr>
          <w:sz w:val="24"/>
          <w:szCs w:val="24"/>
        </w:rPr>
        <w:t xml:space="preserve"> P</w:t>
      </w:r>
      <w:r w:rsidR="00895173">
        <w:rPr>
          <w:sz w:val="24"/>
          <w:szCs w:val="24"/>
        </w:rPr>
        <w:t>olicy</w:t>
      </w:r>
      <w:r w:rsidRPr="00E06392">
        <w:rPr>
          <w:sz w:val="24"/>
          <w:szCs w:val="24"/>
        </w:rPr>
        <w:t xml:space="preserve"> is to </w:t>
      </w:r>
      <w:r w:rsidR="00A7446F">
        <w:rPr>
          <w:sz w:val="24"/>
          <w:szCs w:val="24"/>
        </w:rPr>
        <w:t>outline Nacro’s approach to</w:t>
      </w:r>
      <w:r w:rsidRPr="00E06392">
        <w:rPr>
          <w:sz w:val="24"/>
          <w:szCs w:val="24"/>
        </w:rPr>
        <w:t xml:space="preserve"> empty property management, commonly known as Void(s) management.  Voids within Nacro are mostly related to a Bedspace/Unit rather than a typical Residential Social Landlord </w:t>
      </w:r>
      <w:proofErr w:type="gramStart"/>
      <w:r w:rsidRPr="00E06392">
        <w:rPr>
          <w:sz w:val="24"/>
          <w:szCs w:val="24"/>
        </w:rPr>
        <w:t>entire</w:t>
      </w:r>
      <w:proofErr w:type="gramEnd"/>
      <w:r w:rsidRPr="00E06392">
        <w:rPr>
          <w:sz w:val="24"/>
          <w:szCs w:val="24"/>
        </w:rPr>
        <w:t xml:space="preserve"> Bungalow, House or Flat property void that would require more robust compliance and safety checks.  </w:t>
      </w:r>
    </w:p>
    <w:p w14:paraId="184D3026" w14:textId="77777777" w:rsidR="00B23CA2" w:rsidRPr="00E06392" w:rsidRDefault="00B23CA2" w:rsidP="00B23CA2">
      <w:pPr>
        <w:pStyle w:val="ListParagraph"/>
        <w:rPr>
          <w:sz w:val="24"/>
          <w:szCs w:val="24"/>
        </w:rPr>
      </w:pPr>
    </w:p>
    <w:p w14:paraId="643CD4D4" w14:textId="77777777" w:rsidR="00B23CA2" w:rsidRDefault="00B23CA2" w:rsidP="00B23CA2">
      <w:pPr>
        <w:pStyle w:val="ListParagraph"/>
        <w:numPr>
          <w:ilvl w:val="1"/>
          <w:numId w:val="7"/>
        </w:numPr>
        <w:tabs>
          <w:tab w:val="left" w:pos="1020"/>
        </w:tabs>
        <w:ind w:left="1020"/>
        <w:jc w:val="both"/>
        <w:rPr>
          <w:sz w:val="24"/>
          <w:szCs w:val="24"/>
        </w:rPr>
      </w:pPr>
      <w:r w:rsidRPr="00E06392">
        <w:rPr>
          <w:sz w:val="24"/>
          <w:szCs w:val="24"/>
        </w:rPr>
        <w:t xml:space="preserve">Many properties are leased from Landlords by Nacro for its business streams, being, BASS and Nacro Homes Agency in the main, and therefore, there is a requirement to be clear on whether Nacro or the Landlord </w:t>
      </w:r>
      <w:proofErr w:type="gramStart"/>
      <w:r w:rsidRPr="00E06392">
        <w:rPr>
          <w:sz w:val="24"/>
          <w:szCs w:val="24"/>
        </w:rPr>
        <w:t>is responsible for</w:t>
      </w:r>
      <w:proofErr w:type="gramEnd"/>
      <w:r w:rsidRPr="00E06392">
        <w:rPr>
          <w:sz w:val="24"/>
          <w:szCs w:val="24"/>
        </w:rPr>
        <w:t xml:space="preserve"> compliance, maintenance and repairs works. </w:t>
      </w:r>
    </w:p>
    <w:p w14:paraId="0CBDBD9C" w14:textId="77777777" w:rsidR="00B23CA2" w:rsidRPr="00E06392" w:rsidRDefault="00B23CA2" w:rsidP="00B23CA2">
      <w:pPr>
        <w:pStyle w:val="ListParagraph"/>
        <w:rPr>
          <w:sz w:val="24"/>
          <w:szCs w:val="24"/>
        </w:rPr>
      </w:pPr>
    </w:p>
    <w:p w14:paraId="661FAF0F" w14:textId="560519FF" w:rsidR="00B23CA2" w:rsidRDefault="00B23CA2" w:rsidP="00B23CA2">
      <w:pPr>
        <w:pStyle w:val="ListParagraph"/>
        <w:numPr>
          <w:ilvl w:val="1"/>
          <w:numId w:val="7"/>
        </w:numPr>
        <w:tabs>
          <w:tab w:val="left" w:pos="1020"/>
        </w:tabs>
        <w:ind w:left="1020"/>
        <w:jc w:val="both"/>
        <w:rPr>
          <w:sz w:val="24"/>
          <w:szCs w:val="24"/>
        </w:rPr>
      </w:pPr>
      <w:r w:rsidRPr="00E06392">
        <w:rPr>
          <w:sz w:val="24"/>
          <w:szCs w:val="24"/>
        </w:rPr>
        <w:t>Th</w:t>
      </w:r>
      <w:r w:rsidR="00A7446F">
        <w:rPr>
          <w:sz w:val="24"/>
          <w:szCs w:val="24"/>
        </w:rPr>
        <w:t>is policy is additionally</w:t>
      </w:r>
      <w:r w:rsidRPr="00E06392">
        <w:rPr>
          <w:sz w:val="24"/>
          <w:szCs w:val="24"/>
        </w:rPr>
        <w:t xml:space="preserve"> supported by Nacro’s Asset Management Strategy, Property Repairs &amp; Maintenance Strategy, Property Lettable Standards Policy, and Property Leasing &amp; Procedures. </w:t>
      </w:r>
    </w:p>
    <w:p w14:paraId="688BC4CA" w14:textId="77777777" w:rsidR="00B23CA2" w:rsidRPr="00E06392" w:rsidRDefault="00B23CA2" w:rsidP="00B23CA2">
      <w:pPr>
        <w:pStyle w:val="ListParagraph"/>
        <w:rPr>
          <w:sz w:val="24"/>
          <w:szCs w:val="24"/>
        </w:rPr>
      </w:pPr>
    </w:p>
    <w:p w14:paraId="55095A44" w14:textId="0C5CB041" w:rsidR="00B23CA2" w:rsidRPr="00A7446F" w:rsidRDefault="00B23CA2" w:rsidP="00B23CA2">
      <w:pPr>
        <w:pStyle w:val="ListParagraph"/>
        <w:numPr>
          <w:ilvl w:val="1"/>
          <w:numId w:val="7"/>
        </w:numPr>
        <w:tabs>
          <w:tab w:val="left" w:pos="1020"/>
        </w:tabs>
        <w:ind w:left="1020"/>
        <w:jc w:val="both"/>
        <w:rPr>
          <w:sz w:val="24"/>
          <w:szCs w:val="24"/>
        </w:rPr>
      </w:pPr>
      <w:r w:rsidRPr="00E06392">
        <w:rPr>
          <w:sz w:val="24"/>
          <w:szCs w:val="24"/>
        </w:rPr>
        <w:t xml:space="preserve">A high-level process diagram ‘Contractor Solution’ </w:t>
      </w:r>
      <w:r>
        <w:rPr>
          <w:sz w:val="24"/>
          <w:szCs w:val="24"/>
        </w:rPr>
        <w:t xml:space="preserve">for </w:t>
      </w:r>
      <w:r w:rsidRPr="00E06392">
        <w:rPr>
          <w:sz w:val="24"/>
          <w:szCs w:val="24"/>
        </w:rPr>
        <w:t>Maintenance, Repairs &amp; Voids</w:t>
      </w:r>
      <w:r w:rsidR="004456C8">
        <w:rPr>
          <w:sz w:val="24"/>
          <w:szCs w:val="24"/>
        </w:rPr>
        <w:t xml:space="preserve"> </w:t>
      </w:r>
      <w:r w:rsidRPr="00E06392">
        <w:rPr>
          <w:sz w:val="24"/>
          <w:szCs w:val="24"/>
        </w:rPr>
        <w:t xml:space="preserve">has been developed to </w:t>
      </w:r>
      <w:r w:rsidR="00A7446F">
        <w:rPr>
          <w:sz w:val="24"/>
          <w:szCs w:val="24"/>
        </w:rPr>
        <w:t xml:space="preserve">inform the </w:t>
      </w:r>
      <w:r w:rsidR="004456C8">
        <w:rPr>
          <w:sz w:val="24"/>
          <w:szCs w:val="24"/>
        </w:rPr>
        <w:t xml:space="preserve">development of the </w:t>
      </w:r>
      <w:r w:rsidR="00A7446F" w:rsidRPr="00A7446F">
        <w:rPr>
          <w:sz w:val="24"/>
          <w:szCs w:val="24"/>
        </w:rPr>
        <w:t>BASS Contract Empty Property (Void) Management Procedur</w:t>
      </w:r>
      <w:r w:rsidR="00A7446F">
        <w:rPr>
          <w:sz w:val="24"/>
          <w:szCs w:val="24"/>
        </w:rPr>
        <w:t>al</w:t>
      </w:r>
      <w:r w:rsidR="00A7446F" w:rsidRPr="00A7446F">
        <w:rPr>
          <w:sz w:val="24"/>
          <w:szCs w:val="24"/>
        </w:rPr>
        <w:t xml:space="preserve"> document</w:t>
      </w:r>
      <w:r w:rsidRPr="00A7446F">
        <w:rPr>
          <w:i/>
          <w:sz w:val="24"/>
          <w:szCs w:val="24"/>
        </w:rPr>
        <w:t>.</w:t>
      </w:r>
    </w:p>
    <w:p w14:paraId="62D8B738" w14:textId="77777777" w:rsidR="00B23CA2" w:rsidRDefault="00B23CA2" w:rsidP="00B23CA2">
      <w:pPr>
        <w:tabs>
          <w:tab w:val="left" w:pos="1020"/>
        </w:tabs>
        <w:jc w:val="both"/>
        <w:rPr>
          <w:sz w:val="24"/>
          <w:szCs w:val="24"/>
        </w:rPr>
      </w:pPr>
    </w:p>
    <w:p w14:paraId="2EF9DB5A" w14:textId="77777777" w:rsidR="00B23CA2" w:rsidRPr="00E22BED" w:rsidRDefault="00B23CA2" w:rsidP="00B23CA2">
      <w:pPr>
        <w:tabs>
          <w:tab w:val="left" w:pos="1020"/>
        </w:tabs>
        <w:jc w:val="both"/>
        <w:rPr>
          <w:b/>
          <w:sz w:val="24"/>
          <w:szCs w:val="24"/>
        </w:rPr>
      </w:pPr>
    </w:p>
    <w:p w14:paraId="4260D6C6" w14:textId="77777777" w:rsidR="00B23CA2" w:rsidRDefault="00B23CA2" w:rsidP="00B23CA2">
      <w:pPr>
        <w:pStyle w:val="ListParagraph"/>
        <w:numPr>
          <w:ilvl w:val="0"/>
          <w:numId w:val="7"/>
        </w:numPr>
        <w:tabs>
          <w:tab w:val="left" w:pos="1020"/>
        </w:tabs>
        <w:rPr>
          <w:b/>
          <w:sz w:val="29"/>
        </w:rPr>
      </w:pPr>
      <w:r>
        <w:rPr>
          <w:b/>
          <w:sz w:val="29"/>
        </w:rPr>
        <w:t>Assessment Process</w:t>
      </w:r>
    </w:p>
    <w:p w14:paraId="181C43EC" w14:textId="77777777" w:rsidR="00B23CA2" w:rsidRDefault="00B23CA2" w:rsidP="00B23CA2">
      <w:pPr>
        <w:tabs>
          <w:tab w:val="left" w:pos="1020"/>
        </w:tabs>
        <w:rPr>
          <w:sz w:val="24"/>
          <w:szCs w:val="24"/>
        </w:rPr>
      </w:pPr>
    </w:p>
    <w:p w14:paraId="0F666DFC" w14:textId="77777777" w:rsidR="00B23CA2" w:rsidRDefault="00B23CA2" w:rsidP="00B23CA2">
      <w:pPr>
        <w:pStyle w:val="ListParagraph"/>
        <w:numPr>
          <w:ilvl w:val="1"/>
          <w:numId w:val="7"/>
        </w:numPr>
        <w:tabs>
          <w:tab w:val="left" w:pos="1020"/>
        </w:tabs>
        <w:ind w:left="1020"/>
        <w:jc w:val="both"/>
        <w:rPr>
          <w:sz w:val="24"/>
          <w:szCs w:val="24"/>
        </w:rPr>
      </w:pPr>
      <w:r w:rsidRPr="007E6F3C">
        <w:rPr>
          <w:sz w:val="24"/>
          <w:szCs w:val="24"/>
        </w:rPr>
        <w:t xml:space="preserve">It is important to note that it is very likely that many of the repairs </w:t>
      </w:r>
      <w:proofErr w:type="gramStart"/>
      <w:r w:rsidRPr="007E6F3C">
        <w:rPr>
          <w:sz w:val="24"/>
          <w:szCs w:val="24"/>
        </w:rPr>
        <w:t>required</w:t>
      </w:r>
      <w:proofErr w:type="gramEnd"/>
      <w:r w:rsidRPr="007E6F3C">
        <w:rPr>
          <w:sz w:val="24"/>
          <w:szCs w:val="24"/>
        </w:rPr>
        <w:t xml:space="preserve"> are probably related to service user damage and as such, Nacro will be responsible for these repairs.  In this instance and </w:t>
      </w:r>
      <w:proofErr w:type="gramStart"/>
      <w:r w:rsidRPr="007E6F3C">
        <w:rPr>
          <w:sz w:val="24"/>
          <w:szCs w:val="24"/>
        </w:rPr>
        <w:t>providing</w:t>
      </w:r>
      <w:proofErr w:type="gramEnd"/>
      <w:r w:rsidRPr="007E6F3C">
        <w:rPr>
          <w:sz w:val="24"/>
          <w:szCs w:val="24"/>
        </w:rPr>
        <w:t xml:space="preserve"> necessary repairs will need less than </w:t>
      </w:r>
      <w:r w:rsidRPr="007F7F48">
        <w:rPr>
          <w:b/>
          <w:sz w:val="24"/>
          <w:szCs w:val="24"/>
        </w:rPr>
        <w:t>Five Days</w:t>
      </w:r>
      <w:r w:rsidRPr="007E6F3C">
        <w:rPr>
          <w:sz w:val="24"/>
          <w:szCs w:val="24"/>
        </w:rPr>
        <w:t xml:space="preserve">, the works can be implemented.  </w:t>
      </w:r>
    </w:p>
    <w:p w14:paraId="67960754" w14:textId="77777777" w:rsidR="00B23CA2" w:rsidRPr="007E6F3C" w:rsidRDefault="00B23CA2" w:rsidP="00B23CA2">
      <w:pPr>
        <w:pStyle w:val="ListParagraph"/>
        <w:tabs>
          <w:tab w:val="left" w:pos="1020"/>
        </w:tabs>
        <w:ind w:left="1020" w:firstLine="0"/>
        <w:jc w:val="both"/>
        <w:rPr>
          <w:sz w:val="24"/>
          <w:szCs w:val="24"/>
        </w:rPr>
      </w:pPr>
    </w:p>
    <w:p w14:paraId="01A416DC" w14:textId="7F5DC5EA" w:rsidR="00B23CA2" w:rsidRDefault="00B23CA2" w:rsidP="00B23CA2">
      <w:pPr>
        <w:pStyle w:val="ListParagraph"/>
        <w:numPr>
          <w:ilvl w:val="1"/>
          <w:numId w:val="7"/>
        </w:numPr>
        <w:tabs>
          <w:tab w:val="left" w:pos="1020"/>
        </w:tabs>
        <w:ind w:left="10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proofErr w:type="gramStart"/>
      <w:r>
        <w:rPr>
          <w:sz w:val="24"/>
          <w:szCs w:val="24"/>
        </w:rPr>
        <w:t>assist</w:t>
      </w:r>
      <w:proofErr w:type="gramEnd"/>
      <w:r>
        <w:rPr>
          <w:sz w:val="24"/>
          <w:szCs w:val="24"/>
        </w:rPr>
        <w:t xml:space="preserve"> </w:t>
      </w:r>
      <w:r w:rsidR="00A058C9">
        <w:rPr>
          <w:sz w:val="24"/>
          <w:szCs w:val="24"/>
        </w:rPr>
        <w:t xml:space="preserve">the </w:t>
      </w:r>
      <w:r w:rsidR="00A058C9" w:rsidRPr="00A058C9">
        <w:rPr>
          <w:b/>
          <w:sz w:val="24"/>
          <w:szCs w:val="24"/>
        </w:rPr>
        <w:t>Seven-day</w:t>
      </w:r>
      <w:r w:rsidR="00A058C9">
        <w:rPr>
          <w:sz w:val="24"/>
          <w:szCs w:val="24"/>
        </w:rPr>
        <w:t xml:space="preserve"> turnaround period </w:t>
      </w:r>
      <w:r>
        <w:rPr>
          <w:sz w:val="24"/>
          <w:szCs w:val="24"/>
        </w:rPr>
        <w:t xml:space="preserve">a </w:t>
      </w:r>
      <w:r w:rsidR="00671293" w:rsidRPr="007F7F48">
        <w:rPr>
          <w:b/>
          <w:sz w:val="24"/>
          <w:szCs w:val="24"/>
        </w:rPr>
        <w:t>Five</w:t>
      </w:r>
      <w:r w:rsidR="00671293">
        <w:rPr>
          <w:b/>
          <w:sz w:val="24"/>
          <w:szCs w:val="24"/>
        </w:rPr>
        <w:t>-Day</w:t>
      </w:r>
      <w:r>
        <w:rPr>
          <w:sz w:val="24"/>
          <w:szCs w:val="24"/>
        </w:rPr>
        <w:t xml:space="preserve"> void turnaround it has been made a contractual requirement for Nacro’s Maintenance &amp; Repairs Service Providers</w:t>
      </w:r>
      <w:r w:rsidR="00A058C9">
        <w:rPr>
          <w:sz w:val="24"/>
          <w:szCs w:val="24"/>
        </w:rPr>
        <w:t xml:space="preserve">. </w:t>
      </w:r>
      <w:r w:rsidR="00D5319B">
        <w:rPr>
          <w:sz w:val="24"/>
          <w:szCs w:val="24"/>
        </w:rPr>
        <w:t>Key Performance Indicat</w:t>
      </w:r>
      <w:r w:rsidR="00A058C9">
        <w:rPr>
          <w:sz w:val="24"/>
          <w:szCs w:val="24"/>
        </w:rPr>
        <w:t>ors are in place to support the Seven-day turnaround.</w:t>
      </w:r>
    </w:p>
    <w:p w14:paraId="0F0D9445" w14:textId="77777777" w:rsidR="00B23CA2" w:rsidRPr="007F7F48" w:rsidRDefault="00B23CA2" w:rsidP="00B23CA2">
      <w:pPr>
        <w:pStyle w:val="ListParagraph"/>
        <w:rPr>
          <w:sz w:val="24"/>
          <w:szCs w:val="24"/>
        </w:rPr>
      </w:pPr>
    </w:p>
    <w:p w14:paraId="16FDE433" w14:textId="5E6CEAAB" w:rsidR="00B23CA2" w:rsidRDefault="00B23CA2" w:rsidP="00B23CA2">
      <w:pPr>
        <w:pStyle w:val="ListParagraph"/>
        <w:numPr>
          <w:ilvl w:val="1"/>
          <w:numId w:val="7"/>
        </w:numPr>
        <w:tabs>
          <w:tab w:val="left" w:pos="1020"/>
        </w:tabs>
        <w:ind w:left="10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Where there is a situation when a </w:t>
      </w:r>
      <w:r w:rsidRPr="007F7F48">
        <w:rPr>
          <w:b/>
          <w:sz w:val="24"/>
          <w:szCs w:val="24"/>
        </w:rPr>
        <w:t>Seven</w:t>
      </w:r>
      <w:r w:rsidR="00671293">
        <w:rPr>
          <w:b/>
          <w:sz w:val="24"/>
          <w:szCs w:val="24"/>
        </w:rPr>
        <w:t>-</w:t>
      </w:r>
      <w:r w:rsidRPr="007F7F48">
        <w:rPr>
          <w:b/>
          <w:sz w:val="24"/>
          <w:szCs w:val="24"/>
        </w:rPr>
        <w:t>Day</w:t>
      </w:r>
      <w:r>
        <w:rPr>
          <w:sz w:val="24"/>
          <w:szCs w:val="24"/>
        </w:rPr>
        <w:t xml:space="preserve"> void turnaround is not possible, a reasonable assessment by a Nacro Surveyor will </w:t>
      </w:r>
      <w:proofErr w:type="gramStart"/>
      <w:r>
        <w:rPr>
          <w:sz w:val="24"/>
          <w:szCs w:val="24"/>
        </w:rPr>
        <w:t>determine</w:t>
      </w:r>
      <w:proofErr w:type="gramEnd"/>
      <w:r>
        <w:rPr>
          <w:sz w:val="24"/>
          <w:szCs w:val="24"/>
        </w:rPr>
        <w:t>;</w:t>
      </w:r>
    </w:p>
    <w:p w14:paraId="2528424C" w14:textId="77777777" w:rsidR="00B23CA2" w:rsidRDefault="00B23CA2" w:rsidP="00B23CA2">
      <w:pPr>
        <w:pStyle w:val="ListParagraph"/>
        <w:jc w:val="both"/>
        <w:rPr>
          <w:sz w:val="24"/>
          <w:szCs w:val="24"/>
        </w:rPr>
      </w:pPr>
    </w:p>
    <w:p w14:paraId="14841D90" w14:textId="77777777" w:rsidR="00B23CA2" w:rsidRDefault="00B23CA2" w:rsidP="00B23CA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whether the works </w:t>
      </w:r>
      <w:proofErr w:type="gramStart"/>
      <w:r>
        <w:rPr>
          <w:sz w:val="24"/>
          <w:szCs w:val="24"/>
        </w:rPr>
        <w:t>required</w:t>
      </w:r>
      <w:proofErr w:type="gramEnd"/>
      <w:r>
        <w:rPr>
          <w:sz w:val="24"/>
          <w:szCs w:val="24"/>
        </w:rPr>
        <w:t xml:space="preserve"> are major and as such, are termed a Twenty-Eight Day void and works raised accordingly, or;</w:t>
      </w:r>
    </w:p>
    <w:p w14:paraId="2B6EE522" w14:textId="77777777" w:rsidR="00B23CA2" w:rsidRDefault="00B23CA2" w:rsidP="00B23CA2">
      <w:pPr>
        <w:pStyle w:val="ListParagraph"/>
        <w:ind w:left="1380" w:firstLine="0"/>
        <w:jc w:val="both"/>
        <w:rPr>
          <w:sz w:val="24"/>
          <w:szCs w:val="24"/>
        </w:rPr>
      </w:pPr>
    </w:p>
    <w:p w14:paraId="585913F1" w14:textId="7B5C2E3A" w:rsidR="00B23CA2" w:rsidRDefault="00B23CA2" w:rsidP="00B23CA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they are the responsibility of the landlord and therefore,</w:t>
      </w:r>
      <w:r w:rsidR="00A058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landlord </w:t>
      </w:r>
      <w:r w:rsidR="00A058C9">
        <w:rPr>
          <w:sz w:val="24"/>
          <w:szCs w:val="24"/>
        </w:rPr>
        <w:t xml:space="preserve">will be contacted, </w:t>
      </w:r>
      <w:r>
        <w:rPr>
          <w:sz w:val="24"/>
          <w:szCs w:val="24"/>
        </w:rPr>
        <w:t>and agree</w:t>
      </w:r>
      <w:r w:rsidR="00A058C9">
        <w:rPr>
          <w:sz w:val="24"/>
          <w:szCs w:val="24"/>
        </w:rPr>
        <w:t>ment reached,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whether or not</w:t>
      </w:r>
      <w:proofErr w:type="gramEnd"/>
      <w:r>
        <w:rPr>
          <w:sz w:val="24"/>
          <w:szCs w:val="24"/>
        </w:rPr>
        <w:t xml:space="preserve"> the necessary repairs are a Seven Day or Twenty-Eight Day Void.  </w:t>
      </w:r>
    </w:p>
    <w:p w14:paraId="6C5EEACA" w14:textId="77777777" w:rsidR="00B23CA2" w:rsidRPr="00AA63B1" w:rsidRDefault="00B23CA2" w:rsidP="00B23CA2">
      <w:pPr>
        <w:pStyle w:val="ListParagraph"/>
        <w:jc w:val="both"/>
        <w:rPr>
          <w:sz w:val="24"/>
          <w:szCs w:val="24"/>
        </w:rPr>
      </w:pPr>
    </w:p>
    <w:p w14:paraId="21A3E262" w14:textId="0CE8E43C" w:rsidR="00B23CA2" w:rsidRPr="00A058C9" w:rsidRDefault="00B23CA2" w:rsidP="00B23CA2">
      <w:pPr>
        <w:pStyle w:val="ListParagraph"/>
        <w:numPr>
          <w:ilvl w:val="1"/>
          <w:numId w:val="7"/>
        </w:numPr>
        <w:tabs>
          <w:tab w:val="left" w:pos="1020"/>
        </w:tabs>
        <w:ind w:left="10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Where there is likely to be a dispute with a landlord or a way forward cannot be agreed Nacro’s legal team </w:t>
      </w:r>
      <w:r w:rsidR="00A058C9">
        <w:rPr>
          <w:sz w:val="24"/>
          <w:szCs w:val="24"/>
        </w:rPr>
        <w:t>will be involved</w:t>
      </w:r>
      <w:r>
        <w:rPr>
          <w:sz w:val="24"/>
          <w:szCs w:val="24"/>
        </w:rPr>
        <w:t xml:space="preserve">. </w:t>
      </w:r>
    </w:p>
    <w:p w14:paraId="273081CD" w14:textId="77777777" w:rsidR="00B23CA2" w:rsidRDefault="00B23CA2" w:rsidP="00B23CA2">
      <w:pPr>
        <w:pStyle w:val="ListParagraph"/>
        <w:numPr>
          <w:ilvl w:val="0"/>
          <w:numId w:val="7"/>
        </w:numPr>
        <w:tabs>
          <w:tab w:val="left" w:pos="1020"/>
        </w:tabs>
        <w:rPr>
          <w:b/>
          <w:sz w:val="29"/>
        </w:rPr>
      </w:pPr>
      <w:r>
        <w:rPr>
          <w:b/>
          <w:sz w:val="29"/>
        </w:rPr>
        <w:lastRenderedPageBreak/>
        <w:t>Lease Arrangements</w:t>
      </w:r>
    </w:p>
    <w:p w14:paraId="0AF051CB" w14:textId="77777777" w:rsidR="00B23CA2" w:rsidRDefault="00B23CA2" w:rsidP="00B23CA2">
      <w:pPr>
        <w:tabs>
          <w:tab w:val="left" w:pos="1020"/>
        </w:tabs>
        <w:jc w:val="both"/>
        <w:rPr>
          <w:sz w:val="24"/>
          <w:szCs w:val="24"/>
        </w:rPr>
      </w:pPr>
    </w:p>
    <w:p w14:paraId="407E94B0" w14:textId="77777777" w:rsidR="00B23CA2" w:rsidRDefault="00B23CA2" w:rsidP="00B23CA2">
      <w:pPr>
        <w:pStyle w:val="ListParagraph"/>
        <w:numPr>
          <w:ilvl w:val="1"/>
          <w:numId w:val="7"/>
        </w:numPr>
        <w:tabs>
          <w:tab w:val="left" w:pos="1020"/>
        </w:tabs>
        <w:ind w:left="1020"/>
        <w:jc w:val="both"/>
        <w:rPr>
          <w:sz w:val="24"/>
          <w:szCs w:val="24"/>
        </w:rPr>
      </w:pPr>
      <w:r w:rsidRPr="00E06392">
        <w:rPr>
          <w:sz w:val="24"/>
          <w:szCs w:val="24"/>
        </w:rPr>
        <w:t xml:space="preserve">In addition to the requirements within Nacro’s Property &amp; Leasing Procedures the following actions and mitigation measures are to be considered and implemented where </w:t>
      </w:r>
      <w:proofErr w:type="gramStart"/>
      <w:r w:rsidRPr="00E06392">
        <w:rPr>
          <w:sz w:val="24"/>
          <w:szCs w:val="24"/>
        </w:rPr>
        <w:t>appropriate</w:t>
      </w:r>
      <w:proofErr w:type="gramEnd"/>
      <w:r w:rsidRPr="00E06392">
        <w:rPr>
          <w:sz w:val="24"/>
          <w:szCs w:val="24"/>
        </w:rPr>
        <w:t xml:space="preserve">: - </w:t>
      </w:r>
    </w:p>
    <w:p w14:paraId="531B09C4" w14:textId="77777777" w:rsidR="00B23CA2" w:rsidRDefault="00B23CA2" w:rsidP="00B23CA2">
      <w:pPr>
        <w:pStyle w:val="ListParagraph"/>
        <w:tabs>
          <w:tab w:val="left" w:pos="1020"/>
        </w:tabs>
        <w:ind w:left="1020" w:firstLine="0"/>
        <w:jc w:val="both"/>
        <w:rPr>
          <w:sz w:val="24"/>
          <w:szCs w:val="24"/>
        </w:rPr>
      </w:pPr>
    </w:p>
    <w:p w14:paraId="4F527846" w14:textId="3C5B5DA1" w:rsidR="00B23CA2" w:rsidRDefault="00B23CA2" w:rsidP="00B23CA2">
      <w:pPr>
        <w:pStyle w:val="ListParagraph"/>
        <w:numPr>
          <w:ilvl w:val="0"/>
          <w:numId w:val="8"/>
        </w:numPr>
        <w:tabs>
          <w:tab w:val="left" w:pos="10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All new leases with potential landlords and investors to </w:t>
      </w:r>
      <w:r w:rsidR="00A058C9">
        <w:rPr>
          <w:sz w:val="24"/>
          <w:szCs w:val="24"/>
        </w:rPr>
        <w:t xml:space="preserve">conform with </w:t>
      </w:r>
      <w:r>
        <w:rPr>
          <w:sz w:val="24"/>
          <w:szCs w:val="24"/>
        </w:rPr>
        <w:t xml:space="preserve">Nacro ‘Standard Lease’ that specifically </w:t>
      </w:r>
      <w:proofErr w:type="gramStart"/>
      <w:r>
        <w:rPr>
          <w:sz w:val="24"/>
          <w:szCs w:val="24"/>
        </w:rPr>
        <w:t>states</w:t>
      </w:r>
      <w:proofErr w:type="gramEnd"/>
      <w:r>
        <w:rPr>
          <w:sz w:val="24"/>
          <w:szCs w:val="24"/>
        </w:rPr>
        <w:t xml:space="preserve"> a </w:t>
      </w:r>
      <w:r w:rsidRPr="002D21D5">
        <w:rPr>
          <w:b/>
          <w:sz w:val="24"/>
          <w:szCs w:val="24"/>
        </w:rPr>
        <w:t>Seven Day</w:t>
      </w:r>
      <w:r>
        <w:rPr>
          <w:sz w:val="24"/>
          <w:szCs w:val="24"/>
        </w:rPr>
        <w:t xml:space="preserve"> turnaround for Void period and clearly defines the Landlords and Nacro’s maintenance and repairs responsibilities.</w:t>
      </w:r>
    </w:p>
    <w:p w14:paraId="29DCE7A1" w14:textId="77777777" w:rsidR="00B23CA2" w:rsidRDefault="00B23CA2" w:rsidP="00B23CA2">
      <w:pPr>
        <w:pStyle w:val="ListParagraph"/>
        <w:tabs>
          <w:tab w:val="left" w:pos="1020"/>
        </w:tabs>
        <w:ind w:left="1080" w:firstLine="0"/>
        <w:jc w:val="both"/>
        <w:rPr>
          <w:sz w:val="24"/>
          <w:szCs w:val="24"/>
        </w:rPr>
      </w:pPr>
    </w:p>
    <w:p w14:paraId="28927BF3" w14:textId="0008CF49" w:rsidR="00731CE3" w:rsidRPr="00671293" w:rsidRDefault="00B23CA2" w:rsidP="00671293">
      <w:pPr>
        <w:pStyle w:val="ListParagraph"/>
        <w:numPr>
          <w:ilvl w:val="0"/>
          <w:numId w:val="8"/>
        </w:numPr>
        <w:tabs>
          <w:tab w:val="left" w:pos="10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Existing leases </w:t>
      </w:r>
      <w:proofErr w:type="gramStart"/>
      <w:r>
        <w:rPr>
          <w:sz w:val="24"/>
          <w:szCs w:val="24"/>
        </w:rPr>
        <w:t>and in particular, those</w:t>
      </w:r>
      <w:proofErr w:type="gramEnd"/>
      <w:r>
        <w:rPr>
          <w:sz w:val="24"/>
          <w:szCs w:val="24"/>
        </w:rPr>
        <w:t xml:space="preserve"> being transferred from Stonham to include an addendum to reflect the urgency of a </w:t>
      </w:r>
      <w:r w:rsidRPr="004C19AF">
        <w:rPr>
          <w:b/>
          <w:sz w:val="24"/>
          <w:szCs w:val="24"/>
        </w:rPr>
        <w:t>Seven Day</w:t>
      </w:r>
      <w:r>
        <w:rPr>
          <w:sz w:val="24"/>
          <w:szCs w:val="24"/>
        </w:rPr>
        <w:t xml:space="preserve"> void turnaround and as such, Nacro will advise of works and or arrange and recharge landlord accordingly.</w:t>
      </w:r>
    </w:p>
    <w:p w14:paraId="11029965" w14:textId="77777777" w:rsidR="00B23CA2" w:rsidRDefault="00B23CA2" w:rsidP="00B23CA2">
      <w:pPr>
        <w:tabs>
          <w:tab w:val="left" w:pos="1020"/>
        </w:tabs>
        <w:jc w:val="both"/>
        <w:rPr>
          <w:sz w:val="24"/>
          <w:szCs w:val="24"/>
        </w:rPr>
      </w:pPr>
    </w:p>
    <w:p w14:paraId="2BC37B6E" w14:textId="77777777" w:rsidR="00B23CA2" w:rsidRPr="00BF0E53" w:rsidRDefault="00B23CA2" w:rsidP="00B23CA2">
      <w:pPr>
        <w:tabs>
          <w:tab w:val="left" w:pos="1020"/>
        </w:tabs>
        <w:rPr>
          <w:sz w:val="24"/>
          <w:szCs w:val="24"/>
        </w:rPr>
      </w:pPr>
      <w:bookmarkStart w:id="1" w:name="_Hlk511718406"/>
    </w:p>
    <w:p w14:paraId="0562E63C" w14:textId="45AAE044" w:rsidR="00B23CA2" w:rsidRDefault="004067EE" w:rsidP="00B23CA2">
      <w:pPr>
        <w:pStyle w:val="ListParagraph"/>
        <w:numPr>
          <w:ilvl w:val="0"/>
          <w:numId w:val="7"/>
        </w:numPr>
        <w:tabs>
          <w:tab w:val="left" w:pos="1020"/>
        </w:tabs>
        <w:rPr>
          <w:b/>
          <w:sz w:val="29"/>
        </w:rPr>
      </w:pPr>
      <w:bookmarkStart w:id="2" w:name="_Hlk511718345"/>
      <w:r>
        <w:rPr>
          <w:b/>
          <w:sz w:val="29"/>
        </w:rPr>
        <w:t xml:space="preserve">High </w:t>
      </w:r>
      <w:bookmarkEnd w:id="1"/>
      <w:bookmarkEnd w:id="2"/>
      <w:r>
        <w:rPr>
          <w:b/>
          <w:sz w:val="29"/>
        </w:rPr>
        <w:t xml:space="preserve">Level </w:t>
      </w:r>
      <w:r w:rsidR="00B23CA2">
        <w:rPr>
          <w:b/>
          <w:sz w:val="29"/>
        </w:rPr>
        <w:t>Detai</w:t>
      </w:r>
      <w:r>
        <w:rPr>
          <w:b/>
          <w:sz w:val="29"/>
        </w:rPr>
        <w:t>l</w:t>
      </w:r>
      <w:r w:rsidR="00B23CA2">
        <w:rPr>
          <w:b/>
          <w:sz w:val="29"/>
        </w:rPr>
        <w:t xml:space="preserve"> Process</w:t>
      </w:r>
    </w:p>
    <w:p w14:paraId="476A7A6D" w14:textId="293C88E6" w:rsidR="00B2657E" w:rsidRDefault="00B2657E" w:rsidP="00B2657E">
      <w:pPr>
        <w:tabs>
          <w:tab w:val="left" w:pos="1020"/>
        </w:tabs>
        <w:rPr>
          <w:b/>
          <w:sz w:val="29"/>
        </w:rPr>
      </w:pPr>
    </w:p>
    <w:p w14:paraId="122970F5" w14:textId="77777777" w:rsidR="00B2657E" w:rsidRDefault="00B2657E" w:rsidP="00B2657E">
      <w:pPr>
        <w:tabs>
          <w:tab w:val="left" w:pos="1020"/>
        </w:tabs>
        <w:ind w:left="1020" w:hanging="1020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sz w:val="24"/>
          <w:szCs w:val="24"/>
        </w:rPr>
        <w:tab/>
        <w:t xml:space="preserve">The MoJ sets a strict target of a </w:t>
      </w:r>
      <w:r w:rsidRPr="00A7446F">
        <w:rPr>
          <w:b/>
          <w:sz w:val="24"/>
          <w:szCs w:val="24"/>
        </w:rPr>
        <w:t>7 calendar days</w:t>
      </w:r>
      <w:r>
        <w:rPr>
          <w:sz w:val="24"/>
          <w:szCs w:val="24"/>
        </w:rPr>
        <w:t xml:space="preserve"> void turnaround, being a </w:t>
      </w:r>
      <w:r w:rsidRPr="00A7446F">
        <w:rPr>
          <w:b/>
          <w:sz w:val="24"/>
          <w:szCs w:val="24"/>
        </w:rPr>
        <w:t>7 day ’End to End’</w:t>
      </w:r>
      <w:r>
        <w:rPr>
          <w:sz w:val="24"/>
          <w:szCs w:val="24"/>
        </w:rPr>
        <w:t xml:space="preserve"> void management target.  If Nacro does not meet this target, it will incur a financial penalty.</w:t>
      </w:r>
    </w:p>
    <w:p w14:paraId="5ADF17B5" w14:textId="77777777" w:rsidR="00B2657E" w:rsidRDefault="00B2657E" w:rsidP="00B2657E">
      <w:pPr>
        <w:tabs>
          <w:tab w:val="left" w:pos="1020"/>
        </w:tabs>
        <w:ind w:left="1020" w:hanging="1020"/>
        <w:jc w:val="both"/>
        <w:rPr>
          <w:sz w:val="24"/>
          <w:szCs w:val="24"/>
        </w:rPr>
      </w:pPr>
    </w:p>
    <w:p w14:paraId="3B9D5724" w14:textId="77777777" w:rsidR="00B2657E" w:rsidRDefault="00B2657E" w:rsidP="00B2657E">
      <w:pPr>
        <w:tabs>
          <w:tab w:val="left" w:pos="1020"/>
        </w:tabs>
        <w:ind w:left="1020" w:hanging="10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 </w:t>
      </w:r>
      <w:r>
        <w:rPr>
          <w:sz w:val="24"/>
          <w:szCs w:val="24"/>
        </w:rPr>
        <w:tab/>
        <w:t xml:space="preserve">The financial penalty is based on 75% of the value of the bedspace per day.  </w:t>
      </w:r>
    </w:p>
    <w:p w14:paraId="1E24D87F" w14:textId="77777777" w:rsidR="00B2657E" w:rsidRDefault="00B2657E" w:rsidP="00B2657E">
      <w:pPr>
        <w:tabs>
          <w:tab w:val="left" w:pos="1020"/>
        </w:tabs>
        <w:ind w:left="1020" w:hanging="1020"/>
        <w:jc w:val="both"/>
        <w:rPr>
          <w:sz w:val="24"/>
          <w:szCs w:val="24"/>
        </w:rPr>
      </w:pPr>
    </w:p>
    <w:p w14:paraId="06924081" w14:textId="77777777" w:rsidR="00B2657E" w:rsidRDefault="00B2657E" w:rsidP="00B2657E">
      <w:pPr>
        <w:tabs>
          <w:tab w:val="left" w:pos="1020"/>
        </w:tabs>
        <w:ind w:left="1020" w:hanging="1020"/>
        <w:jc w:val="both"/>
        <w:rPr>
          <w:sz w:val="24"/>
          <w:szCs w:val="24"/>
        </w:rPr>
      </w:pPr>
      <w:r>
        <w:rPr>
          <w:sz w:val="24"/>
          <w:szCs w:val="24"/>
        </w:rPr>
        <w:t>4.3</w:t>
      </w:r>
      <w:r>
        <w:rPr>
          <w:sz w:val="24"/>
          <w:szCs w:val="24"/>
        </w:rPr>
        <w:tab/>
        <w:t>Nacro has made provision within its ‘Maintenance Services’ contract to pass this penalty on to contractors where they do not deliver their services on voids in 5 calendar days.  This is currently charged at £30 per day for each day the contractor goes over the 5-day contractor void period.</w:t>
      </w:r>
    </w:p>
    <w:p w14:paraId="33C14977" w14:textId="77777777" w:rsidR="00B2657E" w:rsidRDefault="00B2657E" w:rsidP="00B2657E">
      <w:pPr>
        <w:tabs>
          <w:tab w:val="left" w:pos="1020"/>
        </w:tabs>
        <w:ind w:left="1020" w:hanging="1020"/>
        <w:jc w:val="both"/>
        <w:rPr>
          <w:sz w:val="24"/>
          <w:szCs w:val="24"/>
        </w:rPr>
      </w:pPr>
    </w:p>
    <w:p w14:paraId="192C2157" w14:textId="77777777" w:rsidR="00B2657E" w:rsidRDefault="00B2657E" w:rsidP="00B2657E">
      <w:pPr>
        <w:tabs>
          <w:tab w:val="left" w:pos="1020"/>
        </w:tabs>
        <w:ind w:left="1020" w:hanging="1020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>
        <w:rPr>
          <w:sz w:val="24"/>
          <w:szCs w:val="24"/>
        </w:rPr>
        <w:tab/>
        <w:t xml:space="preserve">The </w:t>
      </w:r>
      <w:r w:rsidRPr="00A7446F">
        <w:rPr>
          <w:b/>
          <w:sz w:val="24"/>
          <w:szCs w:val="24"/>
        </w:rPr>
        <w:t>7-calendar day</w:t>
      </w:r>
      <w:r>
        <w:rPr>
          <w:sz w:val="24"/>
          <w:szCs w:val="24"/>
        </w:rPr>
        <w:t xml:space="preserve"> ‘End to End’ void management high-level process has been split as follows: -</w:t>
      </w:r>
    </w:p>
    <w:p w14:paraId="4D07C88B" w14:textId="77777777" w:rsidR="00B2657E" w:rsidRDefault="00B2657E" w:rsidP="00B2657E">
      <w:pPr>
        <w:tabs>
          <w:tab w:val="left" w:pos="1020"/>
        </w:tabs>
        <w:ind w:left="1020" w:hanging="1020"/>
        <w:jc w:val="both"/>
        <w:rPr>
          <w:sz w:val="24"/>
          <w:szCs w:val="24"/>
        </w:rPr>
      </w:pPr>
    </w:p>
    <w:p w14:paraId="3EA55057" w14:textId="77777777" w:rsidR="00B2657E" w:rsidRDefault="00B2657E" w:rsidP="00B2657E">
      <w:pPr>
        <w:ind w:left="1440" w:hanging="1440"/>
        <w:jc w:val="both"/>
        <w:rPr>
          <w:rFonts w:eastAsia="Times New Roman"/>
          <w:sz w:val="24"/>
          <w:szCs w:val="24"/>
        </w:rPr>
      </w:pPr>
      <w:r w:rsidRPr="00091851">
        <w:rPr>
          <w:rFonts w:eastAsia="Times New Roman"/>
          <w:b/>
          <w:sz w:val="24"/>
          <w:szCs w:val="24"/>
        </w:rPr>
        <w:t>Day 1</w:t>
      </w:r>
      <w:r>
        <w:rPr>
          <w:rFonts w:eastAsia="Times New Roman"/>
          <w:sz w:val="24"/>
          <w:szCs w:val="24"/>
        </w:rPr>
        <w:tab/>
        <w:t xml:space="preserve">- Nacro staff </w:t>
      </w:r>
      <w:proofErr w:type="gramStart"/>
      <w:r>
        <w:rPr>
          <w:rFonts w:eastAsia="Times New Roman"/>
          <w:sz w:val="24"/>
          <w:szCs w:val="24"/>
        </w:rPr>
        <w:t>are responsible for</w:t>
      </w:r>
      <w:proofErr w:type="gramEnd"/>
      <w:r>
        <w:rPr>
          <w:rFonts w:eastAsia="Times New Roman"/>
          <w:sz w:val="24"/>
          <w:szCs w:val="24"/>
        </w:rPr>
        <w:t xml:space="preserve"> inspecting room/unit/property and raising any necessary cleaning and repair works. </w:t>
      </w:r>
    </w:p>
    <w:p w14:paraId="6707FD42" w14:textId="77777777" w:rsidR="00B2657E" w:rsidRDefault="00B2657E" w:rsidP="00B2657E">
      <w:pPr>
        <w:ind w:left="1440" w:hanging="14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14:paraId="388BBD25" w14:textId="77777777" w:rsidR="00B2657E" w:rsidRDefault="00B2657E" w:rsidP="00B2657E">
      <w:pPr>
        <w:jc w:val="both"/>
        <w:rPr>
          <w:rFonts w:eastAsia="Times New Roman"/>
          <w:sz w:val="24"/>
          <w:szCs w:val="24"/>
        </w:rPr>
      </w:pPr>
      <w:r w:rsidRPr="00091851">
        <w:rPr>
          <w:rFonts w:eastAsia="Times New Roman"/>
          <w:b/>
          <w:sz w:val="24"/>
          <w:szCs w:val="24"/>
        </w:rPr>
        <w:t>Days 2 to 6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ab/>
        <w:t>- Cleaning and Repair works to be undertaken by Service Providers</w:t>
      </w:r>
    </w:p>
    <w:p w14:paraId="63E40B0F" w14:textId="77777777" w:rsidR="00B2657E" w:rsidRDefault="00B2657E" w:rsidP="00B2657E">
      <w:pPr>
        <w:jc w:val="both"/>
        <w:rPr>
          <w:rFonts w:eastAsia="Times New Roman"/>
          <w:sz w:val="24"/>
          <w:szCs w:val="24"/>
        </w:rPr>
      </w:pPr>
    </w:p>
    <w:p w14:paraId="3E891764" w14:textId="77777777" w:rsidR="00B2657E" w:rsidRPr="001A4B3D" w:rsidRDefault="00B2657E" w:rsidP="00B2657E">
      <w:pPr>
        <w:ind w:left="1440" w:hanging="1440"/>
        <w:jc w:val="both"/>
        <w:rPr>
          <w:rFonts w:eastAsia="Times New Roman"/>
          <w:sz w:val="24"/>
          <w:szCs w:val="24"/>
        </w:rPr>
      </w:pPr>
      <w:r w:rsidRPr="00091851">
        <w:rPr>
          <w:rFonts w:eastAsia="Times New Roman"/>
          <w:b/>
          <w:sz w:val="24"/>
          <w:szCs w:val="24"/>
        </w:rPr>
        <w:t>Day 7</w:t>
      </w:r>
      <w:r>
        <w:rPr>
          <w:rFonts w:eastAsia="Times New Roman"/>
          <w:sz w:val="24"/>
          <w:szCs w:val="24"/>
        </w:rPr>
        <w:tab/>
        <w:t xml:space="preserve">- Nacro staff to inspect and ensure any snagging is either carried out or an appointment made to return post void, where applicable. </w:t>
      </w:r>
    </w:p>
    <w:p w14:paraId="2C53221C" w14:textId="77777777" w:rsidR="00B2657E" w:rsidRDefault="00B2657E" w:rsidP="00B2657E">
      <w:pPr>
        <w:tabs>
          <w:tab w:val="left" w:pos="1020"/>
        </w:tabs>
        <w:ind w:left="1020" w:hanging="1020"/>
        <w:jc w:val="both"/>
        <w:rPr>
          <w:sz w:val="24"/>
          <w:szCs w:val="24"/>
        </w:rPr>
      </w:pPr>
    </w:p>
    <w:p w14:paraId="0C504A4A" w14:textId="77777777" w:rsidR="00B2657E" w:rsidRDefault="00B2657E" w:rsidP="00B2657E">
      <w:pPr>
        <w:tabs>
          <w:tab w:val="left" w:pos="1020"/>
        </w:tabs>
        <w:ind w:left="1020" w:hanging="1020"/>
        <w:jc w:val="both"/>
        <w:rPr>
          <w:sz w:val="24"/>
          <w:szCs w:val="24"/>
        </w:rPr>
      </w:pPr>
      <w:r>
        <w:rPr>
          <w:sz w:val="24"/>
          <w:szCs w:val="24"/>
        </w:rPr>
        <w:t>4.5</w:t>
      </w:r>
      <w:r>
        <w:rPr>
          <w:sz w:val="24"/>
          <w:szCs w:val="24"/>
        </w:rPr>
        <w:tab/>
        <w:t xml:space="preserve">It is important to remember that in most situations voids are a bedspace/room only, although repairs </w:t>
      </w:r>
      <w:proofErr w:type="gramStart"/>
      <w:r>
        <w:rPr>
          <w:sz w:val="24"/>
          <w:szCs w:val="24"/>
        </w:rPr>
        <w:t>required</w:t>
      </w:r>
      <w:proofErr w:type="gramEnd"/>
      <w:r>
        <w:rPr>
          <w:sz w:val="24"/>
          <w:szCs w:val="24"/>
        </w:rPr>
        <w:t xml:space="preserve"> to communal/shared areas of the property may impact on the bedspace/room being let.  </w:t>
      </w:r>
    </w:p>
    <w:p w14:paraId="125CB580" w14:textId="09ABB018" w:rsidR="00B2657E" w:rsidRDefault="00B2657E" w:rsidP="00B2657E">
      <w:pPr>
        <w:tabs>
          <w:tab w:val="left" w:pos="1020"/>
        </w:tabs>
        <w:rPr>
          <w:b/>
          <w:sz w:val="29"/>
        </w:rPr>
      </w:pPr>
    </w:p>
    <w:p w14:paraId="00E8BC1A" w14:textId="77777777" w:rsidR="00B2657E" w:rsidRDefault="00B2657E" w:rsidP="00B2657E">
      <w:pPr>
        <w:tabs>
          <w:tab w:val="left" w:pos="10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refer to the </w:t>
      </w:r>
      <w:r w:rsidRPr="00B64406">
        <w:rPr>
          <w:sz w:val="24"/>
          <w:szCs w:val="24"/>
        </w:rPr>
        <w:t>BASS Contract Empty Property (Void) Management Procedur</w:t>
      </w:r>
      <w:r>
        <w:rPr>
          <w:sz w:val="24"/>
          <w:szCs w:val="24"/>
        </w:rPr>
        <w:t>al</w:t>
      </w:r>
      <w:r w:rsidRPr="00B64406">
        <w:rPr>
          <w:sz w:val="24"/>
          <w:szCs w:val="24"/>
        </w:rPr>
        <w:t xml:space="preserve"> document</w:t>
      </w:r>
      <w:r>
        <w:rPr>
          <w:sz w:val="24"/>
          <w:szCs w:val="24"/>
        </w:rPr>
        <w:t xml:space="preserve"> for full details of void management process and delivery.</w:t>
      </w:r>
    </w:p>
    <w:p w14:paraId="1A8F2BDD" w14:textId="77777777" w:rsidR="00B2657E" w:rsidRPr="00B2657E" w:rsidRDefault="00B2657E" w:rsidP="00B2657E">
      <w:pPr>
        <w:tabs>
          <w:tab w:val="left" w:pos="1020"/>
        </w:tabs>
        <w:rPr>
          <w:b/>
          <w:sz w:val="29"/>
        </w:rPr>
      </w:pPr>
    </w:p>
    <w:p w14:paraId="76AEB1A4" w14:textId="77777777" w:rsidR="006B511E" w:rsidRPr="006B511E" w:rsidRDefault="006B511E" w:rsidP="006B511E">
      <w:pPr>
        <w:pStyle w:val="ListParagraph"/>
        <w:numPr>
          <w:ilvl w:val="0"/>
          <w:numId w:val="7"/>
        </w:numPr>
        <w:tabs>
          <w:tab w:val="left" w:pos="1020"/>
        </w:tabs>
        <w:rPr>
          <w:b/>
          <w:sz w:val="28"/>
          <w:szCs w:val="28"/>
        </w:rPr>
      </w:pPr>
      <w:r w:rsidRPr="006B511E">
        <w:rPr>
          <w:b/>
          <w:sz w:val="28"/>
          <w:szCs w:val="28"/>
        </w:rPr>
        <w:lastRenderedPageBreak/>
        <w:t>Property Procurement &amp; Provision</w:t>
      </w:r>
    </w:p>
    <w:p w14:paraId="26E1D9E4" w14:textId="77777777" w:rsidR="006B511E" w:rsidRPr="006B511E" w:rsidRDefault="006B511E" w:rsidP="006B511E">
      <w:pPr>
        <w:tabs>
          <w:tab w:val="left" w:pos="1020"/>
        </w:tabs>
        <w:ind w:left="1020" w:hanging="1020"/>
        <w:jc w:val="both"/>
        <w:rPr>
          <w:sz w:val="24"/>
          <w:szCs w:val="24"/>
        </w:rPr>
      </w:pPr>
    </w:p>
    <w:p w14:paraId="4170B64D" w14:textId="09DEDAC4" w:rsidR="006B511E" w:rsidRPr="006B511E" w:rsidRDefault="006B511E" w:rsidP="006B511E">
      <w:pPr>
        <w:tabs>
          <w:tab w:val="left" w:pos="1020"/>
        </w:tabs>
        <w:ind w:left="1020" w:hanging="1020"/>
        <w:jc w:val="both"/>
        <w:rPr>
          <w:sz w:val="24"/>
          <w:szCs w:val="24"/>
        </w:rPr>
      </w:pPr>
      <w:r w:rsidRPr="006B511E">
        <w:rPr>
          <w:sz w:val="24"/>
          <w:szCs w:val="24"/>
        </w:rPr>
        <w:t xml:space="preserve">5.1      </w:t>
      </w:r>
      <w:r>
        <w:rPr>
          <w:sz w:val="24"/>
          <w:szCs w:val="24"/>
        </w:rPr>
        <w:tab/>
      </w:r>
      <w:r w:rsidRPr="006B511E">
        <w:rPr>
          <w:sz w:val="24"/>
          <w:szCs w:val="24"/>
        </w:rPr>
        <w:t>Nacro will meet the BASS contract ‘Service Specification’ of providing a</w:t>
      </w:r>
      <w:r>
        <w:rPr>
          <w:sz w:val="24"/>
          <w:szCs w:val="24"/>
        </w:rPr>
        <w:t xml:space="preserve"> </w:t>
      </w:r>
      <w:r w:rsidRPr="006B511E">
        <w:rPr>
          <w:sz w:val="24"/>
          <w:szCs w:val="24"/>
        </w:rPr>
        <w:t xml:space="preserve">minimum of 550 bedspaces across England and Wales </w:t>
      </w:r>
      <w:proofErr w:type="gramStart"/>
      <w:r w:rsidRPr="006B511E">
        <w:rPr>
          <w:sz w:val="24"/>
          <w:szCs w:val="24"/>
        </w:rPr>
        <w:t>in accordance with</w:t>
      </w:r>
      <w:proofErr w:type="gramEnd"/>
      <w:r w:rsidRPr="006B511E">
        <w:rPr>
          <w:sz w:val="24"/>
          <w:szCs w:val="24"/>
        </w:rPr>
        <w:t xml:space="preserve"> the requirements of the contract, whilst continually reviewing suitability of accommodation </w:t>
      </w:r>
      <w:r w:rsidR="00EB5847" w:rsidRPr="006B511E">
        <w:rPr>
          <w:sz w:val="24"/>
          <w:szCs w:val="24"/>
        </w:rPr>
        <w:t>in regard to</w:t>
      </w:r>
      <w:r w:rsidRPr="006B511E">
        <w:rPr>
          <w:sz w:val="24"/>
          <w:szCs w:val="24"/>
        </w:rPr>
        <w:t xml:space="preserve">; </w:t>
      </w:r>
    </w:p>
    <w:p w14:paraId="1C0E83D6" w14:textId="77777777" w:rsidR="006B511E" w:rsidRPr="006B511E" w:rsidRDefault="006B511E" w:rsidP="006B511E">
      <w:pPr>
        <w:tabs>
          <w:tab w:val="left" w:pos="1020"/>
        </w:tabs>
        <w:ind w:left="1020" w:hanging="1020"/>
        <w:jc w:val="both"/>
        <w:rPr>
          <w:sz w:val="24"/>
          <w:szCs w:val="24"/>
        </w:rPr>
      </w:pPr>
    </w:p>
    <w:p w14:paraId="73E476BD" w14:textId="77777777" w:rsidR="006B511E" w:rsidRPr="006B511E" w:rsidRDefault="006B511E" w:rsidP="006B511E">
      <w:pPr>
        <w:numPr>
          <w:ilvl w:val="0"/>
          <w:numId w:val="11"/>
        </w:numPr>
        <w:tabs>
          <w:tab w:val="left" w:pos="1020"/>
        </w:tabs>
        <w:jc w:val="both"/>
        <w:rPr>
          <w:sz w:val="24"/>
          <w:szCs w:val="24"/>
        </w:rPr>
      </w:pPr>
      <w:r w:rsidRPr="006B511E">
        <w:rPr>
          <w:sz w:val="24"/>
          <w:szCs w:val="24"/>
        </w:rPr>
        <w:t xml:space="preserve">Demand and Under Occupation </w:t>
      </w:r>
    </w:p>
    <w:p w14:paraId="1EAC343D" w14:textId="77777777" w:rsidR="006B511E" w:rsidRPr="006B511E" w:rsidRDefault="006B511E" w:rsidP="006B511E">
      <w:pPr>
        <w:numPr>
          <w:ilvl w:val="0"/>
          <w:numId w:val="11"/>
        </w:numPr>
        <w:tabs>
          <w:tab w:val="left" w:pos="1020"/>
        </w:tabs>
        <w:jc w:val="both"/>
        <w:rPr>
          <w:sz w:val="24"/>
          <w:szCs w:val="24"/>
        </w:rPr>
      </w:pPr>
      <w:r w:rsidRPr="006B511E">
        <w:rPr>
          <w:sz w:val="24"/>
          <w:szCs w:val="24"/>
        </w:rPr>
        <w:t>Fit for Purpose</w:t>
      </w:r>
    </w:p>
    <w:p w14:paraId="4F5CBA23" w14:textId="77777777" w:rsidR="006B511E" w:rsidRPr="006B511E" w:rsidRDefault="006B511E" w:rsidP="006B511E">
      <w:pPr>
        <w:numPr>
          <w:ilvl w:val="0"/>
          <w:numId w:val="11"/>
        </w:numPr>
        <w:tabs>
          <w:tab w:val="left" w:pos="1020"/>
        </w:tabs>
        <w:jc w:val="both"/>
        <w:rPr>
          <w:sz w:val="24"/>
          <w:szCs w:val="24"/>
        </w:rPr>
      </w:pPr>
      <w:r w:rsidRPr="006B511E">
        <w:rPr>
          <w:sz w:val="24"/>
          <w:szCs w:val="24"/>
        </w:rPr>
        <w:t>Location</w:t>
      </w:r>
    </w:p>
    <w:p w14:paraId="335DB079" w14:textId="77777777" w:rsidR="006B511E" w:rsidRPr="006B511E" w:rsidRDefault="006B511E" w:rsidP="006B511E">
      <w:pPr>
        <w:numPr>
          <w:ilvl w:val="0"/>
          <w:numId w:val="11"/>
        </w:numPr>
        <w:tabs>
          <w:tab w:val="left" w:pos="1020"/>
        </w:tabs>
        <w:jc w:val="both"/>
        <w:rPr>
          <w:sz w:val="24"/>
          <w:szCs w:val="24"/>
        </w:rPr>
      </w:pPr>
      <w:r w:rsidRPr="006B511E">
        <w:rPr>
          <w:sz w:val="24"/>
          <w:szCs w:val="24"/>
        </w:rPr>
        <w:t xml:space="preserve">Type and Use Category </w:t>
      </w:r>
    </w:p>
    <w:p w14:paraId="2C47F10B" w14:textId="77777777" w:rsidR="006B511E" w:rsidRPr="006B511E" w:rsidRDefault="006B511E" w:rsidP="006B511E">
      <w:pPr>
        <w:numPr>
          <w:ilvl w:val="0"/>
          <w:numId w:val="11"/>
        </w:numPr>
        <w:tabs>
          <w:tab w:val="left" w:pos="1020"/>
        </w:tabs>
        <w:jc w:val="both"/>
        <w:rPr>
          <w:sz w:val="24"/>
          <w:szCs w:val="24"/>
        </w:rPr>
      </w:pPr>
      <w:r w:rsidRPr="006B511E">
        <w:rPr>
          <w:sz w:val="24"/>
          <w:szCs w:val="24"/>
        </w:rPr>
        <w:t xml:space="preserve">Value for Money </w:t>
      </w:r>
    </w:p>
    <w:p w14:paraId="5EF6F9BA" w14:textId="77777777" w:rsidR="006B511E" w:rsidRPr="006B511E" w:rsidRDefault="006B511E" w:rsidP="006B511E">
      <w:pPr>
        <w:tabs>
          <w:tab w:val="left" w:pos="1020"/>
        </w:tabs>
        <w:ind w:left="1020" w:hanging="1020"/>
        <w:jc w:val="both"/>
        <w:rPr>
          <w:sz w:val="24"/>
          <w:szCs w:val="24"/>
        </w:rPr>
      </w:pPr>
    </w:p>
    <w:p w14:paraId="43D74064" w14:textId="4A7C15D9" w:rsidR="006B511E" w:rsidRPr="006B511E" w:rsidRDefault="006B511E" w:rsidP="006B511E">
      <w:pPr>
        <w:tabs>
          <w:tab w:val="left" w:pos="1020"/>
        </w:tabs>
        <w:ind w:left="1020" w:hanging="1020"/>
        <w:jc w:val="both"/>
        <w:rPr>
          <w:sz w:val="24"/>
          <w:szCs w:val="24"/>
        </w:rPr>
      </w:pPr>
      <w:r w:rsidRPr="006B511E">
        <w:rPr>
          <w:sz w:val="24"/>
          <w:szCs w:val="24"/>
        </w:rPr>
        <w:t xml:space="preserve">5.2      </w:t>
      </w:r>
      <w:r>
        <w:rPr>
          <w:sz w:val="24"/>
          <w:szCs w:val="24"/>
        </w:rPr>
        <w:tab/>
      </w:r>
      <w:r w:rsidRPr="006B511E">
        <w:rPr>
          <w:sz w:val="24"/>
          <w:szCs w:val="24"/>
        </w:rPr>
        <w:t xml:space="preserve">Once the BASS contract is implemented and bedded in Nacro has offered to </w:t>
      </w:r>
      <w:proofErr w:type="gramStart"/>
      <w:r w:rsidRPr="006B511E">
        <w:rPr>
          <w:sz w:val="24"/>
          <w:szCs w:val="24"/>
        </w:rPr>
        <w:t>provide</w:t>
      </w:r>
      <w:proofErr w:type="gramEnd"/>
      <w:r w:rsidRPr="006B511E">
        <w:rPr>
          <w:sz w:val="24"/>
          <w:szCs w:val="24"/>
        </w:rPr>
        <w:t xml:space="preserve"> an additional 50 bedspaces from its existing infrastructure at a variable cost. </w:t>
      </w:r>
    </w:p>
    <w:p w14:paraId="33CE24C7" w14:textId="77777777" w:rsidR="006B511E" w:rsidRPr="006B511E" w:rsidRDefault="006B511E" w:rsidP="006B511E">
      <w:pPr>
        <w:tabs>
          <w:tab w:val="left" w:pos="1020"/>
        </w:tabs>
        <w:ind w:left="1020" w:hanging="1020"/>
        <w:jc w:val="both"/>
        <w:rPr>
          <w:sz w:val="24"/>
          <w:szCs w:val="24"/>
        </w:rPr>
      </w:pPr>
    </w:p>
    <w:p w14:paraId="0665C814" w14:textId="2807AF5B" w:rsidR="006B511E" w:rsidRPr="006B511E" w:rsidRDefault="006B511E" w:rsidP="006B511E">
      <w:pPr>
        <w:tabs>
          <w:tab w:val="left" w:pos="1020"/>
        </w:tabs>
        <w:ind w:left="1020" w:hanging="1020"/>
        <w:jc w:val="both"/>
        <w:rPr>
          <w:sz w:val="24"/>
          <w:szCs w:val="24"/>
        </w:rPr>
      </w:pPr>
      <w:r w:rsidRPr="006B511E">
        <w:rPr>
          <w:sz w:val="24"/>
          <w:szCs w:val="24"/>
        </w:rPr>
        <w:t xml:space="preserve">5.3      </w:t>
      </w:r>
      <w:r>
        <w:rPr>
          <w:sz w:val="24"/>
          <w:szCs w:val="24"/>
        </w:rPr>
        <w:tab/>
      </w:r>
      <w:r w:rsidRPr="006B511E">
        <w:rPr>
          <w:sz w:val="24"/>
          <w:szCs w:val="24"/>
        </w:rPr>
        <w:t xml:space="preserve">The Property Procurement &amp; Provision requirements of the Service Specification Schedule G1-G3 have been incorporated within Nacro’s revised Property Procurement Procedures to ensure Nacro </w:t>
      </w:r>
      <w:proofErr w:type="gramStart"/>
      <w:r w:rsidRPr="006B511E">
        <w:rPr>
          <w:sz w:val="24"/>
          <w:szCs w:val="24"/>
        </w:rPr>
        <w:t>complies with</w:t>
      </w:r>
      <w:proofErr w:type="gramEnd"/>
      <w:r w:rsidRPr="006B511E">
        <w:rPr>
          <w:sz w:val="24"/>
          <w:szCs w:val="24"/>
        </w:rPr>
        <w:t xml:space="preserve"> the targets and necessities of the BASS Service Specification and the aims of this BASS Empty Property Policy.  The key requirement is to have the 550 bedspaces in management </w:t>
      </w:r>
      <w:proofErr w:type="gramStart"/>
      <w:r w:rsidRPr="006B511E">
        <w:rPr>
          <w:sz w:val="24"/>
          <w:szCs w:val="24"/>
        </w:rPr>
        <w:t>at all times</w:t>
      </w:r>
      <w:proofErr w:type="gramEnd"/>
      <w:r w:rsidRPr="006B511E">
        <w:rPr>
          <w:sz w:val="24"/>
          <w:szCs w:val="24"/>
        </w:rPr>
        <w:t xml:space="preserve"> allowing for the 7 and 28 vacancy </w:t>
      </w:r>
      <w:r w:rsidR="00F73B14" w:rsidRPr="006B511E">
        <w:rPr>
          <w:sz w:val="24"/>
          <w:szCs w:val="24"/>
        </w:rPr>
        <w:t>periods</w:t>
      </w:r>
      <w:r w:rsidRPr="006B511E">
        <w:rPr>
          <w:sz w:val="24"/>
          <w:szCs w:val="24"/>
        </w:rPr>
        <w:t xml:space="preserve"> when dealing with voids.</w:t>
      </w:r>
    </w:p>
    <w:p w14:paraId="29DC7919" w14:textId="5124CC24" w:rsidR="00B64406" w:rsidRDefault="00B64406" w:rsidP="004067EE">
      <w:pPr>
        <w:tabs>
          <w:tab w:val="left" w:pos="1020"/>
        </w:tabs>
        <w:ind w:left="1020" w:hanging="1020"/>
        <w:jc w:val="both"/>
        <w:rPr>
          <w:sz w:val="24"/>
          <w:szCs w:val="24"/>
        </w:rPr>
      </w:pPr>
    </w:p>
    <w:p w14:paraId="0BB859F2" w14:textId="77777777" w:rsidR="00B64406" w:rsidRPr="00731CE3" w:rsidRDefault="00B64406" w:rsidP="004067EE">
      <w:pPr>
        <w:tabs>
          <w:tab w:val="left" w:pos="1020"/>
        </w:tabs>
        <w:ind w:left="1020" w:hanging="1020"/>
        <w:jc w:val="both"/>
        <w:rPr>
          <w:sz w:val="24"/>
          <w:szCs w:val="24"/>
        </w:rPr>
      </w:pPr>
      <w:bookmarkStart w:id="3" w:name="_GoBack"/>
      <w:bookmarkEnd w:id="3"/>
    </w:p>
    <w:p w14:paraId="40B0FBC9" w14:textId="60B81BDF" w:rsidR="00B2657E" w:rsidRDefault="00B2657E" w:rsidP="00B64406">
      <w:pPr>
        <w:tabs>
          <w:tab w:val="left" w:pos="1020"/>
        </w:tabs>
        <w:jc w:val="both"/>
        <w:rPr>
          <w:sz w:val="24"/>
          <w:szCs w:val="24"/>
        </w:rPr>
      </w:pPr>
    </w:p>
    <w:p w14:paraId="1212204B" w14:textId="2898F65C" w:rsidR="00B2657E" w:rsidRPr="00B2657E" w:rsidRDefault="00B2657E" w:rsidP="00B2657E">
      <w:pPr>
        <w:tabs>
          <w:tab w:val="left" w:pos="1020"/>
        </w:tabs>
        <w:jc w:val="both"/>
        <w:rPr>
          <w:sz w:val="24"/>
          <w:szCs w:val="24"/>
        </w:rPr>
      </w:pPr>
    </w:p>
    <w:p w14:paraId="1C862379" w14:textId="77777777" w:rsidR="00B64406" w:rsidRDefault="00B64406" w:rsidP="00671293">
      <w:pPr>
        <w:pStyle w:val="Heading2"/>
        <w:spacing w:before="93"/>
        <w:ind w:left="0"/>
      </w:pPr>
    </w:p>
    <w:p w14:paraId="491B8776" w14:textId="1AC1EBF7" w:rsidR="001D5830" w:rsidRDefault="00AB70A3" w:rsidP="00671293">
      <w:pPr>
        <w:pStyle w:val="Heading2"/>
        <w:spacing w:before="93"/>
        <w:ind w:left="0"/>
      </w:pPr>
      <w:r>
        <w:t>Revision History</w:t>
      </w:r>
    </w:p>
    <w:p w14:paraId="4028852C" w14:textId="77777777" w:rsidR="001D5830" w:rsidRDefault="001D5830">
      <w:pPr>
        <w:pStyle w:val="BodyText"/>
        <w:spacing w:before="1"/>
        <w:rPr>
          <w:b/>
          <w:sz w:val="23"/>
        </w:rPr>
      </w:pPr>
    </w:p>
    <w:tbl>
      <w:tblPr>
        <w:tblW w:w="9072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271"/>
        <w:gridCol w:w="4703"/>
      </w:tblGrid>
      <w:tr w:rsidR="001D5830" w14:paraId="182262C1" w14:textId="77777777" w:rsidTr="00671293">
        <w:trPr>
          <w:trHeight w:val="475"/>
        </w:trPr>
        <w:tc>
          <w:tcPr>
            <w:tcW w:w="2098" w:type="dxa"/>
            <w:tcMar>
              <w:top w:w="57" w:type="dxa"/>
              <w:bottom w:w="57" w:type="dxa"/>
            </w:tcMar>
          </w:tcPr>
          <w:p w14:paraId="6D89B183" w14:textId="77777777" w:rsidR="001D5830" w:rsidRDefault="00AB70A3" w:rsidP="007A6EA1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Revision</w:t>
            </w:r>
          </w:p>
        </w:tc>
        <w:tc>
          <w:tcPr>
            <w:tcW w:w="2271" w:type="dxa"/>
            <w:tcMar>
              <w:top w:w="57" w:type="dxa"/>
              <w:bottom w:w="57" w:type="dxa"/>
            </w:tcMar>
          </w:tcPr>
          <w:p w14:paraId="566BE833" w14:textId="77777777" w:rsidR="001D5830" w:rsidRDefault="00AB70A3" w:rsidP="007A6EA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4703" w:type="dxa"/>
            <w:tcMar>
              <w:top w:w="57" w:type="dxa"/>
              <w:bottom w:w="57" w:type="dxa"/>
            </w:tcMar>
          </w:tcPr>
          <w:p w14:paraId="04B7BEE1" w14:textId="77777777" w:rsidR="001D5830" w:rsidRDefault="00AB70A3" w:rsidP="007A6EA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Changes Made</w:t>
            </w:r>
          </w:p>
        </w:tc>
      </w:tr>
      <w:tr w:rsidR="007A6EA1" w14:paraId="1E683729" w14:textId="77777777" w:rsidTr="00671293">
        <w:trPr>
          <w:trHeight w:val="23"/>
        </w:trPr>
        <w:tc>
          <w:tcPr>
            <w:tcW w:w="9072" w:type="dxa"/>
            <w:gridSpan w:val="3"/>
            <w:tcMar>
              <w:top w:w="0" w:type="dxa"/>
              <w:bottom w:w="0" w:type="dxa"/>
            </w:tcMar>
          </w:tcPr>
          <w:p w14:paraId="7A33559C" w14:textId="77777777" w:rsidR="007A6EA1" w:rsidRPr="007A6EA1" w:rsidRDefault="007A6EA1" w:rsidP="007A6EA1">
            <w:pPr>
              <w:pStyle w:val="TableParagraph"/>
              <w:rPr>
                <w:sz w:val="4"/>
                <w:szCs w:val="4"/>
              </w:rPr>
            </w:pPr>
          </w:p>
        </w:tc>
      </w:tr>
      <w:tr w:rsidR="001D5830" w14:paraId="5E1AE8CE" w14:textId="77777777" w:rsidTr="00671293">
        <w:trPr>
          <w:trHeight w:val="162"/>
        </w:trPr>
        <w:tc>
          <w:tcPr>
            <w:tcW w:w="2098" w:type="dxa"/>
            <w:tcMar>
              <w:top w:w="57" w:type="dxa"/>
              <w:bottom w:w="57" w:type="dxa"/>
            </w:tcMar>
          </w:tcPr>
          <w:p w14:paraId="1F18F28B" w14:textId="77777777" w:rsidR="001D5830" w:rsidRDefault="001D5830" w:rsidP="007A6EA1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tcMar>
              <w:top w:w="57" w:type="dxa"/>
              <w:bottom w:w="57" w:type="dxa"/>
            </w:tcMar>
          </w:tcPr>
          <w:p w14:paraId="1B1D7F63" w14:textId="77777777" w:rsidR="001D5830" w:rsidRDefault="001D5830" w:rsidP="007A6EA1">
            <w:pPr>
              <w:pStyle w:val="TableParagraph"/>
              <w:rPr>
                <w:sz w:val="24"/>
              </w:rPr>
            </w:pPr>
          </w:p>
        </w:tc>
        <w:tc>
          <w:tcPr>
            <w:tcW w:w="4703" w:type="dxa"/>
            <w:tcMar>
              <w:top w:w="57" w:type="dxa"/>
              <w:bottom w:w="57" w:type="dxa"/>
            </w:tcMar>
          </w:tcPr>
          <w:p w14:paraId="55ACB7FB" w14:textId="77777777" w:rsidR="001D5830" w:rsidRDefault="001D5830" w:rsidP="007A6EA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7A6EA1" w14:paraId="702CD535" w14:textId="77777777" w:rsidTr="00671293">
        <w:trPr>
          <w:trHeight w:val="162"/>
        </w:trPr>
        <w:tc>
          <w:tcPr>
            <w:tcW w:w="2098" w:type="dxa"/>
            <w:tcMar>
              <w:top w:w="57" w:type="dxa"/>
              <w:bottom w:w="57" w:type="dxa"/>
            </w:tcMar>
          </w:tcPr>
          <w:p w14:paraId="496211C2" w14:textId="77777777" w:rsidR="007A6EA1" w:rsidRDefault="007A6EA1" w:rsidP="007A6EA1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tcMar>
              <w:top w:w="57" w:type="dxa"/>
              <w:bottom w:w="57" w:type="dxa"/>
            </w:tcMar>
          </w:tcPr>
          <w:p w14:paraId="52502108" w14:textId="77777777" w:rsidR="007A6EA1" w:rsidRDefault="007A6EA1" w:rsidP="007A6EA1">
            <w:pPr>
              <w:pStyle w:val="TableParagraph"/>
              <w:rPr>
                <w:sz w:val="24"/>
              </w:rPr>
            </w:pPr>
          </w:p>
        </w:tc>
        <w:tc>
          <w:tcPr>
            <w:tcW w:w="4703" w:type="dxa"/>
            <w:tcMar>
              <w:top w:w="57" w:type="dxa"/>
              <w:bottom w:w="57" w:type="dxa"/>
            </w:tcMar>
          </w:tcPr>
          <w:p w14:paraId="67101CC6" w14:textId="77777777" w:rsidR="007A6EA1" w:rsidRDefault="007A6EA1" w:rsidP="007A6EA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7A6EA1" w14:paraId="70EC21F5" w14:textId="77777777" w:rsidTr="00671293">
        <w:trPr>
          <w:trHeight w:val="162"/>
        </w:trPr>
        <w:tc>
          <w:tcPr>
            <w:tcW w:w="2098" w:type="dxa"/>
            <w:tcMar>
              <w:top w:w="57" w:type="dxa"/>
              <w:bottom w:w="57" w:type="dxa"/>
            </w:tcMar>
          </w:tcPr>
          <w:p w14:paraId="02FC4712" w14:textId="77777777" w:rsidR="007A6EA1" w:rsidRDefault="007A6EA1" w:rsidP="007A6EA1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tcMar>
              <w:top w:w="57" w:type="dxa"/>
              <w:bottom w:w="57" w:type="dxa"/>
            </w:tcMar>
          </w:tcPr>
          <w:p w14:paraId="233F37E9" w14:textId="77777777" w:rsidR="007A6EA1" w:rsidRDefault="007A6EA1" w:rsidP="007A6EA1">
            <w:pPr>
              <w:pStyle w:val="TableParagraph"/>
              <w:rPr>
                <w:sz w:val="24"/>
              </w:rPr>
            </w:pPr>
          </w:p>
        </w:tc>
        <w:tc>
          <w:tcPr>
            <w:tcW w:w="4703" w:type="dxa"/>
            <w:tcMar>
              <w:top w:w="57" w:type="dxa"/>
              <w:bottom w:w="57" w:type="dxa"/>
            </w:tcMar>
          </w:tcPr>
          <w:p w14:paraId="4B50AC3B" w14:textId="77777777" w:rsidR="007A6EA1" w:rsidRDefault="007A6EA1" w:rsidP="007A6EA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7A6EA1" w14:paraId="3883D02B" w14:textId="77777777" w:rsidTr="00671293">
        <w:trPr>
          <w:trHeight w:val="162"/>
        </w:trPr>
        <w:tc>
          <w:tcPr>
            <w:tcW w:w="2098" w:type="dxa"/>
            <w:tcMar>
              <w:top w:w="57" w:type="dxa"/>
              <w:bottom w:w="57" w:type="dxa"/>
            </w:tcMar>
          </w:tcPr>
          <w:p w14:paraId="2DDF9BA2" w14:textId="77777777" w:rsidR="007A6EA1" w:rsidRDefault="007A6EA1" w:rsidP="007A6EA1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tcMar>
              <w:top w:w="57" w:type="dxa"/>
              <w:bottom w:w="57" w:type="dxa"/>
            </w:tcMar>
          </w:tcPr>
          <w:p w14:paraId="7662516B" w14:textId="77777777" w:rsidR="007A6EA1" w:rsidRDefault="007A6EA1" w:rsidP="007A6EA1">
            <w:pPr>
              <w:pStyle w:val="TableParagraph"/>
              <w:rPr>
                <w:sz w:val="24"/>
              </w:rPr>
            </w:pPr>
          </w:p>
        </w:tc>
        <w:tc>
          <w:tcPr>
            <w:tcW w:w="4703" w:type="dxa"/>
            <w:tcMar>
              <w:top w:w="57" w:type="dxa"/>
              <w:bottom w:w="57" w:type="dxa"/>
            </w:tcMar>
          </w:tcPr>
          <w:p w14:paraId="34DA5F39" w14:textId="77777777" w:rsidR="007A6EA1" w:rsidRDefault="007A6EA1" w:rsidP="007A6EA1">
            <w:pPr>
              <w:pStyle w:val="TableParagraph"/>
              <w:ind w:left="108"/>
              <w:rPr>
                <w:sz w:val="24"/>
              </w:rPr>
            </w:pPr>
          </w:p>
        </w:tc>
      </w:tr>
    </w:tbl>
    <w:p w14:paraId="33D5DFE2" w14:textId="77777777" w:rsidR="00AB70A3" w:rsidRDefault="00AB70A3"/>
    <w:sectPr w:rsidR="00AB70A3">
      <w:pgSz w:w="11900" w:h="16840"/>
      <w:pgMar w:top="1580" w:right="1340" w:bottom="1160" w:left="150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F025A" w14:textId="77777777" w:rsidR="00C746AE" w:rsidRDefault="00C746AE">
      <w:r>
        <w:separator/>
      </w:r>
    </w:p>
  </w:endnote>
  <w:endnote w:type="continuationSeparator" w:id="0">
    <w:p w14:paraId="690ED460" w14:textId="77777777" w:rsidR="00C746AE" w:rsidRDefault="00C7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766142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6D1CA13" w14:textId="77777777" w:rsidR="0047334B" w:rsidRDefault="0047334B" w:rsidP="0047334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421FD4" w14:textId="77777777" w:rsidR="001D5830" w:rsidRDefault="001D583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B38B1" w14:textId="77777777" w:rsidR="00C746AE" w:rsidRDefault="00C746AE">
      <w:r>
        <w:separator/>
      </w:r>
    </w:p>
  </w:footnote>
  <w:footnote w:type="continuationSeparator" w:id="0">
    <w:p w14:paraId="268D2FEA" w14:textId="77777777" w:rsidR="00C746AE" w:rsidRDefault="00C7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17B8C" w14:textId="6E1A9860" w:rsidR="003F3CB0" w:rsidRDefault="003F3C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1F53C" w14:textId="0D549A08" w:rsidR="003F3CB0" w:rsidRDefault="003F3C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9670A" w14:textId="7854F3D1" w:rsidR="003F3CB0" w:rsidRDefault="003F3C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568C"/>
    <w:multiLevelType w:val="hybridMultilevel"/>
    <w:tmpl w:val="10726A9E"/>
    <w:lvl w:ilvl="0" w:tplc="D06EC8AC">
      <w:numFmt w:val="bullet"/>
      <w:lvlText w:val=""/>
      <w:lvlJc w:val="left"/>
      <w:pPr>
        <w:ind w:left="661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2BBE81C2">
      <w:numFmt w:val="bullet"/>
      <w:lvlText w:val="•"/>
      <w:lvlJc w:val="left"/>
      <w:pPr>
        <w:ind w:left="1499" w:hanging="361"/>
      </w:pPr>
      <w:rPr>
        <w:rFonts w:hint="default"/>
        <w:lang w:val="en-GB" w:eastAsia="en-GB" w:bidi="en-GB"/>
      </w:rPr>
    </w:lvl>
    <w:lvl w:ilvl="2" w:tplc="8DB4AEDE">
      <w:numFmt w:val="bullet"/>
      <w:lvlText w:val="•"/>
      <w:lvlJc w:val="left"/>
      <w:pPr>
        <w:ind w:left="2339" w:hanging="361"/>
      </w:pPr>
      <w:rPr>
        <w:rFonts w:hint="default"/>
        <w:lang w:val="en-GB" w:eastAsia="en-GB" w:bidi="en-GB"/>
      </w:rPr>
    </w:lvl>
    <w:lvl w:ilvl="3" w:tplc="177A28E8">
      <w:numFmt w:val="bullet"/>
      <w:lvlText w:val="•"/>
      <w:lvlJc w:val="left"/>
      <w:pPr>
        <w:ind w:left="3179" w:hanging="361"/>
      </w:pPr>
      <w:rPr>
        <w:rFonts w:hint="default"/>
        <w:lang w:val="en-GB" w:eastAsia="en-GB" w:bidi="en-GB"/>
      </w:rPr>
    </w:lvl>
    <w:lvl w:ilvl="4" w:tplc="C29EB510">
      <w:numFmt w:val="bullet"/>
      <w:lvlText w:val="•"/>
      <w:lvlJc w:val="left"/>
      <w:pPr>
        <w:ind w:left="4019" w:hanging="361"/>
      </w:pPr>
      <w:rPr>
        <w:rFonts w:hint="default"/>
        <w:lang w:val="en-GB" w:eastAsia="en-GB" w:bidi="en-GB"/>
      </w:rPr>
    </w:lvl>
    <w:lvl w:ilvl="5" w:tplc="C720AE00">
      <w:numFmt w:val="bullet"/>
      <w:lvlText w:val="•"/>
      <w:lvlJc w:val="left"/>
      <w:pPr>
        <w:ind w:left="4859" w:hanging="361"/>
      </w:pPr>
      <w:rPr>
        <w:rFonts w:hint="default"/>
        <w:lang w:val="en-GB" w:eastAsia="en-GB" w:bidi="en-GB"/>
      </w:rPr>
    </w:lvl>
    <w:lvl w:ilvl="6" w:tplc="C3CE3A5A">
      <w:numFmt w:val="bullet"/>
      <w:lvlText w:val="•"/>
      <w:lvlJc w:val="left"/>
      <w:pPr>
        <w:ind w:left="5699" w:hanging="361"/>
      </w:pPr>
      <w:rPr>
        <w:rFonts w:hint="default"/>
        <w:lang w:val="en-GB" w:eastAsia="en-GB" w:bidi="en-GB"/>
      </w:rPr>
    </w:lvl>
    <w:lvl w:ilvl="7" w:tplc="20E41248">
      <w:numFmt w:val="bullet"/>
      <w:lvlText w:val="•"/>
      <w:lvlJc w:val="left"/>
      <w:pPr>
        <w:ind w:left="6539" w:hanging="361"/>
      </w:pPr>
      <w:rPr>
        <w:rFonts w:hint="default"/>
        <w:lang w:val="en-GB" w:eastAsia="en-GB" w:bidi="en-GB"/>
      </w:rPr>
    </w:lvl>
    <w:lvl w:ilvl="8" w:tplc="A2669CFC">
      <w:numFmt w:val="bullet"/>
      <w:lvlText w:val="•"/>
      <w:lvlJc w:val="left"/>
      <w:pPr>
        <w:ind w:left="7379" w:hanging="361"/>
      </w:pPr>
      <w:rPr>
        <w:rFonts w:hint="default"/>
        <w:lang w:val="en-GB" w:eastAsia="en-GB" w:bidi="en-GB"/>
      </w:rPr>
    </w:lvl>
  </w:abstractNum>
  <w:abstractNum w:abstractNumId="1" w15:restartNumberingAfterBreak="0">
    <w:nsid w:val="02511596"/>
    <w:multiLevelType w:val="multilevel"/>
    <w:tmpl w:val="EF5A07C0"/>
    <w:lvl w:ilvl="0">
      <w:start w:val="4"/>
      <w:numFmt w:val="decimal"/>
      <w:lvlText w:val="%1"/>
      <w:lvlJc w:val="left"/>
      <w:pPr>
        <w:ind w:left="300" w:hanging="721"/>
      </w:pPr>
      <w:rPr>
        <w:rFonts w:hint="default"/>
        <w:lang w:val="en-GB" w:eastAsia="en-GB" w:bidi="en-GB"/>
      </w:rPr>
    </w:lvl>
    <w:lvl w:ilvl="1">
      <w:numFmt w:val="decimal"/>
      <w:lvlText w:val="%1.%2"/>
      <w:lvlJc w:val="left"/>
      <w:pPr>
        <w:ind w:left="300" w:hanging="721"/>
      </w:pPr>
      <w:rPr>
        <w:rFonts w:hint="default"/>
        <w:b/>
        <w:bCs/>
        <w:spacing w:val="-2"/>
        <w:w w:val="99"/>
        <w:lang w:val="en-GB" w:eastAsia="en-GB" w:bidi="en-GB"/>
      </w:rPr>
    </w:lvl>
    <w:lvl w:ilvl="2">
      <w:numFmt w:val="bullet"/>
      <w:lvlText w:val="•"/>
      <w:lvlJc w:val="left"/>
      <w:pPr>
        <w:ind w:left="2051" w:hanging="721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2927" w:hanging="721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3803" w:hanging="721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4679" w:hanging="721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5555" w:hanging="721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6431" w:hanging="721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307" w:hanging="721"/>
      </w:pPr>
      <w:rPr>
        <w:rFonts w:hint="default"/>
        <w:lang w:val="en-GB" w:eastAsia="en-GB" w:bidi="en-GB"/>
      </w:rPr>
    </w:lvl>
  </w:abstractNum>
  <w:abstractNum w:abstractNumId="2" w15:restartNumberingAfterBreak="0">
    <w:nsid w:val="04E44643"/>
    <w:multiLevelType w:val="multilevel"/>
    <w:tmpl w:val="ABEE5B7C"/>
    <w:lvl w:ilvl="0">
      <w:start w:val="3"/>
      <w:numFmt w:val="decimal"/>
      <w:lvlText w:val="%1"/>
      <w:lvlJc w:val="left"/>
      <w:pPr>
        <w:ind w:left="1021" w:hanging="721"/>
      </w:pPr>
      <w:rPr>
        <w:rFonts w:hint="default"/>
        <w:lang w:val="en-GB" w:eastAsia="en-GB" w:bidi="en-GB"/>
      </w:rPr>
    </w:lvl>
    <w:lvl w:ilvl="1">
      <w:numFmt w:val="decimal"/>
      <w:lvlText w:val="%1.%2"/>
      <w:lvlJc w:val="left"/>
      <w:pPr>
        <w:ind w:left="1021" w:hanging="721"/>
      </w:pPr>
      <w:rPr>
        <w:rFonts w:hint="default"/>
        <w:b/>
        <w:bCs/>
        <w:spacing w:val="-2"/>
        <w:w w:val="99"/>
        <w:lang w:val="en-GB" w:eastAsia="en-GB" w:bidi="en-GB"/>
      </w:rPr>
    </w:lvl>
    <w:lvl w:ilvl="2">
      <w:numFmt w:val="bullet"/>
      <w:lvlText w:val="•"/>
      <w:lvlJc w:val="left"/>
      <w:pPr>
        <w:ind w:left="2627" w:hanging="721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3431" w:hanging="721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4235" w:hanging="721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5039" w:hanging="721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5843" w:hanging="721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6647" w:hanging="721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451" w:hanging="721"/>
      </w:pPr>
      <w:rPr>
        <w:rFonts w:hint="default"/>
        <w:lang w:val="en-GB" w:eastAsia="en-GB" w:bidi="en-GB"/>
      </w:rPr>
    </w:lvl>
  </w:abstractNum>
  <w:abstractNum w:abstractNumId="3" w15:restartNumberingAfterBreak="0">
    <w:nsid w:val="0A1F77A4"/>
    <w:multiLevelType w:val="hybridMultilevel"/>
    <w:tmpl w:val="8F58C5A0"/>
    <w:lvl w:ilvl="0" w:tplc="E506C5DE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1C837A04"/>
    <w:multiLevelType w:val="hybridMultilevel"/>
    <w:tmpl w:val="9B06C6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CE300B"/>
    <w:multiLevelType w:val="hybridMultilevel"/>
    <w:tmpl w:val="7EDAF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25E83"/>
    <w:multiLevelType w:val="hybridMultilevel"/>
    <w:tmpl w:val="33F0E31C"/>
    <w:lvl w:ilvl="0" w:tplc="43EADE14">
      <w:start w:val="1"/>
      <w:numFmt w:val="decimal"/>
      <w:lvlText w:val="%1."/>
      <w:lvlJc w:val="left"/>
      <w:pPr>
        <w:ind w:left="1021" w:hanging="721"/>
      </w:pPr>
      <w:rPr>
        <w:rFonts w:ascii="Arial" w:eastAsia="Arial" w:hAnsi="Arial" w:cs="Arial" w:hint="default"/>
        <w:spacing w:val="-8"/>
        <w:w w:val="99"/>
        <w:sz w:val="24"/>
        <w:szCs w:val="24"/>
        <w:lang w:val="en-GB" w:eastAsia="en-GB" w:bidi="en-GB"/>
      </w:rPr>
    </w:lvl>
    <w:lvl w:ilvl="1" w:tplc="46F46DBC">
      <w:numFmt w:val="bullet"/>
      <w:lvlText w:val="•"/>
      <w:lvlJc w:val="left"/>
      <w:pPr>
        <w:ind w:left="1823" w:hanging="721"/>
      </w:pPr>
      <w:rPr>
        <w:rFonts w:hint="default"/>
        <w:lang w:val="en-GB" w:eastAsia="en-GB" w:bidi="en-GB"/>
      </w:rPr>
    </w:lvl>
    <w:lvl w:ilvl="2" w:tplc="5D32B8DE">
      <w:numFmt w:val="bullet"/>
      <w:lvlText w:val="•"/>
      <w:lvlJc w:val="left"/>
      <w:pPr>
        <w:ind w:left="2627" w:hanging="721"/>
      </w:pPr>
      <w:rPr>
        <w:rFonts w:hint="default"/>
        <w:lang w:val="en-GB" w:eastAsia="en-GB" w:bidi="en-GB"/>
      </w:rPr>
    </w:lvl>
    <w:lvl w:ilvl="3" w:tplc="BD34EB2E">
      <w:numFmt w:val="bullet"/>
      <w:lvlText w:val="•"/>
      <w:lvlJc w:val="left"/>
      <w:pPr>
        <w:ind w:left="3431" w:hanging="721"/>
      </w:pPr>
      <w:rPr>
        <w:rFonts w:hint="default"/>
        <w:lang w:val="en-GB" w:eastAsia="en-GB" w:bidi="en-GB"/>
      </w:rPr>
    </w:lvl>
    <w:lvl w:ilvl="4" w:tplc="F54271D6">
      <w:numFmt w:val="bullet"/>
      <w:lvlText w:val="•"/>
      <w:lvlJc w:val="left"/>
      <w:pPr>
        <w:ind w:left="4235" w:hanging="721"/>
      </w:pPr>
      <w:rPr>
        <w:rFonts w:hint="default"/>
        <w:lang w:val="en-GB" w:eastAsia="en-GB" w:bidi="en-GB"/>
      </w:rPr>
    </w:lvl>
    <w:lvl w:ilvl="5" w:tplc="94E0FE22">
      <w:numFmt w:val="bullet"/>
      <w:lvlText w:val="•"/>
      <w:lvlJc w:val="left"/>
      <w:pPr>
        <w:ind w:left="5039" w:hanging="721"/>
      </w:pPr>
      <w:rPr>
        <w:rFonts w:hint="default"/>
        <w:lang w:val="en-GB" w:eastAsia="en-GB" w:bidi="en-GB"/>
      </w:rPr>
    </w:lvl>
    <w:lvl w:ilvl="6" w:tplc="1CB2327E">
      <w:numFmt w:val="bullet"/>
      <w:lvlText w:val="•"/>
      <w:lvlJc w:val="left"/>
      <w:pPr>
        <w:ind w:left="5843" w:hanging="721"/>
      </w:pPr>
      <w:rPr>
        <w:rFonts w:hint="default"/>
        <w:lang w:val="en-GB" w:eastAsia="en-GB" w:bidi="en-GB"/>
      </w:rPr>
    </w:lvl>
    <w:lvl w:ilvl="7" w:tplc="88FE1110">
      <w:numFmt w:val="bullet"/>
      <w:lvlText w:val="•"/>
      <w:lvlJc w:val="left"/>
      <w:pPr>
        <w:ind w:left="6647" w:hanging="721"/>
      </w:pPr>
      <w:rPr>
        <w:rFonts w:hint="default"/>
        <w:lang w:val="en-GB" w:eastAsia="en-GB" w:bidi="en-GB"/>
      </w:rPr>
    </w:lvl>
    <w:lvl w:ilvl="8" w:tplc="F1C01C40">
      <w:numFmt w:val="bullet"/>
      <w:lvlText w:val="•"/>
      <w:lvlJc w:val="left"/>
      <w:pPr>
        <w:ind w:left="7451" w:hanging="721"/>
      </w:pPr>
      <w:rPr>
        <w:rFonts w:hint="default"/>
        <w:lang w:val="en-GB" w:eastAsia="en-GB" w:bidi="en-GB"/>
      </w:rPr>
    </w:lvl>
  </w:abstractNum>
  <w:abstractNum w:abstractNumId="7" w15:restartNumberingAfterBreak="0">
    <w:nsid w:val="68637E6E"/>
    <w:multiLevelType w:val="multilevel"/>
    <w:tmpl w:val="10445C16"/>
    <w:lvl w:ilvl="0">
      <w:start w:val="1"/>
      <w:numFmt w:val="decimal"/>
      <w:lvlText w:val="%1.0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6B3C2E70"/>
    <w:multiLevelType w:val="multilevel"/>
    <w:tmpl w:val="FE4A21FA"/>
    <w:lvl w:ilvl="0">
      <w:start w:val="2"/>
      <w:numFmt w:val="decimal"/>
      <w:lvlText w:val="%1"/>
      <w:lvlJc w:val="left"/>
      <w:pPr>
        <w:ind w:left="1021" w:hanging="721"/>
      </w:pPr>
      <w:rPr>
        <w:rFonts w:hint="default"/>
        <w:lang w:val="en-GB" w:eastAsia="en-GB" w:bidi="en-GB"/>
      </w:rPr>
    </w:lvl>
    <w:lvl w:ilvl="1">
      <w:numFmt w:val="decimal"/>
      <w:lvlText w:val="%1.%2"/>
      <w:lvlJc w:val="left"/>
      <w:pPr>
        <w:ind w:left="300" w:hanging="721"/>
      </w:pPr>
      <w:rPr>
        <w:rFonts w:hint="default"/>
        <w:b/>
        <w:bCs/>
        <w:spacing w:val="-2"/>
        <w:w w:val="99"/>
        <w:lang w:val="en-GB" w:eastAsia="en-GB" w:bidi="en-GB"/>
      </w:rPr>
    </w:lvl>
    <w:lvl w:ilvl="2">
      <w:numFmt w:val="bullet"/>
      <w:lvlText w:val="•"/>
      <w:lvlJc w:val="left"/>
      <w:pPr>
        <w:ind w:left="1913" w:hanging="721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2806" w:hanging="721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3699" w:hanging="721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4592" w:hanging="721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5486" w:hanging="721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6379" w:hanging="721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272" w:hanging="721"/>
      </w:pPr>
      <w:rPr>
        <w:rFonts w:hint="default"/>
        <w:lang w:val="en-GB" w:eastAsia="en-GB" w:bidi="en-GB"/>
      </w:rPr>
    </w:lvl>
  </w:abstractNum>
  <w:abstractNum w:abstractNumId="9" w15:restartNumberingAfterBreak="0">
    <w:nsid w:val="702500BA"/>
    <w:multiLevelType w:val="hybridMultilevel"/>
    <w:tmpl w:val="20AA7076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763E0C0E"/>
    <w:multiLevelType w:val="hybridMultilevel"/>
    <w:tmpl w:val="2F52BD9A"/>
    <w:lvl w:ilvl="0" w:tplc="5D4CA27A">
      <w:start w:val="1"/>
      <w:numFmt w:val="decimal"/>
      <w:lvlText w:val="%1."/>
      <w:lvlJc w:val="left"/>
      <w:pPr>
        <w:ind w:left="1021" w:hanging="721"/>
      </w:pPr>
      <w:rPr>
        <w:rFonts w:ascii="Arial" w:eastAsia="Arial" w:hAnsi="Arial" w:cs="Arial" w:hint="default"/>
        <w:spacing w:val="-19"/>
        <w:w w:val="99"/>
        <w:sz w:val="24"/>
        <w:szCs w:val="24"/>
        <w:lang w:val="en-GB" w:eastAsia="en-GB" w:bidi="en-GB"/>
      </w:rPr>
    </w:lvl>
    <w:lvl w:ilvl="1" w:tplc="C3367256">
      <w:numFmt w:val="bullet"/>
      <w:lvlText w:val="•"/>
      <w:lvlJc w:val="left"/>
      <w:pPr>
        <w:ind w:left="1823" w:hanging="721"/>
      </w:pPr>
      <w:rPr>
        <w:rFonts w:hint="default"/>
        <w:lang w:val="en-GB" w:eastAsia="en-GB" w:bidi="en-GB"/>
      </w:rPr>
    </w:lvl>
    <w:lvl w:ilvl="2" w:tplc="BBDC9FAA">
      <w:numFmt w:val="bullet"/>
      <w:lvlText w:val="•"/>
      <w:lvlJc w:val="left"/>
      <w:pPr>
        <w:ind w:left="2627" w:hanging="721"/>
      </w:pPr>
      <w:rPr>
        <w:rFonts w:hint="default"/>
        <w:lang w:val="en-GB" w:eastAsia="en-GB" w:bidi="en-GB"/>
      </w:rPr>
    </w:lvl>
    <w:lvl w:ilvl="3" w:tplc="C53C3B1E">
      <w:numFmt w:val="bullet"/>
      <w:lvlText w:val="•"/>
      <w:lvlJc w:val="left"/>
      <w:pPr>
        <w:ind w:left="3431" w:hanging="721"/>
      </w:pPr>
      <w:rPr>
        <w:rFonts w:hint="default"/>
        <w:lang w:val="en-GB" w:eastAsia="en-GB" w:bidi="en-GB"/>
      </w:rPr>
    </w:lvl>
    <w:lvl w:ilvl="4" w:tplc="753A99FE">
      <w:numFmt w:val="bullet"/>
      <w:lvlText w:val="•"/>
      <w:lvlJc w:val="left"/>
      <w:pPr>
        <w:ind w:left="4235" w:hanging="721"/>
      </w:pPr>
      <w:rPr>
        <w:rFonts w:hint="default"/>
        <w:lang w:val="en-GB" w:eastAsia="en-GB" w:bidi="en-GB"/>
      </w:rPr>
    </w:lvl>
    <w:lvl w:ilvl="5" w:tplc="2D5EC966">
      <w:numFmt w:val="bullet"/>
      <w:lvlText w:val="•"/>
      <w:lvlJc w:val="left"/>
      <w:pPr>
        <w:ind w:left="5039" w:hanging="721"/>
      </w:pPr>
      <w:rPr>
        <w:rFonts w:hint="default"/>
        <w:lang w:val="en-GB" w:eastAsia="en-GB" w:bidi="en-GB"/>
      </w:rPr>
    </w:lvl>
    <w:lvl w:ilvl="6" w:tplc="CF3EF63C">
      <w:numFmt w:val="bullet"/>
      <w:lvlText w:val="•"/>
      <w:lvlJc w:val="left"/>
      <w:pPr>
        <w:ind w:left="5843" w:hanging="721"/>
      </w:pPr>
      <w:rPr>
        <w:rFonts w:hint="default"/>
        <w:lang w:val="en-GB" w:eastAsia="en-GB" w:bidi="en-GB"/>
      </w:rPr>
    </w:lvl>
    <w:lvl w:ilvl="7" w:tplc="1DC8DE7E">
      <w:numFmt w:val="bullet"/>
      <w:lvlText w:val="•"/>
      <w:lvlJc w:val="left"/>
      <w:pPr>
        <w:ind w:left="6647" w:hanging="721"/>
      </w:pPr>
      <w:rPr>
        <w:rFonts w:hint="default"/>
        <w:lang w:val="en-GB" w:eastAsia="en-GB" w:bidi="en-GB"/>
      </w:rPr>
    </w:lvl>
    <w:lvl w:ilvl="8" w:tplc="47A023D4">
      <w:numFmt w:val="bullet"/>
      <w:lvlText w:val="•"/>
      <w:lvlJc w:val="left"/>
      <w:pPr>
        <w:ind w:left="7451" w:hanging="721"/>
      </w:pPr>
      <w:rPr>
        <w:rFonts w:hint="default"/>
        <w:lang w:val="en-GB" w:eastAsia="en-GB" w:bidi="en-GB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5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830"/>
    <w:rsid w:val="0002257E"/>
    <w:rsid w:val="00091851"/>
    <w:rsid w:val="0011597F"/>
    <w:rsid w:val="0012791C"/>
    <w:rsid w:val="001D5830"/>
    <w:rsid w:val="002C5A8F"/>
    <w:rsid w:val="002D21D5"/>
    <w:rsid w:val="00335D53"/>
    <w:rsid w:val="003571C8"/>
    <w:rsid w:val="003771E8"/>
    <w:rsid w:val="00396B16"/>
    <w:rsid w:val="003F3CB0"/>
    <w:rsid w:val="004067EE"/>
    <w:rsid w:val="0041103F"/>
    <w:rsid w:val="004456C8"/>
    <w:rsid w:val="0047334B"/>
    <w:rsid w:val="004C19AF"/>
    <w:rsid w:val="004D1AC3"/>
    <w:rsid w:val="004E41FF"/>
    <w:rsid w:val="00515AFB"/>
    <w:rsid w:val="00671293"/>
    <w:rsid w:val="006B511E"/>
    <w:rsid w:val="006F42C5"/>
    <w:rsid w:val="006F7B96"/>
    <w:rsid w:val="00731CE3"/>
    <w:rsid w:val="007A6EA1"/>
    <w:rsid w:val="007E6F3C"/>
    <w:rsid w:val="007F7F48"/>
    <w:rsid w:val="008645D7"/>
    <w:rsid w:val="00895173"/>
    <w:rsid w:val="009663B9"/>
    <w:rsid w:val="00990500"/>
    <w:rsid w:val="009B21DA"/>
    <w:rsid w:val="009E2A7D"/>
    <w:rsid w:val="00A058C9"/>
    <w:rsid w:val="00A7446F"/>
    <w:rsid w:val="00AA63B1"/>
    <w:rsid w:val="00AB70A3"/>
    <w:rsid w:val="00AD506D"/>
    <w:rsid w:val="00B23CA2"/>
    <w:rsid w:val="00B2657E"/>
    <w:rsid w:val="00B64406"/>
    <w:rsid w:val="00B75CF0"/>
    <w:rsid w:val="00BF0E53"/>
    <w:rsid w:val="00BF0FD1"/>
    <w:rsid w:val="00BF1C52"/>
    <w:rsid w:val="00C746AE"/>
    <w:rsid w:val="00D16298"/>
    <w:rsid w:val="00D2088A"/>
    <w:rsid w:val="00D5319B"/>
    <w:rsid w:val="00E06392"/>
    <w:rsid w:val="00E22BED"/>
    <w:rsid w:val="00EB5847"/>
    <w:rsid w:val="00F17430"/>
    <w:rsid w:val="00F312C4"/>
    <w:rsid w:val="00F73B14"/>
    <w:rsid w:val="00F9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A5A63"/>
  <w15:docId w15:val="{77293414-CE2B-49C1-B98F-F65D4F31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300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uiPriority w:val="1"/>
    <w:qFormat/>
    <w:pPr>
      <w:ind w:left="3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6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33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34B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4733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34B"/>
    <w:rPr>
      <w:rFonts w:ascii="Arial" w:eastAsia="Arial" w:hAnsi="Arial" w:cs="Arial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C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C52"/>
    <w:rPr>
      <w:rFonts w:ascii="Segoe UI" w:eastAsia="Arial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Nacro</dc:creator>
  <cp:lastModifiedBy>Terry May</cp:lastModifiedBy>
  <cp:revision>12</cp:revision>
  <cp:lastPrinted>2018-04-12T14:10:00Z</cp:lastPrinted>
  <dcterms:created xsi:type="dcterms:W3CDTF">2018-04-12T13:08:00Z</dcterms:created>
  <dcterms:modified xsi:type="dcterms:W3CDTF">2018-04-17T08:01:00Z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2018-03-20T00:00:00Z</vt:filetime>
  </property>
</Properties>
</file>