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CB5BE6" w:rsidRDefault="00CB5BE6" w:rsidP="0090063D">
      <w:pPr>
        <w:jc w:val="center"/>
        <w:rPr>
          <w:rFonts w:cs="Arial"/>
          <w:b/>
          <w:sz w:val="28"/>
          <w:szCs w:val="28"/>
        </w:rPr>
      </w:pPr>
    </w:p>
    <w:p w:rsidR="0090063D" w:rsidRPr="0059248B" w:rsidRDefault="0090063D" w:rsidP="0090063D">
      <w:pPr>
        <w:jc w:val="center"/>
        <w:rPr>
          <w:rFonts w:cs="Arial"/>
          <w:b/>
          <w:sz w:val="28"/>
          <w:szCs w:val="28"/>
        </w:rPr>
      </w:pPr>
      <w:r w:rsidRPr="00986738">
        <w:rPr>
          <w:rFonts w:cs="Arial"/>
          <w:b/>
          <w:sz w:val="28"/>
          <w:szCs w:val="28"/>
        </w:rPr>
        <w:t>Provision of External Assistance to HQ AIR Programme Management Support Function</w:t>
      </w:r>
    </w:p>
    <w:p w:rsidR="00883724" w:rsidRPr="0059248B" w:rsidRDefault="00883724" w:rsidP="00883724">
      <w:pPr>
        <w:jc w:val="center"/>
        <w:rPr>
          <w:rFonts w:cs="Arial"/>
          <w:b/>
          <w:sz w:val="28"/>
          <w:szCs w:val="28"/>
        </w:rPr>
      </w:pPr>
      <w:r w:rsidRPr="0059248B">
        <w:rPr>
          <w:rFonts w:cs="Arial"/>
          <w:b/>
          <w:sz w:val="28"/>
          <w:szCs w:val="28"/>
        </w:rPr>
        <w:t>TO</w:t>
      </w:r>
    </w:p>
    <w:p w:rsidR="00883724" w:rsidRDefault="00883724" w:rsidP="00883724">
      <w:pPr>
        <w:jc w:val="center"/>
        <w:rPr>
          <w:rFonts w:cs="Arial"/>
          <w:b/>
          <w:sz w:val="28"/>
          <w:szCs w:val="28"/>
        </w:rPr>
      </w:pPr>
      <w:r>
        <w:rPr>
          <w:rFonts w:cs="Arial"/>
          <w:b/>
          <w:sz w:val="28"/>
          <w:szCs w:val="28"/>
        </w:rPr>
        <w:t>Crown Commercial Service</w:t>
      </w:r>
    </w:p>
    <w:p w:rsidR="00883724" w:rsidRDefault="00883724" w:rsidP="00883724">
      <w:pPr>
        <w:jc w:val="center"/>
        <w:rPr>
          <w:rFonts w:cs="Arial"/>
          <w:b/>
          <w:sz w:val="28"/>
          <w:szCs w:val="28"/>
        </w:rPr>
      </w:pPr>
      <w:r>
        <w:rPr>
          <w:rFonts w:cs="Arial"/>
          <w:b/>
          <w:sz w:val="28"/>
          <w:szCs w:val="28"/>
        </w:rPr>
        <w:t xml:space="preserve"> Acting as a Managing Agent For </w:t>
      </w:r>
    </w:p>
    <w:p w:rsidR="00883724" w:rsidRPr="0059248B" w:rsidRDefault="00883724" w:rsidP="00883724">
      <w:pPr>
        <w:jc w:val="center"/>
        <w:rPr>
          <w:rFonts w:cs="Arial"/>
          <w:b/>
          <w:sz w:val="28"/>
          <w:szCs w:val="28"/>
        </w:rPr>
      </w:pPr>
      <w:r>
        <w:rPr>
          <w:rFonts w:cs="Arial"/>
          <w:b/>
          <w:sz w:val="28"/>
          <w:szCs w:val="28"/>
        </w:rPr>
        <w:t>The Ministry of Defence</w:t>
      </w:r>
    </w:p>
    <w:p w:rsidR="00883724" w:rsidRPr="0059248B" w:rsidRDefault="00883724" w:rsidP="00883724">
      <w:pPr>
        <w:pStyle w:val="Header"/>
        <w:jc w:val="center"/>
        <w:rPr>
          <w:rFonts w:cs="Arial"/>
          <w:b/>
          <w:sz w:val="28"/>
          <w:szCs w:val="28"/>
        </w:rPr>
      </w:pPr>
      <w:r>
        <w:rPr>
          <w:rFonts w:cs="Arial"/>
          <w:b/>
          <w:sz w:val="28"/>
          <w:szCs w:val="28"/>
        </w:rPr>
        <w:t>From</w:t>
      </w:r>
    </w:p>
    <w:p w:rsidR="00883724" w:rsidRPr="00CB5BE6" w:rsidRDefault="00CB5BE6" w:rsidP="00883724">
      <w:pPr>
        <w:jc w:val="center"/>
        <w:rPr>
          <w:rFonts w:cs="Arial"/>
          <w:b/>
          <w:sz w:val="28"/>
          <w:szCs w:val="28"/>
        </w:rPr>
      </w:pPr>
      <w:r w:rsidRPr="00CB5BE6">
        <w:rPr>
          <w:rFonts w:cs="Arial"/>
          <w:b/>
          <w:sz w:val="28"/>
          <w:szCs w:val="28"/>
        </w:rPr>
        <w:t>Actica Ltd</w:t>
      </w:r>
    </w:p>
    <w:p w:rsidR="00883724" w:rsidRDefault="00883724" w:rsidP="00883724">
      <w:pPr>
        <w:jc w:val="center"/>
        <w:rPr>
          <w:rFonts w:cs="Arial"/>
          <w:b/>
          <w:sz w:val="28"/>
          <w:szCs w:val="28"/>
        </w:rPr>
      </w:pPr>
      <w:r w:rsidRPr="0059248B">
        <w:rPr>
          <w:rFonts w:cs="Arial"/>
          <w:b/>
          <w:sz w:val="28"/>
          <w:szCs w:val="28"/>
        </w:rPr>
        <w:t>RM</w:t>
      </w:r>
      <w:r w:rsidR="0090063D">
        <w:rPr>
          <w:rFonts w:cs="Arial"/>
          <w:b/>
          <w:sz w:val="28"/>
          <w:szCs w:val="28"/>
        </w:rPr>
        <w:t xml:space="preserve">5229 </w:t>
      </w:r>
      <w:r>
        <w:rPr>
          <w:rFonts w:cs="Arial"/>
          <w:b/>
          <w:sz w:val="28"/>
          <w:szCs w:val="28"/>
        </w:rPr>
        <w:t>S</w:t>
      </w:r>
      <w:r w:rsidR="00C20674">
        <w:rPr>
          <w:rFonts w:cs="Arial"/>
          <w:b/>
          <w:sz w:val="28"/>
          <w:szCs w:val="28"/>
        </w:rPr>
        <w:t>O</w:t>
      </w:r>
      <w:r w:rsidR="0090063D">
        <w:rPr>
          <w:rFonts w:cs="Arial"/>
          <w:b/>
          <w:sz w:val="28"/>
          <w:szCs w:val="28"/>
        </w:rPr>
        <w:t>8599</w:t>
      </w:r>
    </w:p>
    <w:p w:rsidR="006B2BB0" w:rsidRPr="0059248B" w:rsidRDefault="006B2BB0" w:rsidP="00883724">
      <w:pPr>
        <w:jc w:val="center"/>
        <w:rPr>
          <w:rFonts w:cs="Arial"/>
          <w:sz w:val="28"/>
          <w:szCs w:val="28"/>
        </w:rPr>
      </w:pPr>
      <w:r>
        <w:rPr>
          <w:rFonts w:cs="Arial"/>
          <w:b/>
          <w:sz w:val="28"/>
          <w:szCs w:val="28"/>
        </w:rPr>
        <w:t>(Aspect Reference Number:CCCC15A08)</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463EC4" w:rsidRDefault="00463EC4" w:rsidP="002170AA">
      <w:pPr>
        <w:pStyle w:val="MarginText"/>
        <w:jc w:val="center"/>
        <w:rPr>
          <w:rFonts w:cs="Arial"/>
          <w:b/>
          <w:szCs w:val="22"/>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rsidR="00883724" w:rsidRPr="00883724" w:rsidRDefault="00883724" w:rsidP="00883724">
      <w:pPr>
        <w:rPr>
          <w:b/>
          <w:lang w:val="en-US" w:eastAsia="ja-JP"/>
        </w:rPr>
      </w:pPr>
    </w:p>
    <w:p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Pr>
          <w:rFonts w:cs="Arial"/>
          <w:b/>
          <w:bCs/>
          <w:szCs w:val="22"/>
        </w:rPr>
        <w:t>4</w:t>
      </w:r>
    </w:p>
    <w:p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rsidR="00883724" w:rsidRPr="00883724" w:rsidRDefault="00883724" w:rsidP="00883724">
      <w:pPr>
        <w:pStyle w:val="TOC1"/>
        <w:tabs>
          <w:tab w:val="right" w:leader="dot" w:pos="9506"/>
        </w:tabs>
        <w:rPr>
          <w:rFonts w:cs="Arial"/>
          <w:b/>
          <w:bCs/>
          <w:szCs w:val="22"/>
        </w:rPr>
      </w:pPr>
      <w:r>
        <w:rPr>
          <w:rFonts w:cs="Arial"/>
          <w:b/>
          <w:bCs/>
          <w:szCs w:val="22"/>
        </w:rPr>
        <w:t>PART 1 APPENDIX 3 VARIATIONS/SUPPLIMENTS TO CALL OFF TERMS</w:t>
      </w:r>
      <w:r w:rsidRPr="00883724">
        <w:rPr>
          <w:rFonts w:cs="Arial"/>
          <w:b/>
          <w:bCs/>
          <w:szCs w:val="22"/>
        </w:rPr>
        <w:t xml:space="preserve"> </w:t>
      </w:r>
      <w:r w:rsidRPr="00883724">
        <w:rPr>
          <w:rFonts w:cs="Arial"/>
          <w:b/>
          <w:bCs/>
          <w:szCs w:val="22"/>
        </w:rPr>
        <w:tab/>
      </w:r>
      <w:r>
        <w:rPr>
          <w:rFonts w:cs="Arial"/>
          <w:b/>
          <w:bCs/>
          <w:szCs w:val="22"/>
        </w:rPr>
        <w:t>8</w:t>
      </w:r>
    </w:p>
    <w:p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12</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252AE8" w:rsidRDefault="002170AA" w:rsidP="002170AA">
      <w:pPr>
        <w:pStyle w:val="MarginText"/>
        <w:jc w:val="center"/>
        <w:rPr>
          <w:rFonts w:cs="Arial"/>
          <w:b/>
          <w:szCs w:val="22"/>
        </w:rPr>
      </w:pPr>
      <w:r w:rsidRPr="00AE5A0F">
        <w:rPr>
          <w:rFonts w:cs="Arial"/>
          <w:b/>
          <w:szCs w:val="22"/>
        </w:rPr>
        <w:t xml:space="preserve">Appendix </w:t>
      </w:r>
      <w:r w:rsidR="00883724">
        <w:rPr>
          <w:rFonts w:cs="Arial"/>
          <w:b/>
          <w:szCs w:val="22"/>
        </w:rPr>
        <w:t>1</w:t>
      </w:r>
    </w:p>
    <w:p w:rsidR="002170AA" w:rsidRPr="00AE5A0F" w:rsidRDefault="002170AA" w:rsidP="002170AA">
      <w:pPr>
        <w:pStyle w:val="MarginText"/>
        <w:jc w:val="center"/>
        <w:rPr>
          <w:rFonts w:cs="Arial"/>
          <w:b/>
          <w:szCs w:val="22"/>
        </w:rPr>
      </w:pPr>
      <w:r w:rsidRPr="00AE5A0F">
        <w:rPr>
          <w:rFonts w:cs="Arial"/>
          <w:b/>
          <w:szCs w:val="22"/>
        </w:rPr>
        <w:br/>
        <w:t>(Contract Services)</w:t>
      </w: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D50FA6" w:rsidRDefault="00D50FA6"/>
    <w:p w:rsidR="00D50FA6" w:rsidRDefault="00D50FA6"/>
    <w:p w:rsidR="00D50FA6" w:rsidRDefault="00D50FA6"/>
    <w:p w:rsidR="00D50FA6" w:rsidRDefault="00D50FA6"/>
    <w:p w:rsidR="002170AA" w:rsidRDefault="002170AA"/>
    <w:p w:rsidR="00D50FA6" w:rsidRDefault="00D50FA6"/>
    <w:p w:rsidR="00463EC4" w:rsidRDefault="00463EC4" w:rsidP="00D50FA6">
      <w:pPr>
        <w:tabs>
          <w:tab w:val="left" w:pos="4678"/>
        </w:tabs>
        <w:jc w:val="center"/>
        <w:rPr>
          <w:rFonts w:cs="Arial"/>
          <w:b/>
          <w:szCs w:val="22"/>
          <w:lang w:eastAsia="en-GB"/>
        </w:rPr>
      </w:pPr>
    </w:p>
    <w:p w:rsidR="00463EC4" w:rsidRDefault="00463EC4" w:rsidP="00D50FA6">
      <w:pPr>
        <w:tabs>
          <w:tab w:val="left" w:pos="4678"/>
        </w:tabs>
        <w:jc w:val="center"/>
        <w:rPr>
          <w:rFonts w:cs="Arial"/>
          <w:b/>
          <w:szCs w:val="22"/>
          <w:lang w:eastAsia="en-GB"/>
        </w:rPr>
      </w:pPr>
    </w:p>
    <w:p w:rsidR="00463EC4" w:rsidRDefault="00463EC4" w:rsidP="00D50FA6">
      <w:pPr>
        <w:tabs>
          <w:tab w:val="left" w:pos="4678"/>
        </w:tabs>
        <w:jc w:val="center"/>
        <w:rPr>
          <w:rFonts w:cs="Arial"/>
          <w:b/>
          <w:szCs w:val="22"/>
          <w:lang w:eastAsia="en-GB"/>
        </w:rPr>
      </w:pPr>
    </w:p>
    <w:p w:rsidR="00463EC4" w:rsidRDefault="00463EC4" w:rsidP="00D50FA6">
      <w:pPr>
        <w:tabs>
          <w:tab w:val="left" w:pos="4678"/>
        </w:tabs>
        <w:jc w:val="center"/>
        <w:rPr>
          <w:rFonts w:cs="Arial"/>
          <w:b/>
          <w:szCs w:val="22"/>
          <w:lang w:eastAsia="en-GB"/>
        </w:rPr>
      </w:pPr>
    </w:p>
    <w:p w:rsidR="00463EC4" w:rsidRDefault="00463EC4" w:rsidP="00D50FA6">
      <w:pPr>
        <w:tabs>
          <w:tab w:val="left" w:pos="4678"/>
        </w:tabs>
        <w:jc w:val="center"/>
        <w:rPr>
          <w:rFonts w:cs="Arial"/>
          <w:b/>
          <w:szCs w:val="22"/>
          <w:lang w:eastAsia="en-GB"/>
        </w:rPr>
      </w:pPr>
    </w:p>
    <w:p w:rsidR="00463EC4" w:rsidRDefault="00463EC4" w:rsidP="00D50FA6">
      <w:pPr>
        <w:tabs>
          <w:tab w:val="left" w:pos="4678"/>
        </w:tabs>
        <w:jc w:val="center"/>
        <w:rPr>
          <w:rFonts w:cs="Arial"/>
          <w:b/>
          <w:szCs w:val="22"/>
          <w:lang w:eastAsia="en-GB"/>
        </w:rPr>
      </w:pPr>
    </w:p>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5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2"/>
      </w:tblGrid>
      <w:tr w:rsidR="004363FF" w:rsidRPr="005E64BF" w:rsidTr="009C4262">
        <w:tc>
          <w:tcPr>
            <w:tcW w:w="8982" w:type="dxa"/>
            <w:shd w:val="clear" w:color="auto" w:fill="D9D9D9"/>
          </w:tcPr>
          <w:p w:rsidR="004363FF" w:rsidRPr="005E64BF" w:rsidRDefault="004363FF" w:rsidP="009C4262">
            <w:pPr>
              <w:keepNext/>
              <w:widowControl w:val="0"/>
              <w:spacing w:line="240" w:lineRule="auto"/>
              <w:rPr>
                <w:rFonts w:cs="Arial"/>
                <w:b/>
                <w:sz w:val="20"/>
              </w:rPr>
            </w:pPr>
            <w:r w:rsidRPr="005E64BF">
              <w:rPr>
                <w:rFonts w:cs="Arial"/>
                <w:b/>
                <w:sz w:val="20"/>
              </w:rPr>
              <w:lastRenderedPageBreak/>
              <w:t>1. TERM</w:t>
            </w:r>
          </w:p>
        </w:tc>
      </w:tr>
      <w:tr w:rsidR="004363FF" w:rsidRPr="005E64BF" w:rsidTr="009C4262">
        <w:tc>
          <w:tcPr>
            <w:tcW w:w="8982" w:type="dxa"/>
          </w:tcPr>
          <w:p w:rsidR="004363FF" w:rsidRPr="005E64BF" w:rsidRDefault="00B96493" w:rsidP="009C4262">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A80570" w:rsidRDefault="004363FF" w:rsidP="009C4262">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 xml:space="preserve">Contract shall commence on </w:t>
            </w:r>
            <w:r w:rsidR="00E2546D" w:rsidRPr="00986738">
              <w:rPr>
                <w:sz w:val="20"/>
              </w:rPr>
              <w:t>01</w:t>
            </w:r>
            <w:r w:rsidR="00837E49">
              <w:rPr>
                <w:sz w:val="20"/>
              </w:rPr>
              <w:t xml:space="preserve"> </w:t>
            </w:r>
            <w:r w:rsidR="00003989">
              <w:rPr>
                <w:sz w:val="20"/>
              </w:rPr>
              <w:t>September 2015</w:t>
            </w:r>
          </w:p>
        </w:tc>
      </w:tr>
      <w:tr w:rsidR="004363FF" w:rsidRPr="005E64BF" w:rsidTr="009C4262">
        <w:tc>
          <w:tcPr>
            <w:tcW w:w="8982" w:type="dxa"/>
          </w:tcPr>
          <w:p w:rsidR="004363FF" w:rsidRPr="005E64BF" w:rsidRDefault="004363FF" w:rsidP="009C4262">
            <w:pPr>
              <w:widowControl w:val="0"/>
              <w:spacing w:line="240" w:lineRule="auto"/>
              <w:rPr>
                <w:rFonts w:cs="Arial"/>
                <w:b/>
                <w:sz w:val="20"/>
              </w:rPr>
            </w:pPr>
            <w:r w:rsidRPr="005E64BF">
              <w:rPr>
                <w:rFonts w:cs="Arial"/>
                <w:b/>
                <w:sz w:val="20"/>
              </w:rPr>
              <w:t>1.2 Expiry Date</w:t>
            </w:r>
          </w:p>
          <w:p w:rsidR="004363FF" w:rsidRPr="005E64BF" w:rsidRDefault="004363FF" w:rsidP="009C4262">
            <w:pPr>
              <w:widowControl w:val="0"/>
              <w:spacing w:line="240" w:lineRule="auto"/>
              <w:rPr>
                <w:rFonts w:cs="Arial"/>
                <w:sz w:val="20"/>
              </w:rPr>
            </w:pPr>
            <w:r w:rsidRPr="005E64BF">
              <w:rPr>
                <w:rFonts w:cs="Arial"/>
                <w:sz w:val="20"/>
              </w:rPr>
              <w:t xml:space="preserve">1.2.1 This Contract shall expire </w:t>
            </w:r>
            <w:r w:rsidR="00E2546D">
              <w:rPr>
                <w:rFonts w:cs="Arial"/>
                <w:sz w:val="20"/>
              </w:rPr>
              <w:t>i</w:t>
            </w:r>
            <w:r w:rsidRPr="005E64BF">
              <w:rPr>
                <w:rFonts w:cs="Arial"/>
                <w:sz w:val="20"/>
              </w:rPr>
              <w:t>n</w:t>
            </w:r>
            <w:r w:rsidR="00837E49">
              <w:rPr>
                <w:rFonts w:cs="Arial"/>
                <w:sz w:val="20"/>
              </w:rPr>
              <w:t xml:space="preserve"> on</w:t>
            </w:r>
            <w:r w:rsidR="003B3EB4">
              <w:rPr>
                <w:rFonts w:cs="Arial"/>
                <w:sz w:val="20"/>
              </w:rPr>
              <w:t xml:space="preserve"> </w:t>
            </w:r>
            <w:r w:rsidR="00003989">
              <w:rPr>
                <w:rFonts w:cs="Arial"/>
                <w:sz w:val="20"/>
              </w:rPr>
              <w:t>20 May 2016</w:t>
            </w:r>
          </w:p>
          <w:p w:rsidR="004363FF" w:rsidRPr="005E64BF" w:rsidRDefault="004363FF" w:rsidP="009C4262">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rsidR="004363FF" w:rsidRDefault="009C4262" w:rsidP="005E64BF">
      <w:pPr>
        <w:spacing w:line="240" w:lineRule="auto"/>
        <w:rPr>
          <w:rFonts w:cs="Arial"/>
          <w:b/>
          <w:sz w:val="20"/>
        </w:rPr>
      </w:pPr>
      <w:r w:rsidRPr="009C4262">
        <w:rPr>
          <w:rFonts w:cs="Arial"/>
          <w:b/>
          <w:sz w:val="20"/>
        </w:rPr>
        <w:t>Appendix 1 – Contract Services</w:t>
      </w:r>
    </w:p>
    <w:p w:rsidR="00B65D08" w:rsidRDefault="00B65D08" w:rsidP="005E64BF">
      <w:pPr>
        <w:spacing w:line="240" w:lineRule="auto"/>
        <w:rPr>
          <w:rFonts w:cs="Arial"/>
          <w:b/>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rsidTr="005B48E6">
        <w:tc>
          <w:tcPr>
            <w:tcW w:w="903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AB170A">
        <w:trPr>
          <w:trHeight w:val="3002"/>
        </w:trPr>
        <w:tc>
          <w:tcPr>
            <w:tcW w:w="9039" w:type="dxa"/>
            <w:shd w:val="clear" w:color="auto" w:fill="auto"/>
          </w:tcPr>
          <w:p w:rsidR="00AB170A" w:rsidRDefault="00212002" w:rsidP="00AB170A">
            <w:pPr>
              <w:widowControl w:val="0"/>
              <w:spacing w:line="240" w:lineRule="auto"/>
              <w:rPr>
                <w:rFonts w:cs="Arial"/>
                <w:b/>
                <w:i/>
                <w:sz w:val="20"/>
              </w:rPr>
            </w:pPr>
            <w:r>
              <w:rPr>
                <w:rFonts w:cs="Arial"/>
                <w:b/>
                <w:sz w:val="20"/>
              </w:rPr>
              <w:t>2.</w:t>
            </w:r>
            <w:r w:rsidR="008F76B2">
              <w:rPr>
                <w:rFonts w:cs="Arial"/>
                <w:b/>
                <w:sz w:val="20"/>
              </w:rPr>
              <w:t>1</w:t>
            </w:r>
            <w:r>
              <w:rPr>
                <w:rFonts w:cs="Arial"/>
                <w:b/>
                <w:sz w:val="20"/>
              </w:rPr>
              <w:t xml:space="preserve"> Services Required</w:t>
            </w:r>
            <w:r w:rsidR="00AB170A">
              <w:rPr>
                <w:rFonts w:cs="Arial"/>
                <w:b/>
                <w:sz w:val="20"/>
              </w:rPr>
              <w:t xml:space="preserve"> - </w:t>
            </w:r>
            <w:r w:rsidR="00AB170A" w:rsidRPr="002475A7">
              <w:rPr>
                <w:rFonts w:cs="Arial"/>
                <w:b/>
                <w:sz w:val="20"/>
              </w:rPr>
              <w:t>The services are made up of the following embedded documents</w:t>
            </w:r>
            <w:r w:rsidR="00AB170A">
              <w:rPr>
                <w:rFonts w:cs="Arial"/>
                <w:b/>
                <w:i/>
                <w:sz w:val="20"/>
              </w:rPr>
              <w:t>.</w:t>
            </w:r>
          </w:p>
          <w:p w:rsidR="00AB170A" w:rsidRPr="002475A7" w:rsidRDefault="00AB170A" w:rsidP="00AB170A">
            <w:pPr>
              <w:widowControl w:val="0"/>
              <w:spacing w:line="240" w:lineRule="auto"/>
              <w:rPr>
                <w:rFonts w:cs="Arial"/>
                <w:b/>
                <w:sz w:val="20"/>
              </w:rPr>
            </w:pPr>
            <w:r w:rsidRPr="002475A7">
              <w:rPr>
                <w:rFonts w:cs="Arial"/>
                <w:b/>
                <w:sz w:val="20"/>
              </w:rPr>
              <w:t>1. Service Description</w:t>
            </w:r>
          </w:p>
          <w:p w:rsidR="00AB170A" w:rsidRPr="002475A7" w:rsidRDefault="00AB170A" w:rsidP="00AB170A">
            <w:pPr>
              <w:widowControl w:val="0"/>
              <w:spacing w:line="240" w:lineRule="auto"/>
              <w:rPr>
                <w:rFonts w:cs="Arial"/>
                <w:b/>
                <w:sz w:val="20"/>
              </w:rPr>
            </w:pPr>
            <w:r w:rsidRPr="002475A7">
              <w:rPr>
                <w:rFonts w:cs="Arial"/>
                <w:b/>
                <w:sz w:val="20"/>
              </w:rPr>
              <w:t>2. Clarification Document</w:t>
            </w:r>
          </w:p>
          <w:p w:rsidR="00212002" w:rsidRDefault="00CA69F8" w:rsidP="00CA69F8">
            <w:pPr>
              <w:widowControl w:val="0"/>
              <w:spacing w:line="240" w:lineRule="auto"/>
              <w:rPr>
                <w:rFonts w:cs="Arial"/>
                <w:b/>
                <w:i/>
                <w:sz w:val="20"/>
              </w:rPr>
            </w:pPr>
            <w:r>
              <w:rPr>
                <w:rFonts w:cs="Arial"/>
                <w:b/>
                <w:i/>
                <w:sz w:val="20"/>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4" o:title=""/>
                </v:shape>
                <o:OLEObject Type="Embed" ProgID="Word.Document.12" ShapeID="_x0000_i1025" DrawAspect="Icon" ObjectID="_1494676989" r:id="rId15">
                  <o:FieldCodes>\s</o:FieldCodes>
                </o:OLEObject>
              </w:object>
            </w:r>
            <w:r>
              <w:rPr>
                <w:rFonts w:cs="Arial"/>
                <w:b/>
                <w:i/>
                <w:sz w:val="20"/>
              </w:rPr>
              <w:object w:dxaOrig="1536" w:dyaOrig="994">
                <v:shape id="_x0000_i1026" type="#_x0000_t75" style="width:77pt;height:49.4pt" o:ole="">
                  <v:imagedata r:id="rId16" o:title=""/>
                </v:shape>
                <o:OLEObject Type="Embed" ProgID="Word.Document.12" ShapeID="_x0000_i1026" DrawAspect="Icon" ObjectID="_1494676990" r:id="rId17">
                  <o:FieldCodes>\s</o:FieldCodes>
                </o:OLEObject>
              </w:object>
            </w:r>
          </w:p>
          <w:p w:rsidR="00CB5BE6" w:rsidRDefault="00CB5BE6" w:rsidP="00CA69F8">
            <w:pPr>
              <w:widowControl w:val="0"/>
              <w:spacing w:line="240" w:lineRule="auto"/>
              <w:rPr>
                <w:rFonts w:cs="Arial"/>
                <w:b/>
                <w:i/>
                <w:sz w:val="20"/>
              </w:rPr>
            </w:pPr>
          </w:p>
          <w:p w:rsidR="00CB5BE6" w:rsidRPr="00212002" w:rsidRDefault="00CB5BE6" w:rsidP="00CA69F8">
            <w:pPr>
              <w:widowControl w:val="0"/>
              <w:spacing w:line="240" w:lineRule="auto"/>
              <w:rPr>
                <w:rFonts w:cs="Arial"/>
                <w:b/>
                <w:i/>
                <w:sz w:val="20"/>
              </w:rPr>
            </w:pPr>
          </w:p>
        </w:tc>
      </w:tr>
    </w:tbl>
    <w:p w:rsidR="00EA571E" w:rsidRDefault="00EA571E">
      <w:pPr>
        <w:overflowPunct/>
        <w:autoSpaceDE/>
        <w:autoSpaceDN/>
        <w:adjustRightInd/>
        <w:spacing w:after="0" w:line="240" w:lineRule="auto"/>
        <w:jc w:val="left"/>
        <w:textAlignment w:val="auto"/>
        <w:rPr>
          <w:rFonts w:cs="Arial"/>
          <w:sz w:val="20"/>
        </w:rPr>
      </w:pPr>
    </w:p>
    <w:p w:rsidR="00B32CA7" w:rsidRDefault="00B32CA7"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B65D08" w:rsidRDefault="00B65D08" w:rsidP="00102227">
      <w:pPr>
        <w:overflowPunct/>
        <w:autoSpaceDE/>
        <w:autoSpaceDN/>
        <w:adjustRightInd/>
        <w:spacing w:after="0" w:line="240" w:lineRule="auto"/>
        <w:jc w:val="left"/>
        <w:textAlignment w:val="auto"/>
        <w:rPr>
          <w:rFonts w:cs="Arial"/>
          <w:b/>
          <w:szCs w:val="22"/>
        </w:rPr>
      </w:pPr>
    </w:p>
    <w:p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X="-601" w:tblpY="340"/>
        <w:tblW w:w="10623" w:type="dxa"/>
        <w:tblLayout w:type="fixed"/>
        <w:tblLook w:val="04A0" w:firstRow="1" w:lastRow="0" w:firstColumn="1" w:lastColumn="0" w:noHBand="0" w:noVBand="1"/>
      </w:tblPr>
      <w:tblGrid>
        <w:gridCol w:w="1526"/>
        <w:gridCol w:w="9097"/>
      </w:tblGrid>
      <w:tr w:rsidR="00EA571E" w:rsidTr="00CB5BE6">
        <w:trPr>
          <w:trHeight w:val="1689"/>
        </w:trPr>
        <w:tc>
          <w:tcPr>
            <w:tcW w:w="1526" w:type="dxa"/>
          </w:tcPr>
          <w:p w:rsidR="00EA571E" w:rsidRPr="00AD615B" w:rsidRDefault="00EA571E" w:rsidP="00CB5BE6">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CB5BE6">
            <w:pPr>
              <w:rPr>
                <w:b/>
                <w:color w:val="000000"/>
                <w:sz w:val="20"/>
              </w:rPr>
            </w:pPr>
            <w:r w:rsidRPr="00AD615B">
              <w:rPr>
                <w:b/>
                <w:color w:val="000000"/>
                <w:sz w:val="20"/>
              </w:rPr>
              <w:t>The</w:t>
            </w:r>
            <w:r w:rsidR="00B32CA7">
              <w:rPr>
                <w:b/>
                <w:color w:val="000000"/>
                <w:sz w:val="20"/>
              </w:rPr>
              <w:t xml:space="preserve"> </w:t>
            </w:r>
            <w:r w:rsidRPr="00AD615B">
              <w:rPr>
                <w:b/>
                <w:color w:val="000000"/>
                <w:sz w:val="20"/>
              </w:rPr>
              <w:t>Authority requires the Contractor to deliver the services as per the proposal dated</w:t>
            </w:r>
          </w:p>
          <w:p w:rsidR="00EA571E" w:rsidRPr="00AD615B" w:rsidRDefault="00EA571E" w:rsidP="00CB5BE6">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CB5BE6">
            <w:pPr>
              <w:overflowPunct/>
              <w:autoSpaceDE/>
              <w:autoSpaceDN/>
              <w:adjustRightInd/>
              <w:spacing w:after="0" w:line="240" w:lineRule="auto"/>
              <w:jc w:val="left"/>
              <w:textAlignment w:val="auto"/>
              <w:rPr>
                <w:rFonts w:eastAsia="STZhongsong" w:cs="Arial"/>
                <w:sz w:val="20"/>
                <w:lang w:eastAsia="zh-CN"/>
              </w:rPr>
            </w:pPr>
          </w:p>
        </w:tc>
        <w:tc>
          <w:tcPr>
            <w:tcW w:w="9097" w:type="dxa"/>
          </w:tcPr>
          <w:p w:rsidR="00EA571E" w:rsidRPr="007661E9" w:rsidRDefault="00EA571E" w:rsidP="00CB5BE6">
            <w:pPr>
              <w:overflowPunct/>
              <w:autoSpaceDE/>
              <w:autoSpaceDN/>
              <w:adjustRightInd/>
              <w:spacing w:after="0" w:line="240" w:lineRule="auto"/>
              <w:jc w:val="left"/>
              <w:textAlignment w:val="auto"/>
              <w:rPr>
                <w:rFonts w:eastAsia="STZhongsong" w:cs="Arial"/>
                <w:sz w:val="20"/>
                <w:lang w:eastAsia="zh-CN"/>
              </w:rPr>
            </w:pPr>
          </w:p>
          <w:p w:rsidR="00CB5BE6" w:rsidRPr="002475A7" w:rsidRDefault="002475A7" w:rsidP="00CB5BE6">
            <w:pPr>
              <w:overflowPunct/>
              <w:autoSpaceDE/>
              <w:autoSpaceDN/>
              <w:adjustRightInd/>
              <w:spacing w:after="0" w:line="240" w:lineRule="auto"/>
              <w:jc w:val="left"/>
              <w:textAlignment w:val="auto"/>
              <w:rPr>
                <w:rFonts w:eastAsia="STZhongsong" w:cs="Arial"/>
                <w:b/>
                <w:sz w:val="20"/>
                <w:lang w:eastAsia="zh-CN"/>
              </w:rPr>
            </w:pPr>
            <w:r w:rsidRPr="002475A7">
              <w:rPr>
                <w:rFonts w:eastAsia="STZhongsong" w:cs="Arial"/>
                <w:b/>
                <w:sz w:val="20"/>
                <w:lang w:eastAsia="zh-CN"/>
              </w:rPr>
              <w:t>The services are made up of the following embedded documents.</w:t>
            </w:r>
          </w:p>
          <w:p w:rsidR="002475A7" w:rsidRPr="002475A7" w:rsidRDefault="002475A7" w:rsidP="00CB5BE6">
            <w:pPr>
              <w:overflowPunct/>
              <w:autoSpaceDE/>
              <w:autoSpaceDN/>
              <w:adjustRightInd/>
              <w:spacing w:after="0" w:line="240" w:lineRule="auto"/>
              <w:jc w:val="left"/>
              <w:textAlignment w:val="auto"/>
              <w:rPr>
                <w:rFonts w:eastAsia="STZhongsong" w:cs="Arial"/>
                <w:b/>
                <w:sz w:val="20"/>
                <w:lang w:eastAsia="zh-CN"/>
              </w:rPr>
            </w:pPr>
          </w:p>
          <w:p w:rsidR="002475A7" w:rsidRPr="002475A7" w:rsidRDefault="002475A7" w:rsidP="00CB5BE6">
            <w:pPr>
              <w:overflowPunct/>
              <w:autoSpaceDE/>
              <w:autoSpaceDN/>
              <w:adjustRightInd/>
              <w:spacing w:after="0" w:line="240" w:lineRule="auto"/>
              <w:jc w:val="left"/>
              <w:textAlignment w:val="auto"/>
              <w:rPr>
                <w:rFonts w:eastAsia="STZhongsong" w:cs="Arial"/>
                <w:b/>
                <w:sz w:val="20"/>
                <w:lang w:eastAsia="zh-CN"/>
              </w:rPr>
            </w:pPr>
            <w:r w:rsidRPr="002475A7">
              <w:rPr>
                <w:rFonts w:eastAsia="STZhongsong" w:cs="Arial"/>
                <w:b/>
                <w:sz w:val="20"/>
                <w:lang w:eastAsia="zh-CN"/>
              </w:rPr>
              <w:t>1. Commercial  submission</w:t>
            </w:r>
          </w:p>
          <w:p w:rsidR="002475A7" w:rsidRPr="002475A7" w:rsidRDefault="002475A7" w:rsidP="00CB5BE6">
            <w:pPr>
              <w:overflowPunct/>
              <w:autoSpaceDE/>
              <w:autoSpaceDN/>
              <w:adjustRightInd/>
              <w:spacing w:after="0" w:line="240" w:lineRule="auto"/>
              <w:jc w:val="left"/>
              <w:textAlignment w:val="auto"/>
              <w:rPr>
                <w:rFonts w:eastAsia="STZhongsong" w:cs="Arial"/>
                <w:b/>
                <w:sz w:val="20"/>
                <w:lang w:eastAsia="zh-CN"/>
              </w:rPr>
            </w:pPr>
            <w:r w:rsidRPr="002475A7">
              <w:rPr>
                <w:rFonts w:eastAsia="STZhongsong" w:cs="Arial"/>
                <w:b/>
                <w:sz w:val="20"/>
                <w:lang w:eastAsia="zh-CN"/>
              </w:rPr>
              <w:t>2. Quality submission</w:t>
            </w:r>
          </w:p>
          <w:p w:rsidR="00CB5BE6" w:rsidRDefault="00CB5BE6" w:rsidP="00CB5BE6">
            <w:pPr>
              <w:overflowPunct/>
              <w:autoSpaceDE/>
              <w:autoSpaceDN/>
              <w:adjustRightInd/>
              <w:spacing w:after="0" w:line="240" w:lineRule="auto"/>
              <w:jc w:val="left"/>
              <w:textAlignment w:val="auto"/>
              <w:rPr>
                <w:rFonts w:eastAsia="STZhongsong" w:cs="Arial"/>
                <w:b/>
                <w:color w:val="FF0000"/>
                <w:sz w:val="20"/>
                <w:lang w:eastAsia="zh-CN"/>
              </w:rPr>
            </w:pPr>
          </w:p>
          <w:p w:rsidR="00EA571E" w:rsidRDefault="00EA571E" w:rsidP="00CB5BE6">
            <w:pPr>
              <w:overflowPunct/>
              <w:autoSpaceDE/>
              <w:autoSpaceDN/>
              <w:adjustRightInd/>
              <w:spacing w:after="0" w:line="240" w:lineRule="auto"/>
              <w:jc w:val="left"/>
              <w:textAlignment w:val="auto"/>
              <w:rPr>
                <w:rFonts w:eastAsia="STZhongsong" w:cs="Arial"/>
                <w:b/>
                <w:color w:val="FF0000"/>
                <w:sz w:val="20"/>
                <w:lang w:eastAsia="zh-CN"/>
              </w:rPr>
            </w:pPr>
          </w:p>
          <w:p w:rsidR="00B624A3" w:rsidRPr="00551CE5" w:rsidRDefault="00B624A3" w:rsidP="00CB5BE6">
            <w:pPr>
              <w:overflowPunct/>
              <w:autoSpaceDE/>
              <w:autoSpaceDN/>
              <w:adjustRightInd/>
              <w:spacing w:after="0" w:line="240" w:lineRule="auto"/>
              <w:jc w:val="left"/>
              <w:textAlignment w:val="auto"/>
              <w:rPr>
                <w:rFonts w:eastAsia="STZhongsong" w:cs="Arial"/>
                <w:b/>
                <w:color w:val="FF0000"/>
                <w:sz w:val="20"/>
                <w:lang w:eastAsia="zh-CN"/>
              </w:rPr>
            </w:pPr>
            <w:r>
              <w:rPr>
                <w:rFonts w:eastAsia="STZhongsong" w:cs="Arial"/>
                <w:b/>
                <w:color w:val="FF0000"/>
                <w:sz w:val="20"/>
                <w:lang w:eastAsia="zh-CN"/>
              </w:rPr>
              <w:t>REDACTED TEXT</w:t>
            </w:r>
          </w:p>
        </w:tc>
      </w:tr>
      <w:tr w:rsidR="00EA571E" w:rsidTr="00CB5BE6">
        <w:tc>
          <w:tcPr>
            <w:tcW w:w="1526" w:type="dxa"/>
          </w:tcPr>
          <w:p w:rsidR="00EA571E" w:rsidRDefault="00EA571E"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Default="00CB5BE6" w:rsidP="00CB5BE6">
            <w:pPr>
              <w:overflowPunct/>
              <w:autoSpaceDE/>
              <w:autoSpaceDN/>
              <w:adjustRightInd/>
              <w:spacing w:after="0" w:line="240" w:lineRule="auto"/>
              <w:jc w:val="left"/>
              <w:textAlignment w:val="auto"/>
              <w:rPr>
                <w:rFonts w:eastAsia="STZhongsong" w:cs="Arial"/>
                <w:sz w:val="20"/>
                <w:lang w:eastAsia="zh-CN"/>
              </w:rPr>
            </w:pPr>
          </w:p>
          <w:p w:rsidR="00EA571E" w:rsidRDefault="00EA571E" w:rsidP="00CB5BE6">
            <w:pPr>
              <w:overflowPunct/>
              <w:autoSpaceDE/>
              <w:autoSpaceDN/>
              <w:adjustRightInd/>
              <w:spacing w:after="0" w:line="240" w:lineRule="auto"/>
              <w:jc w:val="left"/>
              <w:textAlignment w:val="auto"/>
              <w:rPr>
                <w:rFonts w:eastAsia="STZhongsong" w:cs="Arial"/>
                <w:sz w:val="20"/>
                <w:lang w:eastAsia="zh-CN"/>
              </w:rPr>
            </w:pPr>
          </w:p>
          <w:p w:rsidR="00EA571E" w:rsidRDefault="00EA571E" w:rsidP="00CB5BE6">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rsidR="00EA571E" w:rsidRDefault="00EA571E" w:rsidP="00CB5BE6">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CB5BE6">
            <w:pPr>
              <w:overflowPunct/>
              <w:autoSpaceDE/>
              <w:autoSpaceDN/>
              <w:adjustRightInd/>
              <w:spacing w:after="0" w:line="240" w:lineRule="auto"/>
              <w:jc w:val="left"/>
              <w:textAlignment w:val="auto"/>
              <w:rPr>
                <w:rFonts w:eastAsia="STZhongsong" w:cs="Arial"/>
                <w:sz w:val="20"/>
                <w:lang w:eastAsia="zh-CN"/>
              </w:rPr>
            </w:pPr>
          </w:p>
        </w:tc>
        <w:tc>
          <w:tcPr>
            <w:tcW w:w="9097" w:type="dxa"/>
          </w:tcPr>
          <w:p w:rsidR="002475A7" w:rsidRDefault="002475A7" w:rsidP="002475A7">
            <w:pPr>
              <w:overflowPunct/>
              <w:autoSpaceDE/>
              <w:autoSpaceDN/>
              <w:adjustRightInd/>
              <w:spacing w:after="0" w:line="240" w:lineRule="auto"/>
              <w:jc w:val="left"/>
              <w:textAlignment w:val="auto"/>
              <w:rPr>
                <w:rFonts w:eastAsia="STZhongsong" w:cs="Arial"/>
                <w:sz w:val="20"/>
                <w:lang w:eastAsia="zh-CN"/>
              </w:rPr>
            </w:pPr>
          </w:p>
          <w:p w:rsidR="00B65D08" w:rsidRPr="00463EC4" w:rsidRDefault="00B65D08" w:rsidP="00B65D08">
            <w:pPr>
              <w:overflowPunct/>
              <w:autoSpaceDE/>
              <w:autoSpaceDN/>
              <w:adjustRightInd/>
              <w:spacing w:after="0" w:line="240" w:lineRule="auto"/>
              <w:jc w:val="left"/>
              <w:textAlignment w:val="auto"/>
              <w:rPr>
                <w:rFonts w:eastAsia="STZhongsong" w:cs="Arial"/>
                <w:sz w:val="20"/>
                <w:lang w:eastAsia="zh-CN"/>
              </w:rPr>
            </w:pPr>
          </w:p>
          <w:p w:rsidR="00B65D08" w:rsidRDefault="00B65D08" w:rsidP="00B65D0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 xml:space="preserve">This requirement has been placed on a capped cost basis and will not exceed a total price of </w:t>
            </w:r>
            <w:r w:rsidR="00B624A3" w:rsidRPr="00B624A3">
              <w:rPr>
                <w:rFonts w:eastAsia="STZhongsong" w:cs="Arial"/>
                <w:color w:val="FF0000"/>
                <w:sz w:val="20"/>
                <w:lang w:eastAsia="zh-CN"/>
              </w:rPr>
              <w:t>REDACTED TEXT</w:t>
            </w:r>
            <w:r w:rsidRPr="00B624A3">
              <w:rPr>
                <w:rFonts w:eastAsia="STZhongsong" w:cs="Arial"/>
                <w:color w:val="FF0000"/>
                <w:sz w:val="20"/>
                <w:lang w:eastAsia="zh-CN"/>
              </w:rPr>
              <w:t xml:space="preserve"> </w:t>
            </w:r>
            <w:r>
              <w:rPr>
                <w:rFonts w:eastAsia="STZhongsong" w:cs="Arial"/>
                <w:sz w:val="20"/>
                <w:lang w:eastAsia="zh-CN"/>
              </w:rPr>
              <w:t>exclusive of VAT.</w:t>
            </w:r>
          </w:p>
          <w:p w:rsidR="00B65D08" w:rsidRDefault="00B65D08" w:rsidP="002475A7">
            <w:pPr>
              <w:overflowPunct/>
              <w:autoSpaceDE/>
              <w:autoSpaceDN/>
              <w:adjustRightInd/>
              <w:spacing w:after="0" w:line="240" w:lineRule="auto"/>
              <w:jc w:val="left"/>
              <w:textAlignment w:val="auto"/>
              <w:rPr>
                <w:rFonts w:eastAsia="STZhongsong" w:cs="Arial"/>
                <w:sz w:val="20"/>
                <w:lang w:eastAsia="zh-CN"/>
              </w:rPr>
            </w:pPr>
          </w:p>
          <w:p w:rsidR="00B65D08" w:rsidRDefault="00B65D08" w:rsidP="002475A7">
            <w:pPr>
              <w:overflowPunct/>
              <w:autoSpaceDE/>
              <w:autoSpaceDN/>
              <w:adjustRightInd/>
              <w:spacing w:after="0" w:line="240" w:lineRule="auto"/>
              <w:jc w:val="left"/>
              <w:textAlignment w:val="auto"/>
              <w:rPr>
                <w:rFonts w:eastAsia="STZhongsong" w:cs="Arial"/>
                <w:sz w:val="20"/>
                <w:lang w:eastAsia="zh-CN"/>
              </w:rPr>
            </w:pPr>
          </w:p>
          <w:p w:rsidR="00B65D08" w:rsidRDefault="00B65D08" w:rsidP="002475A7">
            <w:pPr>
              <w:overflowPunct/>
              <w:autoSpaceDE/>
              <w:autoSpaceDN/>
              <w:adjustRightInd/>
              <w:spacing w:after="0" w:line="240" w:lineRule="auto"/>
              <w:jc w:val="left"/>
              <w:textAlignment w:val="auto"/>
              <w:rPr>
                <w:rFonts w:eastAsia="STZhongsong" w:cs="Arial"/>
                <w:sz w:val="20"/>
                <w:lang w:eastAsia="zh-CN"/>
              </w:rPr>
            </w:pPr>
          </w:p>
          <w:p w:rsidR="00B65D08" w:rsidRDefault="00B65D08" w:rsidP="002475A7">
            <w:pPr>
              <w:overflowPunct/>
              <w:autoSpaceDE/>
              <w:autoSpaceDN/>
              <w:adjustRightInd/>
              <w:spacing w:after="0" w:line="240" w:lineRule="auto"/>
              <w:jc w:val="left"/>
              <w:textAlignment w:val="auto"/>
              <w:rPr>
                <w:rFonts w:eastAsia="STZhongsong" w:cs="Arial"/>
                <w:sz w:val="20"/>
                <w:lang w:eastAsia="zh-CN"/>
              </w:rPr>
            </w:pPr>
          </w:p>
          <w:p w:rsidR="00CB5BE6" w:rsidRPr="00463EC4" w:rsidRDefault="00CB5BE6" w:rsidP="00CB5BE6">
            <w:pPr>
              <w:overflowPunct/>
              <w:autoSpaceDE/>
              <w:autoSpaceDN/>
              <w:adjustRightInd/>
              <w:spacing w:after="0" w:line="240" w:lineRule="auto"/>
              <w:jc w:val="left"/>
              <w:textAlignment w:val="auto"/>
              <w:rPr>
                <w:rFonts w:eastAsia="STZhongsong" w:cs="Arial"/>
                <w:sz w:val="20"/>
                <w:lang w:eastAsia="zh-CN"/>
              </w:rPr>
            </w:pPr>
          </w:p>
          <w:p w:rsidR="00CB5BE6" w:rsidRPr="00463EC4" w:rsidRDefault="00CB5BE6" w:rsidP="00CB5BE6">
            <w:pPr>
              <w:overflowPunct/>
              <w:autoSpaceDE/>
              <w:autoSpaceDN/>
              <w:adjustRightInd/>
              <w:spacing w:after="0" w:line="240" w:lineRule="auto"/>
              <w:jc w:val="left"/>
              <w:textAlignment w:val="auto"/>
              <w:rPr>
                <w:rFonts w:eastAsia="STZhongsong" w:cs="Arial"/>
                <w:sz w:val="20"/>
                <w:lang w:eastAsia="zh-CN"/>
              </w:rPr>
            </w:pPr>
          </w:p>
          <w:tbl>
            <w:tblPr>
              <w:tblW w:w="5240" w:type="dxa"/>
              <w:tblLayout w:type="fixed"/>
              <w:tblLook w:val="04A0" w:firstRow="1" w:lastRow="0" w:firstColumn="1" w:lastColumn="0" w:noHBand="0" w:noVBand="1"/>
            </w:tblPr>
            <w:tblGrid>
              <w:gridCol w:w="3920"/>
              <w:gridCol w:w="1320"/>
            </w:tblGrid>
            <w:tr w:rsidR="006904E3" w:rsidRPr="006904E3" w:rsidTr="006904E3">
              <w:trPr>
                <w:trHeight w:val="780"/>
              </w:trPr>
              <w:tc>
                <w:tcPr>
                  <w:tcW w:w="3920" w:type="dxa"/>
                  <w:tcBorders>
                    <w:top w:val="single" w:sz="8" w:space="0" w:color="auto"/>
                    <w:left w:val="single" w:sz="8" w:space="0" w:color="auto"/>
                    <w:bottom w:val="single" w:sz="8" w:space="0" w:color="auto"/>
                    <w:right w:val="single" w:sz="4" w:space="0" w:color="auto"/>
                  </w:tcBorders>
                  <w:shd w:val="clear" w:color="000000" w:fill="AEAAAA"/>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Roles Offered</w:t>
                  </w:r>
                </w:p>
              </w:tc>
              <w:tc>
                <w:tcPr>
                  <w:tcW w:w="1320" w:type="dxa"/>
                  <w:tcBorders>
                    <w:top w:val="single" w:sz="8" w:space="0" w:color="auto"/>
                    <w:left w:val="nil"/>
                    <w:bottom w:val="single" w:sz="8" w:space="0" w:color="auto"/>
                    <w:right w:val="single" w:sz="8" w:space="0" w:color="auto"/>
                  </w:tcBorders>
                  <w:shd w:val="clear" w:color="000000" w:fill="AEAAAA"/>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Daily Rates Offered </w:t>
                  </w:r>
                  <w:r w:rsidRPr="006904E3">
                    <w:rPr>
                      <w:rFonts w:cs="Arial"/>
                      <w:b/>
                      <w:bCs/>
                      <w:color w:val="000000"/>
                      <w:sz w:val="20"/>
                      <w:lang w:eastAsia="en-GB"/>
                    </w:rPr>
                    <w:br/>
                    <w:t>(£  exc VAT)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Partner/Director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bookmarkStart w:id="0" w:name="_GoBack"/>
              <w:bookmarkEnd w:id="0"/>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Partner/Director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Managing Consultant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Managing Consultant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Managing Consultant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Principal Consultant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Principal Consultant </w:t>
                  </w:r>
                  <w:r w:rsidR="00B624A3">
                    <w:rPr>
                      <w:rFonts w:cs="Arial"/>
                      <w:b/>
                      <w:bCs/>
                      <w:color w:val="000000"/>
                      <w:sz w:val="20"/>
                      <w:lang w:eastAsia="en-GB"/>
                    </w:rPr>
                    <w:t>–</w:t>
                  </w:r>
                  <w:r w:rsidRPr="006904E3">
                    <w:rPr>
                      <w:rFonts w:cs="Arial"/>
                      <w:b/>
                      <w:bCs/>
                      <w:color w:val="000000"/>
                      <w:sz w:val="20"/>
                      <w:lang w:eastAsia="en-GB"/>
                    </w:rPr>
                    <w:t xml:space="preserve"> </w:t>
                  </w:r>
                  <w:r w:rsidR="00B624A3" w:rsidRPr="00B624A3">
                    <w:rPr>
                      <w:rFonts w:cs="Arial"/>
                      <w:b/>
                      <w:bCs/>
                      <w:color w:val="FF0000"/>
                      <w:sz w:val="20"/>
                      <w:lang w:eastAsia="en-GB"/>
                    </w:rPr>
                    <w:t>Redacted Text</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B624A3" w:rsidRDefault="00B624A3" w:rsidP="00B624A3">
                  <w:pPr>
                    <w:framePr w:hSpace="180" w:wrap="around" w:vAnchor="text" w:hAnchor="margin" w:x="-601" w:y="340"/>
                    <w:overflowPunct/>
                    <w:autoSpaceDE/>
                    <w:autoSpaceDN/>
                    <w:adjustRightInd/>
                    <w:spacing w:after="0" w:line="240" w:lineRule="auto"/>
                    <w:jc w:val="left"/>
                    <w:textAlignment w:val="auto"/>
                    <w:rPr>
                      <w:rFonts w:cs="Arial"/>
                      <w:b/>
                      <w:bCs/>
                      <w:color w:val="FF0000"/>
                      <w:sz w:val="20"/>
                      <w:lang w:eastAsia="en-GB"/>
                    </w:rPr>
                  </w:pPr>
                  <w:r w:rsidRPr="00B624A3">
                    <w:rPr>
                      <w:rFonts w:cs="Arial"/>
                      <w:b/>
                      <w:bCs/>
                      <w:color w:val="FF0000"/>
                      <w:sz w:val="20"/>
                      <w:lang w:eastAsia="en-GB"/>
                    </w:rPr>
                    <w:t>Redacted Text</w:t>
                  </w:r>
                </w:p>
              </w:tc>
            </w:tr>
            <w:tr w:rsidR="006904E3" w:rsidRPr="006904E3" w:rsidTr="00B624A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xml:space="preserve">Consultant - </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6904E3" w:rsidRPr="006904E3" w:rsidRDefault="006904E3" w:rsidP="00B624A3">
                  <w:pPr>
                    <w:framePr w:hSpace="180" w:wrap="around" w:vAnchor="text" w:hAnchor="margin" w:x="-601" w:y="340"/>
                    <w:overflowPunct/>
                    <w:autoSpaceDE/>
                    <w:autoSpaceDN/>
                    <w:adjustRightInd/>
                    <w:spacing w:after="0" w:line="240" w:lineRule="auto"/>
                    <w:jc w:val="right"/>
                    <w:textAlignment w:val="auto"/>
                    <w:rPr>
                      <w:rFonts w:cs="Arial"/>
                      <w:b/>
                      <w:bCs/>
                      <w:color w:val="000000"/>
                      <w:sz w:val="20"/>
                      <w:lang w:eastAsia="en-GB"/>
                    </w:rPr>
                  </w:pPr>
                </w:p>
              </w:tc>
            </w:tr>
            <w:tr w:rsidR="006904E3" w:rsidRPr="006904E3" w:rsidTr="006904E3">
              <w:trPr>
                <w:trHeight w:val="300"/>
              </w:trPr>
              <w:tc>
                <w:tcPr>
                  <w:tcW w:w="3920" w:type="dxa"/>
                  <w:tcBorders>
                    <w:top w:val="nil"/>
                    <w:left w:val="single" w:sz="8" w:space="0" w:color="auto"/>
                    <w:bottom w:val="single" w:sz="4"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Junior Consultant</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b/>
                      <w:bCs/>
                      <w:color w:val="000000"/>
                      <w:sz w:val="20"/>
                      <w:lang w:eastAsia="en-GB"/>
                    </w:rPr>
                  </w:pPr>
                  <w:r w:rsidRPr="006904E3">
                    <w:rPr>
                      <w:rFonts w:cs="Arial"/>
                      <w:b/>
                      <w:bCs/>
                      <w:color w:val="000000"/>
                      <w:sz w:val="20"/>
                      <w:lang w:eastAsia="en-GB"/>
                    </w:rPr>
                    <w:t> </w:t>
                  </w:r>
                </w:p>
              </w:tc>
            </w:tr>
            <w:tr w:rsidR="006904E3" w:rsidRPr="006904E3" w:rsidTr="006904E3">
              <w:trPr>
                <w:trHeight w:val="315"/>
              </w:trPr>
              <w:tc>
                <w:tcPr>
                  <w:tcW w:w="3920" w:type="dxa"/>
                  <w:tcBorders>
                    <w:top w:val="nil"/>
                    <w:left w:val="single" w:sz="8" w:space="0" w:color="auto"/>
                    <w:bottom w:val="single" w:sz="8" w:space="0" w:color="auto"/>
                    <w:right w:val="nil"/>
                  </w:tcBorders>
                  <w:shd w:val="clear" w:color="auto" w:fill="auto"/>
                  <w:noWrap/>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color w:val="000000"/>
                      <w:sz w:val="20"/>
                      <w:lang w:eastAsia="en-GB"/>
                    </w:rPr>
                  </w:pPr>
                  <w:r w:rsidRPr="006904E3">
                    <w:rPr>
                      <w:rFonts w:cs="Arial"/>
                      <w:color w:val="000000"/>
                      <w:sz w:val="20"/>
                      <w:lang w:eastAsia="en-GB"/>
                    </w:rPr>
                    <w:t>Trainee Consultant</w:t>
                  </w:r>
                </w:p>
              </w:tc>
              <w:tc>
                <w:tcPr>
                  <w:tcW w:w="1320" w:type="dxa"/>
                  <w:tcBorders>
                    <w:top w:val="nil"/>
                    <w:left w:val="single" w:sz="4" w:space="0" w:color="auto"/>
                    <w:bottom w:val="single" w:sz="8" w:space="0" w:color="auto"/>
                    <w:right w:val="single" w:sz="8" w:space="0" w:color="auto"/>
                  </w:tcBorders>
                  <w:shd w:val="clear" w:color="auto" w:fill="auto"/>
                  <w:noWrap/>
                  <w:vAlign w:val="bottom"/>
                  <w:hideMark/>
                </w:tcPr>
                <w:p w:rsidR="006904E3" w:rsidRPr="006904E3" w:rsidRDefault="006904E3" w:rsidP="00B624A3">
                  <w:pPr>
                    <w:framePr w:hSpace="180" w:wrap="around" w:vAnchor="text" w:hAnchor="margin" w:x="-601" w:y="340"/>
                    <w:overflowPunct/>
                    <w:autoSpaceDE/>
                    <w:autoSpaceDN/>
                    <w:adjustRightInd/>
                    <w:spacing w:after="0" w:line="240" w:lineRule="auto"/>
                    <w:jc w:val="left"/>
                    <w:textAlignment w:val="auto"/>
                    <w:rPr>
                      <w:rFonts w:cs="Arial"/>
                      <w:color w:val="000000"/>
                      <w:sz w:val="20"/>
                      <w:lang w:eastAsia="en-GB"/>
                    </w:rPr>
                  </w:pPr>
                  <w:r w:rsidRPr="006904E3">
                    <w:rPr>
                      <w:rFonts w:cs="Arial"/>
                      <w:color w:val="000000"/>
                      <w:sz w:val="20"/>
                      <w:lang w:eastAsia="en-GB"/>
                    </w:rPr>
                    <w:t> </w:t>
                  </w:r>
                </w:p>
              </w:tc>
            </w:tr>
          </w:tbl>
          <w:p w:rsidR="00CB5BE6" w:rsidRPr="00463EC4" w:rsidRDefault="00CB5BE6" w:rsidP="00CB5BE6">
            <w:pPr>
              <w:overflowPunct/>
              <w:autoSpaceDE/>
              <w:autoSpaceDN/>
              <w:adjustRightInd/>
              <w:spacing w:after="0" w:line="240" w:lineRule="auto"/>
              <w:jc w:val="left"/>
              <w:textAlignment w:val="auto"/>
              <w:rPr>
                <w:rFonts w:eastAsia="STZhongsong" w:cs="Arial"/>
                <w:sz w:val="20"/>
                <w:lang w:eastAsia="zh-CN"/>
              </w:rPr>
            </w:pPr>
          </w:p>
          <w:p w:rsidR="00B32CA7" w:rsidRPr="00463EC4" w:rsidRDefault="00B32CA7" w:rsidP="00CB5BE6">
            <w:pPr>
              <w:overflowPunct/>
              <w:autoSpaceDE/>
              <w:autoSpaceDN/>
              <w:adjustRightInd/>
              <w:spacing w:after="0" w:line="240" w:lineRule="auto"/>
              <w:jc w:val="left"/>
              <w:textAlignment w:val="auto"/>
              <w:rPr>
                <w:rFonts w:eastAsia="STZhongsong" w:cs="Arial"/>
                <w:b/>
                <w:sz w:val="20"/>
                <w:lang w:eastAsia="zh-CN"/>
              </w:rPr>
            </w:pPr>
            <w:r w:rsidRPr="00463EC4">
              <w:rPr>
                <w:rFonts w:eastAsia="STZhongsong" w:cs="Arial"/>
                <w:b/>
                <w:sz w:val="20"/>
                <w:lang w:eastAsia="zh-CN"/>
              </w:rPr>
              <w:t>Daily rates for information only</w:t>
            </w:r>
          </w:p>
        </w:tc>
      </w:tr>
      <w:tr w:rsidR="00EA571E" w:rsidTr="00DF23A1">
        <w:trPr>
          <w:trHeight w:val="2495"/>
        </w:trPr>
        <w:tc>
          <w:tcPr>
            <w:tcW w:w="1526" w:type="dxa"/>
          </w:tcPr>
          <w:p w:rsidR="00EA571E" w:rsidRPr="007661E9" w:rsidRDefault="00EA571E" w:rsidP="00CB5BE6">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CB5BE6">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w:t>
            </w:r>
          </w:p>
          <w:p w:rsidR="00EA571E" w:rsidRPr="007661E9" w:rsidRDefault="00EA571E" w:rsidP="00CB5BE6">
            <w:pPr>
              <w:overflowPunct/>
              <w:autoSpaceDE/>
              <w:autoSpaceDN/>
              <w:adjustRightInd/>
              <w:spacing w:after="0" w:line="240" w:lineRule="auto"/>
              <w:jc w:val="left"/>
              <w:textAlignment w:val="auto"/>
              <w:rPr>
                <w:rFonts w:eastAsia="STZhongsong" w:cs="Arial"/>
                <w:sz w:val="20"/>
                <w:lang w:eastAsia="zh-CN"/>
              </w:rPr>
            </w:pPr>
          </w:p>
        </w:tc>
        <w:tc>
          <w:tcPr>
            <w:tcW w:w="9097" w:type="dxa"/>
          </w:tcPr>
          <w:p w:rsidR="00EA571E" w:rsidRPr="00463EC4" w:rsidRDefault="00EA571E" w:rsidP="00CB5BE6">
            <w:pPr>
              <w:overflowPunct/>
              <w:autoSpaceDE/>
              <w:autoSpaceDN/>
              <w:adjustRightInd/>
              <w:spacing w:after="0" w:line="240" w:lineRule="auto"/>
              <w:jc w:val="left"/>
              <w:textAlignment w:val="auto"/>
              <w:rPr>
                <w:rFonts w:cs="Arial"/>
                <w:b/>
                <w:sz w:val="20"/>
              </w:rPr>
            </w:pPr>
          </w:p>
          <w:p w:rsidR="009C4262" w:rsidRDefault="00DD209A" w:rsidP="009C4262">
            <w:pPr>
              <w:overflowPunct/>
              <w:autoSpaceDE/>
              <w:autoSpaceDN/>
              <w:adjustRightInd/>
              <w:spacing w:after="0" w:line="240" w:lineRule="auto"/>
              <w:textAlignment w:val="auto"/>
              <w:rPr>
                <w:rFonts w:cs="Arial"/>
              </w:rPr>
            </w:pPr>
            <w:r>
              <w:rPr>
                <w:rFonts w:cs="Arial"/>
              </w:rPr>
              <w:t xml:space="preserve">Payment will be on </w:t>
            </w:r>
            <w:r w:rsidR="00DF23A1">
              <w:rPr>
                <w:rFonts w:cs="Arial"/>
              </w:rPr>
              <w:t xml:space="preserve">the basis of </w:t>
            </w:r>
            <w:r>
              <w:rPr>
                <w:rFonts w:cs="Arial"/>
              </w:rPr>
              <w:t>a proposed monthly payment profile, accepted by the Authority, of a formal monthly progress report listing the progress towards delivery of the specific deliverables. The progress reports will be delivered at the end of each calendar month and subject to a period of five working days for AIR acceptance.</w:t>
            </w:r>
          </w:p>
          <w:p w:rsidR="00DD209A" w:rsidRDefault="00DD209A" w:rsidP="00DD209A">
            <w:pPr>
              <w:overflowPunct/>
              <w:autoSpaceDE/>
              <w:autoSpaceDN/>
              <w:adjustRightInd/>
              <w:spacing w:after="0" w:line="240" w:lineRule="auto"/>
              <w:ind w:left="34"/>
              <w:textAlignment w:val="auto"/>
              <w:rPr>
                <w:rFonts w:eastAsia="SimSun" w:cs="Arial"/>
                <w:color w:val="000000"/>
                <w:szCs w:val="22"/>
                <w:lang w:eastAsia="zh-CN"/>
              </w:rPr>
            </w:pPr>
            <w:r>
              <w:rPr>
                <w:rFonts w:eastAsia="SimSun" w:cs="Arial"/>
                <w:color w:val="000000"/>
                <w:szCs w:val="22"/>
                <w:lang w:eastAsia="zh-CN"/>
              </w:rPr>
              <w:t>T</w:t>
            </w:r>
            <w:r w:rsidRPr="00DD209A">
              <w:rPr>
                <w:rFonts w:eastAsia="SimSun" w:cs="Arial"/>
                <w:color w:val="000000"/>
                <w:szCs w:val="22"/>
                <w:lang w:eastAsia="zh-CN"/>
              </w:rPr>
              <w:t xml:space="preserve">he Authority accepts </w:t>
            </w:r>
            <w:r>
              <w:rPr>
                <w:rFonts w:eastAsia="SimSun" w:cs="Arial"/>
                <w:color w:val="000000"/>
                <w:szCs w:val="22"/>
                <w:lang w:eastAsia="zh-CN"/>
              </w:rPr>
              <w:t>the</w:t>
            </w:r>
            <w:r w:rsidRPr="00DD209A">
              <w:rPr>
                <w:rFonts w:eastAsia="SimSun" w:cs="Arial"/>
                <w:color w:val="000000"/>
                <w:szCs w:val="22"/>
                <w:lang w:eastAsia="zh-CN"/>
              </w:rPr>
              <w:t xml:space="preserve"> alternative/optional payment schedule on the basis of interim payments as an advance on contract final price and would be subject to Defcon 649 (Vesting) and Defcon 603 (Recovery of Sums due). </w:t>
            </w:r>
          </w:p>
          <w:p w:rsidR="002F34F3" w:rsidRDefault="002F34F3" w:rsidP="00DD209A">
            <w:pPr>
              <w:overflowPunct/>
              <w:autoSpaceDE/>
              <w:autoSpaceDN/>
              <w:adjustRightInd/>
              <w:spacing w:after="0" w:line="240" w:lineRule="auto"/>
              <w:ind w:left="34"/>
              <w:textAlignment w:val="auto"/>
              <w:rPr>
                <w:rFonts w:eastAsia="SimSun" w:cs="Arial"/>
                <w:color w:val="000000"/>
                <w:szCs w:val="22"/>
                <w:lang w:eastAsia="zh-CN"/>
              </w:rPr>
            </w:pPr>
          </w:p>
          <w:p w:rsidR="002F34F3" w:rsidRPr="00DD209A" w:rsidRDefault="002F34F3" w:rsidP="00DD209A">
            <w:pPr>
              <w:overflowPunct/>
              <w:autoSpaceDE/>
              <w:autoSpaceDN/>
              <w:adjustRightInd/>
              <w:spacing w:after="0" w:line="240" w:lineRule="auto"/>
              <w:ind w:left="34"/>
              <w:textAlignment w:val="auto"/>
              <w:rPr>
                <w:rFonts w:eastAsia="SimSun" w:cs="Arial"/>
                <w:color w:val="000000"/>
                <w:szCs w:val="22"/>
                <w:lang w:eastAsia="zh-CN"/>
              </w:rPr>
            </w:pPr>
            <w:r>
              <w:rPr>
                <w:rFonts w:eastAsia="SimSun" w:cs="Arial"/>
                <w:color w:val="000000"/>
                <w:szCs w:val="22"/>
                <w:lang w:eastAsia="zh-CN"/>
              </w:rPr>
              <w:t>All invoices in respect of work completed should quote the Aspect Reference Number:CCCC15A08</w:t>
            </w:r>
          </w:p>
          <w:p w:rsidR="00DD209A" w:rsidRPr="009C4262" w:rsidRDefault="00DD209A" w:rsidP="009C4262">
            <w:pPr>
              <w:overflowPunct/>
              <w:autoSpaceDE/>
              <w:autoSpaceDN/>
              <w:adjustRightInd/>
              <w:spacing w:after="0" w:line="240" w:lineRule="auto"/>
              <w:textAlignment w:val="auto"/>
              <w:rPr>
                <w:rFonts w:eastAsia="SimSun" w:cs="Arial"/>
                <w:color w:val="000000"/>
                <w:szCs w:val="22"/>
                <w:lang w:eastAsia="zh-CN"/>
              </w:rPr>
            </w:pPr>
          </w:p>
          <w:p w:rsidR="00EA571E" w:rsidRPr="00463EC4" w:rsidRDefault="00EA571E" w:rsidP="00CB5BE6">
            <w:pPr>
              <w:overflowPunct/>
              <w:autoSpaceDE/>
              <w:autoSpaceDN/>
              <w:adjustRightInd/>
              <w:spacing w:after="0" w:line="240" w:lineRule="auto"/>
              <w:jc w:val="left"/>
              <w:textAlignment w:val="auto"/>
              <w:rPr>
                <w:rFonts w:eastAsia="STZhongsong" w:cs="Arial"/>
                <w:sz w:val="20"/>
                <w:lang w:eastAsia="zh-CN"/>
              </w:rPr>
            </w:pPr>
          </w:p>
        </w:tc>
      </w:tr>
    </w:tbl>
    <w:p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1" w:name="LASTCURSORPOSITION"/>
      <w:bookmarkEnd w:id="1"/>
    </w:p>
    <w:p w:rsidR="00F21A2F" w:rsidRPr="002B506D" w:rsidRDefault="00F21A2F" w:rsidP="00F21A2F">
      <w:pPr>
        <w:pStyle w:val="BodyTextIndent"/>
        <w:jc w:val="center"/>
        <w:rPr>
          <w:sz w:val="20"/>
          <w:shd w:val="clear" w:color="auto" w:fill="92D050"/>
        </w:rPr>
      </w:pPr>
      <w:r w:rsidRPr="002B506D">
        <w:rPr>
          <w:rFonts w:cs="Arial"/>
          <w:b/>
          <w:sz w:val="20"/>
        </w:rPr>
        <w:lastRenderedPageBreak/>
        <w:t>Appendix 3: Variations and/or supplements to the Call-Off Terms</w:t>
      </w:r>
    </w:p>
    <w:p w:rsidR="00E777F6" w:rsidRPr="002B506D" w:rsidRDefault="00E777F6" w:rsidP="00E777F6">
      <w:pPr>
        <w:jc w:val="center"/>
        <w:rPr>
          <w:b/>
          <w:sz w:val="20"/>
        </w:rPr>
      </w:pPr>
      <w:r w:rsidRPr="002B506D">
        <w:rPr>
          <w:b/>
          <w:sz w:val="20"/>
        </w:rPr>
        <w:t>MOD SPECIFIC TERMS AND CONDITIONS</w:t>
      </w:r>
    </w:p>
    <w:p w:rsidR="00B832EC" w:rsidRPr="002B506D" w:rsidRDefault="00E777F6" w:rsidP="00E777F6">
      <w:pPr>
        <w:jc w:val="left"/>
        <w:rPr>
          <w:b/>
          <w:sz w:val="20"/>
        </w:rPr>
      </w:pPr>
      <w:r w:rsidRPr="002B506D">
        <w:rPr>
          <w:b/>
          <w:sz w:val="20"/>
        </w:rPr>
        <w:t>DEFCONS and DEFFORMS</w:t>
      </w:r>
    </w:p>
    <w:tbl>
      <w:tblPr>
        <w:tblpPr w:leftFromText="180" w:rightFromText="180" w:vertAnchor="text" w:horzAnchor="margin" w:tblpY="137"/>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2B506D" w:rsidRPr="00B832EC" w:rsidTr="002B506D">
        <w:trPr>
          <w:trHeight w:val="265"/>
        </w:trPr>
        <w:tc>
          <w:tcPr>
            <w:tcW w:w="2376" w:type="dxa"/>
            <w:tcBorders>
              <w:top w:val="single" w:sz="8" w:space="0" w:color="auto"/>
            </w:tcBorders>
          </w:tcPr>
          <w:p w:rsidR="002B506D" w:rsidRPr="002B506D" w:rsidRDefault="002B506D" w:rsidP="002B506D">
            <w:pPr>
              <w:overflowPunct/>
              <w:autoSpaceDE/>
              <w:autoSpaceDN/>
              <w:adjustRightInd/>
              <w:spacing w:after="200" w:line="276" w:lineRule="auto"/>
              <w:ind w:left="180"/>
              <w:jc w:val="left"/>
              <w:textAlignment w:val="auto"/>
              <w:rPr>
                <w:rFonts w:cs="Arial"/>
                <w:b/>
                <w:sz w:val="20"/>
                <w:lang w:eastAsia="en-GB"/>
              </w:rPr>
            </w:pPr>
            <w:r w:rsidRPr="002B506D">
              <w:rPr>
                <w:rFonts w:cs="Arial"/>
                <w:b/>
                <w:sz w:val="20"/>
                <w:lang w:eastAsia="en-GB"/>
              </w:rPr>
              <w:t>Condition Title</w:t>
            </w:r>
          </w:p>
        </w:tc>
        <w:tc>
          <w:tcPr>
            <w:tcW w:w="6697" w:type="dxa"/>
            <w:tcBorders>
              <w:top w:val="single" w:sz="8" w:space="0" w:color="auto"/>
            </w:tcBorders>
          </w:tcPr>
          <w:p w:rsidR="002B506D" w:rsidRPr="002B506D" w:rsidRDefault="002B506D" w:rsidP="002B506D">
            <w:pPr>
              <w:overflowPunct/>
              <w:autoSpaceDE/>
              <w:autoSpaceDN/>
              <w:adjustRightInd/>
              <w:spacing w:after="200" w:line="276" w:lineRule="auto"/>
              <w:ind w:left="178"/>
              <w:jc w:val="left"/>
              <w:textAlignment w:val="auto"/>
              <w:rPr>
                <w:rFonts w:cs="Arial"/>
                <w:b/>
                <w:sz w:val="20"/>
                <w:lang w:eastAsia="en-GB"/>
              </w:rPr>
            </w:pPr>
            <w:r w:rsidRPr="002B506D">
              <w:rPr>
                <w:rFonts w:cs="Arial"/>
                <w:b/>
                <w:sz w:val="20"/>
                <w:lang w:eastAsia="en-GB"/>
              </w:rPr>
              <w:t>Description</w:t>
            </w:r>
          </w:p>
        </w:tc>
      </w:tr>
      <w:tr w:rsidR="002B506D" w:rsidRPr="00B832EC" w:rsidTr="002B506D">
        <w:trPr>
          <w:trHeight w:val="331"/>
        </w:trPr>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5J</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Unique Identifiers</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35</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Progress Payments</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76</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 xml:space="preserve">Contractors Personnel at Government Establishments </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DEFCON129J</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The Use of The Electronic Business Delivery Form</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501</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Definitions and Interpretations</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502</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Specifications</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503</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Amendments to contract</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522JA</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Payment under P2P (two way match)</w:t>
            </w:r>
          </w:p>
        </w:tc>
      </w:tr>
      <w:tr w:rsidR="002B506D" w:rsidRPr="00B832EC" w:rsidTr="00DD209A">
        <w:trPr>
          <w:trHeight w:val="1280"/>
        </w:trPr>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531</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 xml:space="preserve">Disclosure of Information – where specific mention of non disclosure agreements is sought by the Customer.  Where this is the case the associated Commercial Policy Statement (Protection of Information) should be consulted and the matter discussed with the ICF in the first instance. </w:t>
            </w:r>
          </w:p>
        </w:tc>
      </w:tr>
      <w:tr w:rsidR="00DD209A" w:rsidRPr="00B832EC" w:rsidTr="00DD209A">
        <w:trPr>
          <w:trHeight w:val="449"/>
        </w:trPr>
        <w:tc>
          <w:tcPr>
            <w:tcW w:w="2376" w:type="dxa"/>
            <w:vAlign w:val="center"/>
          </w:tcPr>
          <w:p w:rsidR="00DD209A" w:rsidRPr="002B506D" w:rsidRDefault="00DD209A" w:rsidP="002B506D">
            <w:pPr>
              <w:overflowPunct/>
              <w:autoSpaceDE/>
              <w:autoSpaceDN/>
              <w:adjustRightInd/>
              <w:spacing w:before="120" w:after="120" w:line="240" w:lineRule="auto"/>
              <w:ind w:left="180"/>
              <w:jc w:val="left"/>
              <w:textAlignment w:val="auto"/>
              <w:rPr>
                <w:rFonts w:cs="Arial"/>
                <w:sz w:val="20"/>
                <w:lang w:eastAsia="en-GB"/>
              </w:rPr>
            </w:pPr>
            <w:r>
              <w:rPr>
                <w:rFonts w:cs="Arial"/>
                <w:sz w:val="20"/>
                <w:lang w:eastAsia="en-GB"/>
              </w:rPr>
              <w:t>DEFCON 603</w:t>
            </w:r>
          </w:p>
        </w:tc>
        <w:tc>
          <w:tcPr>
            <w:tcW w:w="6697" w:type="dxa"/>
            <w:vAlign w:val="center"/>
          </w:tcPr>
          <w:p w:rsidR="00DD209A" w:rsidRPr="002B506D" w:rsidRDefault="00DD209A" w:rsidP="00DD209A">
            <w:pPr>
              <w:overflowPunct/>
              <w:autoSpaceDE/>
              <w:autoSpaceDN/>
              <w:adjustRightInd/>
              <w:spacing w:before="120" w:after="120" w:line="240" w:lineRule="auto"/>
              <w:jc w:val="left"/>
              <w:textAlignment w:val="auto"/>
              <w:rPr>
                <w:rFonts w:cs="Arial"/>
                <w:sz w:val="20"/>
                <w:lang w:eastAsia="en-GB"/>
              </w:rPr>
            </w:pPr>
            <w:r>
              <w:rPr>
                <w:rFonts w:cs="Arial"/>
                <w:sz w:val="20"/>
                <w:lang w:eastAsia="en-GB"/>
              </w:rPr>
              <w:t>Recovery of Sums Due</w:t>
            </w:r>
          </w:p>
        </w:tc>
      </w:tr>
      <w:tr w:rsidR="00DD209A" w:rsidRPr="00B832EC" w:rsidTr="00DD209A">
        <w:trPr>
          <w:trHeight w:val="528"/>
        </w:trPr>
        <w:tc>
          <w:tcPr>
            <w:tcW w:w="2376" w:type="dxa"/>
            <w:vAlign w:val="center"/>
          </w:tcPr>
          <w:p w:rsidR="00DD209A" w:rsidRDefault="00DD209A" w:rsidP="002B506D">
            <w:pPr>
              <w:overflowPunct/>
              <w:autoSpaceDE/>
              <w:autoSpaceDN/>
              <w:adjustRightInd/>
              <w:spacing w:before="120" w:after="120" w:line="240" w:lineRule="auto"/>
              <w:ind w:left="180"/>
              <w:jc w:val="left"/>
              <w:textAlignment w:val="auto"/>
              <w:rPr>
                <w:rFonts w:cs="Arial"/>
                <w:sz w:val="20"/>
                <w:lang w:eastAsia="en-GB"/>
              </w:rPr>
            </w:pPr>
            <w:r>
              <w:rPr>
                <w:rFonts w:cs="Arial"/>
                <w:sz w:val="20"/>
                <w:lang w:eastAsia="en-GB"/>
              </w:rPr>
              <w:t>DEFCON 649</w:t>
            </w:r>
          </w:p>
        </w:tc>
        <w:tc>
          <w:tcPr>
            <w:tcW w:w="6697" w:type="dxa"/>
            <w:vAlign w:val="center"/>
          </w:tcPr>
          <w:p w:rsidR="00DD209A" w:rsidRDefault="00DD209A" w:rsidP="00DD209A">
            <w:pPr>
              <w:overflowPunct/>
              <w:autoSpaceDE/>
              <w:autoSpaceDN/>
              <w:adjustRightInd/>
              <w:spacing w:before="120" w:after="120" w:line="240" w:lineRule="auto"/>
              <w:jc w:val="left"/>
              <w:textAlignment w:val="auto"/>
              <w:rPr>
                <w:rFonts w:cs="Arial"/>
                <w:sz w:val="20"/>
                <w:lang w:eastAsia="en-GB"/>
              </w:rPr>
            </w:pPr>
            <w:r>
              <w:rPr>
                <w:rFonts w:cs="Arial"/>
                <w:sz w:val="20"/>
                <w:lang w:eastAsia="en-GB"/>
              </w:rPr>
              <w:t>Vesting</w:t>
            </w:r>
          </w:p>
        </w:tc>
      </w:tr>
      <w:tr w:rsidR="002B506D" w:rsidRPr="00B832EC" w:rsidTr="002B506D">
        <w:trPr>
          <w:trHeight w:val="560"/>
        </w:trPr>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660</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Security Assurance Letter (SAL)</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647</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Financial Management Information</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DEFCON 703</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Intellectual Property Rights - Vesting in the Authority</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DEFFORM 30</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The Electronic Transactions Agreement</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DEFFORM 94</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Confidentiality Agreement</w:t>
            </w:r>
          </w:p>
        </w:tc>
      </w:tr>
      <w:tr w:rsidR="002B506D" w:rsidRPr="00B832EC" w:rsidTr="002B506D">
        <w:tc>
          <w:tcPr>
            <w:tcW w:w="2376" w:type="dxa"/>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DEFFORM 111</w:t>
            </w:r>
          </w:p>
        </w:tc>
        <w:tc>
          <w:tcPr>
            <w:tcW w:w="6697" w:type="dxa"/>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Annex – Addresses and Other Information</w:t>
            </w:r>
          </w:p>
        </w:tc>
      </w:tr>
      <w:tr w:rsidR="002B506D" w:rsidRPr="00B832EC" w:rsidTr="002B506D">
        <w:tc>
          <w:tcPr>
            <w:tcW w:w="2376" w:type="dxa"/>
            <w:tcBorders>
              <w:bottom w:val="single" w:sz="8" w:space="0" w:color="auto"/>
            </w:tcBorders>
            <w:vAlign w:val="center"/>
          </w:tcPr>
          <w:p w:rsidR="002B506D" w:rsidRPr="002B506D" w:rsidRDefault="002B506D" w:rsidP="002B506D">
            <w:pPr>
              <w:overflowPunct/>
              <w:autoSpaceDE/>
              <w:autoSpaceDN/>
              <w:adjustRightInd/>
              <w:spacing w:before="120" w:after="120" w:line="240" w:lineRule="auto"/>
              <w:ind w:left="180"/>
              <w:jc w:val="left"/>
              <w:textAlignment w:val="auto"/>
              <w:rPr>
                <w:rFonts w:cs="Arial"/>
                <w:sz w:val="20"/>
                <w:lang w:eastAsia="en-GB"/>
              </w:rPr>
            </w:pPr>
            <w:r w:rsidRPr="002B506D">
              <w:rPr>
                <w:rFonts w:cs="Arial"/>
                <w:sz w:val="20"/>
                <w:lang w:eastAsia="en-GB"/>
              </w:rPr>
              <w:t xml:space="preserve">AQAP 2120 </w:t>
            </w:r>
          </w:p>
        </w:tc>
        <w:tc>
          <w:tcPr>
            <w:tcW w:w="6697" w:type="dxa"/>
            <w:tcBorders>
              <w:bottom w:val="single" w:sz="8" w:space="0" w:color="auto"/>
            </w:tcBorders>
            <w:vAlign w:val="center"/>
          </w:tcPr>
          <w:p w:rsidR="002B506D" w:rsidRPr="002B506D" w:rsidRDefault="002B506D" w:rsidP="002B506D">
            <w:pPr>
              <w:overflowPunct/>
              <w:autoSpaceDE/>
              <w:autoSpaceDN/>
              <w:adjustRightInd/>
              <w:spacing w:before="120" w:after="120" w:line="240" w:lineRule="auto"/>
              <w:jc w:val="left"/>
              <w:textAlignment w:val="auto"/>
              <w:rPr>
                <w:rFonts w:cs="Arial"/>
                <w:sz w:val="20"/>
                <w:lang w:eastAsia="en-GB"/>
              </w:rPr>
            </w:pPr>
            <w:r w:rsidRPr="002B506D">
              <w:rPr>
                <w:rFonts w:cs="Arial"/>
                <w:sz w:val="20"/>
                <w:lang w:eastAsia="en-GB"/>
              </w:rPr>
              <w:t>NATO Quality Assurance requirements for Production</w:t>
            </w:r>
          </w:p>
        </w:tc>
      </w:tr>
    </w:tbl>
    <w:p w:rsidR="00E43FF4" w:rsidRPr="002B506D" w:rsidRDefault="00E43FF4" w:rsidP="00E777F6">
      <w:pPr>
        <w:jc w:val="left"/>
        <w:rPr>
          <w:b/>
          <w:sz w:val="20"/>
        </w:rPr>
      </w:pPr>
    </w:p>
    <w:p w:rsidR="00B832EC" w:rsidRDefault="00B832EC" w:rsidP="00B832EC">
      <w:pPr>
        <w:pStyle w:val="BodyTextIndent"/>
        <w:numPr>
          <w:ilvl w:val="0"/>
          <w:numId w:val="0"/>
        </w:numPr>
        <w:ind w:left="720"/>
        <w:jc w:val="center"/>
        <w:rPr>
          <w:sz w:val="20"/>
          <w:shd w:val="clear" w:color="auto" w:fill="92D050"/>
        </w:rPr>
      </w:pPr>
    </w:p>
    <w:p w:rsidR="00766A12" w:rsidRPr="00766A12" w:rsidRDefault="00766A12" w:rsidP="00766A12">
      <w:pPr>
        <w:rPr>
          <w:rFonts w:eastAsia="STZhongsong"/>
        </w:rPr>
      </w:pPr>
      <w:r w:rsidRPr="00766A12">
        <w:br w:type="page"/>
      </w:r>
    </w:p>
    <w:p w:rsidR="00F21A2F" w:rsidRPr="00FD55FA" w:rsidRDefault="00F21A2F" w:rsidP="00F21A2F">
      <w:pPr>
        <w:pStyle w:val="Heading2"/>
        <w:numPr>
          <w:ilvl w:val="0"/>
          <w:numId w:val="0"/>
        </w:numPr>
        <w:rPr>
          <w:rFonts w:cs="Arial"/>
          <w:sz w:val="20"/>
        </w:rPr>
      </w:pPr>
      <w:bookmarkStart w:id="2" w:name="_Toc287881450"/>
      <w:bookmarkStart w:id="3" w:name="_Toc305585142"/>
      <w:r w:rsidRPr="00FD55FA">
        <w:rPr>
          <w:rFonts w:cs="Arial"/>
          <w:b/>
          <w:sz w:val="20"/>
        </w:rPr>
        <w:lastRenderedPageBreak/>
        <w:t>Sustainable Procurement</w:t>
      </w:r>
      <w:bookmarkEnd w:id="2"/>
      <w:bookmarkEnd w:id="3"/>
    </w:p>
    <w:p w:rsidR="00F21A2F" w:rsidRPr="00FD55FA" w:rsidRDefault="00F21A2F" w:rsidP="00F21A2F">
      <w:pPr>
        <w:rPr>
          <w:rFonts w:cs="Arial"/>
          <w:sz w:val="20"/>
        </w:rPr>
      </w:pPr>
      <w:r w:rsidRPr="00FD55FA">
        <w:rPr>
          <w:rFonts w:cs="Arial"/>
          <w:sz w:val="20"/>
        </w:rPr>
        <w:t>Potential Providers are required to comply with all the ap</w:t>
      </w:r>
      <w:r>
        <w:rPr>
          <w:rFonts w:cs="Arial"/>
          <w:sz w:val="20"/>
        </w:rPr>
        <w:t xml:space="preserve">plicable environmental laws and </w:t>
      </w:r>
      <w:r w:rsidRPr="00FD55FA">
        <w:rPr>
          <w:rFonts w:cs="Arial"/>
          <w:sz w:val="20"/>
        </w:rPr>
        <w:t>regulations in force in relation to the services/goods required.</w:t>
      </w:r>
    </w:p>
    <w:p w:rsidR="00F21A2F" w:rsidRPr="00FD55FA" w:rsidRDefault="00F21A2F" w:rsidP="00F21A2F">
      <w:pPr>
        <w:rPr>
          <w:rFonts w:cs="Arial"/>
          <w:sz w:val="20"/>
        </w:rPr>
      </w:pPr>
      <w:r w:rsidRPr="00FD55FA">
        <w:rPr>
          <w:rFonts w:cs="Arial"/>
          <w:sz w:val="20"/>
        </w:rPr>
        <w:t>All written outputs, including reports, produced in connection with the tender should, where possible, be produced on recycled paper containing at least 80% post consumer waste and used on both sides where appropriate.</w:t>
      </w:r>
    </w:p>
    <w:p w:rsidR="00F21A2F" w:rsidRPr="00FD55FA" w:rsidRDefault="00F21A2F" w:rsidP="00F21A2F">
      <w:pPr>
        <w:pStyle w:val="Heading2"/>
        <w:numPr>
          <w:ilvl w:val="0"/>
          <w:numId w:val="0"/>
        </w:numPr>
        <w:spacing w:before="120"/>
        <w:rPr>
          <w:rFonts w:cs="Arial"/>
          <w:sz w:val="20"/>
        </w:rPr>
      </w:pPr>
      <w:bookmarkStart w:id="4" w:name="_Toc305585146"/>
      <w:r w:rsidRPr="00FD55FA">
        <w:rPr>
          <w:rFonts w:cs="Arial"/>
          <w:b/>
          <w:sz w:val="20"/>
        </w:rPr>
        <w:t>Non Disclosure</w:t>
      </w:r>
      <w:bookmarkEnd w:id="4"/>
    </w:p>
    <w:p w:rsidR="00F21A2F" w:rsidRPr="00FD55FA" w:rsidRDefault="00F21A2F" w:rsidP="00F21A2F">
      <w:pPr>
        <w:rPr>
          <w:rFonts w:cs="Arial"/>
          <w:sz w:val="20"/>
        </w:rPr>
      </w:pPr>
      <w:r w:rsidRPr="00FD55FA">
        <w:rPr>
          <w:rFonts w:cs="Arial"/>
          <w:sz w:val="20"/>
        </w:rPr>
        <w:t>The contractor is required to undertake to be bound by the Autho</w:t>
      </w:r>
      <w:r>
        <w:rPr>
          <w:rFonts w:cs="Arial"/>
          <w:sz w:val="20"/>
        </w:rPr>
        <w:t xml:space="preserve">rity’s Non Disclosure Agreement </w:t>
      </w:r>
      <w:r w:rsidRPr="00FD55FA">
        <w:rPr>
          <w:rFonts w:cs="Arial"/>
          <w:sz w:val="20"/>
        </w:rPr>
        <w:t>in respect of the company and of those employees deployed on this engagement</w:t>
      </w:r>
    </w:p>
    <w:p w:rsidR="00F21A2F" w:rsidRPr="00FD55FA" w:rsidRDefault="00F21A2F" w:rsidP="00F21A2F">
      <w:pPr>
        <w:pStyle w:val="Heading2"/>
        <w:numPr>
          <w:ilvl w:val="0"/>
          <w:numId w:val="0"/>
        </w:numPr>
        <w:spacing w:before="120"/>
        <w:rPr>
          <w:rFonts w:cs="Arial"/>
          <w:b/>
          <w:bCs/>
          <w:sz w:val="20"/>
        </w:rPr>
      </w:pPr>
      <w:bookmarkStart w:id="5" w:name="_Toc305585148"/>
      <w:r w:rsidRPr="00FD55FA">
        <w:rPr>
          <w:rFonts w:cs="Arial"/>
          <w:b/>
          <w:bCs/>
          <w:sz w:val="20"/>
        </w:rPr>
        <w:t>Termination for Convenience</w:t>
      </w:r>
      <w:bookmarkEnd w:id="5"/>
    </w:p>
    <w:p w:rsidR="00F21A2F" w:rsidRPr="00FD55FA" w:rsidRDefault="00F21A2F" w:rsidP="00F21A2F">
      <w:pPr>
        <w:tabs>
          <w:tab w:val="left" w:pos="1800"/>
          <w:tab w:val="left" w:pos="7938"/>
        </w:tabs>
        <w:spacing w:before="240" w:after="100"/>
        <w:rPr>
          <w:rFonts w:cs="Arial"/>
          <w:spacing w:val="-3"/>
          <w:sz w:val="20"/>
        </w:rPr>
      </w:pPr>
      <w:r w:rsidRPr="00FD55FA">
        <w:rPr>
          <w:rFonts w:cs="Arial"/>
          <w:spacing w:val="-3"/>
          <w:sz w:val="20"/>
        </w:rPr>
        <w:t>The Authority may at its absolute discretion and at any time an</w:t>
      </w:r>
      <w:r>
        <w:rPr>
          <w:rFonts w:cs="Arial"/>
          <w:spacing w:val="-3"/>
          <w:sz w:val="20"/>
        </w:rPr>
        <w:t xml:space="preserve">d for any reason  terminate the </w:t>
      </w:r>
      <w:r w:rsidRPr="00FD55FA">
        <w:rPr>
          <w:rFonts w:cs="Arial"/>
          <w:spacing w:val="-3"/>
          <w:sz w:val="20"/>
        </w:rPr>
        <w:t>contracted services and work at the Authority's convenience by giving the Bidder five (5) business days notice in writing of its intention to do so. Upon receipt of such notice, the contractor shall, unless the notice directs otherwise, immediately discontinue the work and placing of orders for materials, facilities and supplies in connection with the performance of this contract.</w:t>
      </w:r>
    </w:p>
    <w:p w:rsidR="00F21A2F" w:rsidRPr="00FD55FA" w:rsidRDefault="00F21A2F" w:rsidP="00F21A2F">
      <w:pPr>
        <w:tabs>
          <w:tab w:val="left" w:pos="0"/>
          <w:tab w:val="left" w:pos="7920"/>
        </w:tabs>
        <w:spacing w:before="240" w:after="100"/>
        <w:rPr>
          <w:rFonts w:cs="Arial"/>
          <w:spacing w:val="-3"/>
          <w:sz w:val="20"/>
        </w:rPr>
      </w:pPr>
      <w:r w:rsidRPr="00FD55FA">
        <w:rPr>
          <w:rFonts w:cs="Arial"/>
          <w:spacing w:val="-3"/>
          <w:sz w:val="20"/>
        </w:rPr>
        <w:t xml:space="preserve">Upon such termination, the contractor shall be entitled to payment only </w:t>
      </w:r>
      <w:r>
        <w:rPr>
          <w:rFonts w:cs="Arial"/>
          <w:spacing w:val="-3"/>
          <w:sz w:val="20"/>
        </w:rPr>
        <w:t xml:space="preserve">for the actual cost of the work </w:t>
      </w:r>
      <w:r w:rsidRPr="00FD55FA">
        <w:rPr>
          <w:rFonts w:cs="Arial"/>
          <w:spacing w:val="-3"/>
          <w:sz w:val="20"/>
        </w:rPr>
        <w:t>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rsidR="00F21A2F" w:rsidRPr="00FD55FA" w:rsidRDefault="00F21A2F" w:rsidP="00F21A2F">
      <w:pPr>
        <w:pStyle w:val="Heading2"/>
        <w:numPr>
          <w:ilvl w:val="0"/>
          <w:numId w:val="0"/>
        </w:numPr>
        <w:spacing w:before="120"/>
        <w:rPr>
          <w:rFonts w:cs="Arial"/>
          <w:b/>
          <w:sz w:val="20"/>
        </w:rPr>
      </w:pPr>
      <w:bookmarkStart w:id="6" w:name="_Toc305585145"/>
      <w:r w:rsidRPr="00FD55FA">
        <w:rPr>
          <w:rFonts w:cs="Arial"/>
          <w:b/>
          <w:sz w:val="20"/>
        </w:rPr>
        <w:t>Security Clearance</w:t>
      </w:r>
      <w:bookmarkEnd w:id="6"/>
      <w:r w:rsidRPr="00FD55FA">
        <w:rPr>
          <w:rFonts w:cs="Arial"/>
          <w:b/>
          <w:sz w:val="20"/>
        </w:rPr>
        <w:t xml:space="preserve"> </w:t>
      </w:r>
    </w:p>
    <w:p w:rsidR="00F21A2F" w:rsidRPr="008335FE" w:rsidRDefault="00F21A2F" w:rsidP="00F21A2F">
      <w:pPr>
        <w:tabs>
          <w:tab w:val="left" w:pos="900"/>
          <w:tab w:val="left" w:pos="7938"/>
        </w:tabs>
        <w:spacing w:before="240" w:after="100"/>
        <w:ind w:hanging="720"/>
        <w:rPr>
          <w:rFonts w:cs="Arial"/>
          <w:spacing w:val="-3"/>
          <w:sz w:val="20"/>
        </w:rPr>
      </w:pPr>
      <w:r>
        <w:rPr>
          <w:rFonts w:cs="Arial"/>
          <w:color w:val="FF0000"/>
          <w:spacing w:val="-3"/>
          <w:sz w:val="20"/>
        </w:rPr>
        <w:tab/>
      </w:r>
      <w:r w:rsidRPr="008335FE">
        <w:rPr>
          <w:rFonts w:cs="Arial"/>
          <w:spacing w:val="-3"/>
          <w:sz w:val="20"/>
        </w:rPr>
        <w:t xml:space="preserve">All </w:t>
      </w:r>
      <w:r w:rsidR="00766A12" w:rsidRPr="008335FE">
        <w:rPr>
          <w:rFonts w:cs="Arial"/>
          <w:spacing w:val="-3"/>
          <w:sz w:val="20"/>
        </w:rPr>
        <w:t>contractors’</w:t>
      </w:r>
      <w:r w:rsidRPr="008335FE">
        <w:rPr>
          <w:rFonts w:cs="Arial"/>
          <w:spacing w:val="-3"/>
          <w:sz w:val="20"/>
        </w:rPr>
        <w:t xml:space="preserve"> personnel should be cleared to the Authority security clearance level of SC as a minimum and must be available to begin work with immediate effect following contract award. </w:t>
      </w:r>
    </w:p>
    <w:p w:rsidR="00F21A2F" w:rsidRPr="008335FE" w:rsidRDefault="00F21A2F" w:rsidP="00F21A2F">
      <w:pPr>
        <w:tabs>
          <w:tab w:val="left" w:pos="0"/>
          <w:tab w:val="left" w:pos="7938"/>
        </w:tabs>
        <w:spacing w:before="240" w:after="100"/>
        <w:rPr>
          <w:rFonts w:cs="Arial"/>
          <w:spacing w:val="-3"/>
          <w:sz w:val="20"/>
        </w:rPr>
      </w:pPr>
      <w:r w:rsidRPr="008335FE">
        <w:rPr>
          <w:rFonts w:cs="Arial"/>
          <w:spacing w:val="-3"/>
          <w:sz w:val="20"/>
        </w:rPr>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rsidR="00F21A2F" w:rsidRPr="00FD55FA" w:rsidRDefault="00F21A2F" w:rsidP="00F21A2F">
      <w:pPr>
        <w:pStyle w:val="Heading2"/>
        <w:numPr>
          <w:ilvl w:val="0"/>
          <w:numId w:val="0"/>
        </w:numPr>
        <w:spacing w:before="120"/>
        <w:ind w:left="142" w:hanging="142"/>
        <w:rPr>
          <w:rFonts w:cs="Arial"/>
          <w:b/>
          <w:sz w:val="20"/>
        </w:rPr>
      </w:pPr>
      <w:r w:rsidRPr="00FD55FA">
        <w:rPr>
          <w:rFonts w:cs="Arial"/>
          <w:b/>
          <w:sz w:val="20"/>
        </w:rPr>
        <w:t>Conflict of Interest</w:t>
      </w:r>
    </w:p>
    <w:p w:rsidR="00F21A2F" w:rsidRPr="00FD55FA" w:rsidRDefault="00F21A2F" w:rsidP="00F21A2F">
      <w:pPr>
        <w:pStyle w:val="Header"/>
        <w:widowControl w:val="0"/>
        <w:tabs>
          <w:tab w:val="clear" w:pos="4153"/>
          <w:tab w:val="clear" w:pos="8306"/>
          <w:tab w:val="left" w:pos="3330"/>
        </w:tabs>
        <w:suppressAutoHyphens/>
        <w:spacing w:before="240" w:after="100"/>
        <w:ind w:hanging="578"/>
        <w:rPr>
          <w:rFonts w:cs="Arial"/>
          <w:sz w:val="20"/>
        </w:rPr>
      </w:pPr>
      <w:r w:rsidRPr="00FD55FA">
        <w:rPr>
          <w:rFonts w:cs="Arial"/>
          <w:sz w:val="20"/>
        </w:rPr>
        <w:tab/>
        <w:t xml:space="preserve">Potential Providers are to declare any competing interests that any part of your organisation may have. This may be considered in our determination of our final decision. A competing interest is something which exists when professional judgement concerning a primary interest (such as the </w:t>
      </w:r>
      <w:r w:rsidRPr="00FD55FA">
        <w:rPr>
          <w:rFonts w:cs="Arial"/>
          <w:sz w:val="20"/>
        </w:rPr>
        <w:lastRenderedPageBreak/>
        <w:t xml:space="preserve">robustness of work undertaken) may be influenced by a secondary interest (such as financial gain or personal rivalry). </w:t>
      </w:r>
    </w:p>
    <w:p w:rsidR="00F21A2F" w:rsidRPr="00FD55FA" w:rsidRDefault="00F21A2F" w:rsidP="00F21A2F">
      <w:pPr>
        <w:pStyle w:val="Header"/>
        <w:widowControl w:val="0"/>
        <w:tabs>
          <w:tab w:val="clear" w:pos="4153"/>
          <w:tab w:val="clear" w:pos="8306"/>
          <w:tab w:val="left" w:pos="3330"/>
        </w:tabs>
        <w:suppressAutoHyphens/>
        <w:ind w:hanging="578"/>
        <w:rPr>
          <w:rFonts w:cs="Arial"/>
          <w:iCs/>
          <w:kern w:val="24"/>
          <w:sz w:val="20"/>
        </w:rPr>
      </w:pPr>
      <w:r w:rsidRPr="00FD55FA">
        <w:rPr>
          <w:rFonts w:cs="Arial"/>
          <w:sz w:val="20"/>
        </w:rPr>
        <w:tab/>
      </w:r>
      <w:r w:rsidRPr="00FD55FA">
        <w:rPr>
          <w:rFonts w:cs="Arial"/>
          <w:iCs/>
          <w:kern w:val="24"/>
          <w:sz w:val="20"/>
        </w:rPr>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rsidR="00F21A2F" w:rsidRPr="00FD55FA" w:rsidRDefault="00F21A2F" w:rsidP="00F21A2F">
      <w:pPr>
        <w:rPr>
          <w:rFonts w:cs="Arial"/>
          <w:iCs/>
          <w:kern w:val="24"/>
          <w:sz w:val="20"/>
        </w:rPr>
      </w:pPr>
      <w:r w:rsidRPr="00FD55FA">
        <w:rPr>
          <w:rFonts w:cs="Arial"/>
          <w:iCs/>
          <w:kern w:val="24"/>
          <w:sz w:val="20"/>
        </w:rPr>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fully and properly complied with its obligations as set out in this Agreement; and</w:t>
      </w:r>
    </w:p>
    <w:p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maintained “ethical walls” as referred to in paragraph below.</w:t>
      </w:r>
    </w:p>
    <w:p w:rsidR="00F21A2F" w:rsidRPr="00FD55FA" w:rsidRDefault="00F21A2F" w:rsidP="00F21A2F">
      <w:pPr>
        <w:tabs>
          <w:tab w:val="num" w:pos="993"/>
        </w:tabs>
        <w:rPr>
          <w:rFonts w:cs="Arial"/>
          <w:iCs/>
          <w:kern w:val="24"/>
          <w:sz w:val="20"/>
        </w:rPr>
      </w:pPr>
      <w:r w:rsidRPr="00FD55FA">
        <w:rPr>
          <w:rFonts w:cs="Arial"/>
          <w:iCs/>
          <w:kern w:val="24"/>
          <w:sz w:val="20"/>
        </w:rPr>
        <w:t xml:space="preserve">In the event that the Company (or a Corporate Recipient) wishes to submit a tender or participate in any tender for the provision of goods and/or services relating to </w:t>
      </w:r>
      <w:r w:rsidR="000A29FE" w:rsidRPr="00FD55FA">
        <w:rPr>
          <w:rFonts w:cs="Arial"/>
          <w:iCs/>
          <w:kern w:val="24"/>
          <w:sz w:val="20"/>
        </w:rPr>
        <w:t>the</w:t>
      </w:r>
      <w:r w:rsidRPr="00FD55FA">
        <w:rPr>
          <w:rFonts w:cs="Arial"/>
          <w:iCs/>
          <w:kern w:val="24"/>
          <w:sz w:val="20"/>
        </w:rPr>
        <w:t xml:space="preserve"> requirement </w:t>
      </w:r>
      <w:r w:rsidR="000A29FE" w:rsidRPr="00FD55FA">
        <w:rPr>
          <w:rFonts w:cs="Arial"/>
          <w:iCs/>
          <w:kern w:val="24"/>
          <w:sz w:val="20"/>
        </w:rPr>
        <w:t>or any</w:t>
      </w:r>
      <w:r w:rsidRPr="00FD55FA">
        <w:rPr>
          <w:rFonts w:cs="Arial"/>
          <w:iCs/>
          <w:kern w:val="24"/>
          <w:sz w:val="20"/>
        </w:rPr>
        <w:t xml:space="preserve"> other procurement project or programme of the Authority, it shall demonstrate to the Authority and otherwise ensure at all times that:</w:t>
      </w:r>
    </w:p>
    <w:p w:rsidR="00F21A2F" w:rsidRPr="00FD55FA" w:rsidRDefault="00F21A2F" w:rsidP="00F21A2F">
      <w:pPr>
        <w:pStyle w:val="ListParagraph"/>
        <w:numPr>
          <w:ilvl w:val="0"/>
          <w:numId w:val="48"/>
        </w:numPr>
        <w:tabs>
          <w:tab w:val="num" w:pos="993"/>
        </w:tabs>
        <w:rPr>
          <w:rFonts w:cs="Arial"/>
          <w:iCs/>
          <w:kern w:val="24"/>
          <w:sz w:val="20"/>
        </w:rPr>
      </w:pPr>
      <w:r w:rsidRPr="00FD55FA">
        <w:rPr>
          <w:rFonts w:cs="Arial"/>
          <w:iCs/>
          <w:kern w:val="24"/>
          <w:sz w:val="20"/>
        </w:rPr>
        <w:t>such tender is not made with the benefit of the Information;</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rsidR="00F21A2F" w:rsidRPr="00FD55FA" w:rsidRDefault="00F21A2F" w:rsidP="00F21A2F">
      <w:pPr>
        <w:pStyle w:val="ListParagraph"/>
        <w:numPr>
          <w:ilvl w:val="0"/>
          <w:numId w:val="48"/>
        </w:numPr>
        <w:rPr>
          <w:rFonts w:cs="Arial"/>
          <w:iCs/>
          <w:kern w:val="24"/>
          <w:sz w:val="20"/>
        </w:rPr>
      </w:pPr>
      <w:r w:rsidRPr="00FD55FA">
        <w:rPr>
          <w:rFonts w:cs="Arial"/>
          <w:iCs/>
          <w:kern w:val="24"/>
          <w:sz w:val="20"/>
        </w:rPr>
        <w:t>any Information is not available to the Bid Team (or other employees of the Company (or a Corporate Recipient) who are not acting on behalf of the Contracting Authority) on the Company’s (or the Corporate Recipient’s) computer networks and that the Bid Team and the BAU Team are, so far as practicable, located in different offices of the Company (or, as the case may be, the Corporate Recipient) and procedures are implemented including (but  not limited to): (a) a clean desk policy; (b) lockable private storage areas for paper documents otherwise available to both teams; (c) secure storage and secure access to electronic documents, electronic files and e mails otherwise available to both teams; and</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lastRenderedPageBreak/>
        <w:t>the Bid Team and the BAU Team have separate reporting and management lines.</w:t>
      </w:r>
    </w:p>
    <w:p w:rsidR="00F21A2F" w:rsidRPr="00FD55FA" w:rsidRDefault="00E85CEA" w:rsidP="00F21A2F">
      <w:pPr>
        <w:pStyle w:val="ListParagraph"/>
        <w:numPr>
          <w:ilvl w:val="0"/>
          <w:numId w:val="48"/>
        </w:numPr>
        <w:tabs>
          <w:tab w:val="num" w:pos="1418"/>
        </w:tabs>
        <w:rPr>
          <w:rFonts w:cs="Arial"/>
          <w:iCs/>
          <w:kern w:val="24"/>
          <w:sz w:val="20"/>
        </w:rPr>
      </w:pPr>
      <w:r>
        <w:rPr>
          <w:rFonts w:cs="Arial"/>
          <w:iCs/>
          <w:kern w:val="24"/>
          <w:sz w:val="20"/>
        </w:rPr>
        <w:t>t</w:t>
      </w:r>
      <w:r w:rsidR="00F21A2F" w:rsidRPr="00FD55FA">
        <w:rPr>
          <w:rFonts w:cs="Arial"/>
          <w:iCs/>
          <w:kern w:val="24"/>
          <w:sz w:val="20"/>
        </w:rPr>
        <w:t xml:space="preserve">he Company and Corporate Recipient have entered into a Non-Disclosure Agreement </w:t>
      </w:r>
    </w:p>
    <w:p w:rsidR="00F21A2F" w:rsidRPr="00FD55FA" w:rsidRDefault="00F21A2F" w:rsidP="00F21A2F">
      <w:pPr>
        <w:ind w:left="-142"/>
        <w:rPr>
          <w:rFonts w:cs="Arial"/>
          <w:iCs/>
          <w:kern w:val="24"/>
          <w:sz w:val="20"/>
        </w:rPr>
      </w:pPr>
      <w:r w:rsidRPr="00FD55FA">
        <w:rPr>
          <w:rFonts w:cs="Arial"/>
          <w:iCs/>
          <w:kern w:val="24"/>
          <w:sz w:val="20"/>
        </w:rPr>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recommendations of the Authority.</w:t>
      </w:r>
    </w:p>
    <w:p w:rsidR="00E02A90" w:rsidRDefault="00E02A90">
      <w:pPr>
        <w:overflowPunct/>
        <w:autoSpaceDE/>
        <w:autoSpaceDN/>
        <w:adjustRightInd/>
        <w:spacing w:after="0" w:line="240" w:lineRule="auto"/>
        <w:jc w:val="left"/>
        <w:textAlignment w:val="auto"/>
        <w:rPr>
          <w:rFonts w:eastAsia="STZhongsong" w:cs="Arial"/>
          <w:b/>
          <w:sz w:val="20"/>
          <w:lang w:eastAsia="zh-CN"/>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4F1D73" w:rsidRDefault="004F1D73">
      <w:pPr>
        <w:overflowPunct/>
        <w:autoSpaceDE/>
        <w:autoSpaceDN/>
        <w:adjustRightInd/>
        <w:spacing w:after="0" w:line="240" w:lineRule="auto"/>
        <w:jc w:val="left"/>
        <w:textAlignment w:val="auto"/>
        <w:rPr>
          <w:rFonts w:eastAsia="STZhongsong" w:cs="Arial"/>
          <w:b/>
          <w:sz w:val="28"/>
          <w:szCs w:val="28"/>
          <w:lang w:eastAsia="zh-CN"/>
        </w:rPr>
      </w:pPr>
      <w:r>
        <w:rPr>
          <w:rFonts w:cs="Arial"/>
          <w:b/>
          <w:sz w:val="28"/>
          <w:szCs w:val="28"/>
        </w:rPr>
        <w:br w:type="page"/>
      </w: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 xml:space="preserve">Call Off </w:t>
      </w:r>
      <w:r w:rsidR="00BC7D0D">
        <w:rPr>
          <w:rFonts w:cs="Arial"/>
          <w:b/>
          <w:szCs w:val="22"/>
        </w:rPr>
        <w:t>Terms)</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A4589E" w:rsidRDefault="00C03B23" w:rsidP="00C03B23">
      <w:pPr>
        <w:rPr>
          <w:rFonts w:cs="Arial"/>
          <w:sz w:val="20"/>
        </w:rPr>
      </w:pPr>
    </w:p>
    <w:p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392E86">
          <w:rPr>
            <w:rFonts w:cs="Arial"/>
            <w:noProof/>
          </w:rPr>
          <w:t>15</w:t>
        </w:r>
        <w:r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392E86">
          <w:rPr>
            <w:rFonts w:cs="Arial"/>
            <w:noProof/>
          </w:rPr>
          <w:t>20</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392E86">
          <w:rPr>
            <w:rFonts w:cs="Arial"/>
            <w:noProof/>
          </w:rPr>
          <w:t>22</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392E86">
          <w:rPr>
            <w:rFonts w:cs="Arial"/>
            <w:noProof/>
          </w:rPr>
          <w:t>23</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392E86">
          <w:rPr>
            <w:rFonts w:cs="Arial"/>
            <w:noProof/>
          </w:rPr>
          <w:t>24</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392E86">
          <w:rPr>
            <w:rFonts w:cs="Arial"/>
            <w:noProof/>
          </w:rPr>
          <w:t>26</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392E86">
          <w:rPr>
            <w:rFonts w:cs="Arial"/>
            <w:noProof/>
          </w:rPr>
          <w:t>28</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392E86">
          <w:rPr>
            <w:rFonts w:cs="Arial"/>
            <w:noProof/>
          </w:rPr>
          <w:t>29</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392E86">
          <w:rPr>
            <w:rFonts w:cs="Arial"/>
            <w:noProof/>
          </w:rPr>
          <w:t>35</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392E86">
          <w:rPr>
            <w:rFonts w:cs="Arial"/>
            <w:noProof/>
          </w:rPr>
          <w:t>37</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392E86">
          <w:rPr>
            <w:rFonts w:cs="Arial"/>
            <w:noProof/>
          </w:rPr>
          <w:t>39</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392E86">
          <w:rPr>
            <w:rFonts w:cs="Arial"/>
            <w:noProof/>
          </w:rPr>
          <w:t>41</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392E86">
          <w:rPr>
            <w:rFonts w:cs="Arial"/>
            <w:noProof/>
          </w:rPr>
          <w:t>41</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392E86">
          <w:rPr>
            <w:rFonts w:cs="Arial"/>
            <w:noProof/>
          </w:rPr>
          <w:t>43</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392E86">
          <w:rPr>
            <w:rFonts w:cs="Arial"/>
            <w:noProof/>
          </w:rPr>
          <w:t>43</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392E86">
          <w:rPr>
            <w:rFonts w:cs="Arial"/>
            <w:noProof/>
          </w:rPr>
          <w:t>43</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392E86">
          <w:rPr>
            <w:rFonts w:cs="Arial"/>
            <w:noProof/>
          </w:rPr>
          <w:t>44</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392E86">
          <w:rPr>
            <w:rFonts w:cs="Arial"/>
            <w:noProof/>
          </w:rPr>
          <w:t>44</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392E86">
          <w:rPr>
            <w:rFonts w:cs="Arial"/>
            <w:noProof/>
          </w:rPr>
          <w:t>45</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392E86">
          <w:rPr>
            <w:rFonts w:cs="Arial"/>
            <w:noProof/>
          </w:rPr>
          <w:t>45</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392E86">
          <w:rPr>
            <w:rFonts w:cs="Arial"/>
            <w:noProof/>
          </w:rPr>
          <w:t>45</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392E86">
          <w:rPr>
            <w:rFonts w:cs="Arial"/>
            <w:noProof/>
          </w:rPr>
          <w:t>45</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392E86">
          <w:rPr>
            <w:rFonts w:cs="Arial"/>
            <w:noProof/>
          </w:rPr>
          <w:t>46</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392E86">
          <w:rPr>
            <w:rFonts w:cs="Arial"/>
            <w:noProof/>
          </w:rPr>
          <w:t>46</w:t>
        </w:r>
        <w:r w:rsidR="008C2CC9" w:rsidRPr="00A833EE">
          <w:rPr>
            <w:rFonts w:cs="Arial"/>
            <w:noProof/>
          </w:rPr>
          <w:fldChar w:fldCharType="end"/>
        </w:r>
      </w:hyperlink>
    </w:p>
    <w:p w:rsidR="00C03B23" w:rsidRPr="00A833EE" w:rsidRDefault="00B624A3"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392E86">
          <w:rPr>
            <w:rFonts w:cs="Arial"/>
            <w:noProof/>
          </w:rPr>
          <w:t>47</w:t>
        </w:r>
        <w:r w:rsidR="008C2CC9" w:rsidRPr="00A833EE">
          <w:rPr>
            <w:rFonts w:cs="Arial"/>
            <w:noProof/>
          </w:rPr>
          <w:fldChar w:fldCharType="end"/>
        </w:r>
      </w:hyperlink>
    </w:p>
    <w:p w:rsidR="00C03B23" w:rsidRPr="00A833EE" w:rsidRDefault="00B624A3"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392E86">
          <w:rPr>
            <w:rFonts w:ascii="Arial" w:hAnsi="Arial" w:cs="Arial"/>
            <w:noProof/>
          </w:rPr>
          <w:t>49</w:t>
        </w:r>
        <w:r w:rsidR="008C2CC9" w:rsidRPr="00A833EE">
          <w:rPr>
            <w:rFonts w:ascii="Arial" w:hAnsi="Arial" w:cs="Arial"/>
            <w:noProof/>
          </w:rPr>
          <w:fldChar w:fldCharType="end"/>
        </w:r>
      </w:hyperlink>
    </w:p>
    <w:p w:rsidR="00C03B23" w:rsidRPr="00A833EE" w:rsidRDefault="00B624A3"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392E86">
          <w:rPr>
            <w:rFonts w:ascii="Arial" w:hAnsi="Arial" w:cs="Arial"/>
            <w:noProof/>
          </w:rPr>
          <w:t>51</w:t>
        </w:r>
        <w:r w:rsidR="008C2CC9" w:rsidRPr="00A833EE">
          <w:rPr>
            <w:rFonts w:ascii="Arial" w:hAnsi="Arial" w:cs="Arial"/>
            <w:noProof/>
          </w:rPr>
          <w:fldChar w:fldCharType="end"/>
        </w:r>
      </w:hyperlink>
    </w:p>
    <w:p w:rsidR="00C03B23" w:rsidRPr="00A833EE" w:rsidRDefault="00B624A3"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392E86">
          <w:rPr>
            <w:noProof/>
          </w:rPr>
          <w:t>58</w:t>
        </w:r>
        <w:r w:rsidR="008C2CC9" w:rsidRPr="00A833EE">
          <w:rPr>
            <w:noProof/>
          </w:rPr>
          <w:fldChar w:fldCharType="end"/>
        </w:r>
      </w:hyperlink>
    </w:p>
    <w:p w:rsidR="00C03B23" w:rsidRDefault="008C2CC9" w:rsidP="00C03B23">
      <w:pPr>
        <w:pStyle w:val="TOC8"/>
        <w:rPr>
          <w:rFonts w:ascii="Arial" w:hAnsi="Arial" w:cs="Arial"/>
          <w:sz w:val="20"/>
        </w:rPr>
      </w:pPr>
      <w:r w:rsidRPr="00A833EE">
        <w:rPr>
          <w:rFonts w:ascii="Arial" w:hAnsi="Arial" w:cs="Arial"/>
          <w:sz w:val="20"/>
        </w:rPr>
        <w:fldChar w:fldCharType="end"/>
      </w:r>
    </w:p>
    <w:p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C03B23" w:rsidRPr="00A4589E" w:rsidRDefault="00C03B23" w:rsidP="00C03B23">
      <w:pPr>
        <w:pStyle w:val="Heading1"/>
        <w:rPr>
          <w:rFonts w:cs="Arial"/>
          <w:sz w:val="20"/>
        </w:rPr>
      </w:pPr>
      <w:bookmarkStart w:id="7" w:name="TOCField"/>
      <w:bookmarkStart w:id="8" w:name="_Toc335743363"/>
      <w:bookmarkEnd w:id="7"/>
      <w:r w:rsidRPr="00A4589E">
        <w:rPr>
          <w:rFonts w:cs="Arial"/>
          <w:sz w:val="20"/>
        </w:rPr>
        <w:lastRenderedPageBreak/>
        <w:t>DEFINITIONS AND INTERPRETATION</w:t>
      </w:r>
      <w:bookmarkEnd w:id="8"/>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E85CEA">
        <w:rPr>
          <w:rFonts w:cs="Arial"/>
          <w:sz w:val="20"/>
        </w:rPr>
        <w:t>01</w:t>
      </w:r>
      <w:r w:rsidR="00837E49">
        <w:rPr>
          <w:rFonts w:cs="Arial"/>
          <w:sz w:val="20"/>
        </w:rPr>
        <w:t xml:space="preserve"> </w:t>
      </w:r>
      <w:r w:rsidR="006904E3">
        <w:rPr>
          <w:rFonts w:cs="Arial"/>
          <w:sz w:val="20"/>
        </w:rPr>
        <w:t>September 2015</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1D47B3">
        <w:rPr>
          <w:rFonts w:cs="Arial"/>
          <w:sz w:val="20"/>
        </w:rPr>
        <w:t>10 May 2015</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Pr="002C6211" w:rsidRDefault="00E85CEA" w:rsidP="00C03B23">
      <w:pPr>
        <w:pStyle w:val="BodyTextIndent"/>
        <w:numPr>
          <w:ilvl w:val="0"/>
          <w:numId w:val="0"/>
        </w:numPr>
        <w:overflowPunct w:val="0"/>
        <w:autoSpaceDE w:val="0"/>
        <w:autoSpaceDN w:val="0"/>
        <w:ind w:left="720"/>
        <w:textAlignment w:val="baseline"/>
        <w:rPr>
          <w:sz w:val="20"/>
        </w:rPr>
      </w:pPr>
      <w:r w:rsidRPr="00E85CEA">
        <w:rPr>
          <w:sz w:val="20"/>
        </w:rPr>
        <w:t xml:space="preserve"> </w:t>
      </w:r>
      <w:r w:rsidR="00C03B23" w:rsidRPr="00E85CEA">
        <w:rPr>
          <w:b/>
          <w:sz w:val="20"/>
        </w:rPr>
        <w:t xml:space="preserve">“Relevant Conviction” </w:t>
      </w:r>
      <w:r w:rsidR="00C03B23" w:rsidRPr="00E85CEA">
        <w:rPr>
          <w:sz w:val="20"/>
        </w:rPr>
        <w:t>means a conviction that is relevant to the nature of the Contract Services or as specified in section 2.1 of Appendix 1 of the Letter of Appointment;</w:t>
      </w:r>
    </w:p>
    <w:p w:rsidR="00C03B23" w:rsidRDefault="00C03B23" w:rsidP="00C03B23">
      <w:pPr>
        <w:pStyle w:val="BodyTextIndent"/>
        <w:numPr>
          <w:ilvl w:val="0"/>
          <w:numId w:val="0"/>
        </w:numPr>
        <w:overflowPunct w:val="0"/>
        <w:autoSpaceDE w:val="0"/>
        <w:autoSpaceDN w:val="0"/>
        <w:ind w:left="720"/>
        <w:textAlignment w:val="baseline"/>
        <w:rPr>
          <w:sz w:val="20"/>
        </w:rPr>
      </w:pPr>
      <w:r w:rsidRPr="00E85CEA">
        <w:rPr>
          <w:b/>
          <w:sz w:val="20"/>
        </w:rPr>
        <w:t xml:space="preserve">“Security Management Plan” </w:t>
      </w:r>
      <w:r w:rsidRPr="00E85CEA">
        <w:rPr>
          <w:sz w:val="20"/>
        </w:rPr>
        <w:t>means the Supplier’s security management plan prepared pursuant to Schedule 1 to these Call-Off Terms as updated from time to time with the agreement of the Customer</w:t>
      </w:r>
      <w:r w:rsidR="00E85CEA" w:rsidRPr="00E85CEA">
        <w:rPr>
          <w:sz w:val="20"/>
        </w:rPr>
        <w:t>.</w:t>
      </w:r>
    </w:p>
    <w:p w:rsidR="00C03B23" w:rsidRPr="002C6211" w:rsidRDefault="00C03B23" w:rsidP="00C03B23">
      <w:pPr>
        <w:pStyle w:val="BodyTextIndent"/>
        <w:rPr>
          <w:sz w:val="20"/>
          <w:shd w:val="clear" w:color="auto" w:fill="92D050"/>
        </w:rPr>
      </w:pPr>
      <w:r w:rsidRPr="00144EEA">
        <w:rPr>
          <w:b/>
          <w:sz w:val="20"/>
        </w:rPr>
        <w:t>“Security Policy”</w:t>
      </w:r>
      <w:r w:rsidRPr="00144EEA">
        <w:rPr>
          <w:sz w:val="20"/>
        </w:rPr>
        <w:t xml:space="preserve"> </w:t>
      </w:r>
      <w:r w:rsidRPr="00144EEA">
        <w:rPr>
          <w:rFonts w:cs="Arial"/>
          <w:sz w:val="20"/>
        </w:rPr>
        <w:t xml:space="preserve">means the Customer’s security requirements as set out in </w:t>
      </w:r>
      <w:r w:rsidRPr="002C6211">
        <w:rPr>
          <w:rFonts w:cs="Arial"/>
          <w:sz w:val="20"/>
        </w:rPr>
        <w:t>section 4.1 of the Letter of Appointment and as outlined in Schedule 1 to these Call-Off Terms;</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E85CEA"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E85CEA">
        <w:rPr>
          <w:rFonts w:cs="Arial"/>
          <w:b/>
          <w:sz w:val="20"/>
        </w:rPr>
        <w:t xml:space="preserve">“Sites” </w:t>
      </w:r>
      <w:r w:rsidRPr="00E85CEA">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Pr="00E85CEA"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E85CEA">
        <w:rPr>
          <w:rFonts w:cs="Arial"/>
          <w:b/>
          <w:sz w:val="20"/>
        </w:rPr>
        <w:t>“Supplier System”</w:t>
      </w:r>
      <w:r w:rsidRPr="00E85CEA">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E85CEA" w:rsidRPr="00E85CEA">
        <w:rPr>
          <w:rFonts w:cs="Arial"/>
          <w:sz w:val="20"/>
        </w:rPr>
        <w:t>.</w:t>
      </w:r>
    </w:p>
    <w:p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rsidR="00C03B23" w:rsidRPr="00A4589E" w:rsidRDefault="00C03B23" w:rsidP="00C03B23">
      <w:pPr>
        <w:pStyle w:val="Heading3"/>
        <w:rPr>
          <w:rFonts w:cs="Arial"/>
          <w:sz w:val="20"/>
        </w:rPr>
      </w:pPr>
      <w:bookmarkStart w:id="9"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9"/>
    </w:p>
    <w:p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r w:rsidRPr="008C5846">
        <w:rPr>
          <w:rFonts w:cs="Arial"/>
          <w:sz w:val="20"/>
        </w:rPr>
        <w:t>these Call-Off Terms; and</w:t>
      </w:r>
    </w:p>
    <w:p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rsidR="00C03B23" w:rsidRPr="00A4589E" w:rsidRDefault="00C03B23" w:rsidP="00C03B23">
      <w:pPr>
        <w:pStyle w:val="Heading1"/>
        <w:keepNext/>
        <w:keepLines/>
        <w:rPr>
          <w:rFonts w:cs="Arial"/>
          <w:sz w:val="20"/>
        </w:rPr>
      </w:pPr>
      <w:bookmarkStart w:id="10" w:name="_Toc335743364"/>
      <w:r w:rsidRPr="00A4589E">
        <w:rPr>
          <w:rFonts w:cs="Arial"/>
          <w:sz w:val="20"/>
        </w:rPr>
        <w:t xml:space="preserve">SUPPLY OF </w:t>
      </w:r>
      <w:r>
        <w:rPr>
          <w:rFonts w:cs="Arial"/>
          <w:sz w:val="20"/>
        </w:rPr>
        <w:t xml:space="preserve">CONTRACT </w:t>
      </w:r>
      <w:r w:rsidRPr="00A4589E">
        <w:rPr>
          <w:rFonts w:cs="Arial"/>
          <w:sz w:val="20"/>
        </w:rPr>
        <w:t>SERVICES</w:t>
      </w:r>
      <w:bookmarkEnd w:id="10"/>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w:t>
      </w:r>
      <w:r w:rsidRPr="00A4589E">
        <w:rPr>
          <w:rFonts w:cs="Arial"/>
          <w:sz w:val="20"/>
        </w:rPr>
        <w:lastRenderedPageBreak/>
        <w:t xml:space="preserve">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r w:rsidRPr="000E2D9B">
        <w:rPr>
          <w:sz w:val="20"/>
        </w:rPr>
        <w:lastRenderedPageBreak/>
        <w:t>and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11" w:name="_Toc335743365"/>
      <w:r w:rsidRPr="002478B9">
        <w:rPr>
          <w:rFonts w:cs="Arial"/>
          <w:sz w:val="20"/>
        </w:rPr>
        <w:t>2B</w:t>
      </w:r>
      <w:r>
        <w:rPr>
          <w:rFonts w:cs="Arial"/>
          <w:sz w:val="20"/>
        </w:rPr>
        <w:t>.</w:t>
      </w:r>
      <w:r w:rsidRPr="002478B9">
        <w:rPr>
          <w:rFonts w:cs="Arial"/>
          <w:b w:val="0"/>
          <w:sz w:val="20"/>
        </w:rPr>
        <w:tab/>
      </w:r>
      <w:bookmarkStart w:id="12" w:name="_Toc304196127"/>
      <w:bookmarkStart w:id="13" w:name="_Toc304196303"/>
      <w:bookmarkStart w:id="14" w:name="_Toc304196479"/>
      <w:bookmarkStart w:id="15" w:name="_Toc304200955"/>
      <w:bookmarkStart w:id="16" w:name="_Toc304202042"/>
      <w:bookmarkStart w:id="17" w:name="_Toc304212968"/>
      <w:bookmarkStart w:id="18" w:name="_Toc304453835"/>
      <w:bookmarkStart w:id="19" w:name="_Toc304454008"/>
      <w:bookmarkStart w:id="20" w:name="_Toc304454630"/>
      <w:bookmarkStart w:id="21" w:name="_Toc304808604"/>
      <w:bookmarkStart w:id="22" w:name="_Toc304897196"/>
      <w:bookmarkStart w:id="23" w:name="_Toc304901107"/>
      <w:bookmarkStart w:id="24" w:name="_Toc304901280"/>
      <w:bookmarkStart w:id="25" w:name="_Toc304904522"/>
      <w:bookmarkStart w:id="26" w:name="_Toc305422568"/>
      <w:bookmarkStart w:id="27" w:name="_Toc305588763"/>
      <w:r w:rsidRPr="002478B9">
        <w:rPr>
          <w:sz w:val="20"/>
        </w:rPr>
        <w:t>REMEDIES IN THE EVENT OF INADEQUATE PERFORMANCE OF THE SERVICES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478B9">
        <w:rPr>
          <w:sz w:val="20"/>
        </w:rPr>
        <w:t xml:space="preserve"> </w:t>
      </w:r>
      <w:bookmarkStart w:id="28"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8"/>
    </w:p>
    <w:p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 xml:space="preserve">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t>
      </w:r>
      <w:r w:rsidRPr="002478B9">
        <w:rPr>
          <w:sz w:val="20"/>
        </w:rPr>
        <w:lastRenderedPageBreak/>
        <w:t>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9" w:name="_Toc139079956"/>
    </w:p>
    <w:bookmarkEnd w:id="29"/>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30" w:name="_Toc335743366"/>
      <w:r w:rsidRPr="00C555DC">
        <w:rPr>
          <w:sz w:val="20"/>
        </w:rPr>
        <w:t>2C.</w:t>
      </w:r>
      <w:r w:rsidRPr="00C555DC">
        <w:rPr>
          <w:sz w:val="20"/>
        </w:rPr>
        <w:tab/>
      </w:r>
      <w:bookmarkStart w:id="31" w:name="_Toc304196131"/>
      <w:bookmarkStart w:id="32" w:name="_Toc304196307"/>
      <w:bookmarkStart w:id="33" w:name="_Toc304196483"/>
      <w:bookmarkStart w:id="34" w:name="_Toc304200959"/>
      <w:bookmarkStart w:id="35" w:name="_Toc304202046"/>
      <w:bookmarkStart w:id="36" w:name="_Toc304212972"/>
      <w:bookmarkStart w:id="37" w:name="_Toc304453841"/>
      <w:bookmarkStart w:id="38" w:name="_Toc304454014"/>
      <w:bookmarkStart w:id="39" w:name="_Toc304454636"/>
      <w:bookmarkStart w:id="40" w:name="_Toc304808608"/>
      <w:bookmarkStart w:id="41" w:name="_Toc304897200"/>
      <w:bookmarkStart w:id="42" w:name="_Toc304901111"/>
      <w:bookmarkStart w:id="43" w:name="_Toc304901284"/>
      <w:bookmarkStart w:id="44" w:name="_Toc304904526"/>
      <w:bookmarkStart w:id="45" w:name="_Toc305422572"/>
      <w:bookmarkStart w:id="46" w:name="_Toc305588767"/>
      <w:r w:rsidRPr="00C555DC">
        <w:rPr>
          <w:sz w:val="20"/>
        </w:rPr>
        <w:t>SUPPLIER'S STAFF</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03B23" w:rsidRPr="002D3A01" w:rsidRDefault="00C03B23" w:rsidP="00C03B23">
      <w:pPr>
        <w:pStyle w:val="Heading3"/>
        <w:numPr>
          <w:ilvl w:val="0"/>
          <w:numId w:val="0"/>
        </w:numPr>
        <w:ind w:left="720" w:hanging="720"/>
        <w:rPr>
          <w:sz w:val="20"/>
        </w:rPr>
      </w:pPr>
      <w:bookmarkStart w:id="47"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7"/>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8" w:name="_Ref238890199"/>
    </w:p>
    <w:bookmarkEnd w:id="48"/>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9" w:name="_Toc139080182"/>
      <w:r>
        <w:rPr>
          <w:sz w:val="20"/>
        </w:rPr>
        <w:t xml:space="preserve">  </w:t>
      </w:r>
    </w:p>
    <w:p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rsidR="00C03B23" w:rsidRPr="00E85CEA" w:rsidRDefault="00C03B23" w:rsidP="00C03B23">
      <w:pPr>
        <w:pStyle w:val="Heading3"/>
        <w:numPr>
          <w:ilvl w:val="0"/>
          <w:numId w:val="0"/>
        </w:numPr>
        <w:tabs>
          <w:tab w:val="num" w:pos="3080"/>
        </w:tabs>
        <w:ind w:left="709" w:hanging="709"/>
        <w:rPr>
          <w:sz w:val="20"/>
        </w:rPr>
      </w:pPr>
      <w:r w:rsidRPr="00E85CEA">
        <w:rPr>
          <w:sz w:val="20"/>
        </w:rPr>
        <w:t>2C.</w:t>
      </w:r>
      <w:r w:rsidR="008815D3" w:rsidRPr="00E85CEA">
        <w:rPr>
          <w:sz w:val="20"/>
        </w:rPr>
        <w:t>10</w:t>
      </w:r>
      <w:r w:rsidRPr="00E85CEA">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rsidR="00C03B23" w:rsidRPr="00E85CEA" w:rsidRDefault="00C03B23" w:rsidP="00C03B23">
      <w:pPr>
        <w:pStyle w:val="Heading3"/>
        <w:numPr>
          <w:ilvl w:val="0"/>
          <w:numId w:val="0"/>
        </w:numPr>
        <w:tabs>
          <w:tab w:val="num" w:pos="3080"/>
        </w:tabs>
        <w:ind w:left="709" w:hanging="709"/>
        <w:rPr>
          <w:sz w:val="20"/>
        </w:rPr>
      </w:pPr>
      <w:r w:rsidRPr="00E85CEA">
        <w:rPr>
          <w:sz w:val="20"/>
        </w:rPr>
        <w:t>2C.1</w:t>
      </w:r>
      <w:r w:rsidR="008815D3" w:rsidRPr="00E85CEA">
        <w:rPr>
          <w:sz w:val="20"/>
        </w:rPr>
        <w:t>1</w:t>
      </w:r>
      <w:r w:rsidRPr="00E85CEA">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rsidR="00C03B23" w:rsidRPr="00E85CEA" w:rsidRDefault="00C03B23" w:rsidP="00C03B23">
      <w:pPr>
        <w:pStyle w:val="Heading3"/>
        <w:numPr>
          <w:ilvl w:val="0"/>
          <w:numId w:val="0"/>
        </w:numPr>
        <w:tabs>
          <w:tab w:val="num" w:pos="3080"/>
        </w:tabs>
        <w:ind w:left="709" w:hanging="709"/>
        <w:rPr>
          <w:b/>
          <w:sz w:val="20"/>
        </w:rPr>
      </w:pPr>
      <w:r w:rsidRPr="00E85CEA">
        <w:rPr>
          <w:sz w:val="20"/>
        </w:rPr>
        <w:tab/>
        <w:t>2C.1</w:t>
      </w:r>
      <w:r w:rsidR="008815D3" w:rsidRPr="00E85CEA">
        <w:rPr>
          <w:sz w:val="20"/>
        </w:rPr>
        <w:t>1</w:t>
      </w:r>
      <w:r w:rsidRPr="00E85CEA">
        <w:rPr>
          <w:sz w:val="20"/>
        </w:rPr>
        <w:t xml:space="preserve">.1  carry out a police check with the records held by </w:t>
      </w:r>
      <w:r w:rsidR="00AF0ADA" w:rsidRPr="00E85CEA">
        <w:rPr>
          <w:sz w:val="20"/>
        </w:rPr>
        <w:t xml:space="preserve">the </w:t>
      </w:r>
      <w:r w:rsidRPr="00E85CEA">
        <w:rPr>
          <w:sz w:val="20"/>
        </w:rPr>
        <w:t>DfE;</w:t>
      </w:r>
    </w:p>
    <w:p w:rsidR="00C03B23" w:rsidRPr="00E85CEA" w:rsidRDefault="00C03B23" w:rsidP="00C03B23">
      <w:pPr>
        <w:pStyle w:val="Heading3"/>
        <w:numPr>
          <w:ilvl w:val="0"/>
          <w:numId w:val="0"/>
        </w:numPr>
        <w:tabs>
          <w:tab w:val="num" w:pos="3080"/>
        </w:tabs>
        <w:ind w:left="709" w:hanging="709"/>
        <w:rPr>
          <w:sz w:val="20"/>
        </w:rPr>
      </w:pPr>
      <w:r w:rsidRPr="00E85CEA">
        <w:rPr>
          <w:sz w:val="20"/>
        </w:rPr>
        <w:tab/>
        <w:t>2C.1</w:t>
      </w:r>
      <w:r w:rsidR="008815D3" w:rsidRPr="00E85CEA">
        <w:rPr>
          <w:sz w:val="20"/>
        </w:rPr>
        <w:t>1</w:t>
      </w:r>
      <w:r w:rsidRPr="00E85CEA">
        <w:rPr>
          <w:sz w:val="20"/>
        </w:rPr>
        <w:t>.2  conduct thorough questioning regarding any Relevant Convictions; and</w:t>
      </w:r>
    </w:p>
    <w:p w:rsidR="00C03B23" w:rsidRPr="00E85CEA" w:rsidRDefault="000A29FE" w:rsidP="00C03B23">
      <w:pPr>
        <w:pStyle w:val="Heading3"/>
        <w:numPr>
          <w:ilvl w:val="0"/>
          <w:numId w:val="0"/>
        </w:numPr>
        <w:tabs>
          <w:tab w:val="num" w:pos="3080"/>
        </w:tabs>
        <w:ind w:left="1560" w:hanging="851"/>
        <w:rPr>
          <w:sz w:val="20"/>
        </w:rPr>
      </w:pPr>
      <w:r w:rsidRPr="00E85CEA">
        <w:rPr>
          <w:sz w:val="20"/>
        </w:rPr>
        <w:t>2C.11.3 ensure</w:t>
      </w:r>
      <w:r w:rsidR="00C03B23" w:rsidRPr="00E85CEA">
        <w:rPr>
          <w:sz w:val="20"/>
        </w:rPr>
        <w:t xml:space="preserve"> a police check is completed and such other checks as may be carried out through </w:t>
      </w:r>
      <w:r w:rsidRPr="00E85CEA">
        <w:rPr>
          <w:sz w:val="20"/>
        </w:rPr>
        <w:t>the Disclosure</w:t>
      </w:r>
      <w:r w:rsidR="00C03B23" w:rsidRPr="00E85CEA">
        <w:rPr>
          <w:sz w:val="20"/>
        </w:rPr>
        <w:t xml:space="preserve"> and Baring Service [previously -Criminal Records Bureau</w:t>
      </w:r>
      <w:r w:rsidRPr="00E85CEA">
        <w:rPr>
          <w:sz w:val="20"/>
        </w:rPr>
        <w:t>];</w:t>
      </w:r>
      <w:r w:rsidR="00C03B23" w:rsidRPr="00E85CEA">
        <w:rPr>
          <w:sz w:val="20"/>
        </w:rPr>
        <w:t xml:space="preserve"> and</w:t>
      </w:r>
    </w:p>
    <w:p w:rsidR="00C03B23" w:rsidRPr="00432D60" w:rsidRDefault="000A29FE" w:rsidP="00C03B23">
      <w:pPr>
        <w:pStyle w:val="Heading3"/>
        <w:numPr>
          <w:ilvl w:val="0"/>
          <w:numId w:val="0"/>
        </w:numPr>
        <w:tabs>
          <w:tab w:val="num" w:pos="3080"/>
        </w:tabs>
        <w:ind w:left="1560" w:hanging="851"/>
        <w:rPr>
          <w:sz w:val="20"/>
        </w:rPr>
      </w:pPr>
      <w:r w:rsidRPr="00E85CEA">
        <w:rPr>
          <w:sz w:val="20"/>
        </w:rPr>
        <w:t>2C.11.4 not</w:t>
      </w:r>
      <w:r w:rsidR="00C03B23" w:rsidRPr="00E85CEA">
        <w:rPr>
          <w:sz w:val="20"/>
        </w:rPr>
        <w:t xml:space="preserve"> engage or continue to employ in the provision of the Contract Services any person who has a Relevant Conviction or an inappropriate record.</w:t>
      </w:r>
    </w:p>
    <w:p w:rsidR="00C03B23" w:rsidRPr="00A4589E" w:rsidRDefault="00C03B23" w:rsidP="00C03B23">
      <w:pPr>
        <w:pStyle w:val="Heading1"/>
        <w:keepNext/>
        <w:rPr>
          <w:rFonts w:cs="Arial"/>
          <w:sz w:val="20"/>
        </w:rPr>
      </w:pPr>
      <w:bookmarkStart w:id="50" w:name="_Ref313371683"/>
      <w:bookmarkStart w:id="51" w:name="_Toc335743367"/>
      <w:bookmarkEnd w:id="49"/>
      <w:r w:rsidRPr="00A4589E">
        <w:rPr>
          <w:rFonts w:cs="Arial"/>
          <w:sz w:val="20"/>
        </w:rPr>
        <w:t xml:space="preserve">PAYMENT AND </w:t>
      </w:r>
      <w:bookmarkEnd w:id="50"/>
      <w:r w:rsidRPr="00A4589E">
        <w:rPr>
          <w:rFonts w:cs="Arial"/>
          <w:sz w:val="20"/>
        </w:rPr>
        <w:t>CHARGES</w:t>
      </w:r>
      <w:bookmarkEnd w:id="51"/>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lastRenderedPageBreak/>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52"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2"/>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53" w:name="_Ref313364329"/>
      <w:r w:rsidRPr="00A4589E">
        <w:rPr>
          <w:rFonts w:cs="Arial"/>
          <w:b/>
          <w:sz w:val="20"/>
        </w:rPr>
        <w:t>Payment</w:t>
      </w:r>
      <w:bookmarkEnd w:id="53"/>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54"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4"/>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5"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5"/>
    </w:p>
    <w:p w:rsidR="00C03B23" w:rsidRPr="00A93C8D"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6" w:name="_Ref313370178"/>
      <w:r w:rsidRPr="00A4589E">
        <w:rPr>
          <w:rFonts w:cs="Arial"/>
          <w:b/>
          <w:sz w:val="20"/>
        </w:rPr>
        <w:t>Recovery of Sums Due</w:t>
      </w:r>
      <w:bookmarkEnd w:id="56"/>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7" w:name="_Toc335743368"/>
      <w:bookmarkStart w:id="58" w:name="_Ref313371594"/>
      <w:r>
        <w:rPr>
          <w:rFonts w:cs="Arial"/>
          <w:sz w:val="20"/>
        </w:rPr>
        <w:t>LIABILITY AND INSURANCE</w:t>
      </w:r>
      <w:bookmarkEnd w:id="57"/>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59" w:name="_Ref311654936"/>
      <w:r w:rsidRPr="006C3D9C">
        <w:rPr>
          <w:sz w:val="20"/>
        </w:rPr>
        <w:t>Neither Party excludes or limits its liability for:</w:t>
      </w:r>
      <w:bookmarkEnd w:id="59"/>
    </w:p>
    <w:p w:rsidR="00C03B23" w:rsidRPr="00B014A2" w:rsidRDefault="00C03B23" w:rsidP="00C03B23">
      <w:pPr>
        <w:pStyle w:val="Heading4"/>
        <w:rPr>
          <w:sz w:val="20"/>
        </w:rPr>
      </w:pPr>
      <w:r w:rsidRPr="00B014A2">
        <w:rPr>
          <w:sz w:val="20"/>
        </w:rPr>
        <w:t>death or personal injury; or</w:t>
      </w:r>
    </w:p>
    <w:p w:rsidR="00C03B23" w:rsidRPr="00B014A2" w:rsidRDefault="00C03B23" w:rsidP="00C03B23">
      <w:pPr>
        <w:pStyle w:val="Heading4"/>
        <w:rPr>
          <w:sz w:val="20"/>
        </w:rPr>
      </w:pPr>
      <w:r w:rsidRPr="00B014A2">
        <w:rPr>
          <w:sz w:val="20"/>
        </w:rPr>
        <w:t>fraud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60"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0"/>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r w:rsidRPr="00B014A2">
        <w:rPr>
          <w:sz w:val="20"/>
        </w:rPr>
        <w:lastRenderedPageBreak/>
        <w:t>the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61" w:name="_Ref311654962"/>
      <w:r>
        <w:rPr>
          <w:rFonts w:cs="Arial"/>
          <w:sz w:val="20"/>
        </w:rPr>
        <w:t>I</w:t>
      </w:r>
      <w:r w:rsidRPr="00B10032">
        <w:rPr>
          <w:rFonts w:cs="Arial"/>
          <w:sz w:val="20"/>
        </w:rPr>
        <w:t>n no event shall either Party be liable to the other for any:</w:t>
      </w:r>
      <w:bookmarkEnd w:id="61"/>
    </w:p>
    <w:p w:rsidR="00C03B23" w:rsidRPr="00B10032" w:rsidRDefault="00C03B23" w:rsidP="00C03B23">
      <w:pPr>
        <w:pStyle w:val="Heading4"/>
        <w:tabs>
          <w:tab w:val="clear" w:pos="2781"/>
        </w:tabs>
        <w:rPr>
          <w:rFonts w:cs="Arial"/>
          <w:sz w:val="20"/>
        </w:rPr>
      </w:pPr>
      <w:r w:rsidRPr="00B10032">
        <w:rPr>
          <w:rFonts w:cs="Arial"/>
          <w:sz w:val="20"/>
        </w:rPr>
        <w:t>loss of profits;</w:t>
      </w:r>
    </w:p>
    <w:p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rsidR="00C03B23" w:rsidRPr="00B10032" w:rsidRDefault="00C03B23" w:rsidP="00C03B23">
      <w:pPr>
        <w:pStyle w:val="Heading4"/>
        <w:tabs>
          <w:tab w:val="clear" w:pos="2781"/>
        </w:tabs>
        <w:rPr>
          <w:rFonts w:cs="Arial"/>
          <w:sz w:val="20"/>
        </w:rPr>
      </w:pPr>
      <w:r w:rsidRPr="00B10032">
        <w:rPr>
          <w:rFonts w:cs="Arial"/>
          <w:sz w:val="20"/>
        </w:rPr>
        <w:t xml:space="preserve">loss of revenue; </w:t>
      </w:r>
    </w:p>
    <w:p w:rsidR="00C03B23" w:rsidRPr="00B10032" w:rsidRDefault="00C03B23" w:rsidP="00C03B23">
      <w:pPr>
        <w:pStyle w:val="Heading4"/>
        <w:tabs>
          <w:tab w:val="clear" w:pos="2781"/>
        </w:tabs>
        <w:rPr>
          <w:rFonts w:cs="Arial"/>
          <w:sz w:val="20"/>
        </w:rPr>
      </w:pPr>
      <w:r w:rsidRPr="00B10032">
        <w:rPr>
          <w:rFonts w:cs="Arial"/>
          <w:sz w:val="20"/>
        </w:rPr>
        <w:t>loss of or damage to goodwill;</w:t>
      </w:r>
    </w:p>
    <w:p w:rsidR="00C03B23" w:rsidRPr="00B014A2" w:rsidRDefault="00C03B23" w:rsidP="00C03B23">
      <w:pPr>
        <w:pStyle w:val="Heading4"/>
        <w:tabs>
          <w:tab w:val="clear" w:pos="2781"/>
        </w:tabs>
        <w:rPr>
          <w:sz w:val="20"/>
        </w:rPr>
      </w:pPr>
      <w:r w:rsidRPr="00B014A2">
        <w:rPr>
          <w:sz w:val="20"/>
        </w:rPr>
        <w:t>loss of savings (whether anticipated or otherwise); and/or</w:t>
      </w:r>
    </w:p>
    <w:p w:rsidR="00C03B23" w:rsidRPr="00B014A2" w:rsidRDefault="00C03B23" w:rsidP="00C03B23">
      <w:pPr>
        <w:pStyle w:val="Heading4"/>
        <w:tabs>
          <w:tab w:val="clear" w:pos="2781"/>
        </w:tabs>
        <w:rPr>
          <w:sz w:val="20"/>
        </w:rPr>
      </w:pPr>
      <w:r w:rsidRPr="00B014A2">
        <w:rPr>
          <w:sz w:val="20"/>
        </w:rPr>
        <w:t>any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 xml:space="preserve">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w:t>
      </w:r>
      <w:r>
        <w:rPr>
          <w:rFonts w:cs="Arial"/>
          <w:sz w:val="20"/>
        </w:rPr>
        <w:lastRenderedPageBreak/>
        <w:t>liability (estimated for the full year if the event occurs in the first year of the Contract) unless a different aggregate limit or limits is otherwise stipulated by the Customer in the Letter of Appointment following a further competition.</w:t>
      </w: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62" w:name="_Ref313366946"/>
      <w:bookmarkStart w:id="63" w:name="_Toc335743369"/>
      <w:bookmarkEnd w:id="58"/>
      <w:r w:rsidRPr="00A4589E">
        <w:rPr>
          <w:rFonts w:cs="Arial"/>
          <w:sz w:val="20"/>
        </w:rPr>
        <w:t>INTELLECTUAL PROPERTY RIGHTS</w:t>
      </w:r>
      <w:bookmarkEnd w:id="62"/>
      <w:bookmarkEnd w:id="63"/>
    </w:p>
    <w:p w:rsidR="00C03B23" w:rsidRDefault="00C03B23" w:rsidP="00C03B23">
      <w:pPr>
        <w:pStyle w:val="Heading2"/>
        <w:tabs>
          <w:tab w:val="num" w:pos="720"/>
        </w:tabs>
        <w:ind w:left="720"/>
        <w:rPr>
          <w:rFonts w:cs="Arial"/>
          <w:sz w:val="20"/>
        </w:rPr>
      </w:pPr>
      <w:bookmarkStart w:id="64"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4"/>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5"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5"/>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r w:rsidRPr="00A4589E">
        <w:rPr>
          <w:rFonts w:cs="Arial"/>
          <w:sz w:val="20"/>
        </w:rPr>
        <w:lastRenderedPageBreak/>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6" w:name="_Ref313367870"/>
      <w:bookmarkStart w:id="67" w:name="_Toc335743370"/>
      <w:r w:rsidRPr="00A4589E">
        <w:rPr>
          <w:rFonts w:cs="Arial"/>
          <w:sz w:val="20"/>
        </w:rPr>
        <w:t>PROTECTION OF INFORMATION</w:t>
      </w:r>
      <w:bookmarkEnd w:id="66"/>
      <w:bookmarkEnd w:id="67"/>
    </w:p>
    <w:p w:rsidR="00C03B23" w:rsidRPr="00A4589E" w:rsidRDefault="00C03B23" w:rsidP="00C03B23">
      <w:pPr>
        <w:pStyle w:val="Heading2"/>
        <w:keepNext/>
        <w:keepLines/>
        <w:tabs>
          <w:tab w:val="num" w:pos="720"/>
        </w:tabs>
        <w:ind w:left="720"/>
        <w:rPr>
          <w:rFonts w:cs="Arial"/>
          <w:b/>
          <w:sz w:val="20"/>
        </w:rPr>
      </w:pPr>
      <w:bookmarkStart w:id="68" w:name="_Ref313367297"/>
      <w:r w:rsidRPr="00A4589E">
        <w:rPr>
          <w:rFonts w:cs="Arial"/>
          <w:b/>
          <w:sz w:val="20"/>
        </w:rPr>
        <w:t>Protection of Personal Data</w:t>
      </w:r>
      <w:bookmarkEnd w:id="68"/>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r w:rsidRPr="00A4589E">
        <w:rPr>
          <w:rFonts w:cs="Arial"/>
          <w:sz w:val="20"/>
        </w:rPr>
        <w:lastRenderedPageBreak/>
        <w:t xml:space="preserve">a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w:t>
      </w:r>
      <w:r w:rsidRPr="00A4589E">
        <w:rPr>
          <w:rFonts w:cs="Arial"/>
          <w:sz w:val="20"/>
        </w:rPr>
        <w:lastRenderedPageBreak/>
        <w:t xml:space="preserve">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69" w:name="_Ref313367753"/>
      <w:r w:rsidRPr="00A4589E">
        <w:rPr>
          <w:rFonts w:cs="Arial"/>
          <w:b/>
          <w:sz w:val="20"/>
        </w:rPr>
        <w:t>Confidentiality</w:t>
      </w:r>
      <w:bookmarkEnd w:id="69"/>
    </w:p>
    <w:p w:rsidR="00C03B23" w:rsidRPr="00A4589E" w:rsidRDefault="00C03B23" w:rsidP="00C03B23">
      <w:pPr>
        <w:pStyle w:val="Heading3"/>
        <w:keepNext/>
        <w:rPr>
          <w:rFonts w:cs="Arial"/>
          <w:sz w:val="20"/>
        </w:rPr>
      </w:pPr>
      <w:bookmarkStart w:id="70"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70"/>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71"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71"/>
    </w:p>
    <w:p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lastRenderedPageBreak/>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Pr="00A4589E" w:rsidRDefault="00C03B23" w:rsidP="00C03B23">
      <w:pPr>
        <w:pStyle w:val="Heading3"/>
        <w:rPr>
          <w:rFonts w:cs="Arial"/>
          <w:sz w:val="20"/>
        </w:rPr>
      </w:pPr>
      <w:bookmarkStart w:id="72"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2"/>
      <w:r w:rsidRPr="00A4589E">
        <w:rPr>
          <w:rFonts w:cs="Arial"/>
          <w:sz w:val="20"/>
        </w:rPr>
        <w:t xml:space="preserve"> </w:t>
      </w:r>
    </w:p>
    <w:p w:rsidR="00C03B23" w:rsidRPr="00A4589E" w:rsidRDefault="00C03B23" w:rsidP="00C03B23">
      <w:pPr>
        <w:pStyle w:val="Heading2"/>
        <w:keepNext/>
        <w:tabs>
          <w:tab w:val="num" w:pos="720"/>
        </w:tabs>
        <w:ind w:left="720"/>
        <w:rPr>
          <w:rFonts w:cs="Arial"/>
          <w:b/>
          <w:sz w:val="20"/>
        </w:rPr>
      </w:pPr>
      <w:bookmarkStart w:id="73"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3"/>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r w:rsidRPr="00611C77">
        <w:rPr>
          <w:rFonts w:cs="Arial"/>
          <w:sz w:val="20"/>
        </w:rPr>
        <w:t>the Official Secrets Acts 1911 to 1989; and</w:t>
      </w:r>
    </w:p>
    <w:p w:rsidR="00C03B23" w:rsidRPr="00611C77" w:rsidRDefault="00C03B23" w:rsidP="00C03B23">
      <w:pPr>
        <w:pStyle w:val="Heading4"/>
        <w:rPr>
          <w:rFonts w:cs="Arial"/>
          <w:sz w:val="20"/>
        </w:rPr>
      </w:pPr>
      <w:r w:rsidRPr="00611C77">
        <w:rPr>
          <w:rFonts w:cs="Arial"/>
          <w:sz w:val="20"/>
        </w:rPr>
        <w:t>section 182 of the Finance Act 1989.</w:t>
      </w:r>
    </w:p>
    <w:p w:rsidR="00C03B23" w:rsidRPr="00A4589E" w:rsidRDefault="00C03B23" w:rsidP="00C03B23">
      <w:pPr>
        <w:pStyle w:val="Heading2"/>
        <w:keepNext/>
        <w:tabs>
          <w:tab w:val="num" w:pos="720"/>
        </w:tabs>
        <w:ind w:left="720"/>
        <w:rPr>
          <w:rFonts w:cs="Arial"/>
          <w:b/>
          <w:sz w:val="20"/>
        </w:rPr>
      </w:pPr>
      <w:bookmarkStart w:id="74" w:name="_Ref313369975"/>
      <w:r w:rsidRPr="00A4589E">
        <w:rPr>
          <w:rFonts w:cs="Arial"/>
          <w:b/>
          <w:sz w:val="20"/>
        </w:rPr>
        <w:t>Freedom of Information</w:t>
      </w:r>
      <w:bookmarkEnd w:id="74"/>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w:t>
      </w:r>
      <w:r w:rsidRPr="00A4589E">
        <w:rPr>
          <w:rFonts w:cs="Arial"/>
          <w:sz w:val="20"/>
        </w:rPr>
        <w:lastRenderedPageBreak/>
        <w:t xml:space="preserve">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5"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5"/>
    </w:p>
    <w:p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lastRenderedPageBreak/>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Pr="00E85CEA"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sidRPr="00E85CEA">
        <w:rPr>
          <w:rFonts w:cs="Arial"/>
          <w:sz w:val="20"/>
        </w:rPr>
        <w:t>Customer to publish the Contract.</w:t>
      </w:r>
    </w:p>
    <w:p w:rsidR="00C03B23" w:rsidRDefault="00C03B23" w:rsidP="00C03B23">
      <w:pPr>
        <w:pStyle w:val="Heading3"/>
        <w:numPr>
          <w:ilvl w:val="0"/>
          <w:numId w:val="0"/>
        </w:numPr>
        <w:rPr>
          <w:rFonts w:cs="Arial"/>
          <w:b/>
          <w:sz w:val="20"/>
        </w:rPr>
      </w:pPr>
      <w:r w:rsidRPr="00E85CEA">
        <w:rPr>
          <w:rFonts w:cs="Arial"/>
          <w:b/>
          <w:sz w:val="20"/>
        </w:rPr>
        <w:t>6A.</w:t>
      </w:r>
      <w:r w:rsidRPr="00E85CEA">
        <w:rPr>
          <w:rFonts w:cs="Arial"/>
          <w:b/>
          <w:sz w:val="20"/>
        </w:rPr>
        <w:tab/>
      </w:r>
      <w:r w:rsidRPr="00E85CEA">
        <w:rPr>
          <w:rFonts w:cs="Arial"/>
          <w:b/>
          <w:sz w:val="20"/>
        </w:rPr>
        <w:tab/>
        <w:t xml:space="preserve">     SECURITY REQUIREMENTS</w:t>
      </w:r>
    </w:p>
    <w:p w:rsidR="00C03B23" w:rsidRPr="00E85CEA" w:rsidRDefault="00C03B23" w:rsidP="00C03B23">
      <w:pPr>
        <w:pStyle w:val="Heading3"/>
        <w:numPr>
          <w:ilvl w:val="0"/>
          <w:numId w:val="0"/>
        </w:numPr>
        <w:ind w:left="1701" w:hanging="992"/>
        <w:rPr>
          <w:rFonts w:cs="Arial"/>
          <w:sz w:val="20"/>
        </w:rPr>
      </w:pPr>
      <w:r w:rsidRPr="00E85CEA">
        <w:rPr>
          <w:rFonts w:cs="Arial"/>
          <w:sz w:val="20"/>
        </w:rPr>
        <w:t xml:space="preserve">6A.1       The Supplier shall comply, and shall procure the compliance of the Supplier’s Staff,  with the Security Policy and the Security Management Plan and the Supplier shall ensure that the Security Management Plan produced by the Supplier fully complies with the Security Policy.  </w:t>
      </w:r>
    </w:p>
    <w:p w:rsidR="00C03B23" w:rsidRPr="00E85CEA" w:rsidRDefault="00C03B23" w:rsidP="00C03B23">
      <w:pPr>
        <w:spacing w:after="0" w:line="240" w:lineRule="auto"/>
        <w:ind w:left="1701" w:hanging="992"/>
        <w:rPr>
          <w:sz w:val="20"/>
        </w:rPr>
      </w:pPr>
      <w:bookmarkStart w:id="76" w:name="_Ref225254750"/>
      <w:r w:rsidRPr="00E85CEA">
        <w:rPr>
          <w:sz w:val="20"/>
        </w:rPr>
        <w:t>6A.2</w:t>
      </w:r>
      <w:r w:rsidRPr="00E85CEA">
        <w:rPr>
          <w:sz w:val="20"/>
        </w:rPr>
        <w:tab/>
        <w:t>The Customer shall notify the Supplier of any changes or proposed changes to the Security Policy.</w:t>
      </w:r>
      <w:bookmarkStart w:id="77" w:name="_Ref221681832"/>
      <w:bookmarkStart w:id="78" w:name="_Ref231787108"/>
      <w:bookmarkEnd w:id="76"/>
    </w:p>
    <w:p w:rsidR="00C03B23" w:rsidRPr="00E85CEA" w:rsidRDefault="00C03B23" w:rsidP="00C03B23">
      <w:pPr>
        <w:spacing w:after="0" w:line="240" w:lineRule="auto"/>
        <w:ind w:left="1701" w:hanging="992"/>
        <w:rPr>
          <w:sz w:val="20"/>
        </w:rPr>
      </w:pPr>
    </w:p>
    <w:p w:rsidR="00C03B23" w:rsidRPr="00E85CEA" w:rsidRDefault="00C03B23" w:rsidP="00C03B23">
      <w:pPr>
        <w:spacing w:after="0" w:line="240" w:lineRule="auto"/>
        <w:ind w:left="1701" w:hanging="992"/>
        <w:rPr>
          <w:sz w:val="20"/>
        </w:rPr>
      </w:pPr>
      <w:r w:rsidRPr="00E85CEA">
        <w:rPr>
          <w:sz w:val="20"/>
        </w:rPr>
        <w:t>6A.3</w:t>
      </w:r>
      <w:r w:rsidRPr="00E85CEA">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7"/>
      <w:bookmarkEnd w:id="78"/>
    </w:p>
    <w:p w:rsidR="00C03B23" w:rsidRPr="00E85CEA" w:rsidRDefault="00C03B23" w:rsidP="00C03B23">
      <w:pPr>
        <w:spacing w:after="0" w:line="240" w:lineRule="auto"/>
        <w:ind w:left="1701" w:hanging="992"/>
        <w:rPr>
          <w:sz w:val="20"/>
        </w:rPr>
      </w:pPr>
    </w:p>
    <w:p w:rsidR="00C03B23" w:rsidRDefault="00C03B23" w:rsidP="00C03B23">
      <w:pPr>
        <w:spacing w:after="0" w:line="240" w:lineRule="auto"/>
        <w:ind w:left="1701" w:hanging="992"/>
        <w:rPr>
          <w:sz w:val="20"/>
        </w:rPr>
      </w:pPr>
      <w:r w:rsidRPr="00E85CEA">
        <w:rPr>
          <w:sz w:val="20"/>
        </w:rPr>
        <w:t>6A.4</w:t>
      </w:r>
      <w:r w:rsidRPr="00E85CEA">
        <w:rPr>
          <w:sz w:val="20"/>
        </w:rPr>
        <w:tab/>
        <w:t>Until and/or unless a change to the Contract Charges is agreed by the Customer pursuant to Clauses 2.2 the Supplier shall continue to perform the Contract Services in accordance with its existing obligations.]</w:t>
      </w:r>
    </w:p>
    <w:p w:rsidR="00C03B23" w:rsidRPr="00942C15" w:rsidRDefault="00C03B23" w:rsidP="00C03B23">
      <w:pPr>
        <w:spacing w:after="0" w:line="240" w:lineRule="auto"/>
        <w:ind w:left="1701" w:hanging="992"/>
        <w:rPr>
          <w:sz w:val="20"/>
        </w:rPr>
      </w:pPr>
    </w:p>
    <w:p w:rsidR="00C03B23" w:rsidRPr="007429AD" w:rsidRDefault="00C03B23" w:rsidP="00C03B23">
      <w:pPr>
        <w:pStyle w:val="Heading2"/>
        <w:numPr>
          <w:ilvl w:val="0"/>
          <w:numId w:val="0"/>
        </w:numPr>
        <w:tabs>
          <w:tab w:val="num" w:pos="1980"/>
        </w:tabs>
        <w:ind w:left="1350" w:hanging="720"/>
        <w:rPr>
          <w:b/>
          <w:sz w:val="20"/>
        </w:rPr>
      </w:pPr>
      <w:bookmarkStart w:id="79" w:name="_Ref172388386"/>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9"/>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80"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rsidR="00C03B23" w:rsidRPr="007429AD" w:rsidRDefault="00C03B23" w:rsidP="00C03B23">
      <w:pPr>
        <w:pStyle w:val="Heading3"/>
        <w:numPr>
          <w:ilvl w:val="0"/>
          <w:numId w:val="0"/>
        </w:numPr>
        <w:tabs>
          <w:tab w:val="num" w:pos="2970"/>
        </w:tabs>
        <w:ind w:left="1800" w:hanging="1080"/>
        <w:rPr>
          <w:sz w:val="20"/>
        </w:rPr>
      </w:pPr>
      <w:r>
        <w:rPr>
          <w:sz w:val="20"/>
        </w:rPr>
        <w:lastRenderedPageBreak/>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81" w:name="_Ref313372170"/>
      <w:bookmarkStart w:id="82" w:name="_Toc335743371"/>
      <w:bookmarkEnd w:id="80"/>
      <w:r w:rsidRPr="00A4589E">
        <w:rPr>
          <w:rFonts w:cs="Arial"/>
          <w:sz w:val="20"/>
        </w:rPr>
        <w:t>WARRANTIES</w:t>
      </w:r>
      <w:r>
        <w:rPr>
          <w:rFonts w:cs="Arial"/>
          <w:sz w:val="20"/>
        </w:rPr>
        <w:t>,</w:t>
      </w:r>
      <w:r w:rsidRPr="00A4589E">
        <w:rPr>
          <w:rFonts w:cs="Arial"/>
          <w:sz w:val="20"/>
        </w:rPr>
        <w:t xml:space="preserve"> REPRESENTATIONS</w:t>
      </w:r>
      <w:bookmarkEnd w:id="81"/>
      <w:r>
        <w:rPr>
          <w:rFonts w:cs="Arial"/>
          <w:sz w:val="20"/>
        </w:rPr>
        <w:t xml:space="preserve"> AND UNDERTAKINGS</w:t>
      </w:r>
      <w:bookmarkEnd w:id="82"/>
    </w:p>
    <w:p w:rsidR="00C03B23" w:rsidRPr="00A4589E" w:rsidRDefault="00C03B23" w:rsidP="00C03B23">
      <w:pPr>
        <w:pStyle w:val="Heading2"/>
        <w:keepNext/>
        <w:tabs>
          <w:tab w:val="num" w:pos="720"/>
        </w:tabs>
        <w:ind w:left="720"/>
        <w:rPr>
          <w:rFonts w:cs="Arial"/>
          <w:sz w:val="20"/>
        </w:rPr>
      </w:pPr>
      <w:bookmarkStart w:id="83"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3"/>
    </w:p>
    <w:p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sidRPr="00A4589E">
        <w:rPr>
          <w:rFonts w:cs="Arial"/>
          <w:sz w:val="20"/>
        </w:rPr>
        <w:t>in entering the Contract it has not committed any Fraud;</w:t>
      </w:r>
    </w:p>
    <w:p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 xml:space="preserve">it owns, has obtained or is able to obtain valid licences for all Intellectual Property Rights that are necessary for the performance of its obligations under </w:t>
      </w:r>
      <w:r w:rsidRPr="00A4589E">
        <w:rPr>
          <w:rFonts w:cs="Arial"/>
          <w:sz w:val="20"/>
        </w:rPr>
        <w:lastRenderedPageBreak/>
        <w:t>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will at all times:</w:t>
      </w:r>
    </w:p>
    <w:p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r>
        <w:rPr>
          <w:rFonts w:cs="Arial"/>
          <w:sz w:val="20"/>
        </w:rPr>
        <w:t>of any material detrimental change in the financial standing and/or credit rating of the Supplier;</w:t>
      </w:r>
    </w:p>
    <w:p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84" w:name="_Ref313373896"/>
      <w:bookmarkStart w:id="85" w:name="_Toc335743372"/>
      <w:r w:rsidRPr="00A4589E">
        <w:rPr>
          <w:rFonts w:cs="Arial"/>
          <w:sz w:val="20"/>
        </w:rPr>
        <w:lastRenderedPageBreak/>
        <w:t>TERMINATION</w:t>
      </w:r>
      <w:bookmarkEnd w:id="84"/>
      <w:bookmarkEnd w:id="85"/>
    </w:p>
    <w:p w:rsidR="00C03B23" w:rsidRPr="00A4589E" w:rsidRDefault="00C03B23" w:rsidP="00C03B23">
      <w:pPr>
        <w:pStyle w:val="Heading2"/>
        <w:keepNext/>
        <w:tabs>
          <w:tab w:val="num" w:pos="720"/>
        </w:tabs>
        <w:ind w:left="720"/>
        <w:rPr>
          <w:rFonts w:cs="Arial"/>
          <w:b/>
          <w:sz w:val="20"/>
        </w:rPr>
      </w:pPr>
      <w:bookmarkStart w:id="86" w:name="_Ref313371016"/>
      <w:r w:rsidRPr="00A4589E">
        <w:rPr>
          <w:rFonts w:cs="Arial"/>
          <w:b/>
          <w:sz w:val="20"/>
        </w:rPr>
        <w:t>Termination on Insolvency</w:t>
      </w:r>
      <w:bookmarkEnd w:id="86"/>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7"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7"/>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 xml:space="preserve">easonably be expected to have a </w:t>
      </w:r>
      <w:r>
        <w:rPr>
          <w:rFonts w:cs="Arial"/>
          <w:sz w:val="20"/>
        </w:rPr>
        <w:lastRenderedPageBreak/>
        <w:t>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8"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8"/>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9"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9"/>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90" w:name="_Ref313369326"/>
      <w:r w:rsidRPr="00A4589E">
        <w:rPr>
          <w:rFonts w:cs="Arial"/>
          <w:b/>
          <w:sz w:val="20"/>
        </w:rPr>
        <w:t xml:space="preserve">Termination on </w:t>
      </w:r>
      <w:bookmarkEnd w:id="90"/>
      <w:r>
        <w:rPr>
          <w:rFonts w:cs="Arial"/>
          <w:b/>
          <w:sz w:val="20"/>
        </w:rPr>
        <w:t>Material Breach, Persistent Failure or Grave Misconduct etc</w:t>
      </w:r>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r w:rsidRPr="0086551D">
        <w:rPr>
          <w:sz w:val="20"/>
        </w:rPr>
        <w:t>remedied the Material Breach; and</w:t>
      </w:r>
    </w:p>
    <w:p w:rsidR="00C03B23" w:rsidRPr="0086551D" w:rsidRDefault="00C03B23" w:rsidP="00C03B23">
      <w:pPr>
        <w:pStyle w:val="Heading6"/>
        <w:rPr>
          <w:sz w:val="20"/>
        </w:rPr>
      </w:pPr>
      <w:r w:rsidRPr="0086551D">
        <w:rPr>
          <w:sz w:val="20"/>
        </w:rPr>
        <w:t>put in place measures to ensure that such Material Breach does not recur,</w:t>
      </w:r>
    </w:p>
    <w:p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r w:rsidRPr="0086551D">
        <w:rPr>
          <w:sz w:val="20"/>
        </w:rPr>
        <w:t>if a Persistent Failure has occurred; or</w:t>
      </w:r>
    </w:p>
    <w:p w:rsidR="00C03B23" w:rsidRPr="0086551D" w:rsidRDefault="00C03B23" w:rsidP="00C03B23">
      <w:pPr>
        <w:pStyle w:val="Heading4"/>
        <w:rPr>
          <w:sz w:val="20"/>
        </w:rPr>
      </w:pPr>
      <w:r w:rsidRPr="0086551D">
        <w:rPr>
          <w:sz w:val="20"/>
        </w:rPr>
        <w:t>if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lastRenderedPageBreak/>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91"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1"/>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92" w:name="_Ref313371033"/>
      <w:bookmarkStart w:id="93" w:name="_Ref313369604"/>
      <w:r w:rsidRPr="00A4589E">
        <w:rPr>
          <w:rFonts w:cs="Arial"/>
          <w:b/>
          <w:sz w:val="20"/>
        </w:rPr>
        <w:t>Termination on Change of Control</w:t>
      </w:r>
      <w:bookmarkEnd w:id="92"/>
    </w:p>
    <w:p w:rsidR="00C03B23" w:rsidRPr="00A4589E" w:rsidRDefault="00C03B23" w:rsidP="00C03B23">
      <w:pPr>
        <w:pStyle w:val="Heading3"/>
        <w:rPr>
          <w:rFonts w:cs="Arial"/>
          <w:sz w:val="20"/>
        </w:rPr>
      </w:pPr>
      <w:bookmarkStart w:id="94"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4"/>
    </w:p>
    <w:p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3"/>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5" w:name="_Ref313370007"/>
      <w:bookmarkStart w:id="96" w:name="_Toc335743373"/>
      <w:r w:rsidRPr="00A4589E">
        <w:rPr>
          <w:rFonts w:cs="Arial"/>
          <w:sz w:val="20"/>
        </w:rPr>
        <w:t>CONSEQUENCES OF EXPIRY OR TERMINATION</w:t>
      </w:r>
      <w:bookmarkEnd w:id="95"/>
      <w:bookmarkEnd w:id="96"/>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w:t>
      </w:r>
      <w:r w:rsidRPr="00A4589E">
        <w:rPr>
          <w:rFonts w:cs="Arial"/>
          <w:sz w:val="20"/>
        </w:rPr>
        <w:lastRenderedPageBreak/>
        <w:t xml:space="preserve">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7"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7"/>
    </w:p>
    <w:p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8"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w:t>
      </w:r>
      <w:r>
        <w:rPr>
          <w:rFonts w:cs="Arial"/>
          <w:sz w:val="20"/>
        </w:rPr>
        <w:lastRenderedPageBreak/>
        <w:t xml:space="preserve">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8"/>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99" w:name="_Ref313373915"/>
      <w:bookmarkStart w:id="100" w:name="_Toc335743374"/>
      <w:r w:rsidRPr="00A4589E">
        <w:rPr>
          <w:rFonts w:cs="Arial"/>
          <w:sz w:val="20"/>
        </w:rPr>
        <w:t>PUBLICITY, MEDIA AND OFFICIAL ENQUIRIES</w:t>
      </w:r>
      <w:bookmarkEnd w:id="99"/>
      <w:bookmarkEnd w:id="100"/>
    </w:p>
    <w:p w:rsidR="00C03B23" w:rsidRPr="00A4589E" w:rsidRDefault="00C03B23" w:rsidP="00C03B23">
      <w:pPr>
        <w:pStyle w:val="Heading2"/>
        <w:tabs>
          <w:tab w:val="num" w:pos="720"/>
        </w:tabs>
        <w:ind w:left="720"/>
        <w:rPr>
          <w:rFonts w:cs="Arial"/>
          <w:sz w:val="20"/>
        </w:rPr>
      </w:pPr>
      <w:bookmarkStart w:id="101"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1"/>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102" w:name="_Ref313370019"/>
      <w:bookmarkStart w:id="103" w:name="_Toc335743375"/>
      <w:r w:rsidRPr="00A4589E">
        <w:rPr>
          <w:rFonts w:cs="Arial"/>
          <w:sz w:val="20"/>
        </w:rPr>
        <w:t>PREVENTION OF BRIBERY AND CORRUPTION</w:t>
      </w:r>
      <w:bookmarkEnd w:id="102"/>
      <w:bookmarkEnd w:id="103"/>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rsidR="00C03B23" w:rsidRPr="00A4589E" w:rsidRDefault="00C03B23" w:rsidP="00C03B23">
      <w:pPr>
        <w:pStyle w:val="Heading3"/>
        <w:rPr>
          <w:rFonts w:cs="Arial"/>
          <w:sz w:val="20"/>
        </w:rPr>
      </w:pPr>
      <w:r w:rsidRPr="00A4589E">
        <w:rPr>
          <w:rFonts w:cs="Arial"/>
          <w:sz w:val="20"/>
        </w:rPr>
        <w:lastRenderedPageBreak/>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104" w:name="_Toc335743376"/>
      <w:r w:rsidRPr="00A4589E">
        <w:rPr>
          <w:rFonts w:cs="Arial"/>
          <w:sz w:val="20"/>
        </w:rPr>
        <w:t>NON-DISCRIMINATION</w:t>
      </w:r>
      <w:bookmarkEnd w:id="104"/>
    </w:p>
    <w:p w:rsidR="00C03B23" w:rsidRPr="00A4589E" w:rsidRDefault="00C03B23" w:rsidP="00C03B23">
      <w:pPr>
        <w:pStyle w:val="Heading2"/>
        <w:tabs>
          <w:tab w:val="num" w:pos="720"/>
        </w:tabs>
        <w:ind w:left="720"/>
        <w:rPr>
          <w:rFonts w:cs="Arial"/>
          <w:sz w:val="20"/>
        </w:rPr>
      </w:pPr>
      <w:bookmarkStart w:id="105"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5"/>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6" w:name="_Ref313370082"/>
      <w:bookmarkStart w:id="107" w:name="_Toc335743377"/>
      <w:r w:rsidRPr="00A4589E">
        <w:rPr>
          <w:rFonts w:cs="Arial"/>
          <w:sz w:val="20"/>
        </w:rPr>
        <w:t>PREVENTION OF FRAUD</w:t>
      </w:r>
      <w:bookmarkEnd w:id="106"/>
      <w:bookmarkEnd w:id="107"/>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rsidR="00C03B23" w:rsidRDefault="00C03B23" w:rsidP="00C03B23">
      <w:pPr>
        <w:pStyle w:val="Heading3"/>
        <w:rPr>
          <w:rFonts w:cs="Arial"/>
          <w:sz w:val="20"/>
        </w:rPr>
      </w:pPr>
      <w:r>
        <w:rPr>
          <w:rFonts w:cs="Arial"/>
          <w:sz w:val="20"/>
        </w:rPr>
        <w:t>the Supplier breaches any of its obligations under Clause 13.1 and Clause 13.2; or</w:t>
      </w:r>
    </w:p>
    <w:p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8" w:name="_Ref313370605"/>
      <w:bookmarkStart w:id="109" w:name="_Toc335743378"/>
      <w:r w:rsidRPr="00A4589E">
        <w:rPr>
          <w:rFonts w:cs="Arial"/>
          <w:sz w:val="20"/>
        </w:rPr>
        <w:t>TRANSFER AND SUB-CONTRACTING</w:t>
      </w:r>
      <w:bookmarkEnd w:id="108"/>
      <w:bookmarkEnd w:id="109"/>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10"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10"/>
    </w:p>
    <w:p w:rsidR="00C03B23" w:rsidRPr="00A4589E" w:rsidRDefault="00C03B23" w:rsidP="00C03B23">
      <w:pPr>
        <w:pStyle w:val="Heading3"/>
        <w:rPr>
          <w:rFonts w:cs="Arial"/>
          <w:sz w:val="20"/>
        </w:rPr>
      </w:pPr>
      <w:r w:rsidRPr="00A4589E">
        <w:rPr>
          <w:rFonts w:cs="Arial"/>
          <w:sz w:val="20"/>
        </w:rPr>
        <w:t>any other Contracting Body; or</w:t>
      </w:r>
    </w:p>
    <w:p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r w:rsidRPr="00A4589E">
        <w:rPr>
          <w:rFonts w:cs="Arial"/>
          <w:sz w:val="20"/>
        </w:rPr>
        <w:lastRenderedPageBreak/>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11"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1"/>
    </w:p>
    <w:p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12" w:name="_Toc335743379"/>
      <w:r w:rsidRPr="001A3AB9">
        <w:rPr>
          <w:rFonts w:cs="Arial"/>
          <w:sz w:val="20"/>
        </w:rPr>
        <w:t>WAIVER</w:t>
      </w:r>
      <w:bookmarkEnd w:id="112"/>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13" w:name="_Ref313370047"/>
      <w:bookmarkStart w:id="114" w:name="_Toc335743380"/>
      <w:r w:rsidRPr="001A3AB9">
        <w:rPr>
          <w:rFonts w:cs="Arial"/>
          <w:sz w:val="20"/>
        </w:rPr>
        <w:t>CUMULATI</w:t>
      </w:r>
      <w:r w:rsidRPr="001A3AB9">
        <w:rPr>
          <w:rFonts w:cs="Arial"/>
          <w:b w:val="0"/>
          <w:sz w:val="20"/>
        </w:rPr>
        <w:t>V</w:t>
      </w:r>
      <w:r w:rsidRPr="001A3AB9">
        <w:rPr>
          <w:rFonts w:cs="Arial"/>
          <w:sz w:val="20"/>
        </w:rPr>
        <w:t>E REMEDIES</w:t>
      </w:r>
      <w:bookmarkEnd w:id="113"/>
      <w:bookmarkEnd w:id="114"/>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5" w:name="_Toc335743381"/>
      <w:r w:rsidRPr="00A4589E">
        <w:rPr>
          <w:rFonts w:cs="Arial"/>
          <w:sz w:val="20"/>
        </w:rPr>
        <w:lastRenderedPageBreak/>
        <w:t>FURTHER ASSURANCES</w:t>
      </w:r>
      <w:bookmarkEnd w:id="115"/>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6" w:name="_Toc335743382"/>
      <w:r w:rsidRPr="00A4589E">
        <w:rPr>
          <w:rFonts w:cs="Arial"/>
          <w:sz w:val="20"/>
        </w:rPr>
        <w:t>SEVERABILITY</w:t>
      </w:r>
      <w:bookmarkEnd w:id="116"/>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7" w:name="_Toc335743383"/>
      <w:r>
        <w:rPr>
          <w:rFonts w:cs="Arial"/>
          <w:sz w:val="20"/>
        </w:rPr>
        <w:t>SUPPLIER</w:t>
      </w:r>
      <w:r w:rsidRPr="00A4589E">
        <w:rPr>
          <w:rFonts w:cs="Arial"/>
          <w:sz w:val="20"/>
        </w:rPr>
        <w:t>’S STATUS</w:t>
      </w:r>
      <w:bookmarkEnd w:id="117"/>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8" w:name="_Toc335743384"/>
      <w:r w:rsidRPr="00A4589E">
        <w:rPr>
          <w:rFonts w:cs="Arial"/>
          <w:sz w:val="20"/>
        </w:rPr>
        <w:t>ENTIRE AGREEMENT</w:t>
      </w:r>
      <w:bookmarkEnd w:id="118"/>
    </w:p>
    <w:p w:rsidR="00C03B23" w:rsidRPr="00A4589E" w:rsidRDefault="00C03B23" w:rsidP="00C03B23">
      <w:pPr>
        <w:pStyle w:val="Heading2"/>
        <w:tabs>
          <w:tab w:val="num" w:pos="720"/>
        </w:tabs>
        <w:ind w:left="720"/>
        <w:rPr>
          <w:rFonts w:cs="Arial"/>
          <w:sz w:val="20"/>
        </w:rPr>
      </w:pPr>
      <w:bookmarkStart w:id="119"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9"/>
    </w:p>
    <w:p w:rsidR="00C03B23" w:rsidRPr="00A4589E" w:rsidRDefault="00C03B23" w:rsidP="00C03B23">
      <w:pPr>
        <w:pStyle w:val="Heading2"/>
        <w:tabs>
          <w:tab w:val="num" w:pos="720"/>
        </w:tabs>
        <w:ind w:left="720"/>
        <w:rPr>
          <w:rFonts w:cs="Arial"/>
          <w:sz w:val="20"/>
        </w:rPr>
      </w:pPr>
      <w:bookmarkStart w:id="120"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20"/>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21" w:name="_Ref313370095"/>
      <w:bookmarkStart w:id="122" w:name="_Toc335743385"/>
      <w:r w:rsidRPr="00A4589E">
        <w:rPr>
          <w:rFonts w:cs="Arial"/>
          <w:sz w:val="20"/>
        </w:rPr>
        <w:lastRenderedPageBreak/>
        <w:t>CONTRACTS (RIGHTS OF THIRD PARTIES) ACT</w:t>
      </w:r>
      <w:bookmarkEnd w:id="121"/>
      <w:bookmarkEnd w:id="122"/>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23"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24" w:name="_Toc335743386"/>
      <w:r w:rsidRPr="00A4589E">
        <w:rPr>
          <w:rFonts w:cs="Arial"/>
          <w:sz w:val="20"/>
        </w:rPr>
        <w:t>NOTICES</w:t>
      </w:r>
      <w:bookmarkEnd w:id="123"/>
      <w:bookmarkEnd w:id="124"/>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5"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rsidR="00C03B23" w:rsidRPr="00837B0E" w:rsidRDefault="00C03B23" w:rsidP="00C03B23">
      <w:pPr>
        <w:pStyle w:val="Heading4"/>
        <w:rPr>
          <w:sz w:val="20"/>
        </w:rPr>
      </w:pPr>
      <w:r w:rsidRPr="00837B0E">
        <w:rPr>
          <w:sz w:val="20"/>
        </w:rPr>
        <w:t>if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r w:rsidRPr="00837B0E">
        <w:rPr>
          <w:sz w:val="20"/>
        </w:rPr>
        <w:t>if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5"/>
    </w:p>
    <w:p w:rsidR="00C03B23" w:rsidRPr="00A4589E" w:rsidRDefault="00C03B23" w:rsidP="00C03B23">
      <w:pPr>
        <w:pStyle w:val="Heading2"/>
        <w:tabs>
          <w:tab w:val="num" w:pos="720"/>
        </w:tabs>
        <w:ind w:left="720"/>
        <w:rPr>
          <w:rFonts w:cs="Arial"/>
          <w:sz w:val="20"/>
        </w:rPr>
      </w:pPr>
      <w:bookmarkStart w:id="126"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6"/>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7" w:name="_Toc314810842"/>
      <w:bookmarkStart w:id="128" w:name="_Toc335743387"/>
      <w:r w:rsidRPr="00837B0E">
        <w:rPr>
          <w:sz w:val="20"/>
        </w:rPr>
        <w:lastRenderedPageBreak/>
        <w:t>DISPUTES AND LAW</w:t>
      </w:r>
      <w:bookmarkEnd w:id="127"/>
      <w:bookmarkEnd w:id="128"/>
    </w:p>
    <w:p w:rsidR="00C03B23" w:rsidRPr="00837B0E" w:rsidRDefault="00C03B23" w:rsidP="00C03B23">
      <w:pPr>
        <w:pStyle w:val="Heading2"/>
        <w:keepNext/>
        <w:tabs>
          <w:tab w:val="clear" w:pos="1350"/>
          <w:tab w:val="num" w:pos="720"/>
        </w:tabs>
        <w:ind w:left="720"/>
        <w:rPr>
          <w:b/>
          <w:sz w:val="20"/>
        </w:rPr>
      </w:pPr>
      <w:bookmarkStart w:id="129" w:name="_Ref313370109"/>
      <w:r w:rsidRPr="00837B0E">
        <w:rPr>
          <w:b/>
          <w:sz w:val="20"/>
        </w:rPr>
        <w:t>Governing Law and Jurisdiction</w:t>
      </w:r>
      <w:bookmarkEnd w:id="129"/>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30" w:name="_Ref313372098"/>
      <w:r w:rsidRPr="00837B0E">
        <w:rPr>
          <w:b/>
          <w:sz w:val="20"/>
        </w:rPr>
        <w:t>Dispute Resolution</w:t>
      </w:r>
      <w:bookmarkEnd w:id="130"/>
    </w:p>
    <w:p w:rsidR="00C03B23" w:rsidRPr="00837B0E" w:rsidRDefault="00C03B23" w:rsidP="00C03B23">
      <w:pPr>
        <w:pStyle w:val="Heading3"/>
        <w:rPr>
          <w:sz w:val="20"/>
        </w:rPr>
      </w:pPr>
      <w:bookmarkStart w:id="131"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1"/>
    </w:p>
    <w:p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32" w:name="_Ref313371432"/>
      <w:r w:rsidRPr="00837B0E">
        <w:rPr>
          <w:sz w:val="20"/>
        </w:rPr>
        <w:t>The procedure for mediation is as follows:</w:t>
      </w:r>
      <w:bookmarkEnd w:id="132"/>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rsidR="00C03B23" w:rsidRPr="00837B0E" w:rsidRDefault="00C03B23" w:rsidP="00C03B23">
      <w:pPr>
        <w:pStyle w:val="Heading4"/>
        <w:rPr>
          <w:sz w:val="20"/>
        </w:rPr>
      </w:pPr>
      <w:r w:rsidRPr="00837B0E">
        <w:rPr>
          <w:sz w:val="20"/>
        </w:rPr>
        <w:lastRenderedPageBreak/>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33"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3"/>
    </w:p>
    <w:p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34" w:name="_Toc127759065"/>
      <w:bookmarkStart w:id="135" w:name="_Toc139080105"/>
      <w:bookmarkStart w:id="136" w:name="_Toc296514644"/>
      <w:bookmarkStart w:id="137" w:name="_Toc297577110"/>
      <w:bookmarkStart w:id="138" w:name="_Toc297577509"/>
      <w:bookmarkStart w:id="139" w:name="_Toc297624436"/>
    </w:p>
    <w:bookmarkEnd w:id="134"/>
    <w:bookmarkEnd w:id="135"/>
    <w:bookmarkEnd w:id="136"/>
    <w:bookmarkEnd w:id="137"/>
    <w:bookmarkEnd w:id="138"/>
    <w:bookmarkEnd w:id="139"/>
    <w:p w:rsidR="00C03B23" w:rsidRPr="00A4589E" w:rsidRDefault="00C03B23" w:rsidP="00C03B23">
      <w:pPr>
        <w:pStyle w:val="Heading4"/>
        <w:rPr>
          <w:rFonts w:cs="Arial"/>
          <w:sz w:val="20"/>
        </w:rPr>
        <w:sectPr w:rsidR="00C03B23" w:rsidRPr="00A4589E" w:rsidSect="005B48E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440" w:right="1701"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40" w:name="_Toc335743388"/>
      <w:bookmarkStart w:id="141" w:name="_Ref313382807"/>
      <w:bookmarkStart w:id="142"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40"/>
      <w:r w:rsidRPr="00A4589E">
        <w:rPr>
          <w:rFonts w:ascii="Arial" w:hAnsi="Arial" w:cs="Arial"/>
          <w:sz w:val="20"/>
        </w:rPr>
        <w:t xml:space="preserve"> </w:t>
      </w:r>
    </w:p>
    <w:p w:rsidR="00C03B23" w:rsidRPr="00942CB1" w:rsidRDefault="00C03B23" w:rsidP="00C03B23">
      <w:pPr>
        <w:pStyle w:val="MarginText"/>
        <w:keepNext/>
        <w:numPr>
          <w:ilvl w:val="0"/>
          <w:numId w:val="35"/>
        </w:numPr>
        <w:rPr>
          <w:sz w:val="20"/>
        </w:rPr>
      </w:pPr>
      <w:r w:rsidRPr="00942CB1">
        <w:rPr>
          <w:b/>
          <w:bCs/>
          <w:sz w:val="20"/>
        </w:rPr>
        <w:t xml:space="preserve">SCOPE </w:t>
      </w:r>
    </w:p>
    <w:p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C03B23">
      <w:pPr>
        <w:pStyle w:val="MarginText"/>
        <w:keepNext/>
        <w:numPr>
          <w:ilvl w:val="0"/>
          <w:numId w:val="36"/>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rsidR="00C03B23" w:rsidRPr="00F03D5D" w:rsidRDefault="00C03B23" w:rsidP="00C03B23">
      <w:pPr>
        <w:pStyle w:val="MarginText"/>
        <w:numPr>
          <w:ilvl w:val="0"/>
          <w:numId w:val="36"/>
        </w:numPr>
        <w:rPr>
          <w:b/>
          <w:bCs/>
          <w:sz w:val="20"/>
        </w:rPr>
      </w:pPr>
      <w:bookmarkStart w:id="143" w:name="_Toc26780124"/>
      <w:r w:rsidRPr="00F03D5D">
        <w:rPr>
          <w:b/>
          <w:bCs/>
          <w:sz w:val="20"/>
        </w:rPr>
        <w:t>SERVICE LEVELS</w:t>
      </w:r>
    </w:p>
    <w:p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w:t>
      </w:r>
      <w:r w:rsidRPr="00F03D5D">
        <w:rPr>
          <w:sz w:val="20"/>
        </w:rPr>
        <w:lastRenderedPageBreak/>
        <w:t>Services (or other agreed milestone).  The Customer and Supplier shall review the outcomes of the PAR and agree any arising actions.</w:t>
      </w:r>
    </w:p>
    <w:p w:rsidR="00C03B23" w:rsidRPr="00F03D5D" w:rsidRDefault="00C03B23" w:rsidP="00C03B23">
      <w:pPr>
        <w:pStyle w:val="MarginText"/>
        <w:numPr>
          <w:ilvl w:val="1"/>
          <w:numId w:val="36"/>
        </w:numPr>
        <w:rPr>
          <w:sz w:val="20"/>
        </w:rPr>
      </w:pPr>
      <w:r w:rsidRPr="00F03D5D">
        <w:rPr>
          <w:sz w:val="20"/>
        </w:rPr>
        <w:t>The Supplier shall achieve:</w:t>
      </w:r>
    </w:p>
    <w:p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3"/>
    <w:p w:rsidR="00C03B23" w:rsidRPr="00F03D5D" w:rsidRDefault="00C03B23" w:rsidP="00C03B23">
      <w:pPr>
        <w:pStyle w:val="MarginText"/>
        <w:keepNext/>
        <w:numPr>
          <w:ilvl w:val="0"/>
          <w:numId w:val="36"/>
        </w:numPr>
        <w:rPr>
          <w:b/>
          <w:bCs/>
          <w:sz w:val="20"/>
        </w:rPr>
      </w:pPr>
      <w:r w:rsidRPr="00F03D5D">
        <w:rPr>
          <w:b/>
          <w:bCs/>
          <w:sz w:val="20"/>
        </w:rPr>
        <w:t>SERVICE PERFORMANCE REVIEW</w:t>
      </w:r>
    </w:p>
    <w:p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44"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4"/>
    </w:p>
    <w:p w:rsidR="00C03B23" w:rsidRPr="00942CB1" w:rsidRDefault="00C03B23" w:rsidP="00C03B23">
      <w:pPr>
        <w:pStyle w:val="MarginText"/>
        <w:jc w:val="center"/>
        <w:rPr>
          <w:b/>
          <w:bCs/>
          <w:sz w:val="20"/>
        </w:rPr>
      </w:pPr>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523"/>
        <w:gridCol w:w="445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C03B23" w:rsidRPr="00942CB1" w:rsidRDefault="00C03B23" w:rsidP="00C03B23">
      <w:pPr>
        <w:overflowPunct/>
        <w:autoSpaceDE/>
        <w:autoSpaceDN/>
        <w:adjustRightInd/>
        <w:spacing w:after="200" w:line="276" w:lineRule="auto"/>
        <w:jc w:val="left"/>
        <w:textAlignment w:val="auto"/>
        <w:rPr>
          <w:b/>
          <w:bCs/>
          <w:sz w:val="20"/>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813"/>
        <w:gridCol w:w="5705"/>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C03B23" w:rsidRDefault="00C03B23" w:rsidP="00C03B23">
      <w:pPr>
        <w:overflowPunct/>
        <w:autoSpaceDE/>
        <w:autoSpaceDN/>
        <w:adjustRightInd/>
        <w:spacing w:after="200" w:line="276" w:lineRule="auto"/>
        <w:jc w:val="left"/>
        <w:textAlignment w:val="auto"/>
        <w:rPr>
          <w:b/>
          <w:bCs/>
          <w:sz w:val="20"/>
          <w:lang w:eastAsia="en-GB"/>
        </w:rPr>
      </w:pPr>
    </w:p>
    <w:p w:rsidR="00AB64A8" w:rsidRDefault="00AB64A8">
      <w:pPr>
        <w:overflowPunct/>
        <w:autoSpaceDE/>
        <w:autoSpaceDN/>
        <w:adjustRightInd/>
        <w:spacing w:after="0" w:line="240" w:lineRule="auto"/>
        <w:jc w:val="left"/>
        <w:textAlignment w:val="auto"/>
        <w:rPr>
          <w:b/>
          <w:bCs/>
          <w:sz w:val="20"/>
          <w:lang w:eastAsia="en-GB"/>
        </w:rPr>
      </w:pPr>
      <w:r>
        <w:rPr>
          <w:b/>
          <w:bCs/>
          <w:sz w:val="20"/>
          <w:lang w:eastAsia="en-GB"/>
        </w:rPr>
        <w:br w:type="page"/>
      </w:r>
    </w:p>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115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CB2345" w:rsidRDefault="00CB2345">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2.1 Payment is linked to benefit </w:t>
            </w:r>
            <w:r w:rsidRPr="00942CB1">
              <w:rPr>
                <w:sz w:val="20"/>
                <w:lang w:eastAsia="en-GB"/>
              </w:rPr>
              <w:lastRenderedPageBreak/>
              <w:t>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is open to incentivisation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1367"/>
        </w:trPr>
        <w:tc>
          <w:tcPr>
            <w:tcW w:w="1810" w:type="dxa"/>
            <w:vMerge w:val="restart"/>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585"/>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41"/>
      <w:bookmarkEnd w:id="142"/>
    </w:tbl>
    <w:p w:rsidR="00C03B23" w:rsidRDefault="00C03B23" w:rsidP="00C03B23">
      <w:pPr>
        <w:overflowPunct/>
        <w:autoSpaceDE/>
        <w:autoSpaceDN/>
        <w:adjustRightInd/>
        <w:spacing w:after="0" w:line="240" w:lineRule="auto"/>
        <w:jc w:val="left"/>
        <w:textAlignment w:val="auto"/>
        <w:rPr>
          <w:rFonts w:cs="Arial"/>
          <w:b/>
          <w:sz w:val="20"/>
        </w:rPr>
      </w:pPr>
    </w:p>
    <w:p w:rsidR="00C03B23" w:rsidRDefault="00C03B23" w:rsidP="00C03B23">
      <w:pPr>
        <w:overflowPunct/>
        <w:autoSpaceDE/>
        <w:autoSpaceDN/>
        <w:adjustRightInd/>
        <w:spacing w:after="0" w:line="240" w:lineRule="auto"/>
        <w:jc w:val="left"/>
        <w:textAlignment w:val="auto"/>
        <w:rPr>
          <w:rFonts w:cs="Arial"/>
          <w:b/>
          <w:sz w:val="20"/>
        </w:rPr>
      </w:pPr>
    </w:p>
    <w:p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5"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5"/>
    </w:p>
    <w:p w:rsidR="00C03B23" w:rsidRPr="00942C15" w:rsidRDefault="00C03B23" w:rsidP="00C03B23">
      <w:pPr>
        <w:overflowPunct/>
        <w:autoSpaceDE/>
        <w:autoSpaceDN/>
        <w:adjustRightInd/>
        <w:spacing w:after="0" w:line="240" w:lineRule="auto"/>
        <w:jc w:val="left"/>
        <w:textAlignment w:val="auto"/>
        <w:rPr>
          <w:rFonts w:cs="Arial"/>
          <w:b/>
          <w:i/>
          <w:sz w:val="20"/>
        </w:rPr>
      </w:pPr>
    </w:p>
    <w:p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rsidTr="00C03B23">
        <w:trPr>
          <w:trHeight w:val="1151"/>
        </w:trPr>
        <w:tc>
          <w:tcPr>
            <w:tcW w:w="2660" w:type="dxa"/>
          </w:tcPr>
          <w:p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rsidTr="00C03B23">
        <w:trPr>
          <w:trHeight w:val="854"/>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rsidTr="00C03B23">
        <w:trPr>
          <w:trHeight w:val="655"/>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rsidTr="00C03B23">
        <w:trPr>
          <w:trHeight w:val="747"/>
        </w:trPr>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rsidR="00AB64A8" w:rsidRDefault="00AB64A8" w:rsidP="00C03B23">
      <w:pPr>
        <w:pStyle w:val="Heading1"/>
        <w:numPr>
          <w:ilvl w:val="0"/>
          <w:numId w:val="0"/>
        </w:numPr>
        <w:rPr>
          <w:rFonts w:cs="Arial"/>
          <w:sz w:val="20"/>
        </w:rPr>
      </w:pPr>
    </w:p>
    <w:p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rsidR="00C03B23" w:rsidRPr="008311CC" w:rsidRDefault="00C03B23" w:rsidP="00C03B23">
      <w:pPr>
        <w:pStyle w:val="Heading1"/>
        <w:numPr>
          <w:ilvl w:val="0"/>
          <w:numId w:val="0"/>
        </w:numPr>
        <w:rPr>
          <w:rFonts w:cs="Arial"/>
          <w:sz w:val="20"/>
        </w:rPr>
      </w:pPr>
    </w:p>
    <w:p w:rsidR="00C03B23" w:rsidRPr="00A80570" w:rsidRDefault="00C03B23" w:rsidP="00C03B23">
      <w:pPr>
        <w:pStyle w:val="MarginText"/>
        <w:rPr>
          <w:b/>
        </w:rPr>
      </w:pPr>
      <w:bookmarkStart w:id="146" w:name="_Toc331761805"/>
      <w:bookmarkStart w:id="147" w:name="_Toc333413319"/>
      <w:r w:rsidRPr="00A80570">
        <w:rPr>
          <w:b/>
        </w:rPr>
        <w:t>1</w:t>
      </w:r>
      <w:r w:rsidRPr="00A80570">
        <w:rPr>
          <w:b/>
        </w:rPr>
        <w:tab/>
        <w:t>INTRODUCTION</w:t>
      </w:r>
      <w:bookmarkEnd w:id="146"/>
      <w:bookmarkEnd w:id="147"/>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rsidR="00C03B23" w:rsidRPr="00A80570" w:rsidRDefault="00C03B23" w:rsidP="00C03B23">
      <w:pPr>
        <w:pStyle w:val="MarginText"/>
        <w:rPr>
          <w:b/>
        </w:rPr>
      </w:pPr>
      <w:bookmarkStart w:id="148" w:name="_Toc331761806"/>
      <w:bookmarkStart w:id="149" w:name="_Toc333413320"/>
      <w:r w:rsidRPr="00A80570">
        <w:rPr>
          <w:b/>
        </w:rPr>
        <w:t>2.</w:t>
      </w:r>
      <w:r w:rsidRPr="00A80570">
        <w:rPr>
          <w:b/>
        </w:rPr>
        <w:tab/>
        <w:t>PRINCIPLES OF SECURITY</w:t>
      </w:r>
      <w:bookmarkEnd w:id="148"/>
      <w:bookmarkEnd w:id="149"/>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 xml:space="preserve">Services is </w:t>
      </w:r>
      <w:r w:rsidRPr="008311CC">
        <w:rPr>
          <w:rFonts w:cs="Arial"/>
          <w:sz w:val="20"/>
        </w:rPr>
        <w:lastRenderedPageBreak/>
        <w:t>appropriate to maintain the following at acceptable risk levels (to be defined by the Customer from time to time):</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C03B23" w:rsidRPr="00A80570" w:rsidRDefault="00C03B23" w:rsidP="00C03B23">
      <w:pPr>
        <w:pStyle w:val="MarginText"/>
        <w:rPr>
          <w:b/>
        </w:rPr>
      </w:pPr>
      <w:bookmarkStart w:id="150" w:name="_Toc331761807"/>
      <w:bookmarkStart w:id="151" w:name="_Toc333413321"/>
      <w:r w:rsidRPr="00A80570">
        <w:rPr>
          <w:b/>
        </w:rPr>
        <w:t>3.</w:t>
      </w:r>
      <w:r w:rsidRPr="00A80570">
        <w:rPr>
          <w:b/>
        </w:rPr>
        <w:tab/>
        <w:t>ISMS AND SECURITY MANAGEMENT PLAN</w:t>
      </w:r>
      <w:bookmarkEnd w:id="150"/>
      <w:bookmarkEnd w:id="151"/>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lastRenderedPageBreak/>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w:t>
      </w:r>
      <w:r w:rsidRPr="008311CC">
        <w:rPr>
          <w:rFonts w:cs="Arial"/>
          <w:sz w:val="20"/>
        </w:rPr>
        <w:lastRenderedPageBreak/>
        <w:t xml:space="preserve">other </w:t>
      </w:r>
      <w:r>
        <w:rPr>
          <w:rFonts w:cs="Arial"/>
          <w:sz w:val="20"/>
        </w:rPr>
        <w:t>provision</w:t>
      </w:r>
      <w:r w:rsidRPr="008311CC">
        <w:rPr>
          <w:rFonts w:cs="Arial"/>
          <w:sz w:val="20"/>
        </w:rPr>
        <w:t>s of this Contract which cover specific areas included within that standard.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rsidR="00C03B23" w:rsidRPr="00A80570" w:rsidRDefault="00C03B23" w:rsidP="00C03B23">
      <w:pPr>
        <w:pStyle w:val="MarginText"/>
        <w:rPr>
          <w:b/>
        </w:rPr>
      </w:pPr>
      <w:bookmarkStart w:id="152" w:name="_Toc331761808"/>
      <w:bookmarkStart w:id="153" w:name="_Toc333413322"/>
      <w:r w:rsidRPr="00A80570">
        <w:rPr>
          <w:b/>
        </w:rPr>
        <w:t>4.</w:t>
      </w:r>
      <w:r w:rsidRPr="00A80570">
        <w:rPr>
          <w:b/>
        </w:rPr>
        <w:tab/>
        <w:t>TESTING</w:t>
      </w:r>
      <w:bookmarkEnd w:id="152"/>
      <w:bookmarkEnd w:id="153"/>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rsidR="00C03B23" w:rsidRPr="00A80570" w:rsidRDefault="00C03B23" w:rsidP="00C03B23">
      <w:pPr>
        <w:pStyle w:val="MarginText"/>
        <w:rPr>
          <w:b/>
        </w:rPr>
      </w:pPr>
      <w:bookmarkStart w:id="154" w:name="_Toc331761809"/>
      <w:bookmarkStart w:id="155" w:name="_Toc333413323"/>
      <w:r w:rsidRPr="00A80570">
        <w:rPr>
          <w:b/>
        </w:rPr>
        <w:t>5.</w:t>
      </w:r>
      <w:r w:rsidRPr="00A80570">
        <w:rPr>
          <w:b/>
        </w:rPr>
        <w:tab/>
        <w:t>COMPLIANCE WITH ISO/IEC 27001</w:t>
      </w:r>
      <w:bookmarkEnd w:id="154"/>
      <w:bookmarkEnd w:id="155"/>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w:t>
      </w:r>
      <w:r w:rsidRPr="008311CC">
        <w:rPr>
          <w:rFonts w:cs="Arial"/>
          <w:sz w:val="20"/>
        </w:rPr>
        <w:lastRenderedPageBreak/>
        <w:t>to become compliant with the principles and practices of ISO/IEC 27001.  If the Supplier does not become compliant within the required time then the Customer has the right to obtain an independent audit against these standards in whole or in part.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rsidR="00C03B23" w:rsidRPr="00A80570" w:rsidRDefault="00C03B23" w:rsidP="00C03B23">
      <w:pPr>
        <w:pStyle w:val="MarginText"/>
        <w:rPr>
          <w:b/>
        </w:rPr>
      </w:pPr>
      <w:bookmarkStart w:id="156" w:name="_Toc331761810"/>
      <w:bookmarkStart w:id="157" w:name="_Toc333413324"/>
      <w:r w:rsidRPr="00A80570">
        <w:rPr>
          <w:b/>
        </w:rPr>
        <w:t>6.</w:t>
      </w:r>
      <w:r w:rsidRPr="00A80570">
        <w:rPr>
          <w:b/>
        </w:rPr>
        <w:tab/>
        <w:t>BREACH OF SECURITY</w:t>
      </w:r>
      <w:bookmarkEnd w:id="156"/>
      <w:bookmarkEnd w:id="157"/>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w:t>
      </w:r>
      <w:r w:rsidRPr="008311CC">
        <w:rPr>
          <w:rFonts w:ascii="Arial" w:hAnsi="Arial" w:cs="Arial"/>
          <w:sz w:val="20"/>
        </w:rPr>
        <w:lastRenderedPageBreak/>
        <w:t xml:space="preserve">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rsidR="00C03B23" w:rsidRPr="00820CAD" w:rsidRDefault="00C03B23" w:rsidP="00C03B23">
      <w:pPr>
        <w:pStyle w:val="NormalBold"/>
        <w:ind w:left="330"/>
        <w:rPr>
          <w:sz w:val="20"/>
          <w:szCs w:val="20"/>
        </w:rPr>
      </w:pPr>
      <w:r w:rsidRPr="00820CAD">
        <w:rPr>
          <w:sz w:val="20"/>
          <w:szCs w:val="20"/>
        </w:rPr>
        <w:t>Personnel Security</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rsidR="00C03B23" w:rsidRPr="00820CAD" w:rsidRDefault="00C03B23" w:rsidP="00C03B23">
      <w:pPr>
        <w:pStyle w:val="NormalBold"/>
        <w:ind w:left="330"/>
        <w:rPr>
          <w:sz w:val="20"/>
          <w:szCs w:val="20"/>
        </w:rPr>
      </w:pPr>
      <w:r w:rsidRPr="00820CAD">
        <w:rPr>
          <w:sz w:val="20"/>
          <w:szCs w:val="20"/>
        </w:rPr>
        <w:t>Secure Information Handling and Transfers</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rsidR="00C03B23" w:rsidRPr="00820CAD" w:rsidRDefault="00C03B23" w:rsidP="00C03B23">
      <w:pPr>
        <w:pStyle w:val="NormalBold"/>
        <w:ind w:left="330"/>
        <w:rPr>
          <w:sz w:val="20"/>
          <w:szCs w:val="20"/>
        </w:rPr>
      </w:pPr>
      <w:r w:rsidRPr="00820CAD">
        <w:rPr>
          <w:sz w:val="20"/>
          <w:szCs w:val="20"/>
        </w:rPr>
        <w:t>Portable Media</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rsidR="00C03B23" w:rsidRPr="00820CAD" w:rsidRDefault="00C03B23" w:rsidP="00C03B23">
      <w:pPr>
        <w:pStyle w:val="NormalBold"/>
        <w:ind w:left="330"/>
        <w:rPr>
          <w:sz w:val="20"/>
          <w:szCs w:val="20"/>
        </w:rPr>
      </w:pPr>
      <w:r w:rsidRPr="00820CAD">
        <w:rPr>
          <w:sz w:val="20"/>
          <w:szCs w:val="20"/>
        </w:rPr>
        <w:t>Offshoring</w:t>
      </w:r>
    </w:p>
    <w:p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rsidR="00C03B23" w:rsidRPr="00820CAD" w:rsidRDefault="00C03B23" w:rsidP="00C03B23">
      <w:pPr>
        <w:pStyle w:val="NormalBold"/>
        <w:ind w:left="330"/>
        <w:rPr>
          <w:sz w:val="20"/>
          <w:szCs w:val="20"/>
        </w:rPr>
      </w:pPr>
      <w:r w:rsidRPr="00820CAD">
        <w:rPr>
          <w:sz w:val="20"/>
          <w:szCs w:val="20"/>
        </w:rPr>
        <w:t>Premises Security</w:t>
      </w:r>
    </w:p>
    <w:p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rsidR="00C03B23" w:rsidRPr="00820CAD" w:rsidRDefault="00C03B23" w:rsidP="00C03B23">
      <w:pPr>
        <w:pStyle w:val="NormalBold"/>
        <w:ind w:left="330"/>
        <w:rPr>
          <w:sz w:val="20"/>
          <w:szCs w:val="20"/>
        </w:rPr>
      </w:pPr>
      <w:r w:rsidRPr="00820CAD">
        <w:rPr>
          <w:sz w:val="20"/>
          <w:szCs w:val="20"/>
        </w:rPr>
        <w:lastRenderedPageBreak/>
        <w:t>Security Incidents</w:t>
      </w:r>
    </w:p>
    <w:p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rsidR="00585E76" w:rsidRPr="003B6C8F" w:rsidRDefault="00585E76" w:rsidP="003B6C8F">
      <w:pPr>
        <w:jc w:val="center"/>
        <w:rPr>
          <w:rFonts w:cs="Arial"/>
          <w:b/>
          <w:sz w:val="20"/>
        </w:rPr>
      </w:pPr>
    </w:p>
    <w:sectPr w:rsidR="00585E76" w:rsidRPr="003B6C8F" w:rsidSect="00C04C74">
      <w:headerReference w:type="even" r:id="rId24"/>
      <w:headerReference w:type="default" r:id="rId25"/>
      <w:footerReference w:type="even" r:id="rId26"/>
      <w:headerReference w:type="first" r:id="rId27"/>
      <w:footerReference w:type="first" r:id="rId28"/>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62" w:rsidRDefault="009C4262">
      <w:pPr>
        <w:spacing w:after="0" w:line="20" w:lineRule="exact"/>
      </w:pPr>
    </w:p>
  </w:endnote>
  <w:endnote w:type="continuationSeparator" w:id="0">
    <w:p w:rsidR="009C4262" w:rsidRDefault="009C4262">
      <w:pPr>
        <w:spacing w:after="0" w:line="20" w:lineRule="exact"/>
      </w:pPr>
    </w:p>
  </w:endnote>
  <w:endnote w:type="continuationNotice" w:id="1">
    <w:p w:rsidR="009C4262" w:rsidRDefault="009C426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9C4262" w:rsidRDefault="009C426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9C4262" w:rsidRDefault="009C426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4338F5">
    <w:pPr>
      <w:pStyle w:val="Footer"/>
      <w:jc w:val="left"/>
      <w:rPr>
        <w:sz w:val="18"/>
        <w:szCs w:val="18"/>
      </w:rPr>
    </w:pPr>
    <w:r w:rsidRPr="00813093">
      <w:rPr>
        <w:sz w:val="18"/>
        <w:szCs w:val="18"/>
      </w:rPr>
      <w:t xml:space="preserve">Contract: Provision </w:t>
    </w:r>
    <w:r w:rsidRPr="0090063D">
      <w:rPr>
        <w:sz w:val="18"/>
        <w:szCs w:val="18"/>
      </w:rPr>
      <w:t xml:space="preserve">of </w:t>
    </w:r>
    <w:r w:rsidRPr="0090063D">
      <w:rPr>
        <w:rFonts w:cs="Arial"/>
        <w:sz w:val="18"/>
        <w:szCs w:val="18"/>
      </w:rPr>
      <w:t>External Assistance to HQ AIR Programme Management Support Function</w:t>
    </w:r>
    <w:r w:rsidRPr="0090063D">
      <w:rPr>
        <w:sz w:val="18"/>
        <w:szCs w:val="18"/>
      </w:rPr>
      <w:t xml:space="preserve">  </w:t>
    </w:r>
  </w:p>
  <w:p w:rsidR="009C4262" w:rsidRPr="00813093" w:rsidRDefault="009C4262" w:rsidP="004338F5">
    <w:pPr>
      <w:pStyle w:val="Footer"/>
      <w:jc w:val="left"/>
      <w:rPr>
        <w:sz w:val="18"/>
        <w:szCs w:val="18"/>
      </w:rPr>
    </w:pPr>
    <w:r>
      <w:rPr>
        <w:sz w:val="18"/>
        <w:szCs w:val="18"/>
      </w:rPr>
      <w:t xml:space="preserve">Contract Number: </w:t>
    </w:r>
    <w:r w:rsidRPr="00813093">
      <w:rPr>
        <w:sz w:val="18"/>
        <w:szCs w:val="18"/>
      </w:rPr>
      <w:t>RM</w:t>
    </w:r>
    <w:r>
      <w:rPr>
        <w:sz w:val="18"/>
        <w:szCs w:val="18"/>
      </w:rPr>
      <w:t xml:space="preserve">5229 </w:t>
    </w:r>
    <w:r w:rsidRPr="00813093">
      <w:rPr>
        <w:sz w:val="18"/>
        <w:szCs w:val="18"/>
      </w:rPr>
      <w:t>SO8599</w:t>
    </w:r>
  </w:p>
  <w:p w:rsidR="009C4262" w:rsidRPr="00813093" w:rsidRDefault="009C4262" w:rsidP="00813093">
    <w:pPr>
      <w:pStyle w:val="Footer"/>
      <w:jc w:val="left"/>
      <w:rPr>
        <w:sz w:val="18"/>
        <w:szCs w:val="18"/>
      </w:rPr>
    </w:pPr>
    <w:r>
      <w:rPr>
        <w:sz w:val="18"/>
        <w:szCs w:val="18"/>
      </w:rPr>
      <w:tab/>
    </w:r>
  </w:p>
  <w:p w:rsidR="009C4262" w:rsidRPr="00BB2491" w:rsidRDefault="009C4262"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B624A3">
      <w:rPr>
        <w:noProof/>
        <w:sz w:val="18"/>
        <w:szCs w:val="18"/>
      </w:rPr>
      <w:t>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B624A3">
      <w:rPr>
        <w:noProof/>
        <w:sz w:val="18"/>
        <w:szCs w:val="18"/>
      </w:rPr>
      <w:t>68</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B624A3">
      <w:rPr>
        <w:noProof/>
        <w:sz w:val="18"/>
        <w:szCs w:val="18"/>
      </w:rPr>
      <w:t>01 June 2015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9C4262" w:rsidRDefault="009C426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9C4262" w:rsidRDefault="009C426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62" w:rsidRDefault="009C4262">
      <w:pPr>
        <w:spacing w:after="0" w:line="240" w:lineRule="auto"/>
      </w:pPr>
      <w:r>
        <w:separator/>
      </w:r>
    </w:p>
  </w:footnote>
  <w:footnote w:type="continuationSeparator" w:id="0">
    <w:p w:rsidR="009C4262" w:rsidRDefault="009C4262">
      <w:pPr>
        <w:spacing w:after="0" w:line="240" w:lineRule="auto"/>
      </w:pPr>
      <w:r>
        <w:continuationSeparator/>
      </w:r>
    </w:p>
  </w:footnote>
  <w:footnote w:type="continuationNotice" w:id="1">
    <w:p w:rsidR="009C4262" w:rsidRDefault="009C42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Pr="00883724" w:rsidRDefault="009C4262"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62" w:rsidRDefault="009C426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nsid w:val="66F80CBE"/>
    <w:multiLevelType w:val="multilevel"/>
    <w:tmpl w:val="766C966C"/>
    <w:numStyleLink w:val="111111"/>
  </w:abstractNum>
  <w:abstractNum w:abstractNumId="36">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679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989"/>
    <w:rsid w:val="00003B6C"/>
    <w:rsid w:val="00005A51"/>
    <w:rsid w:val="00006781"/>
    <w:rsid w:val="00006EB0"/>
    <w:rsid w:val="0001267F"/>
    <w:rsid w:val="00014147"/>
    <w:rsid w:val="00020BCC"/>
    <w:rsid w:val="00021238"/>
    <w:rsid w:val="00023EAE"/>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A16"/>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25D83"/>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4783"/>
    <w:rsid w:val="001C586F"/>
    <w:rsid w:val="001C5B07"/>
    <w:rsid w:val="001D18F2"/>
    <w:rsid w:val="001D35E7"/>
    <w:rsid w:val="001D393E"/>
    <w:rsid w:val="001D47B3"/>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5A7"/>
    <w:rsid w:val="002478B9"/>
    <w:rsid w:val="00252664"/>
    <w:rsid w:val="00252AE8"/>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506D"/>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34F3"/>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2E86"/>
    <w:rsid w:val="00393B2F"/>
    <w:rsid w:val="003957DC"/>
    <w:rsid w:val="0039658B"/>
    <w:rsid w:val="00396646"/>
    <w:rsid w:val="003A4451"/>
    <w:rsid w:val="003A6F56"/>
    <w:rsid w:val="003B08D3"/>
    <w:rsid w:val="003B0AB4"/>
    <w:rsid w:val="003B17E8"/>
    <w:rsid w:val="003B3EB4"/>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7B6"/>
    <w:rsid w:val="00436E14"/>
    <w:rsid w:val="00437122"/>
    <w:rsid w:val="004406BC"/>
    <w:rsid w:val="0044170C"/>
    <w:rsid w:val="004500CE"/>
    <w:rsid w:val="0045205C"/>
    <w:rsid w:val="00460065"/>
    <w:rsid w:val="00461EE9"/>
    <w:rsid w:val="00462EC7"/>
    <w:rsid w:val="004638FF"/>
    <w:rsid w:val="00463EC4"/>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516"/>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44ED"/>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04E3"/>
    <w:rsid w:val="00691FAD"/>
    <w:rsid w:val="006A1B65"/>
    <w:rsid w:val="006A54EC"/>
    <w:rsid w:val="006A5B23"/>
    <w:rsid w:val="006A6932"/>
    <w:rsid w:val="006A6C36"/>
    <w:rsid w:val="006A760E"/>
    <w:rsid w:val="006B029B"/>
    <w:rsid w:val="006B0C28"/>
    <w:rsid w:val="006B131A"/>
    <w:rsid w:val="006B2BB0"/>
    <w:rsid w:val="006B5561"/>
    <w:rsid w:val="006C11A5"/>
    <w:rsid w:val="006C1328"/>
    <w:rsid w:val="006C2107"/>
    <w:rsid w:val="006C362B"/>
    <w:rsid w:val="006C3D9C"/>
    <w:rsid w:val="006C7108"/>
    <w:rsid w:val="006C7585"/>
    <w:rsid w:val="006D1167"/>
    <w:rsid w:val="006D2A7F"/>
    <w:rsid w:val="006D51D8"/>
    <w:rsid w:val="006D5F97"/>
    <w:rsid w:val="006D60E0"/>
    <w:rsid w:val="006D6E48"/>
    <w:rsid w:val="006E1C32"/>
    <w:rsid w:val="006F06D5"/>
    <w:rsid w:val="006F2A29"/>
    <w:rsid w:val="006F449C"/>
    <w:rsid w:val="006F4EC5"/>
    <w:rsid w:val="006F69C2"/>
    <w:rsid w:val="006F7BC9"/>
    <w:rsid w:val="006F7EFE"/>
    <w:rsid w:val="00701646"/>
    <w:rsid w:val="0070397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37E49"/>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494"/>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063D"/>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86738"/>
    <w:rsid w:val="009913F1"/>
    <w:rsid w:val="00991959"/>
    <w:rsid w:val="009925F8"/>
    <w:rsid w:val="00994DFD"/>
    <w:rsid w:val="009963D7"/>
    <w:rsid w:val="009972DB"/>
    <w:rsid w:val="009A042B"/>
    <w:rsid w:val="009A13EC"/>
    <w:rsid w:val="009A1902"/>
    <w:rsid w:val="009A1DAC"/>
    <w:rsid w:val="009A471B"/>
    <w:rsid w:val="009A5ADD"/>
    <w:rsid w:val="009B0F73"/>
    <w:rsid w:val="009B1DEF"/>
    <w:rsid w:val="009B2657"/>
    <w:rsid w:val="009B32C0"/>
    <w:rsid w:val="009B445C"/>
    <w:rsid w:val="009B51C7"/>
    <w:rsid w:val="009C0AB5"/>
    <w:rsid w:val="009C3EF2"/>
    <w:rsid w:val="009C426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70A"/>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2CA7"/>
    <w:rsid w:val="00B36F5D"/>
    <w:rsid w:val="00B44133"/>
    <w:rsid w:val="00B52695"/>
    <w:rsid w:val="00B557EE"/>
    <w:rsid w:val="00B56264"/>
    <w:rsid w:val="00B56323"/>
    <w:rsid w:val="00B624A3"/>
    <w:rsid w:val="00B62F98"/>
    <w:rsid w:val="00B653EE"/>
    <w:rsid w:val="00B65D08"/>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C7D0D"/>
    <w:rsid w:val="00BD12BA"/>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9F8"/>
    <w:rsid w:val="00CA6C27"/>
    <w:rsid w:val="00CB2345"/>
    <w:rsid w:val="00CB2406"/>
    <w:rsid w:val="00CB271F"/>
    <w:rsid w:val="00CB2FFD"/>
    <w:rsid w:val="00CB33B4"/>
    <w:rsid w:val="00CB484A"/>
    <w:rsid w:val="00CB5BE6"/>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209A"/>
    <w:rsid w:val="00DD4545"/>
    <w:rsid w:val="00DE25E9"/>
    <w:rsid w:val="00DE607B"/>
    <w:rsid w:val="00DF163D"/>
    <w:rsid w:val="00DF23A1"/>
    <w:rsid w:val="00DF40F9"/>
    <w:rsid w:val="00DF678C"/>
    <w:rsid w:val="00E013A7"/>
    <w:rsid w:val="00E02A90"/>
    <w:rsid w:val="00E0317E"/>
    <w:rsid w:val="00E03B79"/>
    <w:rsid w:val="00E04FE6"/>
    <w:rsid w:val="00E05143"/>
    <w:rsid w:val="00E05E05"/>
    <w:rsid w:val="00E100C3"/>
    <w:rsid w:val="00E109EC"/>
    <w:rsid w:val="00E13980"/>
    <w:rsid w:val="00E242A0"/>
    <w:rsid w:val="00E2546D"/>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85CEA"/>
    <w:rsid w:val="00E91523"/>
    <w:rsid w:val="00E92ACF"/>
    <w:rsid w:val="00E93B40"/>
    <w:rsid w:val="00E956FA"/>
    <w:rsid w:val="00E96F8D"/>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7221"/>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508">
      <w:bodyDiv w:val="1"/>
      <w:marLeft w:val="0"/>
      <w:marRight w:val="0"/>
      <w:marTop w:val="0"/>
      <w:marBottom w:val="0"/>
      <w:divBdr>
        <w:top w:val="none" w:sz="0" w:space="0" w:color="auto"/>
        <w:left w:val="none" w:sz="0" w:space="0" w:color="auto"/>
        <w:bottom w:val="none" w:sz="0" w:space="0" w:color="auto"/>
        <w:right w:val="none" w:sz="0" w:space="0" w:color="auto"/>
      </w:divBdr>
    </w:div>
    <w:div w:id="69474642">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598486005">
      <w:bodyDiv w:val="1"/>
      <w:marLeft w:val="0"/>
      <w:marRight w:val="0"/>
      <w:marTop w:val="0"/>
      <w:marBottom w:val="0"/>
      <w:divBdr>
        <w:top w:val="none" w:sz="0" w:space="0" w:color="auto"/>
        <w:left w:val="none" w:sz="0" w:space="0" w:color="auto"/>
        <w:bottom w:val="none" w:sz="0" w:space="0" w:color="auto"/>
        <w:right w:val="none" w:sz="0" w:space="0" w:color="auto"/>
      </w:divBdr>
    </w:div>
    <w:div w:id="662929273">
      <w:bodyDiv w:val="1"/>
      <w:marLeft w:val="0"/>
      <w:marRight w:val="0"/>
      <w:marTop w:val="0"/>
      <w:marBottom w:val="0"/>
      <w:divBdr>
        <w:top w:val="none" w:sz="0" w:space="0" w:color="auto"/>
        <w:left w:val="none" w:sz="0" w:space="0" w:color="auto"/>
        <w:bottom w:val="none" w:sz="0" w:space="0" w:color="auto"/>
        <w:right w:val="none" w:sz="0" w:space="0" w:color="auto"/>
      </w:divBdr>
    </w:div>
    <w:div w:id="842622627">
      <w:bodyDiv w:val="1"/>
      <w:marLeft w:val="0"/>
      <w:marRight w:val="0"/>
      <w:marTop w:val="0"/>
      <w:marBottom w:val="0"/>
      <w:divBdr>
        <w:top w:val="none" w:sz="0" w:space="0" w:color="auto"/>
        <w:left w:val="none" w:sz="0" w:space="0" w:color="auto"/>
        <w:bottom w:val="none" w:sz="0" w:space="0" w:color="auto"/>
        <w:right w:val="none" w:sz="0" w:space="0" w:color="auto"/>
      </w:divBdr>
    </w:div>
    <w:div w:id="858927459">
      <w:bodyDiv w:val="1"/>
      <w:marLeft w:val="0"/>
      <w:marRight w:val="0"/>
      <w:marTop w:val="0"/>
      <w:marBottom w:val="0"/>
      <w:divBdr>
        <w:top w:val="none" w:sz="0" w:space="0" w:color="auto"/>
        <w:left w:val="none" w:sz="0" w:space="0" w:color="auto"/>
        <w:bottom w:val="none" w:sz="0" w:space="0" w:color="auto"/>
        <w:right w:val="none" w:sz="0" w:space="0" w:color="auto"/>
      </w:divBdr>
    </w:div>
    <w:div w:id="880243637">
      <w:bodyDiv w:val="1"/>
      <w:marLeft w:val="0"/>
      <w:marRight w:val="0"/>
      <w:marTop w:val="0"/>
      <w:marBottom w:val="0"/>
      <w:divBdr>
        <w:top w:val="none" w:sz="0" w:space="0" w:color="auto"/>
        <w:left w:val="none" w:sz="0" w:space="0" w:color="auto"/>
        <w:bottom w:val="none" w:sz="0" w:space="0" w:color="auto"/>
        <w:right w:val="none" w:sz="0" w:space="0" w:color="auto"/>
      </w:divBdr>
    </w:div>
    <w:div w:id="109309088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32302940">
      <w:bodyDiv w:val="1"/>
      <w:marLeft w:val="0"/>
      <w:marRight w:val="0"/>
      <w:marTop w:val="0"/>
      <w:marBottom w:val="0"/>
      <w:divBdr>
        <w:top w:val="none" w:sz="0" w:space="0" w:color="auto"/>
        <w:left w:val="none" w:sz="0" w:space="0" w:color="auto"/>
        <w:bottom w:val="none" w:sz="0" w:space="0" w:color="auto"/>
        <w:right w:val="none" w:sz="0" w:space="0" w:color="auto"/>
      </w:divBdr>
    </w:div>
    <w:div w:id="1261983771">
      <w:bodyDiv w:val="1"/>
      <w:marLeft w:val="0"/>
      <w:marRight w:val="0"/>
      <w:marTop w:val="0"/>
      <w:marBottom w:val="0"/>
      <w:divBdr>
        <w:top w:val="none" w:sz="0" w:space="0" w:color="auto"/>
        <w:left w:val="none" w:sz="0" w:space="0" w:color="auto"/>
        <w:bottom w:val="none" w:sz="0" w:space="0" w:color="auto"/>
        <w:right w:val="none" w:sz="0" w:space="0" w:color="auto"/>
      </w:divBdr>
    </w:div>
    <w:div w:id="1517689084">
      <w:bodyDiv w:val="1"/>
      <w:marLeft w:val="0"/>
      <w:marRight w:val="0"/>
      <w:marTop w:val="0"/>
      <w:marBottom w:val="0"/>
      <w:divBdr>
        <w:top w:val="none" w:sz="0" w:space="0" w:color="auto"/>
        <w:left w:val="none" w:sz="0" w:space="0" w:color="auto"/>
        <w:bottom w:val="none" w:sz="0" w:space="0" w:color="auto"/>
        <w:right w:val="none" w:sz="0" w:space="0" w:color="auto"/>
      </w:divBdr>
    </w:div>
    <w:div w:id="1607695453">
      <w:bodyDiv w:val="1"/>
      <w:marLeft w:val="0"/>
      <w:marRight w:val="0"/>
      <w:marTop w:val="0"/>
      <w:marBottom w:val="0"/>
      <w:divBdr>
        <w:top w:val="none" w:sz="0" w:space="0" w:color="auto"/>
        <w:left w:val="none" w:sz="0" w:space="0" w:color="auto"/>
        <w:bottom w:val="none" w:sz="0" w:space="0" w:color="auto"/>
        <w:right w:val="none" w:sz="0" w:space="0" w:color="auto"/>
      </w:divBdr>
    </w:div>
    <w:div w:id="17586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Word_Document2.docx"/><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2.xml><?xml version="1.0" encoding="utf-8"?>
<ds:datastoreItem xmlns:ds="http://schemas.openxmlformats.org/officeDocument/2006/customXml" ds:itemID="{9D13BB3C-BB42-4683-B744-4511E91C1B87}">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4CCC695-D2C7-4B51-8EB5-4FF622F6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68</Pages>
  <Words>22460</Words>
  <Characters>119452</Characters>
  <Application>Microsoft Office Word</Application>
  <DocSecurity>0</DocSecurity>
  <Lines>995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Thomson Jim</cp:lastModifiedBy>
  <cp:revision>2</cp:revision>
  <cp:lastPrinted>2015-03-25T08:16:00Z</cp:lastPrinted>
  <dcterms:created xsi:type="dcterms:W3CDTF">2015-06-01T14:17:00Z</dcterms:created>
  <dcterms:modified xsi:type="dcterms:W3CDTF">2015-06-01T14:17:00Z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