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E8672" w14:textId="494E661A" w:rsidR="00B02442" w:rsidRDefault="00B02442">
      <w:pPr>
        <w:spacing w:after="240"/>
        <w:jc w:val="left"/>
        <w:sectPr w:rsidR="00B02442" w:rsidSect="00562D72">
          <w:footerReference w:type="default" r:id="rId11"/>
          <w:headerReference w:type="first" r:id="rId12"/>
          <w:footerReference w:type="first" r:id="rId13"/>
          <w:pgSz w:w="11907" w:h="16840" w:code="9"/>
          <w:pgMar w:top="1418" w:right="1418" w:bottom="1418" w:left="1418" w:header="709" w:footer="567" w:gutter="0"/>
          <w:pgNumType w:start="1"/>
          <w:cols w:space="708"/>
          <w:titlePg/>
          <w:docGrid w:linePitch="360"/>
        </w:sectPr>
      </w:pPr>
    </w:p>
    <w:p w14:paraId="1278BA8E" w14:textId="77777777" w:rsidR="00200E60" w:rsidRDefault="00200E60" w:rsidP="00200E60">
      <w:pPr>
        <w:pStyle w:val="Heading2"/>
        <w:numPr>
          <w:ilvl w:val="0"/>
          <w:numId w:val="0"/>
        </w:numPr>
        <w:jc w:val="center"/>
      </w:pPr>
    </w:p>
    <w:p w14:paraId="3C9985B8" w14:textId="77777777" w:rsidR="00200E60" w:rsidRDefault="00200E60" w:rsidP="00200E60">
      <w:pPr>
        <w:pStyle w:val="Heading2"/>
        <w:numPr>
          <w:ilvl w:val="0"/>
          <w:numId w:val="0"/>
        </w:numPr>
        <w:jc w:val="center"/>
      </w:pPr>
    </w:p>
    <w:p w14:paraId="50D1F8F3" w14:textId="77777777" w:rsidR="00200E60" w:rsidRDefault="00200E60" w:rsidP="00200E60">
      <w:pPr>
        <w:pStyle w:val="Heading2"/>
        <w:numPr>
          <w:ilvl w:val="0"/>
          <w:numId w:val="0"/>
        </w:numPr>
        <w:jc w:val="center"/>
      </w:pPr>
      <w:bookmarkStart w:id="0" w:name="oneeight"/>
      <w:bookmarkStart w:id="1" w:name="oneeleven"/>
      <w:bookmarkStart w:id="2" w:name="onethirteen"/>
      <w:bookmarkStart w:id="3" w:name="twotwo"/>
      <w:bookmarkStart w:id="4" w:name="twothree"/>
      <w:bookmarkStart w:id="5" w:name="twofour"/>
      <w:bookmarkStart w:id="6" w:name="twoseven"/>
      <w:bookmarkStart w:id="7" w:name="twoeight"/>
      <w:bookmarkStart w:id="8" w:name="twoeleven"/>
      <w:bookmarkStart w:id="9" w:name="twosixteen"/>
      <w:bookmarkStart w:id="10" w:name="twoeighteen"/>
      <w:bookmarkStart w:id="11" w:name="threeone"/>
      <w:bookmarkStart w:id="12" w:name="threethree"/>
      <w:bookmarkStart w:id="13" w:name="threefive"/>
      <w:bookmarkStart w:id="14" w:name="threenine"/>
      <w:bookmarkStart w:id="15" w:name="threeten"/>
      <w:bookmarkStart w:id="16" w:name="threetwoeight"/>
      <w:bookmarkStart w:id="17" w:name="eligibilquestions"/>
      <w:bookmarkStart w:id="18" w:name="foureight"/>
      <w:bookmarkStart w:id="19" w:name="fourten"/>
      <w:bookmarkStart w:id="20" w:name="fivetwo"/>
      <w:bookmarkStart w:id="21" w:name="annexone"/>
      <w:bookmarkStart w:id="22" w:name="annexoneone"/>
      <w:bookmarkStart w:id="23" w:name="annexonetwo"/>
      <w:bookmarkStart w:id="24" w:name="annexonethree"/>
      <w:bookmarkStart w:id="25" w:name="annextwo"/>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24854DA" w14:textId="77777777" w:rsidR="00B45130" w:rsidRDefault="00B45130" w:rsidP="00200E60">
      <w:pPr>
        <w:pStyle w:val="Heading2"/>
        <w:numPr>
          <w:ilvl w:val="0"/>
          <w:numId w:val="0"/>
        </w:numPr>
        <w:jc w:val="center"/>
      </w:pPr>
    </w:p>
    <w:p w14:paraId="5D4625B0" w14:textId="1848546A" w:rsidR="00867762" w:rsidRPr="005610B7" w:rsidRDefault="004874C2" w:rsidP="00200E60">
      <w:pPr>
        <w:pStyle w:val="Heading2"/>
        <w:numPr>
          <w:ilvl w:val="0"/>
          <w:numId w:val="0"/>
        </w:numPr>
        <w:jc w:val="center"/>
        <w:rPr>
          <w:b/>
          <w:bCs/>
        </w:rPr>
      </w:pPr>
      <w:r>
        <w:rPr>
          <w:b/>
          <w:bCs/>
        </w:rPr>
        <w:t>INVITATION TO TENDER:</w:t>
      </w:r>
      <w:r w:rsidR="00F03891">
        <w:rPr>
          <w:b/>
          <w:bCs/>
        </w:rPr>
        <w:t xml:space="preserve"> BIDDER</w:t>
      </w:r>
      <w:r>
        <w:rPr>
          <w:b/>
          <w:bCs/>
        </w:rPr>
        <w:t xml:space="preserve"> </w:t>
      </w:r>
      <w:r w:rsidR="005610B7">
        <w:rPr>
          <w:b/>
          <w:bCs/>
        </w:rPr>
        <w:t>INFORMATION DOCUMENT</w:t>
      </w:r>
    </w:p>
    <w:p w14:paraId="6720B5F0" w14:textId="77777777" w:rsidR="00867762" w:rsidRDefault="00867762" w:rsidP="00200E60">
      <w:pPr>
        <w:pStyle w:val="Heading2"/>
        <w:numPr>
          <w:ilvl w:val="0"/>
          <w:numId w:val="0"/>
        </w:numPr>
        <w:jc w:val="center"/>
      </w:pPr>
    </w:p>
    <w:p w14:paraId="6CF0B2B1" w14:textId="77777777" w:rsidR="00867762" w:rsidRDefault="00867762" w:rsidP="00200E60">
      <w:pPr>
        <w:pStyle w:val="Heading2"/>
        <w:numPr>
          <w:ilvl w:val="0"/>
          <w:numId w:val="0"/>
        </w:numPr>
        <w:jc w:val="center"/>
      </w:pPr>
    </w:p>
    <w:p w14:paraId="69042FD4" w14:textId="77777777" w:rsidR="00867762" w:rsidRDefault="00867762" w:rsidP="00200E60">
      <w:pPr>
        <w:pStyle w:val="Heading2"/>
        <w:numPr>
          <w:ilvl w:val="0"/>
          <w:numId w:val="0"/>
        </w:numPr>
        <w:jc w:val="center"/>
      </w:pPr>
    </w:p>
    <w:p w14:paraId="7FBBB0E1" w14:textId="77777777" w:rsidR="006C7527" w:rsidRPr="00937937" w:rsidRDefault="00FC39E4" w:rsidP="006C7527">
      <w:r>
        <w:t>Invitation to tender for</w:t>
      </w:r>
      <w:r w:rsidR="00200E60">
        <w:t xml:space="preserve"> the </w:t>
      </w:r>
      <w:r w:rsidR="006C7527" w:rsidRPr="00937937">
        <w:t>delivery of Investigational Medicinal Products for IMPEDE-PKD drug trial.</w:t>
      </w:r>
    </w:p>
    <w:p w14:paraId="345AE709" w14:textId="5E7DA59E" w:rsidR="00200E60" w:rsidRDefault="00200E60" w:rsidP="00200E60">
      <w:pPr>
        <w:pStyle w:val="Heading2"/>
        <w:numPr>
          <w:ilvl w:val="0"/>
          <w:numId w:val="0"/>
        </w:numPr>
        <w:jc w:val="center"/>
      </w:pPr>
    </w:p>
    <w:p w14:paraId="1E5E1485" w14:textId="77777777" w:rsidR="00B45130" w:rsidRDefault="00B45130" w:rsidP="00200E60">
      <w:pPr>
        <w:pStyle w:val="Heading2"/>
        <w:numPr>
          <w:ilvl w:val="0"/>
          <w:numId w:val="0"/>
        </w:numPr>
        <w:jc w:val="center"/>
      </w:pPr>
    </w:p>
    <w:p w14:paraId="77A31990" w14:textId="77777777" w:rsidR="006C7527" w:rsidRPr="008F5A70" w:rsidRDefault="006C7527" w:rsidP="00505D6C">
      <w:pPr>
        <w:pStyle w:val="Heading2"/>
        <w:numPr>
          <w:ilvl w:val="0"/>
          <w:numId w:val="0"/>
        </w:numPr>
        <w:ind w:left="851"/>
        <w:jc w:val="center"/>
      </w:pPr>
      <w:bookmarkStart w:id="26" w:name="_Hlk172015194"/>
      <w:r>
        <w:t>Atamis Reference Number: C289889</w:t>
      </w:r>
    </w:p>
    <w:bookmarkEnd w:id="26"/>
    <w:p w14:paraId="1641DC0A" w14:textId="77777777" w:rsidR="006C7527" w:rsidRDefault="006C7527" w:rsidP="00200E60">
      <w:pPr>
        <w:pStyle w:val="Heading2"/>
        <w:numPr>
          <w:ilvl w:val="0"/>
          <w:numId w:val="0"/>
        </w:numPr>
        <w:jc w:val="center"/>
      </w:pPr>
    </w:p>
    <w:p w14:paraId="09A3EADB" w14:textId="77777777" w:rsidR="00200E60" w:rsidRDefault="00200E60" w:rsidP="00200E60">
      <w:pPr>
        <w:pStyle w:val="Heading2"/>
        <w:numPr>
          <w:ilvl w:val="0"/>
          <w:numId w:val="0"/>
        </w:numPr>
        <w:jc w:val="center"/>
      </w:pPr>
    </w:p>
    <w:p w14:paraId="70759831" w14:textId="77777777" w:rsidR="00B45130" w:rsidRDefault="00B45130" w:rsidP="00200E60">
      <w:pPr>
        <w:pStyle w:val="Heading2"/>
        <w:numPr>
          <w:ilvl w:val="0"/>
          <w:numId w:val="0"/>
        </w:numPr>
        <w:jc w:val="center"/>
      </w:pPr>
    </w:p>
    <w:p w14:paraId="6A5C7853" w14:textId="59E4491E" w:rsidR="00200E60" w:rsidRDefault="00200E60" w:rsidP="00200E60">
      <w:pPr>
        <w:pStyle w:val="Heading2"/>
        <w:numPr>
          <w:ilvl w:val="0"/>
          <w:numId w:val="0"/>
        </w:numPr>
        <w:jc w:val="center"/>
      </w:pPr>
      <w:r>
        <w:t xml:space="preserve">Deadline for </w:t>
      </w:r>
      <w:r w:rsidR="005D7098">
        <w:t>receipt of Tenders</w:t>
      </w:r>
      <w:r w:rsidR="004E51D1">
        <w:t xml:space="preserve"> to be received:  </w:t>
      </w:r>
      <w:r w:rsidR="00B6313B">
        <w:t>2</w:t>
      </w:r>
      <w:r w:rsidR="00FD3DF4">
        <w:t>7</w:t>
      </w:r>
      <w:r w:rsidR="00B6313B">
        <w:t>/08/20</w:t>
      </w:r>
      <w:r w:rsidR="00FD3DF4">
        <w:t>2</w:t>
      </w:r>
      <w:r w:rsidR="00B6313B">
        <w:t>4 13:00</w:t>
      </w:r>
    </w:p>
    <w:p w14:paraId="7880F0F9" w14:textId="0F0227A5" w:rsidR="00B45130" w:rsidRDefault="00B45130" w:rsidP="00200E60">
      <w:pPr>
        <w:pStyle w:val="Heading2"/>
        <w:numPr>
          <w:ilvl w:val="0"/>
          <w:numId w:val="0"/>
        </w:numPr>
        <w:jc w:val="center"/>
      </w:pPr>
    </w:p>
    <w:p w14:paraId="60B7A41B" w14:textId="001F7E5F" w:rsidR="005610B7" w:rsidRDefault="005610B7" w:rsidP="00200E60">
      <w:pPr>
        <w:pStyle w:val="Heading2"/>
        <w:numPr>
          <w:ilvl w:val="0"/>
          <w:numId w:val="0"/>
        </w:numPr>
        <w:jc w:val="center"/>
      </w:pPr>
    </w:p>
    <w:p w14:paraId="533FBED4" w14:textId="4F88AD53" w:rsidR="005610B7" w:rsidRDefault="005610B7" w:rsidP="00200E60">
      <w:pPr>
        <w:pStyle w:val="Heading2"/>
        <w:numPr>
          <w:ilvl w:val="0"/>
          <w:numId w:val="0"/>
        </w:numPr>
        <w:jc w:val="center"/>
      </w:pPr>
    </w:p>
    <w:p w14:paraId="496E1701" w14:textId="1F7550A4" w:rsidR="005610B7" w:rsidRDefault="005610B7" w:rsidP="00200E60">
      <w:pPr>
        <w:pStyle w:val="Heading2"/>
        <w:numPr>
          <w:ilvl w:val="0"/>
          <w:numId w:val="0"/>
        </w:numPr>
        <w:jc w:val="center"/>
      </w:pPr>
    </w:p>
    <w:p w14:paraId="72A35DCB" w14:textId="00523A1F" w:rsidR="005610B7" w:rsidRDefault="005610B7" w:rsidP="00200E60">
      <w:pPr>
        <w:pStyle w:val="Heading2"/>
        <w:numPr>
          <w:ilvl w:val="0"/>
          <w:numId w:val="0"/>
        </w:numPr>
        <w:jc w:val="center"/>
      </w:pPr>
    </w:p>
    <w:p w14:paraId="6D8C7706" w14:textId="40BF1120" w:rsidR="005610B7" w:rsidRDefault="005610B7" w:rsidP="00200E60">
      <w:pPr>
        <w:pStyle w:val="Heading2"/>
        <w:numPr>
          <w:ilvl w:val="0"/>
          <w:numId w:val="0"/>
        </w:numPr>
        <w:jc w:val="center"/>
      </w:pPr>
    </w:p>
    <w:p w14:paraId="7D00C8B8" w14:textId="222141B8" w:rsidR="005610B7" w:rsidRDefault="005610B7" w:rsidP="00200E60">
      <w:pPr>
        <w:pStyle w:val="Heading2"/>
        <w:numPr>
          <w:ilvl w:val="0"/>
          <w:numId w:val="0"/>
        </w:numPr>
        <w:jc w:val="center"/>
      </w:pPr>
    </w:p>
    <w:p w14:paraId="70E2E185" w14:textId="4AF29590" w:rsidR="005610B7" w:rsidRDefault="005610B7" w:rsidP="00200E60">
      <w:pPr>
        <w:pStyle w:val="Heading2"/>
        <w:numPr>
          <w:ilvl w:val="0"/>
          <w:numId w:val="0"/>
        </w:numPr>
        <w:jc w:val="center"/>
      </w:pPr>
    </w:p>
    <w:p w14:paraId="5760A508" w14:textId="77777777" w:rsidR="005610B7" w:rsidRDefault="005610B7" w:rsidP="00200E60">
      <w:pPr>
        <w:pStyle w:val="Heading2"/>
        <w:numPr>
          <w:ilvl w:val="0"/>
          <w:numId w:val="0"/>
        </w:numPr>
        <w:jc w:val="center"/>
      </w:pPr>
    </w:p>
    <w:p w14:paraId="05A98516" w14:textId="77777777" w:rsidR="00B45130" w:rsidRDefault="00B45130" w:rsidP="00200E60">
      <w:pPr>
        <w:pStyle w:val="Heading2"/>
        <w:numPr>
          <w:ilvl w:val="0"/>
          <w:numId w:val="0"/>
        </w:numPr>
        <w:jc w:val="center"/>
      </w:pPr>
    </w:p>
    <w:p w14:paraId="2138BE1E" w14:textId="77777777" w:rsidR="00B45130" w:rsidRDefault="00B45130" w:rsidP="00200E60">
      <w:pPr>
        <w:pStyle w:val="Heading2"/>
        <w:numPr>
          <w:ilvl w:val="0"/>
          <w:numId w:val="0"/>
        </w:numPr>
        <w:jc w:val="center"/>
      </w:pPr>
    </w:p>
    <w:p w14:paraId="05B8110E" w14:textId="77777777" w:rsidR="00043623" w:rsidRDefault="00043623" w:rsidP="00200E60">
      <w:pPr>
        <w:pStyle w:val="Heading2"/>
        <w:numPr>
          <w:ilvl w:val="0"/>
          <w:numId w:val="0"/>
        </w:numPr>
        <w:jc w:val="center"/>
      </w:pPr>
    </w:p>
    <w:p w14:paraId="487852E0" w14:textId="77777777" w:rsidR="00043623" w:rsidRDefault="00043623">
      <w:pPr>
        <w:spacing w:after="240"/>
        <w:jc w:val="left"/>
      </w:pPr>
    </w:p>
    <w:p w14:paraId="4B1031FE" w14:textId="5F18099A" w:rsidR="000F79D6" w:rsidRDefault="000F79D6">
      <w:pPr>
        <w:spacing w:after="240"/>
        <w:jc w:val="left"/>
        <w:rPr>
          <w:rFonts w:eastAsia="Times New Roman" w:cs="Times New Roman"/>
          <w:color w:val="000000" w:themeColor="text1"/>
          <w:lang w:eastAsia="en-GB"/>
        </w:rPr>
      </w:pPr>
    </w:p>
    <w:p w14:paraId="3B2BFA71" w14:textId="77777777" w:rsidR="005B59B7" w:rsidRDefault="005B59B7" w:rsidP="004270D9">
      <w:pPr>
        <w:pStyle w:val="TOC1"/>
      </w:pPr>
      <w:r w:rsidRPr="005B59B7">
        <w:t>TABLE OF CONTENTS</w:t>
      </w:r>
    </w:p>
    <w:p w14:paraId="213398F2" w14:textId="1DB711FF" w:rsidR="00520787" w:rsidRPr="00520787" w:rsidRDefault="00520787" w:rsidP="008A00B3">
      <w:pPr>
        <w:pStyle w:val="TOC1"/>
        <w:spacing w:line="240" w:lineRule="atLeast"/>
        <w:rPr>
          <w:rFonts w:asciiTheme="minorHAnsi" w:eastAsiaTheme="minorEastAsia" w:hAnsiTheme="minorHAnsi" w:cstheme="minorBidi"/>
          <w:b w:val="0"/>
          <w:noProof/>
          <w:color w:val="auto"/>
          <w:sz w:val="22"/>
          <w:szCs w:val="22"/>
        </w:rPr>
      </w:pPr>
      <w:r w:rsidRPr="00520787">
        <w:rPr>
          <w:b w:val="0"/>
        </w:rPr>
        <w:fldChar w:fldCharType="begin"/>
      </w:r>
      <w:r w:rsidRPr="00520787">
        <w:rPr>
          <w:b w:val="0"/>
        </w:rPr>
        <w:instrText xml:space="preserve"> TOC \h \z \t "Main Heading,1,M&amp;R Numbered Heading 1,1" </w:instrText>
      </w:r>
      <w:r w:rsidRPr="00520787">
        <w:rPr>
          <w:b w:val="0"/>
        </w:rPr>
        <w:fldChar w:fldCharType="separate"/>
      </w:r>
      <w:hyperlink w:anchor="_Toc412715221" w:history="1">
        <w:r w:rsidRPr="00520787">
          <w:rPr>
            <w:rStyle w:val="Hyperlink"/>
            <w:b w:val="0"/>
            <w:noProof/>
            <w14:scene3d>
              <w14:camera w14:prst="orthographicFront"/>
              <w14:lightRig w14:rig="threePt" w14:dir="t">
                <w14:rot w14:lat="0" w14:lon="0" w14:rev="0"/>
              </w14:lightRig>
            </w14:scene3d>
          </w:rPr>
          <w:t>1</w:t>
        </w:r>
        <w:r w:rsidRPr="00520787">
          <w:rPr>
            <w:rFonts w:asciiTheme="minorHAnsi" w:eastAsiaTheme="minorEastAsia" w:hAnsiTheme="minorHAnsi" w:cstheme="minorBidi"/>
            <w:b w:val="0"/>
            <w:noProof/>
            <w:color w:val="auto"/>
            <w:sz w:val="22"/>
            <w:szCs w:val="22"/>
          </w:rPr>
          <w:tab/>
        </w:r>
        <w:r w:rsidRPr="00520787">
          <w:rPr>
            <w:rStyle w:val="Hyperlink"/>
            <w:b w:val="0"/>
            <w:noProof/>
          </w:rPr>
          <w:t>INTRODUCTION AND BACKGROUND</w:t>
        </w:r>
        <w:r w:rsidRPr="00520787">
          <w:rPr>
            <w:b w:val="0"/>
            <w:noProof/>
            <w:webHidden/>
          </w:rPr>
          <w:tab/>
        </w:r>
        <w:r w:rsidRPr="00520787">
          <w:rPr>
            <w:b w:val="0"/>
            <w:noProof/>
            <w:webHidden/>
          </w:rPr>
          <w:fldChar w:fldCharType="begin"/>
        </w:r>
        <w:r w:rsidRPr="00520787">
          <w:rPr>
            <w:b w:val="0"/>
            <w:noProof/>
            <w:webHidden/>
          </w:rPr>
          <w:instrText xml:space="preserve"> PAGEREF _Toc412715221 \h </w:instrText>
        </w:r>
        <w:r w:rsidRPr="00520787">
          <w:rPr>
            <w:b w:val="0"/>
            <w:noProof/>
            <w:webHidden/>
          </w:rPr>
        </w:r>
        <w:r w:rsidRPr="00520787">
          <w:rPr>
            <w:b w:val="0"/>
            <w:noProof/>
            <w:webHidden/>
          </w:rPr>
          <w:fldChar w:fldCharType="separate"/>
        </w:r>
        <w:r w:rsidR="00240061">
          <w:rPr>
            <w:b w:val="0"/>
            <w:noProof/>
            <w:webHidden/>
          </w:rPr>
          <w:t>1</w:t>
        </w:r>
        <w:r w:rsidRPr="00520787">
          <w:rPr>
            <w:b w:val="0"/>
            <w:noProof/>
            <w:webHidden/>
          </w:rPr>
          <w:fldChar w:fldCharType="end"/>
        </w:r>
      </w:hyperlink>
    </w:p>
    <w:p w14:paraId="537F31DD" w14:textId="5FC1ECA0" w:rsidR="00520787" w:rsidRPr="00520787" w:rsidRDefault="00FD3DF4" w:rsidP="008A00B3">
      <w:pPr>
        <w:pStyle w:val="TOC1"/>
        <w:spacing w:line="240" w:lineRule="atLeast"/>
        <w:rPr>
          <w:rFonts w:asciiTheme="minorHAnsi" w:eastAsiaTheme="minorEastAsia" w:hAnsiTheme="minorHAnsi" w:cstheme="minorBidi"/>
          <w:b w:val="0"/>
          <w:noProof/>
          <w:color w:val="auto"/>
          <w:sz w:val="22"/>
          <w:szCs w:val="22"/>
        </w:rPr>
      </w:pPr>
      <w:hyperlink w:anchor="_Toc412715222" w:history="1">
        <w:r w:rsidR="00520787" w:rsidRPr="00520787">
          <w:rPr>
            <w:rStyle w:val="Hyperlink"/>
            <w:b w:val="0"/>
            <w:noProof/>
            <w14:scene3d>
              <w14:camera w14:prst="orthographicFront"/>
              <w14:lightRig w14:rig="threePt" w14:dir="t">
                <w14:rot w14:lat="0" w14:lon="0" w14:rev="0"/>
              </w14:lightRig>
            </w14:scene3d>
          </w:rPr>
          <w:t>2</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TENDER TIMETABLE</w:t>
        </w:r>
        <w:r w:rsidR="00520787" w:rsidRPr="00520787">
          <w:rPr>
            <w:b w:val="0"/>
            <w:noProof/>
            <w:webHidden/>
          </w:rPr>
          <w:tab/>
        </w:r>
        <w:r w:rsidR="00FD0726">
          <w:rPr>
            <w:b w:val="0"/>
            <w:noProof/>
            <w:webHidden/>
          </w:rPr>
          <w:t>4</w:t>
        </w:r>
      </w:hyperlink>
    </w:p>
    <w:p w14:paraId="51A8BCBB" w14:textId="5FE0EBB1" w:rsidR="00520787" w:rsidRPr="00520787" w:rsidRDefault="00FD3DF4" w:rsidP="008A00B3">
      <w:pPr>
        <w:pStyle w:val="TOC1"/>
        <w:spacing w:line="240" w:lineRule="atLeast"/>
        <w:rPr>
          <w:rFonts w:asciiTheme="minorHAnsi" w:eastAsiaTheme="minorEastAsia" w:hAnsiTheme="minorHAnsi" w:cstheme="minorBidi"/>
          <w:b w:val="0"/>
          <w:noProof/>
          <w:color w:val="auto"/>
          <w:sz w:val="22"/>
          <w:szCs w:val="22"/>
        </w:rPr>
      </w:pPr>
      <w:hyperlink w:anchor="_Toc412715223" w:history="1">
        <w:r w:rsidR="00520787" w:rsidRPr="00520787">
          <w:rPr>
            <w:rStyle w:val="Hyperlink"/>
            <w:b w:val="0"/>
            <w:noProof/>
            <w14:scene3d>
              <w14:camera w14:prst="orthographicFront"/>
              <w14:lightRig w14:rig="threePt" w14:dir="t">
                <w14:rot w14:lat="0" w14:lon="0" w14:rev="0"/>
              </w14:lightRig>
            </w14:scene3d>
          </w:rPr>
          <w:t>3</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INSTRUCTIONS TO BIDDERS</w:t>
        </w:r>
        <w:r w:rsidR="00520787" w:rsidRPr="00520787">
          <w:rPr>
            <w:b w:val="0"/>
            <w:noProof/>
            <w:webHidden/>
          </w:rPr>
          <w:tab/>
        </w:r>
        <w:r w:rsidR="00FD0726">
          <w:rPr>
            <w:b w:val="0"/>
            <w:noProof/>
            <w:webHidden/>
          </w:rPr>
          <w:t>6</w:t>
        </w:r>
      </w:hyperlink>
    </w:p>
    <w:p w14:paraId="515D3CC8" w14:textId="7B86906F" w:rsidR="00520787" w:rsidRPr="00520787" w:rsidRDefault="00FD3DF4" w:rsidP="008A00B3">
      <w:pPr>
        <w:pStyle w:val="TOC1"/>
        <w:spacing w:line="240" w:lineRule="atLeast"/>
        <w:rPr>
          <w:rFonts w:asciiTheme="minorHAnsi" w:eastAsiaTheme="minorEastAsia" w:hAnsiTheme="minorHAnsi" w:cstheme="minorBidi"/>
          <w:b w:val="0"/>
          <w:noProof/>
          <w:color w:val="auto"/>
          <w:sz w:val="22"/>
          <w:szCs w:val="22"/>
        </w:rPr>
      </w:pPr>
      <w:hyperlink w:anchor="_Toc412715224" w:history="1">
        <w:r w:rsidR="00520787" w:rsidRPr="00520787">
          <w:rPr>
            <w:rStyle w:val="Hyperlink"/>
            <w:b w:val="0"/>
            <w:noProof/>
            <w14:scene3d>
              <w14:camera w14:prst="orthographicFront"/>
              <w14:lightRig w14:rig="threePt" w14:dir="t">
                <w14:rot w14:lat="0" w14:lon="0" w14:rev="0"/>
              </w14:lightRig>
            </w14:scene3d>
          </w:rPr>
          <w:t>4</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TENDER EVALUATION METHODOLOGY AND CRITERIA</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_Toc412715224 \h </w:instrText>
        </w:r>
        <w:r w:rsidR="00520787" w:rsidRPr="00520787">
          <w:rPr>
            <w:b w:val="0"/>
            <w:noProof/>
            <w:webHidden/>
          </w:rPr>
        </w:r>
        <w:r w:rsidR="00520787" w:rsidRPr="00520787">
          <w:rPr>
            <w:b w:val="0"/>
            <w:noProof/>
            <w:webHidden/>
          </w:rPr>
          <w:fldChar w:fldCharType="separate"/>
        </w:r>
        <w:r w:rsidR="00240061">
          <w:rPr>
            <w:b w:val="0"/>
            <w:noProof/>
            <w:webHidden/>
          </w:rPr>
          <w:t>1</w:t>
        </w:r>
        <w:r w:rsidR="00FD0726">
          <w:rPr>
            <w:b w:val="0"/>
            <w:noProof/>
            <w:webHidden/>
          </w:rPr>
          <w:t>0</w:t>
        </w:r>
        <w:r w:rsidR="00520787" w:rsidRPr="00520787">
          <w:rPr>
            <w:b w:val="0"/>
            <w:noProof/>
            <w:webHidden/>
          </w:rPr>
          <w:fldChar w:fldCharType="end"/>
        </w:r>
      </w:hyperlink>
    </w:p>
    <w:p w14:paraId="5076FE84" w14:textId="6C00B2EF" w:rsidR="00520787" w:rsidRPr="00520787" w:rsidRDefault="00FD3DF4" w:rsidP="008A00B3">
      <w:pPr>
        <w:pStyle w:val="TOC1"/>
        <w:spacing w:line="240" w:lineRule="atLeast"/>
        <w:rPr>
          <w:rFonts w:asciiTheme="minorHAnsi" w:eastAsiaTheme="minorEastAsia" w:hAnsiTheme="minorHAnsi" w:cstheme="minorBidi"/>
          <w:b w:val="0"/>
          <w:noProof/>
          <w:color w:val="auto"/>
          <w:sz w:val="22"/>
          <w:szCs w:val="22"/>
        </w:rPr>
      </w:pPr>
      <w:r w:rsidRPr="00FD3DF4">
        <w:rPr>
          <w:b w:val="0"/>
          <w:bCs/>
        </w:rPr>
        <w:t>5</w:t>
      </w:r>
      <w:r>
        <w:t xml:space="preserve">         </w:t>
      </w:r>
      <w:hyperlink w:anchor="_Toc412715226" w:history="1">
        <w:r w:rsidR="00520787" w:rsidRPr="00520787">
          <w:rPr>
            <w:rStyle w:val="Hyperlink"/>
            <w:b w:val="0"/>
            <w:noProof/>
          </w:rPr>
          <w:t>ANNEX A1 NHS TERMS AND CONDITIONS</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_Toc412715226 \h </w:instrText>
        </w:r>
        <w:r w:rsidR="00520787" w:rsidRPr="00520787">
          <w:rPr>
            <w:b w:val="0"/>
            <w:noProof/>
            <w:webHidden/>
          </w:rPr>
        </w:r>
        <w:r w:rsidR="00520787" w:rsidRPr="00520787">
          <w:rPr>
            <w:b w:val="0"/>
            <w:noProof/>
            <w:webHidden/>
          </w:rPr>
          <w:fldChar w:fldCharType="separate"/>
        </w:r>
        <w:r w:rsidR="00240061">
          <w:rPr>
            <w:b w:val="0"/>
            <w:noProof/>
            <w:webHidden/>
          </w:rPr>
          <w:t>1</w:t>
        </w:r>
        <w:r w:rsidR="00FD0726">
          <w:rPr>
            <w:b w:val="0"/>
            <w:noProof/>
            <w:webHidden/>
          </w:rPr>
          <w:t>4</w:t>
        </w:r>
        <w:r w:rsidR="00520787" w:rsidRPr="00520787">
          <w:rPr>
            <w:b w:val="0"/>
            <w:noProof/>
            <w:webHidden/>
          </w:rPr>
          <w:fldChar w:fldCharType="end"/>
        </w:r>
      </w:hyperlink>
    </w:p>
    <w:p w14:paraId="000EE480" w14:textId="32DE088F" w:rsidR="00520787" w:rsidRPr="00520787" w:rsidRDefault="00FD3DF4" w:rsidP="008A00B3">
      <w:pPr>
        <w:pStyle w:val="TOC1"/>
        <w:spacing w:line="240" w:lineRule="atLeast"/>
        <w:rPr>
          <w:rFonts w:asciiTheme="minorHAnsi" w:eastAsiaTheme="minorEastAsia" w:hAnsiTheme="minorHAnsi" w:cstheme="minorBidi"/>
          <w:b w:val="0"/>
          <w:noProof/>
          <w:color w:val="auto"/>
          <w:sz w:val="22"/>
          <w:szCs w:val="22"/>
        </w:rPr>
      </w:pPr>
      <w:hyperlink w:anchor="_Toc412715227" w:history="1"/>
    </w:p>
    <w:p w14:paraId="5660B992" w14:textId="77777777" w:rsidR="00AD0C96" w:rsidRPr="001F110F" w:rsidRDefault="00520787" w:rsidP="00387AF4">
      <w:pPr>
        <w:pStyle w:val="Heading2"/>
        <w:numPr>
          <w:ilvl w:val="0"/>
          <w:numId w:val="0"/>
        </w:numPr>
        <w:spacing w:line="240" w:lineRule="atLeast"/>
      </w:pPr>
      <w:r w:rsidRPr="00520787">
        <w:fldChar w:fldCharType="end"/>
      </w:r>
    </w:p>
    <w:p w14:paraId="57BC0349" w14:textId="77777777" w:rsidR="008306CC" w:rsidRDefault="008306CC" w:rsidP="008306CC">
      <w:pPr>
        <w:pStyle w:val="TOC3"/>
        <w:ind w:left="0"/>
      </w:pPr>
    </w:p>
    <w:p w14:paraId="62D6E88D" w14:textId="77777777" w:rsidR="00897556" w:rsidRDefault="00897556" w:rsidP="00AD0C96">
      <w:pPr>
        <w:pStyle w:val="Heading2"/>
        <w:numPr>
          <w:ilvl w:val="0"/>
          <w:numId w:val="0"/>
        </w:numPr>
        <w:jc w:val="center"/>
        <w:rPr>
          <w:i/>
          <w:shd w:val="clear" w:color="auto" w:fill="FFFF66"/>
        </w:rPr>
      </w:pPr>
    </w:p>
    <w:p w14:paraId="69A44BAD" w14:textId="77777777" w:rsidR="00897556" w:rsidRDefault="00897556" w:rsidP="00897556">
      <w:pPr>
        <w:rPr>
          <w:shd w:val="clear" w:color="auto" w:fill="FFFF66"/>
        </w:rPr>
      </w:pPr>
    </w:p>
    <w:p w14:paraId="5EF81F9C" w14:textId="77777777" w:rsidR="00ED0968" w:rsidRDefault="00ED0968" w:rsidP="00200E60">
      <w:pPr>
        <w:pStyle w:val="Heading2"/>
        <w:numPr>
          <w:ilvl w:val="0"/>
          <w:numId w:val="0"/>
        </w:numPr>
        <w:jc w:val="center"/>
      </w:pPr>
    </w:p>
    <w:p w14:paraId="6FE195DC" w14:textId="77777777" w:rsidR="00ED0968" w:rsidRDefault="00ED0968" w:rsidP="00200E60">
      <w:pPr>
        <w:pStyle w:val="Heading2"/>
        <w:numPr>
          <w:ilvl w:val="0"/>
          <w:numId w:val="0"/>
        </w:numPr>
        <w:jc w:val="center"/>
      </w:pPr>
    </w:p>
    <w:p w14:paraId="3C3F123B" w14:textId="77777777" w:rsidR="00B02442" w:rsidRDefault="00727643">
      <w:pPr>
        <w:spacing w:after="240"/>
        <w:jc w:val="left"/>
        <w:sectPr w:rsidR="00B02442" w:rsidSect="00562D72">
          <w:footerReference w:type="default" r:id="rId14"/>
          <w:headerReference w:type="first" r:id="rId15"/>
          <w:footerReference w:type="first" r:id="rId16"/>
          <w:type w:val="continuous"/>
          <w:pgSz w:w="11907" w:h="16840" w:code="9"/>
          <w:pgMar w:top="1418" w:right="1418" w:bottom="1418" w:left="1418" w:header="709" w:footer="567" w:gutter="0"/>
          <w:pgNumType w:start="1"/>
          <w:cols w:space="708"/>
          <w:titlePg/>
          <w:docGrid w:linePitch="360"/>
        </w:sectPr>
      </w:pPr>
      <w:r>
        <w:br w:type="page"/>
      </w:r>
    </w:p>
    <w:p w14:paraId="5AAB3E45" w14:textId="77777777" w:rsidR="003E3276" w:rsidRPr="008F3D2C" w:rsidRDefault="003E3276" w:rsidP="00AF1509">
      <w:pPr>
        <w:pStyle w:val="MRNumberedHeading1"/>
        <w:numPr>
          <w:ilvl w:val="0"/>
          <w:numId w:val="19"/>
        </w:numPr>
        <w:ind w:hanging="798"/>
        <w:jc w:val="both"/>
        <w:rPr>
          <w:sz w:val="20"/>
          <w:szCs w:val="20"/>
        </w:rPr>
      </w:pPr>
      <w:bookmarkStart w:id="27" w:name="_Toc403556501"/>
      <w:bookmarkStart w:id="28" w:name="_Toc403556506"/>
      <w:bookmarkStart w:id="29" w:name="_Toc406674969"/>
      <w:bookmarkStart w:id="30" w:name="_Toc412621211"/>
      <w:bookmarkStart w:id="31" w:name="_Toc412715221"/>
      <w:r w:rsidRPr="008F3D2C">
        <w:rPr>
          <w:sz w:val="20"/>
          <w:szCs w:val="20"/>
        </w:rPr>
        <w:lastRenderedPageBreak/>
        <w:t>INTRODUCTION AND BACKGROUND</w:t>
      </w:r>
      <w:bookmarkEnd w:id="27"/>
      <w:bookmarkEnd w:id="28"/>
      <w:bookmarkEnd w:id="29"/>
      <w:bookmarkEnd w:id="30"/>
      <w:bookmarkEnd w:id="31"/>
    </w:p>
    <w:p w14:paraId="7680B8ED" w14:textId="1C13EB16" w:rsidR="003E3276" w:rsidRPr="007724D1" w:rsidRDefault="003E3276" w:rsidP="004270D9">
      <w:pPr>
        <w:pStyle w:val="MRNumberedHeading2"/>
      </w:pPr>
      <w:bookmarkStart w:id="32" w:name="_Toc403555077"/>
      <w:r w:rsidRPr="007724D1">
        <w:t xml:space="preserve">The </w:t>
      </w:r>
      <w:r w:rsidR="008320FC">
        <w:t>Sheffield</w:t>
      </w:r>
      <w:r w:rsidR="002A5567">
        <w:t xml:space="preserve"> Teaching Hospitals</w:t>
      </w:r>
      <w:r w:rsidR="00043623">
        <w:t xml:space="preserve"> Trust</w:t>
      </w:r>
      <w:r w:rsidRPr="007724D1">
        <w:t xml:space="preserve"> (the "</w:t>
      </w:r>
      <w:r w:rsidRPr="007724D1">
        <w:rPr>
          <w:b/>
        </w:rPr>
        <w:t>Authority</w:t>
      </w:r>
      <w:r w:rsidR="004F02F9">
        <w:t xml:space="preserve">") is issuing this </w:t>
      </w:r>
      <w:r w:rsidRPr="007724D1">
        <w:t>Invitation</w:t>
      </w:r>
      <w:r w:rsidR="004F02F9">
        <w:t xml:space="preserve"> to </w:t>
      </w:r>
      <w:r w:rsidRPr="007724D1">
        <w:t>Tender ("</w:t>
      </w:r>
      <w:r w:rsidRPr="007724D1">
        <w:rPr>
          <w:b/>
        </w:rPr>
        <w:t>ITT</w:t>
      </w:r>
      <w:r w:rsidRPr="007724D1">
        <w:t>")</w:t>
      </w:r>
      <w:r w:rsidR="004874C2">
        <w:t xml:space="preserve"> Information Document</w:t>
      </w:r>
      <w:r w:rsidRPr="007724D1">
        <w:t xml:space="preserve"> in connection with the competitive</w:t>
      </w:r>
      <w:r w:rsidR="006C7527">
        <w:t xml:space="preserve"> </w:t>
      </w:r>
      <w:r w:rsidRPr="007724D1">
        <w:t xml:space="preserve">procurement of </w:t>
      </w:r>
      <w:r w:rsidR="006C7527" w:rsidRPr="00937937">
        <w:rPr>
          <w:szCs w:val="20"/>
        </w:rPr>
        <w:t>Investigational Medicinal Products for IMPEDE-PKD drug trial.</w:t>
      </w:r>
      <w:r w:rsidR="006C7527">
        <w:rPr>
          <w:szCs w:val="20"/>
        </w:rPr>
        <w:t xml:space="preserve"> </w:t>
      </w:r>
      <w:r w:rsidRPr="007724D1">
        <w:t xml:space="preserve">This document contains important information about the procurement process and the contract that the Authority intends to award. </w:t>
      </w:r>
      <w:bookmarkEnd w:id="32"/>
    </w:p>
    <w:p w14:paraId="43435076" w14:textId="4D6E73E1" w:rsidR="003E3276" w:rsidRPr="007724D1" w:rsidRDefault="003E3276" w:rsidP="004270D9">
      <w:pPr>
        <w:pStyle w:val="MRNumberedHeading2"/>
      </w:pPr>
      <w:bookmarkStart w:id="33" w:name="_Toc403555078"/>
      <w:r w:rsidRPr="007724D1">
        <w:t xml:space="preserve">This </w:t>
      </w:r>
      <w:r w:rsidR="00181BF4">
        <w:t>Information Document</w:t>
      </w:r>
      <w:r w:rsidRPr="007724D1">
        <w:t xml:space="preserve"> contains further </w:t>
      </w:r>
      <w:r w:rsidRPr="003E3276">
        <w:t>information</w:t>
      </w:r>
      <w:r w:rsidRPr="007724D1">
        <w:t xml:space="preserve"> about the procurement process.</w:t>
      </w:r>
      <w:bookmarkEnd w:id="33"/>
      <w:r w:rsidRPr="007724D1">
        <w:t xml:space="preserve">  </w:t>
      </w:r>
    </w:p>
    <w:p w14:paraId="08729C28" w14:textId="7EE72BAC" w:rsidR="003E3276" w:rsidRDefault="00181BF4" w:rsidP="004270D9">
      <w:pPr>
        <w:pStyle w:val="MRNumberedHeading2"/>
      </w:pPr>
      <w:bookmarkStart w:id="34" w:name="_Toc403555079"/>
      <w:r>
        <w:t xml:space="preserve">Bidders must respond to the ITT questions on the Atamis e-tendering portal. </w:t>
      </w:r>
      <w:r w:rsidR="003E3276">
        <w:t>Each Bidder's response ("</w:t>
      </w:r>
      <w:r w:rsidR="003E3276" w:rsidRPr="00951656">
        <w:rPr>
          <w:b/>
          <w:bCs/>
        </w:rPr>
        <w:t>Tender</w:t>
      </w:r>
      <w:r w:rsidR="003E3276">
        <w:rPr>
          <w:bCs/>
        </w:rPr>
        <w:t>"</w:t>
      </w:r>
      <w:r w:rsidR="003E3276">
        <w:t>) should be detailed enough to allow the Authority to make an informed award decision.</w:t>
      </w:r>
      <w:bookmarkEnd w:id="34"/>
    </w:p>
    <w:p w14:paraId="2FDD637A" w14:textId="14237E30" w:rsidR="003E3276" w:rsidRPr="00FB2FE9" w:rsidRDefault="0034181A" w:rsidP="004270D9">
      <w:pPr>
        <w:pStyle w:val="MRNumberedHeading2"/>
      </w:pPr>
      <w:bookmarkStart w:id="35" w:name="_Toc403555080"/>
      <w:r>
        <w:t>All T</w:t>
      </w:r>
      <w:r w:rsidR="003E3276">
        <w:t xml:space="preserve">enders must be </w:t>
      </w:r>
      <w:r w:rsidR="00181BF4">
        <w:t>submitted</w:t>
      </w:r>
      <w:r w:rsidR="003E3276">
        <w:t xml:space="preserve"> no later tha</w:t>
      </w:r>
      <w:r>
        <w:t>n the deadline for receipt of T</w:t>
      </w:r>
      <w:r w:rsidR="003E3276">
        <w:t>ender</w:t>
      </w:r>
      <w:r w:rsidR="00BD5DCC">
        <w:t>s</w:t>
      </w:r>
      <w:r w:rsidR="003E3276">
        <w:t xml:space="preserve"> specified on the front cover of this I</w:t>
      </w:r>
      <w:r w:rsidR="00181BF4">
        <w:t>nformation Document</w:t>
      </w:r>
      <w:r w:rsidR="003E3276">
        <w:t>.</w:t>
      </w:r>
      <w:bookmarkEnd w:id="35"/>
    </w:p>
    <w:p w14:paraId="5B3E1AF5" w14:textId="121DB5AC" w:rsidR="003E3276" w:rsidRDefault="003E3276" w:rsidP="001507EA">
      <w:pPr>
        <w:pStyle w:val="MRNumberedHeading2"/>
      </w:pPr>
      <w:bookmarkStart w:id="36" w:name="_Toc403555081"/>
      <w:bookmarkStart w:id="37" w:name="_Ref406062423"/>
      <w:r>
        <w:t xml:space="preserve">The Authority is using the </w:t>
      </w:r>
      <w:r w:rsidR="00181BF4">
        <w:t>Atamis e-tendering</w:t>
      </w:r>
      <w:r w:rsidR="001507EA">
        <w:t xml:space="preserve"> </w:t>
      </w:r>
      <w:r w:rsidR="004F02F9">
        <w:t>p</w:t>
      </w:r>
      <w:r w:rsidR="004230E7">
        <w:t>ortal</w:t>
      </w:r>
      <w:r>
        <w:t xml:space="preserve"> to conduct the procurement process</w:t>
      </w:r>
      <w:r w:rsidR="00181BF4">
        <w:t>. This</w:t>
      </w:r>
      <w:r>
        <w:t xml:space="preserve"> can be accessed </w:t>
      </w:r>
      <w:r w:rsidR="00043623">
        <w:t xml:space="preserve">at </w:t>
      </w:r>
      <w:r w:rsidR="001507EA">
        <w:t xml:space="preserve"> </w:t>
      </w:r>
      <w:hyperlink r:id="rId17" w:history="1">
        <w:r w:rsidR="00181BF4" w:rsidRPr="009A4D16">
          <w:rPr>
            <w:rStyle w:val="Hyperlink"/>
          </w:rPr>
          <w:t>https://health-family.force.com/login</w:t>
        </w:r>
      </w:hyperlink>
      <w:r w:rsidR="00181BF4">
        <w:t xml:space="preserve">. </w:t>
      </w:r>
      <w:r>
        <w:t>All communications (including</w:t>
      </w:r>
      <w:r w:rsidR="0034181A">
        <w:t xml:space="preserve"> submission of </w:t>
      </w:r>
      <w:r w:rsidR="00043623">
        <w:t>tenders</w:t>
      </w:r>
      <w:r>
        <w:t xml:space="preserve">) should be carried out via the </w:t>
      </w:r>
      <w:r w:rsidR="00043623">
        <w:t>portal</w:t>
      </w:r>
      <w:r>
        <w:t>.</w:t>
      </w:r>
      <w:bookmarkEnd w:id="36"/>
      <w:bookmarkEnd w:id="37"/>
    </w:p>
    <w:p w14:paraId="789D0876" w14:textId="3C755A21" w:rsidR="00247F0F" w:rsidRPr="003E3276" w:rsidRDefault="00247F0F" w:rsidP="004270D9">
      <w:pPr>
        <w:pStyle w:val="Heading1"/>
        <w:spacing w:before="240" w:after="0"/>
        <w:ind w:left="851"/>
        <w:rPr>
          <w:rFonts w:eastAsiaTheme="minorHAnsi"/>
        </w:rPr>
      </w:pPr>
      <w:bookmarkStart w:id="38" w:name="_Toc403555082"/>
      <w:r w:rsidRPr="003E3276">
        <w:rPr>
          <w:rFonts w:eastAsiaTheme="minorHAnsi"/>
        </w:rPr>
        <w:t>Contents of the ITT</w:t>
      </w:r>
      <w:bookmarkEnd w:id="38"/>
      <w:r w:rsidRPr="003E3276">
        <w:rPr>
          <w:rFonts w:eastAsiaTheme="minorHAnsi"/>
        </w:rPr>
        <w:t xml:space="preserve"> </w:t>
      </w:r>
      <w:r w:rsidR="004874C2">
        <w:rPr>
          <w:rFonts w:eastAsiaTheme="minorHAnsi"/>
        </w:rPr>
        <w:t>Information Document</w:t>
      </w:r>
    </w:p>
    <w:p w14:paraId="3B5A8071" w14:textId="56D70E45" w:rsidR="00AD3446" w:rsidRPr="003E3276" w:rsidRDefault="00AD3446" w:rsidP="004270D9">
      <w:pPr>
        <w:pStyle w:val="MRNumberedHeading2"/>
        <w:rPr>
          <w:b/>
        </w:rPr>
      </w:pPr>
      <w:bookmarkStart w:id="39" w:name="_Toc403555083"/>
      <w:bookmarkStart w:id="40" w:name="_Ref405452631"/>
      <w:r>
        <w:t>This document consists of:</w:t>
      </w:r>
      <w:bookmarkEnd w:id="39"/>
      <w:bookmarkEnd w:id="40"/>
    </w:p>
    <w:p w14:paraId="19FE4658" w14:textId="77777777" w:rsidR="003E3276" w:rsidRPr="00951656" w:rsidRDefault="003E3276" w:rsidP="006B54D6">
      <w:pPr>
        <w:pStyle w:val="MRNumberedHeading2"/>
        <w:numPr>
          <w:ilvl w:val="0"/>
          <w:numId w:val="0"/>
        </w:numPr>
        <w:ind w:left="720"/>
      </w:pPr>
    </w:p>
    <w:tbl>
      <w:tblPr>
        <w:tblStyle w:val="TableGrid"/>
        <w:tblW w:w="6520" w:type="dxa"/>
        <w:tblInd w:w="1101" w:type="dxa"/>
        <w:tblLook w:val="04A0" w:firstRow="1" w:lastRow="0" w:firstColumn="1" w:lastColumn="0" w:noHBand="0" w:noVBand="1"/>
      </w:tblPr>
      <w:tblGrid>
        <w:gridCol w:w="1275"/>
        <w:gridCol w:w="5245"/>
      </w:tblGrid>
      <w:tr w:rsidR="00653DCC" w14:paraId="2B0E0B9C" w14:textId="77777777" w:rsidTr="004874C2">
        <w:trPr>
          <w:trHeight w:val="397"/>
        </w:trPr>
        <w:tc>
          <w:tcPr>
            <w:tcW w:w="6520" w:type="dxa"/>
            <w:gridSpan w:val="2"/>
            <w:shd w:val="clear" w:color="auto" w:fill="BFBFBF" w:themeFill="background1" w:themeFillShade="BF"/>
            <w:vAlign w:val="center"/>
          </w:tcPr>
          <w:p w14:paraId="4ADD68E6" w14:textId="33B5E529" w:rsidR="005957B2" w:rsidRPr="00953B6C" w:rsidRDefault="00953B6C" w:rsidP="0097121D">
            <w:pPr>
              <w:pStyle w:val="Heading2"/>
              <w:numPr>
                <w:ilvl w:val="0"/>
                <w:numId w:val="0"/>
              </w:numPr>
              <w:jc w:val="left"/>
              <w:rPr>
                <w:b/>
              </w:rPr>
            </w:pPr>
            <w:r w:rsidRPr="00953B6C">
              <w:rPr>
                <w:b/>
              </w:rPr>
              <w:t>Instructions and information</w:t>
            </w:r>
          </w:p>
        </w:tc>
      </w:tr>
      <w:tr w:rsidR="00653DCC" w14:paraId="0693E143" w14:textId="77777777" w:rsidTr="004874C2">
        <w:trPr>
          <w:trHeight w:val="397"/>
        </w:trPr>
        <w:tc>
          <w:tcPr>
            <w:tcW w:w="1275" w:type="dxa"/>
            <w:vAlign w:val="center"/>
          </w:tcPr>
          <w:p w14:paraId="54E02129" w14:textId="77777777" w:rsidR="00653DCC" w:rsidRDefault="00653DCC" w:rsidP="0097121D">
            <w:pPr>
              <w:pStyle w:val="Heading2"/>
              <w:numPr>
                <w:ilvl w:val="0"/>
                <w:numId w:val="0"/>
              </w:numPr>
              <w:jc w:val="center"/>
            </w:pPr>
            <w:r>
              <w:t>1</w:t>
            </w:r>
          </w:p>
        </w:tc>
        <w:tc>
          <w:tcPr>
            <w:tcW w:w="5245" w:type="dxa"/>
            <w:vAlign w:val="center"/>
          </w:tcPr>
          <w:p w14:paraId="7CAFFD43" w14:textId="52614517" w:rsidR="009464EA" w:rsidRDefault="00653DCC" w:rsidP="0097121D">
            <w:pPr>
              <w:pStyle w:val="Heading2"/>
              <w:numPr>
                <w:ilvl w:val="0"/>
                <w:numId w:val="0"/>
              </w:numPr>
              <w:jc w:val="left"/>
            </w:pPr>
            <w:r>
              <w:t>Introduction and background</w:t>
            </w:r>
          </w:p>
        </w:tc>
      </w:tr>
      <w:tr w:rsidR="00653DCC" w14:paraId="76FA1A58" w14:textId="77777777" w:rsidTr="004874C2">
        <w:trPr>
          <w:trHeight w:val="397"/>
        </w:trPr>
        <w:tc>
          <w:tcPr>
            <w:tcW w:w="1275" w:type="dxa"/>
            <w:vAlign w:val="center"/>
          </w:tcPr>
          <w:p w14:paraId="72358CCC" w14:textId="77777777" w:rsidR="00653DCC" w:rsidRDefault="00653DCC" w:rsidP="0097121D">
            <w:pPr>
              <w:pStyle w:val="Heading2"/>
              <w:numPr>
                <w:ilvl w:val="0"/>
                <w:numId w:val="0"/>
              </w:numPr>
              <w:jc w:val="center"/>
            </w:pPr>
            <w:r>
              <w:t>2</w:t>
            </w:r>
          </w:p>
        </w:tc>
        <w:tc>
          <w:tcPr>
            <w:tcW w:w="5245" w:type="dxa"/>
            <w:vAlign w:val="center"/>
          </w:tcPr>
          <w:p w14:paraId="16708DBC" w14:textId="0523C268" w:rsidR="009464EA" w:rsidRDefault="00653DCC" w:rsidP="0097121D">
            <w:pPr>
              <w:pStyle w:val="Heading2"/>
              <w:numPr>
                <w:ilvl w:val="0"/>
                <w:numId w:val="0"/>
              </w:numPr>
              <w:jc w:val="left"/>
            </w:pPr>
            <w:r>
              <w:t>Tender timetable</w:t>
            </w:r>
            <w:r w:rsidR="00A57D02">
              <w:t xml:space="preserve"> </w:t>
            </w:r>
          </w:p>
        </w:tc>
      </w:tr>
      <w:tr w:rsidR="00653DCC" w14:paraId="67B526DB" w14:textId="77777777" w:rsidTr="004874C2">
        <w:trPr>
          <w:trHeight w:val="397"/>
        </w:trPr>
        <w:tc>
          <w:tcPr>
            <w:tcW w:w="1275" w:type="dxa"/>
            <w:vAlign w:val="center"/>
          </w:tcPr>
          <w:p w14:paraId="73D192E2" w14:textId="77777777" w:rsidR="00653DCC" w:rsidRDefault="00653DCC" w:rsidP="0097121D">
            <w:pPr>
              <w:pStyle w:val="Heading2"/>
              <w:numPr>
                <w:ilvl w:val="0"/>
                <w:numId w:val="0"/>
              </w:numPr>
              <w:jc w:val="center"/>
            </w:pPr>
            <w:r>
              <w:t>3</w:t>
            </w:r>
          </w:p>
        </w:tc>
        <w:tc>
          <w:tcPr>
            <w:tcW w:w="5245" w:type="dxa"/>
            <w:vAlign w:val="center"/>
          </w:tcPr>
          <w:p w14:paraId="04E1DBAD" w14:textId="68259721" w:rsidR="009464EA" w:rsidRDefault="00223555" w:rsidP="0097121D">
            <w:pPr>
              <w:pStyle w:val="Heading2"/>
              <w:numPr>
                <w:ilvl w:val="0"/>
                <w:numId w:val="0"/>
              </w:numPr>
              <w:jc w:val="left"/>
            </w:pPr>
            <w:r>
              <w:t xml:space="preserve">Instructions to </w:t>
            </w:r>
            <w:r w:rsidR="00E7163F">
              <w:t>Bidders</w:t>
            </w:r>
            <w:r>
              <w:t xml:space="preserve"> </w:t>
            </w:r>
          </w:p>
        </w:tc>
      </w:tr>
      <w:tr w:rsidR="00653DCC" w14:paraId="202B45C4" w14:textId="77777777" w:rsidTr="004874C2">
        <w:trPr>
          <w:trHeight w:val="397"/>
        </w:trPr>
        <w:tc>
          <w:tcPr>
            <w:tcW w:w="1275" w:type="dxa"/>
            <w:vAlign w:val="center"/>
          </w:tcPr>
          <w:p w14:paraId="2BA08371" w14:textId="77777777" w:rsidR="00653DCC" w:rsidRDefault="00653DCC" w:rsidP="0097121D">
            <w:pPr>
              <w:pStyle w:val="Heading2"/>
              <w:numPr>
                <w:ilvl w:val="0"/>
                <w:numId w:val="0"/>
              </w:numPr>
              <w:jc w:val="center"/>
            </w:pPr>
            <w:r>
              <w:t>4</w:t>
            </w:r>
          </w:p>
        </w:tc>
        <w:tc>
          <w:tcPr>
            <w:tcW w:w="5245" w:type="dxa"/>
            <w:vAlign w:val="center"/>
          </w:tcPr>
          <w:p w14:paraId="5A69994F" w14:textId="47E5B518" w:rsidR="00653DCC" w:rsidRDefault="008731E8" w:rsidP="0097121D">
            <w:pPr>
              <w:pStyle w:val="Heading2"/>
              <w:numPr>
                <w:ilvl w:val="0"/>
                <w:numId w:val="0"/>
              </w:numPr>
              <w:jc w:val="left"/>
            </w:pPr>
            <w:r>
              <w:t>Tender evaluation methodology and criteria</w:t>
            </w:r>
          </w:p>
        </w:tc>
      </w:tr>
    </w:tbl>
    <w:p w14:paraId="008FCE51" w14:textId="71DD7435" w:rsidR="009A3216" w:rsidRPr="000D52C0" w:rsidRDefault="00272BAA" w:rsidP="009A3216">
      <w:pPr>
        <w:pStyle w:val="MRNumberedHeading2"/>
        <w:rPr>
          <w:szCs w:val="20"/>
        </w:rPr>
      </w:pPr>
      <w:bookmarkStart w:id="41" w:name="_Toc403555085"/>
      <w:bookmarkStart w:id="42" w:name="_Ref405466279"/>
      <w:bookmarkStart w:id="43" w:name="_Ref405466286"/>
      <w:bookmarkStart w:id="44" w:name="_Toc403555086"/>
      <w:bookmarkStart w:id="45" w:name="_Ref405452668"/>
      <w:r w:rsidRPr="0049183D">
        <w:rPr>
          <w:shd w:val="clear" w:color="auto" w:fill="FFFFFF"/>
        </w:rPr>
        <w:t xml:space="preserve">Sheffield Teaching Hospitals NHS Foundation </w:t>
      </w:r>
      <w:r w:rsidR="009A3216" w:rsidRPr="00DB011B">
        <w:rPr>
          <w:szCs w:val="20"/>
        </w:rPr>
        <w:t xml:space="preserve">invites interested suppliers </w:t>
      </w:r>
      <w:r w:rsidR="009A3216">
        <w:rPr>
          <w:szCs w:val="20"/>
        </w:rPr>
        <w:t>to tender for the provision of</w:t>
      </w:r>
      <w:r w:rsidR="009A3216" w:rsidRPr="00DB011B">
        <w:rPr>
          <w:szCs w:val="20"/>
        </w:rPr>
        <w:t xml:space="preserve"> </w:t>
      </w:r>
      <w:r w:rsidR="006C7527" w:rsidRPr="00937937">
        <w:rPr>
          <w:szCs w:val="20"/>
        </w:rPr>
        <w:t>Investigational Medicinal Products for IMPEDE-PKD drug trial.</w:t>
      </w:r>
    </w:p>
    <w:p w14:paraId="27EAB299" w14:textId="63608FDD" w:rsidR="009A3216" w:rsidRPr="00AF1509" w:rsidRDefault="000B1C33" w:rsidP="00272BAA">
      <w:pPr>
        <w:pStyle w:val="MRNumberedHeading2"/>
        <w:numPr>
          <w:ilvl w:val="0"/>
          <w:numId w:val="0"/>
        </w:numPr>
        <w:ind w:left="720"/>
        <w:rPr>
          <w:b/>
          <w:szCs w:val="20"/>
        </w:rPr>
      </w:pPr>
      <w:bookmarkStart w:id="46" w:name="_Toc451771543"/>
      <w:r>
        <w:rPr>
          <w:b/>
          <w:szCs w:val="20"/>
        </w:rPr>
        <w:t xml:space="preserve">STH - </w:t>
      </w:r>
      <w:r w:rsidR="009A3216" w:rsidRPr="00AF1509">
        <w:rPr>
          <w:b/>
          <w:szCs w:val="20"/>
        </w:rPr>
        <w:t>Who we are and what we do</w:t>
      </w:r>
      <w:bookmarkEnd w:id="46"/>
    </w:p>
    <w:bookmarkEnd w:id="41"/>
    <w:bookmarkEnd w:id="42"/>
    <w:bookmarkEnd w:id="43"/>
    <w:p w14:paraId="2CC06745" w14:textId="77777777" w:rsidR="000B1C33" w:rsidRPr="00564D40" w:rsidRDefault="000B1C33" w:rsidP="000B1C33">
      <w:pPr>
        <w:pStyle w:val="MRNumberedHeading2"/>
        <w:rPr>
          <w:shd w:val="clear" w:color="auto" w:fill="FFFFFF"/>
        </w:rPr>
      </w:pPr>
      <w:r w:rsidRPr="00564D40">
        <w:rPr>
          <w:shd w:val="clear" w:color="auto" w:fill="FFFFFF"/>
        </w:rPr>
        <w:t>Sheffield Teaching Hospitals NHS Foundation Trust is one of the UK’s largest, busiest and most successful NHS foundation trusts. We provide a full range of hospital and community services for people in Sheffield, as well as specialist care for patients from further afield. We manage five of Yorkshire’s best known teaching hospitals including:</w:t>
      </w:r>
    </w:p>
    <w:p w14:paraId="7AAD518E" w14:textId="77777777" w:rsidR="000B1C33" w:rsidRPr="00564D40" w:rsidRDefault="000B1C33" w:rsidP="000B1C33">
      <w:pPr>
        <w:pStyle w:val="MRNumberedHeading2"/>
        <w:numPr>
          <w:ilvl w:val="2"/>
          <w:numId w:val="18"/>
        </w:numPr>
        <w:rPr>
          <w:szCs w:val="18"/>
          <w:shd w:val="clear" w:color="auto" w:fill="FFFFFF"/>
        </w:rPr>
      </w:pPr>
      <w:r w:rsidRPr="00564D40">
        <w:t>Northern General Hospital</w:t>
      </w:r>
    </w:p>
    <w:p w14:paraId="661EA859" w14:textId="77777777" w:rsidR="000B1C33" w:rsidRPr="00564D40" w:rsidRDefault="000B1C33" w:rsidP="000B1C33">
      <w:pPr>
        <w:pStyle w:val="MRNumberedHeading2"/>
        <w:numPr>
          <w:ilvl w:val="2"/>
          <w:numId w:val="18"/>
        </w:numPr>
        <w:rPr>
          <w:szCs w:val="18"/>
          <w:shd w:val="clear" w:color="auto" w:fill="FFFFFF"/>
        </w:rPr>
      </w:pPr>
      <w:r w:rsidRPr="00564D40">
        <w:t>Royal Hallamshire Hospital</w:t>
      </w:r>
    </w:p>
    <w:p w14:paraId="412D5099" w14:textId="77777777" w:rsidR="000B1C33" w:rsidRPr="00564D40" w:rsidRDefault="000B1C33" w:rsidP="000B1C33">
      <w:pPr>
        <w:pStyle w:val="MRNumberedHeading2"/>
        <w:numPr>
          <w:ilvl w:val="2"/>
          <w:numId w:val="18"/>
        </w:numPr>
        <w:rPr>
          <w:szCs w:val="18"/>
          <w:shd w:val="clear" w:color="auto" w:fill="FFFFFF"/>
        </w:rPr>
      </w:pPr>
      <w:r w:rsidRPr="00564D40">
        <w:t>Charles Clifford Dental Hospital</w:t>
      </w:r>
    </w:p>
    <w:p w14:paraId="0279D780" w14:textId="77777777" w:rsidR="000B1C33" w:rsidRPr="00564D40" w:rsidRDefault="000B1C33" w:rsidP="000B1C33">
      <w:pPr>
        <w:pStyle w:val="MRNumberedHeading2"/>
        <w:numPr>
          <w:ilvl w:val="2"/>
          <w:numId w:val="18"/>
        </w:numPr>
        <w:rPr>
          <w:szCs w:val="18"/>
          <w:shd w:val="clear" w:color="auto" w:fill="FFFFFF"/>
        </w:rPr>
      </w:pPr>
      <w:r w:rsidRPr="00564D40">
        <w:t>Weston Park Cancer Hospital</w:t>
      </w:r>
    </w:p>
    <w:p w14:paraId="174CFBC8" w14:textId="77777777" w:rsidR="000B1C33" w:rsidRPr="00564D40" w:rsidRDefault="000B1C33" w:rsidP="000B1C33">
      <w:pPr>
        <w:pStyle w:val="MRNumberedHeading2"/>
        <w:numPr>
          <w:ilvl w:val="2"/>
          <w:numId w:val="18"/>
        </w:numPr>
        <w:rPr>
          <w:szCs w:val="18"/>
          <w:shd w:val="clear" w:color="auto" w:fill="FFFFFF"/>
        </w:rPr>
      </w:pPr>
      <w:r w:rsidRPr="00564D40">
        <w:t>Jessop Wing Maternity Hospital</w:t>
      </w:r>
    </w:p>
    <w:p w14:paraId="54775740" w14:textId="478EDC80" w:rsidR="000B1C33" w:rsidRPr="00564D40" w:rsidRDefault="000B1C33" w:rsidP="000B1C33">
      <w:pPr>
        <w:pStyle w:val="MRNumberedHeading2"/>
      </w:pPr>
      <w:r w:rsidRPr="00564D40">
        <w:t>We have a long history of providing high quality care, clinical excellence and innovation in medical research.</w:t>
      </w:r>
    </w:p>
    <w:p w14:paraId="1D085EBD" w14:textId="12BD92CA" w:rsidR="000B1C33" w:rsidRPr="00564D40" w:rsidRDefault="000B1C33" w:rsidP="000B1C33">
      <w:pPr>
        <w:pStyle w:val="MRNumberedHeading2"/>
      </w:pPr>
      <w:r w:rsidRPr="00564D40">
        <w:lastRenderedPageBreak/>
        <w:t>With around 16,000 employees, we are one of the biggest employers locally. We aim to reflect the diversity of local communities and are proud of our new and existing partnerships with local people, patients, neighbouring NHS organisations, local authority and charitable bodies.</w:t>
      </w:r>
    </w:p>
    <w:p w14:paraId="54984CE7" w14:textId="0CC53172" w:rsidR="000B1C33" w:rsidRDefault="000B1C33" w:rsidP="000B1C33">
      <w:pPr>
        <w:pStyle w:val="MRNumberedHeading2"/>
      </w:pPr>
      <w:r w:rsidRPr="00564D40">
        <w:t xml:space="preserve">As well as being home to one of three Major Trauma Centres for the Yorkshire and Humber region, we have </w:t>
      </w:r>
      <w:proofErr w:type="gramStart"/>
      <w:r w:rsidRPr="00564D40">
        <w:t>a number of</w:t>
      </w:r>
      <w:proofErr w:type="gramEnd"/>
      <w:r w:rsidRPr="00564D40">
        <w:t xml:space="preserve"> specialist medical and surgical services, many of which we are internationally renowned for. These inc</w:t>
      </w:r>
      <w:r w:rsidR="000B4CAB">
        <w:t xml:space="preserve">lude cancer treatment, spinal </w:t>
      </w:r>
      <w:r w:rsidRPr="00564D40">
        <w:t>injuries, neurology, cardiology and stereotactic radiosurgery to name but a few.</w:t>
      </w:r>
    </w:p>
    <w:p w14:paraId="50394AF2" w14:textId="5F074814" w:rsidR="000B1C33" w:rsidRPr="00564D40" w:rsidRDefault="000B1C33" w:rsidP="000B1C33">
      <w:pPr>
        <w:pStyle w:val="MRNumberedHeading2"/>
      </w:pPr>
      <w:r w:rsidRPr="00564D40">
        <w:t>Our long tradition of clinical and scientific achievements has been strengthened by developing one of the UK’s first Academic Health Science Networks. Through our partnerships with the University of Sheffield, Sheffield Hallam University, other health and social care providers and industry we remain at the forefront of advancements in clinical services, teaching and research.</w:t>
      </w:r>
    </w:p>
    <w:p w14:paraId="44B2E35F" w14:textId="3723D04D" w:rsidR="000B1C33" w:rsidRPr="000B1C33" w:rsidRDefault="000B1C33" w:rsidP="000B1C33">
      <w:pPr>
        <w:pStyle w:val="MRNumberedHeading2"/>
      </w:pPr>
      <w:r w:rsidRPr="00564D40">
        <w:t>Our Vision is to be recognised as the best provider of health, clinical research and education in the UK and a strong contributor to the aspiration of Sheffield to be a vibrant and healthy city region.</w:t>
      </w:r>
    </w:p>
    <w:p w14:paraId="612A07DB" w14:textId="1EE722BB" w:rsidR="000B1C33" w:rsidRDefault="000B1C33" w:rsidP="000B1C33">
      <w:pPr>
        <w:pStyle w:val="MRNumberedHeading2"/>
      </w:pPr>
      <w:r w:rsidRPr="00060478">
        <w:rPr>
          <w:rFonts w:eastAsia="Calibri"/>
        </w:rPr>
        <w:t xml:space="preserve">Further information about Sheffield </w:t>
      </w:r>
      <w:r>
        <w:rPr>
          <w:rFonts w:eastAsia="Calibri"/>
        </w:rPr>
        <w:t>Teaching</w:t>
      </w:r>
      <w:r w:rsidRPr="00060478">
        <w:rPr>
          <w:rFonts w:eastAsia="Calibri"/>
        </w:rPr>
        <w:t xml:space="preserve"> NHS Foundation Trust can be found on our website; please visit </w:t>
      </w:r>
      <w:hyperlink r:id="rId18" w:history="1">
        <w:r w:rsidRPr="00A30388">
          <w:rPr>
            <w:rStyle w:val="Hyperlink"/>
            <w:rFonts w:ascii="Calibri" w:eastAsia="Calibri" w:hAnsi="Calibri" w:cs="Calibri"/>
          </w:rPr>
          <w:t>http://www.sth.nhs.uk/</w:t>
        </w:r>
      </w:hyperlink>
    </w:p>
    <w:p w14:paraId="0121EF2F" w14:textId="7D905979" w:rsidR="00F426BB" w:rsidRPr="00F426BB" w:rsidRDefault="00F426BB" w:rsidP="00F426BB">
      <w:pPr>
        <w:pStyle w:val="MRNumberedHeading2"/>
        <w:numPr>
          <w:ilvl w:val="0"/>
          <w:numId w:val="0"/>
        </w:numPr>
        <w:ind w:left="720"/>
        <w:rPr>
          <w:rFonts w:cs="Arial"/>
          <w:b/>
          <w:color w:val="3F3F3F"/>
        </w:rPr>
      </w:pPr>
      <w:r w:rsidRPr="00F426BB">
        <w:rPr>
          <w:rFonts w:eastAsia="Calibri" w:cs="Arial"/>
          <w:b/>
        </w:rPr>
        <w:t>Procurement Objectives</w:t>
      </w:r>
    </w:p>
    <w:p w14:paraId="620E1266" w14:textId="5B6908FC" w:rsidR="00AA3AD9" w:rsidRPr="00EC0964" w:rsidRDefault="00EC0964" w:rsidP="00AA3AD9">
      <w:pPr>
        <w:pStyle w:val="MRNumberedHeading2"/>
        <w:rPr>
          <w:rFonts w:cs="Arial"/>
          <w:szCs w:val="20"/>
        </w:rPr>
      </w:pPr>
      <w:r w:rsidRPr="00EC0964">
        <w:rPr>
          <w:rFonts w:cs="Arial"/>
          <w:color w:val="181818"/>
          <w:szCs w:val="20"/>
          <w:shd w:val="clear" w:color="auto" w:fill="FFFFFF"/>
        </w:rPr>
        <w:t>IMPEDE-PKD is a global clinical trial, with a recruitment target of over 1000 participants (with 300 being recruited in the UK). It is a pragmatic, multi-centre, double blind parallel group randomised controlled trial of metformin versus placebo in patients with Autosomal Dominant Polycystic Kidney Disease (ADPKD). The primary objective is to evaluate the long-term efficacy of metformin therapy in slowing the rate of kidney function decline in metformin versus placebo treated ADPKD subjects. </w:t>
      </w:r>
    </w:p>
    <w:p w14:paraId="25C5634E" w14:textId="207F73D7" w:rsidR="00F426BB" w:rsidRPr="00F426BB" w:rsidRDefault="00F426BB" w:rsidP="00F426BB">
      <w:pPr>
        <w:pStyle w:val="MRNumberedHeading2"/>
        <w:numPr>
          <w:ilvl w:val="0"/>
          <w:numId w:val="0"/>
        </w:numPr>
        <w:ind w:left="720"/>
        <w:rPr>
          <w:b/>
          <w:color w:val="000000" w:themeColor="text1"/>
        </w:rPr>
      </w:pPr>
      <w:r w:rsidRPr="00F426BB">
        <w:rPr>
          <w:b/>
          <w:color w:val="000000" w:themeColor="text1"/>
        </w:rPr>
        <w:t>Procurement Key Requirements</w:t>
      </w:r>
    </w:p>
    <w:bookmarkEnd w:id="44"/>
    <w:bookmarkEnd w:id="45"/>
    <w:p w14:paraId="7D43A7EA" w14:textId="30781097" w:rsidR="004B1A24" w:rsidRPr="00EC0964" w:rsidRDefault="00EC0964" w:rsidP="00AA3AD9">
      <w:pPr>
        <w:pStyle w:val="MRNumberedHeading2"/>
      </w:pPr>
      <w:r w:rsidRPr="00EC0964">
        <w:t xml:space="preserve">As the Lead Trust, STH is seeking a bidder who can supply Metformin XR 500mg and a matched placebo. These must be labelled to our requirements set out in the specification, stored </w:t>
      </w:r>
      <w:r w:rsidR="00AF10C0">
        <w:t xml:space="preserve">appropriately </w:t>
      </w:r>
      <w:r w:rsidRPr="00EC0964">
        <w:t>and distributed to 35-40 UK NHS Trusts as the trial develops.</w:t>
      </w:r>
    </w:p>
    <w:p w14:paraId="278DB64B" w14:textId="2552405C" w:rsidR="00603A0D" w:rsidRDefault="00603A0D" w:rsidP="004270D9">
      <w:pPr>
        <w:pStyle w:val="MRNumberedHeading2"/>
      </w:pPr>
      <w:bookmarkStart w:id="47" w:name="_Toc403555087"/>
      <w:r w:rsidRPr="00533CB2">
        <w:t xml:space="preserve">Full details of the Authority's requirements are set out in the </w:t>
      </w:r>
      <w:bookmarkEnd w:id="47"/>
      <w:r w:rsidR="006C7527">
        <w:t>Specification documents folder</w:t>
      </w:r>
      <w:r w:rsidR="004874C2">
        <w:t xml:space="preserve"> on the Atamis portal.</w:t>
      </w:r>
      <w:r w:rsidR="007F5F02">
        <w:t xml:space="preserve"> </w:t>
      </w:r>
    </w:p>
    <w:p w14:paraId="7AF158A3" w14:textId="092135CB" w:rsidR="00603A0D" w:rsidRDefault="00603A0D" w:rsidP="00EC0964">
      <w:pPr>
        <w:pStyle w:val="MRNumberedHeading2"/>
        <w:numPr>
          <w:ilvl w:val="0"/>
          <w:numId w:val="0"/>
        </w:numPr>
        <w:ind w:left="720"/>
      </w:pPr>
    </w:p>
    <w:p w14:paraId="17E251A4" w14:textId="77777777" w:rsidR="00247F0F" w:rsidRDefault="005F3F33" w:rsidP="004270D9">
      <w:pPr>
        <w:pStyle w:val="Heading1"/>
        <w:spacing w:before="240" w:after="0"/>
        <w:ind w:left="851"/>
        <w:rPr>
          <w:b w:val="0"/>
        </w:rPr>
      </w:pPr>
      <w:bookmarkStart w:id="48" w:name="_Toc403555091"/>
      <w:r>
        <w:t>Purpose and scope of this ITT</w:t>
      </w:r>
      <w:bookmarkEnd w:id="48"/>
    </w:p>
    <w:p w14:paraId="6062ADC2" w14:textId="77777777" w:rsidR="005F3F33" w:rsidRDefault="005F3F33" w:rsidP="004270D9">
      <w:pPr>
        <w:pStyle w:val="MRNumberedHeading2"/>
      </w:pPr>
      <w:bookmarkStart w:id="49" w:name="_Toc403555092"/>
      <w:r>
        <w:t>This ITT:</w:t>
      </w:r>
      <w:bookmarkEnd w:id="49"/>
    </w:p>
    <w:p w14:paraId="44B0D99F" w14:textId="77777777" w:rsidR="00343763" w:rsidRPr="00343763" w:rsidRDefault="00343763" w:rsidP="00AF1509">
      <w:pPr>
        <w:pStyle w:val="MRNumberedHeading3"/>
        <w:numPr>
          <w:ilvl w:val="2"/>
          <w:numId w:val="18"/>
        </w:numPr>
        <w:tabs>
          <w:tab w:val="clear" w:pos="2214"/>
          <w:tab w:val="num" w:pos="1794"/>
        </w:tabs>
        <w:spacing w:line="240" w:lineRule="auto"/>
        <w:ind w:left="1702" w:hanging="851"/>
        <w:jc w:val="both"/>
        <w:rPr>
          <w:szCs w:val="20"/>
        </w:rPr>
      </w:pPr>
      <w:r w:rsidRPr="00343763">
        <w:rPr>
          <w:szCs w:val="20"/>
        </w:rPr>
        <w:t xml:space="preserve">invites Bidders to submit their Tenders in accordance with the instructions set out in the remainder of this </w:t>
      </w:r>
      <w:proofErr w:type="gramStart"/>
      <w:r w:rsidRPr="003575D9">
        <w:rPr>
          <w:szCs w:val="20"/>
        </w:rPr>
        <w:t>ITT;</w:t>
      </w:r>
      <w:proofErr w:type="gramEnd"/>
      <w:r w:rsidRPr="00343763">
        <w:rPr>
          <w:szCs w:val="20"/>
        </w:rPr>
        <w:t xml:space="preserve"> </w:t>
      </w:r>
    </w:p>
    <w:p w14:paraId="4F99830D" w14:textId="77777777" w:rsidR="00343763" w:rsidRPr="00343763" w:rsidRDefault="00343763" w:rsidP="00AF1509">
      <w:pPr>
        <w:pStyle w:val="MRNumberedHeading3"/>
        <w:numPr>
          <w:ilvl w:val="2"/>
          <w:numId w:val="18"/>
        </w:numPr>
        <w:tabs>
          <w:tab w:val="clear" w:pos="2214"/>
          <w:tab w:val="num" w:pos="1794"/>
        </w:tabs>
        <w:spacing w:line="240" w:lineRule="auto"/>
        <w:ind w:left="1702" w:hanging="851"/>
        <w:jc w:val="both"/>
        <w:rPr>
          <w:szCs w:val="20"/>
        </w:rPr>
      </w:pPr>
      <w:r w:rsidRPr="00343763">
        <w:rPr>
          <w:szCs w:val="20"/>
        </w:rPr>
        <w:t xml:space="preserve">sets out the overall timetable and process for the </w:t>
      </w:r>
      <w:proofErr w:type="gramStart"/>
      <w:r w:rsidRPr="00343763">
        <w:rPr>
          <w:szCs w:val="20"/>
        </w:rPr>
        <w:t>procurement;</w:t>
      </w:r>
      <w:proofErr w:type="gramEnd"/>
      <w:r w:rsidRPr="00343763">
        <w:rPr>
          <w:szCs w:val="20"/>
        </w:rPr>
        <w:t xml:space="preserve"> </w:t>
      </w:r>
    </w:p>
    <w:p w14:paraId="4F455ED7" w14:textId="77777777" w:rsidR="00343763" w:rsidRPr="00343763" w:rsidRDefault="00343763" w:rsidP="00AF1509">
      <w:pPr>
        <w:pStyle w:val="MRNumberedHeading3"/>
        <w:numPr>
          <w:ilvl w:val="2"/>
          <w:numId w:val="18"/>
        </w:numPr>
        <w:tabs>
          <w:tab w:val="clear" w:pos="2214"/>
          <w:tab w:val="num" w:pos="1794"/>
        </w:tabs>
        <w:spacing w:line="240" w:lineRule="auto"/>
        <w:ind w:left="1702" w:hanging="851"/>
        <w:jc w:val="both"/>
        <w:rPr>
          <w:szCs w:val="20"/>
        </w:rPr>
      </w:pPr>
      <w:r w:rsidRPr="00343763">
        <w:rPr>
          <w:szCs w:val="20"/>
        </w:rPr>
        <w:t xml:space="preserve">provides Bidders with sufficient information to enable them to submit a compliant </w:t>
      </w:r>
      <w:proofErr w:type="gramStart"/>
      <w:r w:rsidRPr="00343763">
        <w:rPr>
          <w:szCs w:val="20"/>
        </w:rPr>
        <w:t>Tender;</w:t>
      </w:r>
      <w:proofErr w:type="gramEnd"/>
      <w:r w:rsidRPr="00343763">
        <w:rPr>
          <w:szCs w:val="20"/>
        </w:rPr>
        <w:t xml:space="preserve"> </w:t>
      </w:r>
    </w:p>
    <w:p w14:paraId="33544522" w14:textId="24AB2738" w:rsidR="00343763" w:rsidRPr="00343763" w:rsidRDefault="00343763" w:rsidP="00AF1509">
      <w:pPr>
        <w:pStyle w:val="MRNumberedHeading3"/>
        <w:numPr>
          <w:ilvl w:val="2"/>
          <w:numId w:val="18"/>
        </w:numPr>
        <w:tabs>
          <w:tab w:val="clear" w:pos="2214"/>
          <w:tab w:val="num" w:pos="1794"/>
        </w:tabs>
        <w:spacing w:line="240" w:lineRule="auto"/>
        <w:ind w:left="1702" w:hanging="851"/>
        <w:jc w:val="both"/>
        <w:rPr>
          <w:szCs w:val="20"/>
        </w:rPr>
      </w:pPr>
      <w:r w:rsidRPr="00343763">
        <w:rPr>
          <w:szCs w:val="20"/>
        </w:rPr>
        <w:t>s</w:t>
      </w:r>
      <w:r w:rsidR="0034181A">
        <w:rPr>
          <w:szCs w:val="20"/>
        </w:rPr>
        <w:t>ets out the award criteria and T</w:t>
      </w:r>
      <w:r w:rsidRPr="00343763">
        <w:rPr>
          <w:szCs w:val="20"/>
        </w:rPr>
        <w:t>ender evaluation model</w:t>
      </w:r>
      <w:r w:rsidR="00CE369C">
        <w:rPr>
          <w:szCs w:val="20"/>
        </w:rPr>
        <w:t xml:space="preserve"> that will be used to evaluate</w:t>
      </w:r>
      <w:r w:rsidRPr="00343763">
        <w:rPr>
          <w:szCs w:val="20"/>
        </w:rPr>
        <w:t xml:space="preserve"> the Tenders; and </w:t>
      </w:r>
    </w:p>
    <w:p w14:paraId="42ECF9D3" w14:textId="77777777" w:rsidR="00343763" w:rsidRPr="00343763" w:rsidRDefault="00343763" w:rsidP="00AF1509">
      <w:pPr>
        <w:pStyle w:val="MRNumberedHeading3"/>
        <w:numPr>
          <w:ilvl w:val="2"/>
          <w:numId w:val="18"/>
        </w:numPr>
        <w:tabs>
          <w:tab w:val="clear" w:pos="2214"/>
          <w:tab w:val="num" w:pos="1794"/>
        </w:tabs>
        <w:spacing w:line="240" w:lineRule="auto"/>
        <w:ind w:left="1702" w:hanging="851"/>
        <w:jc w:val="both"/>
        <w:rPr>
          <w:szCs w:val="20"/>
        </w:rPr>
      </w:pPr>
      <w:r w:rsidRPr="00343763">
        <w:rPr>
          <w:szCs w:val="20"/>
        </w:rPr>
        <w:t xml:space="preserve">explains the administrative arrangements for the receipt of Tenders. </w:t>
      </w:r>
    </w:p>
    <w:p w14:paraId="1838F0A4" w14:textId="48A8B2E4" w:rsidR="006534CF" w:rsidRDefault="00825FC5" w:rsidP="004270D9">
      <w:pPr>
        <w:pStyle w:val="Heading1"/>
        <w:spacing w:before="240" w:after="0"/>
        <w:ind w:left="851"/>
        <w:rPr>
          <w:b w:val="0"/>
        </w:rPr>
      </w:pPr>
      <w:bookmarkStart w:id="50" w:name="_Toc403555093"/>
      <w:r w:rsidRPr="00276E1B">
        <w:lastRenderedPageBreak/>
        <w:t>Questions</w:t>
      </w:r>
      <w:r>
        <w:rPr>
          <w:b w:val="0"/>
        </w:rPr>
        <w:t xml:space="preserve"> </w:t>
      </w:r>
      <w:r w:rsidRPr="00276E1B">
        <w:t>about this ITT</w:t>
      </w:r>
      <w:bookmarkEnd w:id="50"/>
    </w:p>
    <w:p w14:paraId="5B748703" w14:textId="5FDA1906" w:rsidR="00A4489A" w:rsidRPr="009A3E29" w:rsidRDefault="00825FC5" w:rsidP="004270D9">
      <w:pPr>
        <w:pStyle w:val="MRNumberedHeading2"/>
      </w:pPr>
      <w:bookmarkStart w:id="51" w:name="_Toc403555094"/>
      <w:bookmarkStart w:id="52" w:name="_Ref405452872"/>
      <w:r>
        <w:t>You may submit, by no later than</w:t>
      </w:r>
      <w:r w:rsidR="00B6313B">
        <w:t xml:space="preserve"> Friday </w:t>
      </w:r>
      <w:r w:rsidR="00FD3DF4">
        <w:t>20</w:t>
      </w:r>
      <w:r w:rsidR="00B6313B">
        <w:t>/08/2024 13:00</w:t>
      </w:r>
      <w:r>
        <w:t xml:space="preserve"> any queries that you have relating to this ITT.  Please submit such queries </w:t>
      </w:r>
      <w:r w:rsidR="00CF3C3F">
        <w:t xml:space="preserve">via the </w:t>
      </w:r>
      <w:r w:rsidR="006C6F4A">
        <w:t xml:space="preserve">e-Tendering </w:t>
      </w:r>
      <w:r w:rsidR="004230E7">
        <w:t>Portal</w:t>
      </w:r>
      <w:r w:rsidR="00CF3C3F">
        <w:t xml:space="preserve">. </w:t>
      </w:r>
      <w:bookmarkEnd w:id="51"/>
      <w:bookmarkEnd w:id="52"/>
    </w:p>
    <w:p w14:paraId="206C6A37" w14:textId="77777777" w:rsidR="00825FC5" w:rsidRDefault="00825FC5" w:rsidP="004270D9">
      <w:pPr>
        <w:pStyle w:val="MRNumberedHeading2"/>
      </w:pPr>
      <w:bookmarkStart w:id="53" w:name="_Toc403555095"/>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53"/>
    </w:p>
    <w:p w14:paraId="29F3B134" w14:textId="77777777" w:rsidR="00A62036" w:rsidRDefault="00825FC5" w:rsidP="004270D9">
      <w:pPr>
        <w:pStyle w:val="MRNumberedHeading2"/>
      </w:pPr>
      <w:bookmarkStart w:id="54" w:name="_Toc403555096"/>
      <w:r>
        <w:t xml:space="preserve">Answers to the questions received by the Authority will be circulated to all </w:t>
      </w:r>
      <w:r w:rsidR="00DC0F21">
        <w:t>Bidders</w:t>
      </w:r>
      <w:r w:rsidR="006032F2">
        <w:t xml:space="preserve"> via the </w:t>
      </w:r>
      <w:r w:rsidR="006C6F4A">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54"/>
      <w:r w:rsidR="00A62036">
        <w:br/>
      </w:r>
      <w:r w:rsidR="00A62036">
        <w:br/>
      </w:r>
      <w:r w:rsidR="00A62036">
        <w:br/>
      </w:r>
    </w:p>
    <w:p w14:paraId="7A337793" w14:textId="5E602837" w:rsidR="004E71FF" w:rsidRPr="005A2E47" w:rsidRDefault="004E71FF" w:rsidP="004270D9">
      <w:pPr>
        <w:pStyle w:val="MRNumberedHeading2"/>
      </w:pPr>
      <w:r>
        <w:br w:type="page"/>
      </w:r>
    </w:p>
    <w:p w14:paraId="237F3A11" w14:textId="77777777" w:rsidR="008D3217" w:rsidRPr="008F3D2C" w:rsidRDefault="008D3217" w:rsidP="00AF1509">
      <w:pPr>
        <w:pStyle w:val="MRNumberedHeading1"/>
        <w:numPr>
          <w:ilvl w:val="0"/>
          <w:numId w:val="19"/>
        </w:numPr>
        <w:ind w:hanging="798"/>
        <w:jc w:val="both"/>
        <w:rPr>
          <w:sz w:val="20"/>
          <w:szCs w:val="20"/>
        </w:rPr>
      </w:pPr>
      <w:bookmarkStart w:id="55" w:name="_Toc403556502"/>
      <w:bookmarkStart w:id="56" w:name="_Toc403556507"/>
      <w:bookmarkStart w:id="57" w:name="_Toc406674970"/>
      <w:bookmarkStart w:id="58" w:name="_Toc412621212"/>
      <w:bookmarkStart w:id="59" w:name="_Toc412715222"/>
      <w:r w:rsidRPr="008F3D2C">
        <w:rPr>
          <w:sz w:val="20"/>
          <w:szCs w:val="20"/>
        </w:rPr>
        <w:lastRenderedPageBreak/>
        <w:t>TENDER TIMETABLE</w:t>
      </w:r>
      <w:bookmarkEnd w:id="55"/>
      <w:bookmarkEnd w:id="56"/>
      <w:bookmarkEnd w:id="57"/>
      <w:bookmarkEnd w:id="58"/>
      <w:bookmarkEnd w:id="59"/>
    </w:p>
    <w:p w14:paraId="62E354CC" w14:textId="77777777" w:rsidR="008D3217" w:rsidRPr="00276E1B" w:rsidRDefault="008D3217" w:rsidP="004270D9">
      <w:pPr>
        <w:pStyle w:val="Heading1"/>
        <w:spacing w:before="240" w:after="0"/>
        <w:ind w:left="851"/>
      </w:pPr>
      <w:bookmarkStart w:id="60" w:name="_Toc403555097"/>
      <w:r w:rsidRPr="00276E1B">
        <w:t>Key dates</w:t>
      </w:r>
      <w:bookmarkEnd w:id="60"/>
    </w:p>
    <w:p w14:paraId="4638FFE8" w14:textId="77777777" w:rsidR="008D3217" w:rsidRDefault="008D3217" w:rsidP="004270D9">
      <w:pPr>
        <w:pStyle w:val="MRNumberedHeading2"/>
      </w:pPr>
      <w:bookmarkStart w:id="61"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61"/>
      <w:r w:rsidR="00B46DA5">
        <w:t xml:space="preserve"> </w:t>
      </w:r>
    </w:p>
    <w:p w14:paraId="13BE5368" w14:textId="77777777" w:rsidR="00B46DA5" w:rsidRDefault="00FE07BA" w:rsidP="004270D9">
      <w:pPr>
        <w:pStyle w:val="MRNumberedHeading2"/>
      </w:pPr>
      <w:bookmarkStart w:id="62" w:name="_Toc403555099"/>
      <w:bookmarkStart w:id="63" w:name="_Ref405452883"/>
      <w:bookmarkStart w:id="64" w:name="_Ref406061800"/>
      <w:bookmarkStart w:id="65" w:name="_Ref406062870"/>
      <w:r>
        <w:t>The key dates for this procurement are currently anticipated to be as follows:</w:t>
      </w:r>
      <w:bookmarkEnd w:id="62"/>
      <w:bookmarkEnd w:id="63"/>
      <w:bookmarkEnd w:id="64"/>
      <w:bookmarkEnd w:id="65"/>
      <w:r>
        <w:t xml:space="preserve"> </w:t>
      </w:r>
    </w:p>
    <w:p w14:paraId="07927462" w14:textId="77777777" w:rsidR="003E3276" w:rsidRDefault="003E3276" w:rsidP="006B54D6">
      <w:pPr>
        <w:pStyle w:val="MRNumberedHeading2"/>
        <w:numPr>
          <w:ilvl w:val="0"/>
          <w:numId w:val="0"/>
        </w:numPr>
        <w:ind w:left="720"/>
      </w:pPr>
    </w:p>
    <w:tbl>
      <w:tblPr>
        <w:tblStyle w:val="TableGrid"/>
        <w:tblW w:w="9072" w:type="dxa"/>
        <w:tblInd w:w="817" w:type="dxa"/>
        <w:tblLook w:val="04A0" w:firstRow="1" w:lastRow="0" w:firstColumn="1" w:lastColumn="0" w:noHBand="0" w:noVBand="1"/>
      </w:tblPr>
      <w:tblGrid>
        <w:gridCol w:w="4820"/>
        <w:gridCol w:w="4252"/>
      </w:tblGrid>
      <w:tr w:rsidR="00FE07BA" w14:paraId="3788380B" w14:textId="77777777" w:rsidTr="003A0513">
        <w:trPr>
          <w:trHeight w:val="397"/>
        </w:trPr>
        <w:tc>
          <w:tcPr>
            <w:tcW w:w="4820" w:type="dxa"/>
            <w:shd w:val="clear" w:color="auto" w:fill="BFBFBF" w:themeFill="background1" w:themeFillShade="BF"/>
            <w:vAlign w:val="center"/>
          </w:tcPr>
          <w:p w14:paraId="18877E8A" w14:textId="77777777" w:rsidR="00FE07BA" w:rsidRPr="00FE07BA" w:rsidRDefault="00FE07BA" w:rsidP="003A0513">
            <w:pPr>
              <w:pStyle w:val="Heading2"/>
              <w:numPr>
                <w:ilvl w:val="0"/>
                <w:numId w:val="0"/>
              </w:numPr>
              <w:jc w:val="left"/>
              <w:rPr>
                <w:b/>
              </w:rPr>
            </w:pPr>
            <w:r w:rsidRPr="00FE07BA">
              <w:rPr>
                <w:b/>
              </w:rPr>
              <w:t>Event</w:t>
            </w:r>
          </w:p>
        </w:tc>
        <w:tc>
          <w:tcPr>
            <w:tcW w:w="4252" w:type="dxa"/>
            <w:shd w:val="clear" w:color="auto" w:fill="BFBFBF" w:themeFill="background1" w:themeFillShade="BF"/>
            <w:vAlign w:val="center"/>
          </w:tcPr>
          <w:p w14:paraId="210E2AAF" w14:textId="77777777" w:rsidR="00FE07BA" w:rsidRPr="002D2E91" w:rsidRDefault="00FE07BA" w:rsidP="003A0513">
            <w:pPr>
              <w:pStyle w:val="Heading2"/>
              <w:numPr>
                <w:ilvl w:val="0"/>
                <w:numId w:val="0"/>
              </w:numPr>
              <w:jc w:val="left"/>
              <w:rPr>
                <w:b/>
              </w:rPr>
            </w:pPr>
            <w:r w:rsidRPr="002D2E91">
              <w:rPr>
                <w:b/>
              </w:rPr>
              <w:t>Date</w:t>
            </w:r>
          </w:p>
        </w:tc>
      </w:tr>
      <w:tr w:rsidR="00FE07BA" w14:paraId="7CF8C775" w14:textId="77777777" w:rsidTr="003A0513">
        <w:trPr>
          <w:trHeight w:val="397"/>
        </w:trPr>
        <w:tc>
          <w:tcPr>
            <w:tcW w:w="4820" w:type="dxa"/>
            <w:vAlign w:val="center"/>
          </w:tcPr>
          <w:p w14:paraId="7FDAC7DF" w14:textId="77777777" w:rsidR="00FE07BA" w:rsidRDefault="00FE07BA" w:rsidP="003A0513">
            <w:pPr>
              <w:pStyle w:val="Heading2"/>
              <w:numPr>
                <w:ilvl w:val="0"/>
                <w:numId w:val="0"/>
              </w:numPr>
              <w:jc w:val="left"/>
            </w:pPr>
            <w:r>
              <w:t>ITT issued</w:t>
            </w:r>
          </w:p>
        </w:tc>
        <w:tc>
          <w:tcPr>
            <w:tcW w:w="4252" w:type="dxa"/>
            <w:vAlign w:val="center"/>
          </w:tcPr>
          <w:p w14:paraId="4014E743" w14:textId="67E2CB1D" w:rsidR="003273D3" w:rsidRPr="002D2E91" w:rsidRDefault="00B6313B" w:rsidP="003A0513">
            <w:pPr>
              <w:pStyle w:val="Heading2"/>
              <w:numPr>
                <w:ilvl w:val="0"/>
                <w:numId w:val="0"/>
              </w:numPr>
              <w:jc w:val="left"/>
            </w:pPr>
            <w:r>
              <w:t>2</w:t>
            </w:r>
            <w:r w:rsidR="00FD3DF4">
              <w:t>5</w:t>
            </w:r>
            <w:r>
              <w:t>/07/2024</w:t>
            </w:r>
          </w:p>
        </w:tc>
      </w:tr>
      <w:tr w:rsidR="00FE07BA" w14:paraId="53239802" w14:textId="77777777" w:rsidTr="003A0513">
        <w:trPr>
          <w:trHeight w:val="397"/>
        </w:trPr>
        <w:tc>
          <w:tcPr>
            <w:tcW w:w="4820" w:type="dxa"/>
            <w:vAlign w:val="center"/>
          </w:tcPr>
          <w:p w14:paraId="6F08D6B3" w14:textId="77777777" w:rsidR="00FE07BA" w:rsidRDefault="00FE07BA" w:rsidP="003A0513">
            <w:pPr>
              <w:pStyle w:val="Heading2"/>
              <w:numPr>
                <w:ilvl w:val="0"/>
                <w:numId w:val="0"/>
              </w:numPr>
              <w:jc w:val="left"/>
            </w:pPr>
            <w:r>
              <w:t>Deadline for the receipt of clarification questions</w:t>
            </w:r>
          </w:p>
        </w:tc>
        <w:tc>
          <w:tcPr>
            <w:tcW w:w="4252" w:type="dxa"/>
            <w:vAlign w:val="center"/>
          </w:tcPr>
          <w:p w14:paraId="401DD28F" w14:textId="76E1D360" w:rsidR="003273D3" w:rsidRPr="002D2E91" w:rsidRDefault="00FD3DF4" w:rsidP="003A0513">
            <w:pPr>
              <w:pStyle w:val="Heading2"/>
              <w:numPr>
                <w:ilvl w:val="0"/>
                <w:numId w:val="0"/>
              </w:numPr>
              <w:jc w:val="left"/>
            </w:pPr>
            <w:r>
              <w:t>20</w:t>
            </w:r>
            <w:r w:rsidR="00B6313B">
              <w:t>/08/2024</w:t>
            </w:r>
          </w:p>
        </w:tc>
      </w:tr>
      <w:tr w:rsidR="00FE07BA" w14:paraId="046C6E3E" w14:textId="77777777" w:rsidTr="003A0513">
        <w:trPr>
          <w:trHeight w:val="397"/>
        </w:trPr>
        <w:tc>
          <w:tcPr>
            <w:tcW w:w="4820" w:type="dxa"/>
            <w:vAlign w:val="center"/>
          </w:tcPr>
          <w:p w14:paraId="178B5953" w14:textId="77777777" w:rsidR="00FE07BA" w:rsidRDefault="00FE07BA" w:rsidP="003A0513">
            <w:pPr>
              <w:pStyle w:val="Heading2"/>
              <w:numPr>
                <w:ilvl w:val="0"/>
                <w:numId w:val="0"/>
              </w:numPr>
              <w:jc w:val="left"/>
            </w:pPr>
            <w:r>
              <w:t>Target date for responses to clarification questions</w:t>
            </w:r>
          </w:p>
        </w:tc>
        <w:tc>
          <w:tcPr>
            <w:tcW w:w="4252" w:type="dxa"/>
            <w:vAlign w:val="center"/>
          </w:tcPr>
          <w:p w14:paraId="7300E55F" w14:textId="014918E9" w:rsidR="003273D3" w:rsidRPr="002D2E91" w:rsidRDefault="00B6313B" w:rsidP="003A0513">
            <w:pPr>
              <w:pStyle w:val="Heading2"/>
              <w:numPr>
                <w:ilvl w:val="0"/>
                <w:numId w:val="0"/>
              </w:numPr>
              <w:tabs>
                <w:tab w:val="left" w:pos="1652"/>
              </w:tabs>
              <w:jc w:val="left"/>
            </w:pPr>
            <w:r>
              <w:t>2</w:t>
            </w:r>
            <w:r w:rsidR="00FD3DF4">
              <w:t>3</w:t>
            </w:r>
            <w:r>
              <w:t>/08/2024</w:t>
            </w:r>
            <w:r w:rsidR="003273D3" w:rsidRPr="002D2E91">
              <w:tab/>
            </w:r>
          </w:p>
        </w:tc>
      </w:tr>
      <w:tr w:rsidR="00FE07BA" w14:paraId="45C465AF" w14:textId="77777777" w:rsidTr="003A0513">
        <w:trPr>
          <w:trHeight w:val="397"/>
        </w:trPr>
        <w:tc>
          <w:tcPr>
            <w:tcW w:w="4820" w:type="dxa"/>
            <w:vAlign w:val="center"/>
          </w:tcPr>
          <w:p w14:paraId="4ECDF63F" w14:textId="77777777" w:rsidR="00FE07BA" w:rsidRDefault="00FE07BA" w:rsidP="003A0513">
            <w:pPr>
              <w:pStyle w:val="Heading2"/>
              <w:numPr>
                <w:ilvl w:val="0"/>
                <w:numId w:val="0"/>
              </w:numPr>
              <w:jc w:val="left"/>
            </w:pPr>
            <w:r>
              <w:t>Deadline for receipt of Tenders</w:t>
            </w:r>
          </w:p>
        </w:tc>
        <w:tc>
          <w:tcPr>
            <w:tcW w:w="4252" w:type="dxa"/>
            <w:vAlign w:val="center"/>
          </w:tcPr>
          <w:p w14:paraId="3AED8998" w14:textId="6EFEC8A5" w:rsidR="003273D3" w:rsidRPr="002D2E91" w:rsidRDefault="00B6313B" w:rsidP="003A0513">
            <w:pPr>
              <w:pStyle w:val="Heading2"/>
              <w:numPr>
                <w:ilvl w:val="0"/>
                <w:numId w:val="0"/>
              </w:numPr>
              <w:jc w:val="left"/>
            </w:pPr>
            <w:r>
              <w:t>2</w:t>
            </w:r>
            <w:r w:rsidR="00FD3DF4">
              <w:t>7</w:t>
            </w:r>
            <w:r>
              <w:t>/08/2024 13:00</w:t>
            </w:r>
          </w:p>
        </w:tc>
      </w:tr>
      <w:tr w:rsidR="00FE07BA" w14:paraId="2AF7751A" w14:textId="77777777" w:rsidTr="003A0513">
        <w:trPr>
          <w:trHeight w:val="397"/>
        </w:trPr>
        <w:tc>
          <w:tcPr>
            <w:tcW w:w="4820" w:type="dxa"/>
            <w:vAlign w:val="center"/>
          </w:tcPr>
          <w:p w14:paraId="1A7DBFC5" w14:textId="77777777" w:rsidR="00FE07BA" w:rsidRDefault="00FE07BA" w:rsidP="003A0513">
            <w:pPr>
              <w:pStyle w:val="Heading2"/>
              <w:numPr>
                <w:ilvl w:val="0"/>
                <w:numId w:val="0"/>
              </w:numPr>
              <w:jc w:val="left"/>
            </w:pPr>
            <w:r>
              <w:t>Evaluation of Tenders</w:t>
            </w:r>
          </w:p>
        </w:tc>
        <w:tc>
          <w:tcPr>
            <w:tcW w:w="4252" w:type="dxa"/>
            <w:vAlign w:val="center"/>
          </w:tcPr>
          <w:p w14:paraId="649E60E1" w14:textId="09947180" w:rsidR="003273D3" w:rsidRPr="002D2E91" w:rsidRDefault="00B6313B" w:rsidP="003A0513">
            <w:pPr>
              <w:pStyle w:val="Heading2"/>
              <w:numPr>
                <w:ilvl w:val="0"/>
                <w:numId w:val="0"/>
              </w:numPr>
              <w:jc w:val="left"/>
            </w:pPr>
            <w:r>
              <w:t>2</w:t>
            </w:r>
            <w:r w:rsidR="00FD3DF4">
              <w:t>8</w:t>
            </w:r>
            <w:r>
              <w:t>/08 – 19/09/2024</w:t>
            </w:r>
          </w:p>
        </w:tc>
      </w:tr>
      <w:tr w:rsidR="00FE07BA" w14:paraId="57121EDE" w14:textId="77777777" w:rsidTr="003A0513">
        <w:trPr>
          <w:trHeight w:val="397"/>
        </w:trPr>
        <w:tc>
          <w:tcPr>
            <w:tcW w:w="4820" w:type="dxa"/>
            <w:vAlign w:val="center"/>
          </w:tcPr>
          <w:p w14:paraId="7254265B" w14:textId="77777777" w:rsidR="00FE07BA" w:rsidRDefault="00FE07BA" w:rsidP="003A0513">
            <w:pPr>
              <w:pStyle w:val="Heading2"/>
              <w:numPr>
                <w:ilvl w:val="0"/>
                <w:numId w:val="0"/>
              </w:numPr>
              <w:jc w:val="left"/>
            </w:pPr>
            <w:r>
              <w:t>Notification of contract award decision</w:t>
            </w:r>
          </w:p>
        </w:tc>
        <w:tc>
          <w:tcPr>
            <w:tcW w:w="4252" w:type="dxa"/>
            <w:vAlign w:val="center"/>
          </w:tcPr>
          <w:p w14:paraId="25BCCD06" w14:textId="46A95B6A" w:rsidR="003273D3" w:rsidRPr="002D2E91" w:rsidRDefault="00B6313B" w:rsidP="003A0513">
            <w:pPr>
              <w:pStyle w:val="Heading2"/>
              <w:numPr>
                <w:ilvl w:val="0"/>
                <w:numId w:val="0"/>
              </w:numPr>
              <w:jc w:val="left"/>
            </w:pPr>
            <w:r>
              <w:t>20/09/2024</w:t>
            </w:r>
          </w:p>
        </w:tc>
      </w:tr>
      <w:tr w:rsidR="00FE07BA" w14:paraId="0229E9F0" w14:textId="77777777" w:rsidTr="003A0513">
        <w:trPr>
          <w:trHeight w:val="397"/>
        </w:trPr>
        <w:tc>
          <w:tcPr>
            <w:tcW w:w="4820" w:type="dxa"/>
            <w:vAlign w:val="center"/>
          </w:tcPr>
          <w:p w14:paraId="6D37139F" w14:textId="77777777" w:rsidR="00FE07BA" w:rsidRDefault="00FE07BA" w:rsidP="003A0513">
            <w:pPr>
              <w:pStyle w:val="Heading2"/>
              <w:numPr>
                <w:ilvl w:val="0"/>
                <w:numId w:val="0"/>
              </w:numPr>
              <w:jc w:val="left"/>
            </w:pPr>
            <w:r>
              <w:t>Standstill period</w:t>
            </w:r>
          </w:p>
        </w:tc>
        <w:tc>
          <w:tcPr>
            <w:tcW w:w="4252" w:type="dxa"/>
            <w:vAlign w:val="center"/>
          </w:tcPr>
          <w:p w14:paraId="74F8A6F5" w14:textId="1EDB0B29" w:rsidR="00FE07BA" w:rsidRPr="002D2E91" w:rsidRDefault="00FE07BA" w:rsidP="003A0513">
            <w:pPr>
              <w:pStyle w:val="Heading2"/>
              <w:numPr>
                <w:ilvl w:val="0"/>
                <w:numId w:val="0"/>
              </w:numPr>
              <w:jc w:val="left"/>
            </w:pPr>
            <w:r w:rsidRPr="002D2E91">
              <w:t>From</w:t>
            </w:r>
            <w:r w:rsidR="00864B68">
              <w:t xml:space="preserve"> 21/09/2024</w:t>
            </w:r>
            <w:r w:rsidRPr="002D2E91">
              <w:t xml:space="preserve"> to </w:t>
            </w:r>
            <w:r w:rsidR="00A60BD1">
              <w:t>midnight on</w:t>
            </w:r>
            <w:r w:rsidR="00864B68">
              <w:t xml:space="preserve"> 30/09/2024</w:t>
            </w:r>
          </w:p>
        </w:tc>
      </w:tr>
      <w:tr w:rsidR="00FE07BA" w14:paraId="1FE77028" w14:textId="77777777" w:rsidTr="003A0513">
        <w:trPr>
          <w:trHeight w:val="397"/>
        </w:trPr>
        <w:tc>
          <w:tcPr>
            <w:tcW w:w="4820" w:type="dxa"/>
            <w:vAlign w:val="center"/>
          </w:tcPr>
          <w:p w14:paraId="1D004314" w14:textId="77777777" w:rsidR="00FE07BA" w:rsidRDefault="00623252" w:rsidP="003A0513">
            <w:pPr>
              <w:pStyle w:val="Heading2"/>
              <w:numPr>
                <w:ilvl w:val="0"/>
                <w:numId w:val="0"/>
              </w:numPr>
              <w:jc w:val="left"/>
            </w:pPr>
            <w:r>
              <w:t>C</w:t>
            </w:r>
            <w:r w:rsidR="00FE07BA">
              <w:t>ontract award</w:t>
            </w:r>
          </w:p>
        </w:tc>
        <w:tc>
          <w:tcPr>
            <w:tcW w:w="4252" w:type="dxa"/>
            <w:vAlign w:val="center"/>
          </w:tcPr>
          <w:p w14:paraId="398434B9" w14:textId="2A7BB092" w:rsidR="003273D3" w:rsidRPr="002D2E91" w:rsidRDefault="00864B68" w:rsidP="003A0513">
            <w:pPr>
              <w:pStyle w:val="Heading2"/>
              <w:numPr>
                <w:ilvl w:val="0"/>
                <w:numId w:val="0"/>
              </w:numPr>
              <w:jc w:val="left"/>
            </w:pPr>
            <w:r>
              <w:t>01/10/2024</w:t>
            </w:r>
          </w:p>
        </w:tc>
      </w:tr>
      <w:tr w:rsidR="00FE07BA" w14:paraId="72E4ED8B" w14:textId="77777777" w:rsidTr="003A0513">
        <w:trPr>
          <w:trHeight w:val="397"/>
        </w:trPr>
        <w:tc>
          <w:tcPr>
            <w:tcW w:w="4820" w:type="dxa"/>
            <w:vAlign w:val="center"/>
          </w:tcPr>
          <w:p w14:paraId="0CC664EF" w14:textId="77777777" w:rsidR="00FE07BA" w:rsidRDefault="00FE07BA" w:rsidP="003A0513">
            <w:pPr>
              <w:pStyle w:val="Heading2"/>
              <w:numPr>
                <w:ilvl w:val="0"/>
                <w:numId w:val="0"/>
              </w:numPr>
              <w:jc w:val="left"/>
            </w:pPr>
            <w:r>
              <w:t xml:space="preserve">Contract work starts </w:t>
            </w:r>
          </w:p>
        </w:tc>
        <w:tc>
          <w:tcPr>
            <w:tcW w:w="4252" w:type="dxa"/>
            <w:vAlign w:val="center"/>
          </w:tcPr>
          <w:p w14:paraId="4A2B1C2E" w14:textId="42EB8AD0" w:rsidR="003273D3" w:rsidRPr="002D2E91" w:rsidRDefault="00864B68" w:rsidP="003A0513">
            <w:pPr>
              <w:pStyle w:val="Heading2"/>
              <w:numPr>
                <w:ilvl w:val="0"/>
                <w:numId w:val="0"/>
              </w:numPr>
              <w:jc w:val="left"/>
            </w:pPr>
            <w:r>
              <w:t>01/10/2024</w:t>
            </w:r>
          </w:p>
        </w:tc>
      </w:tr>
    </w:tbl>
    <w:p w14:paraId="5379EFB8" w14:textId="5E514987" w:rsidR="009A3E29" w:rsidRPr="009A3E29" w:rsidRDefault="009A3E29" w:rsidP="009A3E29">
      <w:pPr>
        <w:pStyle w:val="Heading2"/>
        <w:numPr>
          <w:ilvl w:val="0"/>
          <w:numId w:val="0"/>
        </w:numPr>
        <w:ind w:left="851"/>
      </w:pPr>
    </w:p>
    <w:p w14:paraId="07EE5A36" w14:textId="77777777" w:rsidR="00FE07BA" w:rsidRDefault="00FE07BA" w:rsidP="004270D9">
      <w:pPr>
        <w:pStyle w:val="MRNumberedHeading2"/>
      </w:pPr>
      <w:bookmarkStart w:id="66" w:name="_Toc403555100"/>
      <w:bookmarkStart w:id="67" w:name="_Ref405452899"/>
      <w:r>
        <w:t>Whilst the Authority does not intend to depart from the timetable, it reserves the right to do so at any stage.</w:t>
      </w:r>
      <w:bookmarkEnd w:id="66"/>
      <w:bookmarkEnd w:id="67"/>
      <w:r>
        <w:t xml:space="preserve">  </w:t>
      </w:r>
    </w:p>
    <w:p w14:paraId="553F8631" w14:textId="77777777" w:rsidR="000831C0" w:rsidRPr="00276E1B" w:rsidRDefault="000E189B" w:rsidP="004270D9">
      <w:pPr>
        <w:pStyle w:val="Heading1"/>
        <w:spacing w:before="240" w:after="0"/>
        <w:ind w:left="851"/>
      </w:pPr>
      <w:bookmarkStart w:id="68" w:name="_Toc403555104"/>
      <w:r w:rsidRPr="00276E1B">
        <w:t>Deadline for receipt of Tenders</w:t>
      </w:r>
      <w:bookmarkEnd w:id="68"/>
      <w:r w:rsidRPr="00276E1B">
        <w:t xml:space="preserve"> </w:t>
      </w:r>
    </w:p>
    <w:p w14:paraId="010BF2E7" w14:textId="6BC78C63" w:rsidR="000831C0" w:rsidRDefault="0083677A" w:rsidP="004270D9">
      <w:pPr>
        <w:pStyle w:val="MRNumberedHeading2"/>
      </w:pPr>
      <w:bookmarkStart w:id="69"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69"/>
    </w:p>
    <w:p w14:paraId="42722703" w14:textId="122057A0" w:rsidR="00E37725" w:rsidRDefault="00807CF7" w:rsidP="004270D9">
      <w:pPr>
        <w:pStyle w:val="MRNumberedHeading2"/>
      </w:pPr>
      <w:bookmarkStart w:id="70" w:name="_Toc403555106"/>
      <w:bookmarkStart w:id="71" w:name="_Ref405452913"/>
      <w:r>
        <w:t>Any Tender received after the d</w:t>
      </w:r>
      <w:r w:rsidR="00E37725">
        <w:t>eadline</w:t>
      </w:r>
      <w:r w:rsidR="0083677A">
        <w:t xml:space="preserve"> or by any method other than via the </w:t>
      </w:r>
      <w:r w:rsidR="006C6F4A">
        <w:t xml:space="preserve">e-Tendering </w:t>
      </w:r>
      <w:r w:rsidR="004230E7">
        <w:t>Portal</w:t>
      </w:r>
      <w:r w:rsidR="00E37725">
        <w:t xml:space="preserve"> </w:t>
      </w:r>
      <w:r w:rsidR="002E1DD8">
        <w:t>may</w:t>
      </w:r>
      <w:r w:rsidR="00E37725">
        <w:t xml:space="preserve"> not be considered. The Authority may</w:t>
      </w:r>
      <w:r w:rsidR="00E9460D">
        <w:t xml:space="preserve"> </w:t>
      </w:r>
      <w:r w:rsidR="00E02FBA">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70"/>
      <w:bookmarkEnd w:id="71"/>
    </w:p>
    <w:p w14:paraId="219A345C" w14:textId="1D58D72A" w:rsidR="002F1591" w:rsidRPr="002F42CC" w:rsidRDefault="007D045C" w:rsidP="002F1591">
      <w:pPr>
        <w:pStyle w:val="Header"/>
        <w:spacing w:before="240"/>
        <w:ind w:left="851"/>
        <w:jc w:val="both"/>
        <w:rPr>
          <w:b/>
        </w:rPr>
      </w:pPr>
      <w:bookmarkStart w:id="72" w:name="_Toc403555119"/>
      <w:r>
        <w:rPr>
          <w:b/>
        </w:rPr>
        <w:t>Standard Selection</w:t>
      </w:r>
      <w:r w:rsidR="002F1591">
        <w:rPr>
          <w:b/>
        </w:rPr>
        <w:t xml:space="preserve"> evidence</w:t>
      </w:r>
    </w:p>
    <w:p w14:paraId="33D764DF" w14:textId="268CB158" w:rsidR="002F1591" w:rsidRDefault="002F1591" w:rsidP="002F1591">
      <w:pPr>
        <w:pStyle w:val="MRNumberedHeading2"/>
        <w:rPr>
          <w:i/>
          <w:color w:val="808080" w:themeColor="background1" w:themeShade="80"/>
        </w:rPr>
      </w:pPr>
      <w:bookmarkStart w:id="73" w:name="_Ref412565042"/>
      <w:r>
        <w:t>Bidders</w:t>
      </w:r>
      <w:r w:rsidR="00740710">
        <w:t xml:space="preserve"> are required to provide</w:t>
      </w:r>
      <w:r>
        <w:t xml:space="preserve"> information</w:t>
      </w:r>
      <w:r w:rsidR="00740710">
        <w:t xml:space="preserve"> about their eligibility for this procurement and some of that information will be</w:t>
      </w:r>
      <w:r>
        <w:t xml:space="preserve"> self-certified </w:t>
      </w:r>
      <w:bookmarkStart w:id="74" w:name="hand217"/>
      <w:bookmarkEnd w:id="74"/>
      <w:r>
        <w:t>as accurate. During the standstill period, the Authority will require the successful Bidder to provide the following:</w:t>
      </w:r>
      <w:bookmarkEnd w:id="73"/>
    </w:p>
    <w:p w14:paraId="07D3A80E" w14:textId="564CC644" w:rsidR="00AF10C0" w:rsidRPr="00AF10C0" w:rsidRDefault="00E7722E" w:rsidP="00AF1509">
      <w:pPr>
        <w:pStyle w:val="MRNumberedHeading3"/>
        <w:numPr>
          <w:ilvl w:val="2"/>
          <w:numId w:val="18"/>
        </w:numPr>
        <w:tabs>
          <w:tab w:val="clear" w:pos="2214"/>
          <w:tab w:val="num" w:pos="1790"/>
        </w:tabs>
        <w:spacing w:line="240" w:lineRule="auto"/>
        <w:ind w:left="1702" w:hanging="851"/>
        <w:jc w:val="both"/>
        <w:rPr>
          <w:iCs/>
        </w:rPr>
      </w:pPr>
      <w:r w:rsidRPr="00AF10C0">
        <w:rPr>
          <w:iCs/>
        </w:rPr>
        <w:t>Self</w:t>
      </w:r>
      <w:r>
        <w:rPr>
          <w:iCs/>
        </w:rPr>
        <w:t>-Certify</w:t>
      </w:r>
      <w:r w:rsidR="00AF10C0">
        <w:rPr>
          <w:iCs/>
        </w:rPr>
        <w:t xml:space="preserve"> as required in the Public Contracts Regulations 2015, Regulation 60(4) or (5), that none of the mandatory or discretionary grounds of exclusion referred to in the Standard Selection Questionnaire and responses </w:t>
      </w:r>
      <w:r>
        <w:rPr>
          <w:iCs/>
        </w:rPr>
        <w:t>section</w:t>
      </w:r>
      <w:r w:rsidR="00AF10C0">
        <w:rPr>
          <w:iCs/>
        </w:rPr>
        <w:t xml:space="preserve"> found in the Supplier Tender Return </w:t>
      </w:r>
      <w:r>
        <w:rPr>
          <w:iCs/>
        </w:rPr>
        <w:t xml:space="preserve">document </w:t>
      </w:r>
      <w:proofErr w:type="gramStart"/>
      <w:r w:rsidR="00AF10C0">
        <w:rPr>
          <w:iCs/>
        </w:rPr>
        <w:t>applies;</w:t>
      </w:r>
      <w:proofErr w:type="gramEnd"/>
    </w:p>
    <w:p w14:paraId="490D120C" w14:textId="7CB3A251" w:rsidR="00AF10C0" w:rsidRPr="00AF10C0" w:rsidRDefault="00AF10C0" w:rsidP="00AF1509">
      <w:pPr>
        <w:pStyle w:val="MRNumberedHeading3"/>
        <w:numPr>
          <w:ilvl w:val="2"/>
          <w:numId w:val="18"/>
        </w:numPr>
        <w:tabs>
          <w:tab w:val="clear" w:pos="2214"/>
          <w:tab w:val="num" w:pos="1790"/>
        </w:tabs>
        <w:spacing w:line="240" w:lineRule="auto"/>
        <w:ind w:left="1702" w:hanging="851"/>
        <w:jc w:val="both"/>
        <w:rPr>
          <w:i/>
        </w:rPr>
      </w:pPr>
      <w:r>
        <w:rPr>
          <w:iCs/>
        </w:rPr>
        <w:t>Proof as required in the Public Contract</w:t>
      </w:r>
      <w:r w:rsidR="00E7722E">
        <w:rPr>
          <w:iCs/>
        </w:rPr>
        <w:t xml:space="preserve">s Regulations 2015, Regulation 60(6), that you have the minimum level of economic and financial </w:t>
      </w:r>
      <w:proofErr w:type="gramStart"/>
      <w:r w:rsidR="00E7722E">
        <w:rPr>
          <w:iCs/>
        </w:rPr>
        <w:t>standing;</w:t>
      </w:r>
      <w:proofErr w:type="gramEnd"/>
    </w:p>
    <w:p w14:paraId="57FA8849" w14:textId="77777777" w:rsidR="00E7722E" w:rsidRPr="00AF10C0" w:rsidRDefault="00E7722E" w:rsidP="00E7722E">
      <w:pPr>
        <w:pStyle w:val="MRNumberedHeading3"/>
        <w:numPr>
          <w:ilvl w:val="2"/>
          <w:numId w:val="18"/>
        </w:numPr>
        <w:tabs>
          <w:tab w:val="clear" w:pos="2214"/>
          <w:tab w:val="num" w:pos="1790"/>
        </w:tabs>
        <w:spacing w:line="240" w:lineRule="auto"/>
        <w:ind w:left="1702" w:hanging="851"/>
        <w:jc w:val="both"/>
        <w:rPr>
          <w:iCs/>
        </w:rPr>
      </w:pPr>
      <w:r>
        <w:rPr>
          <w:iCs/>
        </w:rPr>
        <w:t xml:space="preserve">Self-certify the required insurances as set out in Part 8 of the Standard Selection Questionnaire and responses section found in the Supplier Tender Return document </w:t>
      </w:r>
      <w:proofErr w:type="gramStart"/>
      <w:r>
        <w:rPr>
          <w:iCs/>
        </w:rPr>
        <w:t>applies;</w:t>
      </w:r>
      <w:proofErr w:type="gramEnd"/>
    </w:p>
    <w:p w14:paraId="12A760DC" w14:textId="26B5DD7D" w:rsidR="00E7722E" w:rsidRPr="00E7722E" w:rsidRDefault="00E7722E" w:rsidP="00AF1509">
      <w:pPr>
        <w:pStyle w:val="MRNumberedHeading3"/>
        <w:numPr>
          <w:ilvl w:val="2"/>
          <w:numId w:val="18"/>
        </w:numPr>
        <w:tabs>
          <w:tab w:val="clear" w:pos="2214"/>
          <w:tab w:val="num" w:pos="1790"/>
        </w:tabs>
        <w:spacing w:line="240" w:lineRule="auto"/>
        <w:ind w:left="1702" w:hanging="851"/>
        <w:jc w:val="both"/>
        <w:rPr>
          <w:i/>
        </w:rPr>
      </w:pPr>
      <w:r>
        <w:rPr>
          <w:iCs/>
        </w:rPr>
        <w:lastRenderedPageBreak/>
        <w:t xml:space="preserve">A copy of your health and safety </w:t>
      </w:r>
      <w:proofErr w:type="gramStart"/>
      <w:r>
        <w:rPr>
          <w:iCs/>
        </w:rPr>
        <w:t>Policy;</w:t>
      </w:r>
      <w:proofErr w:type="gramEnd"/>
    </w:p>
    <w:p w14:paraId="556026E4" w14:textId="7E7C3E61" w:rsidR="002F1591" w:rsidRPr="002F46C5" w:rsidRDefault="00740710" w:rsidP="002F46C5">
      <w:pPr>
        <w:pStyle w:val="Header"/>
        <w:spacing w:before="240"/>
        <w:ind w:left="851"/>
        <w:jc w:val="both"/>
        <w:rPr>
          <w:b/>
        </w:rPr>
      </w:pPr>
      <w:bookmarkStart w:id="75" w:name="_Toc403555120"/>
      <w:bookmarkEnd w:id="72"/>
      <w:r w:rsidRPr="002F46C5">
        <w:rPr>
          <w:b/>
        </w:rPr>
        <w:t>Contract a</w:t>
      </w:r>
      <w:r w:rsidR="002F1591" w:rsidRPr="002F46C5">
        <w:rPr>
          <w:b/>
        </w:rPr>
        <w:t>ward</w:t>
      </w:r>
    </w:p>
    <w:p w14:paraId="64C0E732" w14:textId="77777777" w:rsidR="00E56F27" w:rsidRDefault="008824CC" w:rsidP="004270D9">
      <w:pPr>
        <w:pStyle w:val="MRNumberedHeading2"/>
      </w:pPr>
      <w:r>
        <w:t>Contract award is subject to the formal approval process of the Authority. Until all necessary approvals are obtained and the s</w:t>
      </w:r>
      <w:r w:rsidR="00E56F27">
        <w:t>tandstill period completed, no c</w:t>
      </w:r>
      <w:r>
        <w:t>ontract(s) will be entered into.</w:t>
      </w:r>
      <w:bookmarkEnd w:id="75"/>
    </w:p>
    <w:p w14:paraId="5772585B" w14:textId="0256B4C0" w:rsidR="004E71FF" w:rsidRPr="005A2E47" w:rsidRDefault="008824CC" w:rsidP="004270D9">
      <w:pPr>
        <w:pStyle w:val="MRNumberedHeading2"/>
      </w:pPr>
      <w:bookmarkStart w:id="76" w:name="_Toc403555121"/>
      <w:bookmarkStart w:id="77" w:name="_Ref405452945"/>
      <w:r>
        <w:t>Once the Authority has reached a decision in respect of a cont</w:t>
      </w:r>
      <w:r w:rsidR="001065C5">
        <w:t>ract award, it will notify all B</w:t>
      </w:r>
      <w:r>
        <w:t>idders of that decision and provide for a stands</w:t>
      </w:r>
      <w:r w:rsidR="00E56F27">
        <w:t>till period in accordance with the Public Contracts Regul</w:t>
      </w:r>
      <w:r w:rsidR="00CF5955">
        <w:t>ations 2015</w:t>
      </w:r>
      <w:r w:rsidR="00E56F27">
        <w:t xml:space="preserve"> before </w:t>
      </w:r>
      <w:proofErr w:type="gramStart"/>
      <w:r w:rsidR="00E56F27">
        <w:t>entering into</w:t>
      </w:r>
      <w:proofErr w:type="gramEnd"/>
      <w:r w:rsidR="00E56F27">
        <w:t xml:space="preserve"> any c</w:t>
      </w:r>
      <w:r>
        <w:t>ontract(s).</w:t>
      </w:r>
      <w:bookmarkEnd w:id="76"/>
      <w:bookmarkEnd w:id="77"/>
      <w:r w:rsidR="004E71FF">
        <w:br w:type="page"/>
      </w:r>
    </w:p>
    <w:p w14:paraId="58B48A2D" w14:textId="77777777" w:rsidR="008824CC" w:rsidRPr="008F3D2C" w:rsidRDefault="00A57D02" w:rsidP="00AF1509">
      <w:pPr>
        <w:pStyle w:val="MRNumberedHeading1"/>
        <w:numPr>
          <w:ilvl w:val="0"/>
          <w:numId w:val="19"/>
        </w:numPr>
        <w:ind w:hanging="798"/>
        <w:jc w:val="both"/>
        <w:rPr>
          <w:sz w:val="20"/>
          <w:szCs w:val="20"/>
        </w:rPr>
      </w:pPr>
      <w:bookmarkStart w:id="78" w:name="_Toc403556503"/>
      <w:bookmarkStart w:id="79" w:name="_Toc403556508"/>
      <w:bookmarkStart w:id="80" w:name="_Toc406674971"/>
      <w:bookmarkStart w:id="81" w:name="_Toc412621213"/>
      <w:bookmarkStart w:id="82" w:name="_Toc412715223"/>
      <w:r w:rsidRPr="008F3D2C">
        <w:rPr>
          <w:sz w:val="20"/>
          <w:szCs w:val="20"/>
        </w:rPr>
        <w:lastRenderedPageBreak/>
        <w:t xml:space="preserve">INSTRUCTIONS TO </w:t>
      </w:r>
      <w:r w:rsidR="00E7163F" w:rsidRPr="008F3D2C">
        <w:rPr>
          <w:sz w:val="20"/>
          <w:szCs w:val="20"/>
        </w:rPr>
        <w:t>BIDDERS</w:t>
      </w:r>
      <w:bookmarkEnd w:id="78"/>
      <w:bookmarkEnd w:id="79"/>
      <w:bookmarkEnd w:id="80"/>
      <w:bookmarkEnd w:id="81"/>
      <w:bookmarkEnd w:id="82"/>
      <w:r w:rsidRPr="008F3D2C">
        <w:rPr>
          <w:sz w:val="20"/>
          <w:szCs w:val="20"/>
        </w:rPr>
        <w:t xml:space="preserve"> </w:t>
      </w:r>
    </w:p>
    <w:p w14:paraId="2125C880" w14:textId="5EF595D6" w:rsidR="006534CF" w:rsidRPr="00276E1B" w:rsidRDefault="00E41C42" w:rsidP="004270D9">
      <w:pPr>
        <w:pStyle w:val="Heading1"/>
        <w:spacing w:before="240" w:after="0"/>
        <w:ind w:left="851"/>
      </w:pPr>
      <w:bookmarkStart w:id="83" w:name="_Toc403555122"/>
      <w:r w:rsidRPr="00276E1B">
        <w:t>Formalities for s</w:t>
      </w:r>
      <w:r w:rsidR="003E3EE7" w:rsidRPr="00276E1B">
        <w:t>ubmission of Tender</w:t>
      </w:r>
      <w:bookmarkEnd w:id="83"/>
      <w:r w:rsidR="005E195E">
        <w:t>s</w:t>
      </w:r>
      <w:r w:rsidR="003E3EE7" w:rsidRPr="00276E1B">
        <w:t xml:space="preserve"> </w:t>
      </w:r>
    </w:p>
    <w:p w14:paraId="41899C69" w14:textId="690F5966" w:rsidR="00E41C42" w:rsidRDefault="00E7163F" w:rsidP="004270D9">
      <w:pPr>
        <w:pStyle w:val="MRNumberedHeading2"/>
      </w:pPr>
      <w:bookmarkStart w:id="84" w:name="_Toc403555123"/>
      <w:bookmarkStart w:id="85" w:name="_Ref405452954"/>
      <w:r w:rsidRPr="00D271BB">
        <w:rPr>
          <w:iCs/>
        </w:rPr>
        <w:t>Bidders</w:t>
      </w:r>
      <w:r w:rsidR="00CC6A3C" w:rsidRPr="00D271BB">
        <w:rPr>
          <w:iCs/>
        </w:rPr>
        <w:t xml:space="preserve"> must submit </w:t>
      </w:r>
      <w:r w:rsidR="002705A5" w:rsidRPr="00D271BB">
        <w:rPr>
          <w:iCs/>
        </w:rPr>
        <w:t xml:space="preserve">their Tenders by completing the </w:t>
      </w:r>
      <w:r w:rsidR="0081257E" w:rsidRPr="00D271BB">
        <w:rPr>
          <w:iCs/>
        </w:rPr>
        <w:t>questions within the Requirements envelope on Atamis</w:t>
      </w:r>
      <w:r w:rsidR="002705A5" w:rsidRPr="00D271BB">
        <w:rPr>
          <w:iCs/>
        </w:rPr>
        <w:t xml:space="preserve">.   Completed Tenders must be submitted </w:t>
      </w:r>
      <w:r w:rsidR="006B54D6" w:rsidRPr="00D271BB">
        <w:rPr>
          <w:iCs/>
        </w:rPr>
        <w:t>using the</w:t>
      </w:r>
      <w:r w:rsidR="006C6F4A" w:rsidRPr="00D271BB">
        <w:rPr>
          <w:iCs/>
        </w:rPr>
        <w:t xml:space="preserve"> e-Tendering</w:t>
      </w:r>
      <w:r w:rsidR="006B54D6" w:rsidRPr="00D271BB">
        <w:rPr>
          <w:iCs/>
        </w:rPr>
        <w:t xml:space="preserve"> Portal.</w:t>
      </w:r>
      <w:r w:rsidR="00CC6A3C" w:rsidRPr="00D271BB">
        <w:rPr>
          <w:iCs/>
        </w:rPr>
        <w:t xml:space="preserve"> </w:t>
      </w:r>
      <w:r w:rsidRPr="00D271BB">
        <w:rPr>
          <w:iCs/>
        </w:rPr>
        <w:t>Bidders</w:t>
      </w:r>
      <w:r w:rsidR="00CC6A3C" w:rsidRPr="00D271BB">
        <w:rPr>
          <w:iCs/>
        </w:rPr>
        <w:t xml:space="preserve"> </w:t>
      </w:r>
      <w:r w:rsidR="00FC24F6" w:rsidRPr="00D271BB">
        <w:rPr>
          <w:iCs/>
        </w:rPr>
        <w:t>should</w:t>
      </w:r>
      <w:r w:rsidR="00CC6A3C" w:rsidRPr="00D271BB">
        <w:rPr>
          <w:iCs/>
        </w:rPr>
        <w:t xml:space="preserve"> ensure that they </w:t>
      </w:r>
      <w:r w:rsidR="00162244" w:rsidRPr="00D271BB">
        <w:rPr>
          <w:iCs/>
        </w:rPr>
        <w:t>allow</w:t>
      </w:r>
      <w:r w:rsidR="00CC4072" w:rsidRPr="00D271BB">
        <w:rPr>
          <w:iCs/>
        </w:rPr>
        <w:t xml:space="preserve"> plenty of time to upload the T</w:t>
      </w:r>
      <w:r w:rsidR="00CC6A3C" w:rsidRPr="00D271BB">
        <w:rPr>
          <w:iCs/>
        </w:rPr>
        <w:t>ender, particularly where there are large documents.</w:t>
      </w:r>
      <w:r w:rsidR="00CC6A3C" w:rsidRPr="006245EA">
        <w:rPr>
          <w:i/>
        </w:rPr>
        <w:t xml:space="preserve">  </w:t>
      </w:r>
      <w:r w:rsidR="00CC6A3C" w:rsidRPr="006245EA">
        <w:t xml:space="preserve">If </w:t>
      </w:r>
      <w:r w:rsidRPr="006245EA">
        <w:t>Bidders</w:t>
      </w:r>
      <w:r w:rsidR="00CC6A3C" w:rsidRPr="006245EA">
        <w:t xml:space="preserve"> have any problems with</w:t>
      </w:r>
      <w:r w:rsidR="00CC6A3C" w:rsidRPr="000D295F">
        <w:t xml:space="preserve"> </w:t>
      </w:r>
      <w:r w:rsidR="00D91429" w:rsidRPr="00CC6A3C">
        <w:t>[</w:t>
      </w:r>
      <w:r w:rsidR="006B54D6" w:rsidRPr="000D295F">
        <w:t>the</w:t>
      </w:r>
      <w:r w:rsidR="006C6F4A" w:rsidRPr="000D295F">
        <w:t xml:space="preserve"> </w:t>
      </w:r>
      <w:r w:rsidR="00D91429" w:rsidRPr="00CC6A3C">
        <w:t>electronic tendering portal],</w:t>
      </w:r>
      <w:r w:rsidR="00CC6A3C" w:rsidRPr="000D295F">
        <w:t xml:space="preserve"> they </w:t>
      </w:r>
      <w:r w:rsidR="00162244" w:rsidRPr="000D295F">
        <w:t>should</w:t>
      </w:r>
      <w:r w:rsidR="00CC6A3C" w:rsidRPr="000D295F">
        <w:t xml:space="preserve"> contact the helpdesk on </w:t>
      </w:r>
      <w:r w:rsidR="00157B1E">
        <w:t>029 2279 0052</w:t>
      </w:r>
      <w:r w:rsidR="006A3E61">
        <w:t xml:space="preserve"> </w:t>
      </w:r>
      <w:r w:rsidR="00D91429">
        <w:t xml:space="preserve">or email: </w:t>
      </w:r>
      <w:r w:rsidR="00157B1E">
        <w:t>info@atamis.co.uk</w:t>
      </w:r>
      <w:r w:rsidR="00D91429">
        <w:t>.</w:t>
      </w:r>
      <w:r w:rsidR="00CC6A3C" w:rsidRPr="000D295F">
        <w:t xml:space="preserve">  </w:t>
      </w:r>
      <w:r w:rsidR="00B667F9" w:rsidRPr="000D295F">
        <w:t>As noted above, any Tender received after the deadline may not be considered</w:t>
      </w:r>
      <w:r w:rsidR="00D91429">
        <w:t>.</w:t>
      </w:r>
      <w:bookmarkEnd w:id="84"/>
      <w:bookmarkEnd w:id="85"/>
    </w:p>
    <w:p w14:paraId="57422DAD" w14:textId="2205611F" w:rsidR="00E41C42" w:rsidRDefault="003413F6" w:rsidP="004270D9">
      <w:pPr>
        <w:pStyle w:val="MRNumberedHeading2"/>
      </w:pPr>
      <w:bookmarkStart w:id="86" w:name="_Toc403555124"/>
      <w:r>
        <w:t>T</w:t>
      </w:r>
      <w:r w:rsidR="00E41C42">
        <w:t xml:space="preserve">he Authority does not guarantee that you will </w:t>
      </w:r>
      <w:r w:rsidR="001B7E88">
        <w:t xml:space="preserve">be </w:t>
      </w:r>
      <w:r w:rsidR="00E41C42">
        <w:t>able to upload files, particularly at busy times</w:t>
      </w:r>
      <w:r w:rsidR="00BD5DCC">
        <w:t xml:space="preserve">. </w:t>
      </w:r>
      <w:r w:rsidR="00E41C42">
        <w:t xml:space="preserve"> For t</w:t>
      </w:r>
      <w:r w:rsidR="001B7E88">
        <w:t xml:space="preserve">his </w:t>
      </w:r>
      <w:proofErr w:type="gramStart"/>
      <w:r w:rsidR="001B7E88">
        <w:t>reason</w:t>
      </w:r>
      <w:proofErr w:type="gramEnd"/>
      <w:r w:rsidR="001B7E88">
        <w:t xml:space="preserve"> it is recommended that</w:t>
      </w:r>
      <w:r w:rsidR="00E41C42">
        <w:t xml:space="preserve"> Bidders should ensure files are </w:t>
      </w:r>
      <w:r w:rsidR="00A76118">
        <w:t xml:space="preserve">well prepared </w:t>
      </w:r>
      <w:r w:rsidR="00E41C42">
        <w:t>and allow plenty of time to upload, so they have enough time to resolve any technical difficulties before the deadline.</w:t>
      </w:r>
      <w:bookmarkEnd w:id="86"/>
    </w:p>
    <w:p w14:paraId="20DF3545" w14:textId="7A88C91C" w:rsidR="00E62354" w:rsidRPr="00E7722E" w:rsidRDefault="00FC24F6" w:rsidP="004270D9">
      <w:pPr>
        <w:pStyle w:val="MRNumberedHeading2"/>
        <w:rPr>
          <w:shd w:val="clear" w:color="auto" w:fill="FFFF66"/>
        </w:rPr>
      </w:pPr>
      <w:bookmarkStart w:id="87" w:name="_Toc403555125"/>
      <w:bookmarkStart w:id="88" w:name="_Ref405453188"/>
      <w:r w:rsidRPr="00E7722E">
        <w:rPr>
          <w:i/>
          <w:shd w:val="clear" w:color="auto" w:fill="FFFF66"/>
        </w:rPr>
        <w:t>Bidders must adhere to the</w:t>
      </w:r>
      <w:r w:rsidR="00C27CC2" w:rsidRPr="00E7722E">
        <w:rPr>
          <w:i/>
          <w:shd w:val="clear" w:color="auto" w:fill="FFFF66"/>
        </w:rPr>
        <w:t xml:space="preserve"> following</w:t>
      </w:r>
      <w:r w:rsidR="002869D0" w:rsidRPr="00E7722E">
        <w:rPr>
          <w:i/>
          <w:shd w:val="clear" w:color="auto" w:fill="FFFF66"/>
        </w:rPr>
        <w:t xml:space="preserve"> standard</w:t>
      </w:r>
      <w:r w:rsidR="00C27CC2" w:rsidRPr="00E7722E">
        <w:rPr>
          <w:i/>
          <w:shd w:val="clear" w:color="auto" w:fill="FFFF66"/>
        </w:rPr>
        <w:t xml:space="preserve"> requirements </w:t>
      </w:r>
      <w:r w:rsidR="00E62354" w:rsidRPr="00E7722E">
        <w:rPr>
          <w:i/>
          <w:shd w:val="clear" w:color="auto" w:fill="FFFF66"/>
        </w:rPr>
        <w:t xml:space="preserve">when submitting </w:t>
      </w:r>
      <w:r w:rsidRPr="00E7722E">
        <w:rPr>
          <w:i/>
          <w:shd w:val="clear" w:color="auto" w:fill="FFFF66"/>
        </w:rPr>
        <w:t>their</w:t>
      </w:r>
      <w:r w:rsidR="00E62354" w:rsidRPr="00E7722E">
        <w:rPr>
          <w:i/>
          <w:shd w:val="clear" w:color="auto" w:fill="FFFF66"/>
        </w:rPr>
        <w:t xml:space="preserve"> </w:t>
      </w:r>
      <w:r w:rsidR="00C27CC2" w:rsidRPr="00E7722E">
        <w:rPr>
          <w:i/>
          <w:shd w:val="clear" w:color="auto" w:fill="FFFF66"/>
        </w:rPr>
        <w:t>Tenders</w:t>
      </w:r>
      <w:r w:rsidR="00C27CC2" w:rsidRPr="00E7722E">
        <w:rPr>
          <w:shd w:val="clear" w:color="auto" w:fill="FFFF66"/>
        </w:rPr>
        <w:t>:</w:t>
      </w:r>
      <w:bookmarkEnd w:id="87"/>
      <w:bookmarkEnd w:id="88"/>
    </w:p>
    <w:p w14:paraId="2E0B4F5D" w14:textId="77777777" w:rsidR="00E62354" w:rsidRPr="00E7722E" w:rsidRDefault="00FC24F6" w:rsidP="00AF1509">
      <w:pPr>
        <w:pStyle w:val="MRNumberedHeading3"/>
        <w:numPr>
          <w:ilvl w:val="2"/>
          <w:numId w:val="18"/>
        </w:numPr>
        <w:tabs>
          <w:tab w:val="clear" w:pos="2214"/>
          <w:tab w:val="num" w:pos="1794"/>
        </w:tabs>
        <w:spacing w:line="240" w:lineRule="auto"/>
        <w:ind w:left="1702" w:hanging="851"/>
        <w:jc w:val="both"/>
        <w:rPr>
          <w:i/>
          <w:shd w:val="clear" w:color="auto" w:fill="FFFF66"/>
        </w:rPr>
      </w:pPr>
      <w:r w:rsidRPr="00E7722E">
        <w:rPr>
          <w:i/>
          <w:shd w:val="clear" w:color="auto" w:fill="FFFF66"/>
        </w:rPr>
        <w:t>Do not embed documents</w:t>
      </w:r>
      <w:r w:rsidR="00C27CC2" w:rsidRPr="00E7722E">
        <w:rPr>
          <w:i/>
          <w:shd w:val="clear" w:color="auto" w:fill="FFFF66"/>
        </w:rPr>
        <w:t xml:space="preserve"> within other documents</w:t>
      </w:r>
      <w:r w:rsidRPr="00E7722E">
        <w:rPr>
          <w:i/>
          <w:shd w:val="clear" w:color="auto" w:fill="FFFF66"/>
        </w:rPr>
        <w:t>.</w:t>
      </w:r>
      <w:r w:rsidR="00C27CC2" w:rsidRPr="00E7722E">
        <w:rPr>
          <w:i/>
          <w:shd w:val="clear" w:color="auto" w:fill="FFFF66"/>
        </w:rPr>
        <w:t xml:space="preserve"> </w:t>
      </w:r>
      <w:r w:rsidRPr="00E7722E">
        <w:rPr>
          <w:i/>
          <w:shd w:val="clear" w:color="auto" w:fill="FFFF66"/>
        </w:rPr>
        <w:t>Instead</w:t>
      </w:r>
      <w:r w:rsidR="00C27CC2" w:rsidRPr="00E7722E">
        <w:rPr>
          <w:i/>
          <w:shd w:val="clear" w:color="auto" w:fill="FFFF66"/>
        </w:rPr>
        <w:t xml:space="preserve"> provide separate electronic copies of the </w:t>
      </w:r>
      <w:r w:rsidRPr="00E7722E">
        <w:rPr>
          <w:i/>
          <w:shd w:val="clear" w:color="auto" w:fill="FFFF66"/>
        </w:rPr>
        <w:t>documents, clearly labelled and referenced if necessary.</w:t>
      </w:r>
    </w:p>
    <w:p w14:paraId="02F07E94" w14:textId="77777777" w:rsidR="00E62354" w:rsidRPr="00E7722E" w:rsidRDefault="00C27CC2" w:rsidP="00AF1509">
      <w:pPr>
        <w:pStyle w:val="MRNumberedHeading3"/>
        <w:numPr>
          <w:ilvl w:val="2"/>
          <w:numId w:val="18"/>
        </w:numPr>
        <w:tabs>
          <w:tab w:val="clear" w:pos="2214"/>
          <w:tab w:val="num" w:pos="1794"/>
        </w:tabs>
        <w:spacing w:line="240" w:lineRule="auto"/>
        <w:ind w:left="1702" w:hanging="851"/>
        <w:jc w:val="both"/>
        <w:rPr>
          <w:i/>
          <w:shd w:val="clear" w:color="auto" w:fill="FFFF66"/>
        </w:rPr>
      </w:pPr>
      <w:r w:rsidRPr="00E7722E">
        <w:rPr>
          <w:i/>
          <w:shd w:val="clear" w:color="auto" w:fill="FFFF66"/>
        </w:rPr>
        <w:t>The Tender must be in English and drafted in accordance with the drafting guidance set out in this ITT.</w:t>
      </w:r>
    </w:p>
    <w:p w14:paraId="5F34946F" w14:textId="017FCEA1" w:rsidR="00E62354" w:rsidRPr="00E7722E" w:rsidRDefault="00E02FBA" w:rsidP="00AF1509">
      <w:pPr>
        <w:pStyle w:val="MRNumberedHeading3"/>
        <w:numPr>
          <w:ilvl w:val="2"/>
          <w:numId w:val="18"/>
        </w:numPr>
        <w:tabs>
          <w:tab w:val="clear" w:pos="2214"/>
          <w:tab w:val="num" w:pos="1794"/>
        </w:tabs>
        <w:spacing w:line="240" w:lineRule="auto"/>
        <w:ind w:left="1702" w:hanging="851"/>
        <w:jc w:val="both"/>
        <w:rPr>
          <w:i/>
          <w:shd w:val="clear" w:color="auto" w:fill="FFFF66"/>
        </w:rPr>
      </w:pPr>
      <w:bookmarkStart w:id="89" w:name="_Ref407361268"/>
      <w:r w:rsidRPr="00E7722E">
        <w:rPr>
          <w:i/>
          <w:shd w:val="clear" w:color="auto" w:fill="FFFF66"/>
        </w:rPr>
        <w:t>[</w:t>
      </w:r>
      <w:r w:rsidR="00A7044C" w:rsidRPr="00E7722E">
        <w:rPr>
          <w:i/>
          <w:shd w:val="clear" w:color="auto" w:fill="FFFF66"/>
        </w:rPr>
        <w:t>Each Tender (whether a reference bid or a variant b</w:t>
      </w:r>
      <w:r w:rsidR="00C27CC2" w:rsidRPr="00E7722E">
        <w:rPr>
          <w:i/>
          <w:shd w:val="clear" w:color="auto" w:fill="FFFF66"/>
        </w:rPr>
        <w:t>id)</w:t>
      </w:r>
      <w:r w:rsidR="00E41C42" w:rsidRPr="00E7722E">
        <w:rPr>
          <w:i/>
          <w:shd w:val="clear" w:color="auto" w:fill="FFFF66"/>
        </w:rPr>
        <w:t xml:space="preserve"> </w:t>
      </w:r>
      <w:r w:rsidR="00C27CC2" w:rsidRPr="00E7722E">
        <w:rPr>
          <w:i/>
          <w:shd w:val="clear" w:color="auto" w:fill="FFFF66"/>
        </w:rPr>
        <w:t>must be uniquely named or referenced.</w:t>
      </w:r>
      <w:r w:rsidRPr="00E7722E">
        <w:rPr>
          <w:i/>
          <w:shd w:val="clear" w:color="auto" w:fill="FFFF66"/>
        </w:rPr>
        <w:t>] [– delete if variants are not permitted]</w:t>
      </w:r>
      <w:bookmarkEnd w:id="89"/>
    </w:p>
    <w:p w14:paraId="5C96C54A" w14:textId="77777777" w:rsidR="00E62354" w:rsidRPr="00E7722E" w:rsidRDefault="00C27CC2" w:rsidP="00AF1509">
      <w:pPr>
        <w:pStyle w:val="MRNumberedHeading3"/>
        <w:numPr>
          <w:ilvl w:val="2"/>
          <w:numId w:val="18"/>
        </w:numPr>
        <w:tabs>
          <w:tab w:val="clear" w:pos="2214"/>
          <w:tab w:val="num" w:pos="1794"/>
        </w:tabs>
        <w:spacing w:line="240" w:lineRule="auto"/>
        <w:ind w:left="1702" w:hanging="851"/>
        <w:jc w:val="both"/>
        <w:rPr>
          <w:i/>
          <w:shd w:val="clear" w:color="auto" w:fill="FFFF66"/>
        </w:rPr>
      </w:pPr>
      <w:r w:rsidRPr="00E7722E">
        <w:rPr>
          <w:i/>
          <w:shd w:val="clear" w:color="auto" w:fill="FFFF66"/>
        </w:rPr>
        <w:t>The Tender must be fully cross-referenced</w:t>
      </w:r>
      <w:r w:rsidR="00F36F19" w:rsidRPr="00E7722E">
        <w:rPr>
          <w:i/>
          <w:shd w:val="clear" w:color="auto" w:fill="FFFF66"/>
        </w:rPr>
        <w:t xml:space="preserve"> and include a</w:t>
      </w:r>
      <w:r w:rsidR="007B6206" w:rsidRPr="00E7722E">
        <w:rPr>
          <w:i/>
          <w:shd w:val="clear" w:color="auto" w:fill="FFFF66"/>
        </w:rPr>
        <w:t xml:space="preserve"> table of contents.</w:t>
      </w:r>
    </w:p>
    <w:p w14:paraId="1F1B7D01" w14:textId="1F26B641" w:rsidR="00E62354" w:rsidRPr="00E7722E" w:rsidRDefault="00A60BD1" w:rsidP="00AF1509">
      <w:pPr>
        <w:pStyle w:val="MRNumberedHeading3"/>
        <w:numPr>
          <w:ilvl w:val="2"/>
          <w:numId w:val="18"/>
        </w:numPr>
        <w:tabs>
          <w:tab w:val="clear" w:pos="2214"/>
          <w:tab w:val="num" w:pos="1794"/>
        </w:tabs>
        <w:spacing w:line="240" w:lineRule="auto"/>
        <w:ind w:left="1702" w:hanging="851"/>
        <w:jc w:val="both"/>
        <w:rPr>
          <w:i/>
          <w:shd w:val="clear" w:color="auto" w:fill="FFFF66"/>
        </w:rPr>
      </w:pPr>
      <w:r w:rsidRPr="00E7722E">
        <w:rPr>
          <w:i/>
          <w:shd w:val="clear" w:color="auto" w:fill="FFFF66"/>
        </w:rPr>
        <w:t>The Tender must include a l</w:t>
      </w:r>
      <w:r w:rsidR="00C27CC2" w:rsidRPr="00E7722E">
        <w:rPr>
          <w:i/>
          <w:shd w:val="clear" w:color="auto" w:fill="FFFF66"/>
        </w:rPr>
        <w:t xml:space="preserve">ist of </w:t>
      </w:r>
      <w:r w:rsidR="00F36F19" w:rsidRPr="00E7722E">
        <w:rPr>
          <w:i/>
          <w:shd w:val="clear" w:color="auto" w:fill="FFFF66"/>
        </w:rPr>
        <w:t xml:space="preserve">all </w:t>
      </w:r>
      <w:r w:rsidR="00C27CC2" w:rsidRPr="00E7722E">
        <w:rPr>
          <w:i/>
          <w:shd w:val="clear" w:color="auto" w:fill="FFFF66"/>
        </w:rPr>
        <w:t>supporting material.</w:t>
      </w:r>
    </w:p>
    <w:p w14:paraId="36C28F71" w14:textId="26450A61" w:rsidR="00C27CC2" w:rsidRPr="00E7722E" w:rsidRDefault="00F36F19" w:rsidP="00AF1509">
      <w:pPr>
        <w:pStyle w:val="MRNumberedHeading3"/>
        <w:numPr>
          <w:ilvl w:val="2"/>
          <w:numId w:val="18"/>
        </w:numPr>
        <w:tabs>
          <w:tab w:val="clear" w:pos="2214"/>
          <w:tab w:val="num" w:pos="1794"/>
        </w:tabs>
        <w:spacing w:line="240" w:lineRule="auto"/>
        <w:ind w:left="1702" w:hanging="851"/>
        <w:jc w:val="both"/>
        <w:rPr>
          <w:rFonts w:cs="Arial"/>
        </w:rPr>
      </w:pPr>
      <w:r w:rsidRPr="00E7722E">
        <w:rPr>
          <w:i/>
          <w:shd w:val="clear" w:color="auto" w:fill="FFFF66"/>
        </w:rPr>
        <w:t>E</w:t>
      </w:r>
      <w:r w:rsidR="00C27CC2" w:rsidRPr="00E7722E">
        <w:rPr>
          <w:i/>
          <w:shd w:val="clear" w:color="auto" w:fill="FFFF66"/>
        </w:rPr>
        <w:t xml:space="preserve">lectronic copies of the Tender shall be in </w:t>
      </w:r>
      <w:r w:rsidR="00D91429" w:rsidRPr="00E7722E">
        <w:rPr>
          <w:rFonts w:cs="Arial"/>
        </w:rPr>
        <w:t>relevant</w:t>
      </w:r>
      <w:r w:rsidR="00C27CC2" w:rsidRPr="00E7722E">
        <w:rPr>
          <w:i/>
          <w:shd w:val="clear" w:color="auto" w:fill="FFFF66"/>
        </w:rPr>
        <w:t xml:space="preserve"> Microsoft </w:t>
      </w:r>
      <w:r w:rsidRPr="00E7722E">
        <w:rPr>
          <w:i/>
          <w:shd w:val="clear" w:color="auto" w:fill="FFFF66"/>
        </w:rPr>
        <w:t xml:space="preserve">Office </w:t>
      </w:r>
      <w:r w:rsidR="00D91429" w:rsidRPr="00E7722E">
        <w:rPr>
          <w:rFonts w:cs="Arial"/>
        </w:rPr>
        <w:t xml:space="preserve">Package, </w:t>
      </w:r>
      <w:r w:rsidR="003575D9" w:rsidRPr="00E7722E">
        <w:rPr>
          <w:rFonts w:cs="Arial"/>
        </w:rPr>
        <w:t>e.g.</w:t>
      </w:r>
      <w:r w:rsidR="00D91429" w:rsidRPr="00E7722E">
        <w:rPr>
          <w:rFonts w:cs="Arial"/>
        </w:rPr>
        <w:t xml:space="preserve"> Word</w:t>
      </w:r>
      <w:r w:rsidR="00C27CC2" w:rsidRPr="00E7722E">
        <w:rPr>
          <w:i/>
          <w:shd w:val="clear" w:color="auto" w:fill="FFFF66"/>
        </w:rPr>
        <w:t xml:space="preserve"> or </w:t>
      </w:r>
      <w:r w:rsidR="00D91429" w:rsidRPr="00E7722E">
        <w:rPr>
          <w:rFonts w:cs="Arial"/>
        </w:rPr>
        <w:t>Excel.</w:t>
      </w:r>
    </w:p>
    <w:p w14:paraId="5BDF97DA" w14:textId="72685570" w:rsidR="007F20B8" w:rsidRPr="00E7722E" w:rsidRDefault="007F20B8" w:rsidP="00AF1509">
      <w:pPr>
        <w:pStyle w:val="MRNumberedHeading3"/>
        <w:numPr>
          <w:ilvl w:val="2"/>
          <w:numId w:val="18"/>
        </w:numPr>
        <w:tabs>
          <w:tab w:val="clear" w:pos="2214"/>
          <w:tab w:val="num" w:pos="1794"/>
        </w:tabs>
        <w:spacing w:line="240" w:lineRule="auto"/>
        <w:ind w:left="1702" w:hanging="851"/>
        <w:jc w:val="both"/>
        <w:rPr>
          <w:rFonts w:cs="Arial"/>
        </w:rPr>
      </w:pPr>
      <w:r w:rsidRPr="00E7722E">
        <w:rPr>
          <w:i/>
          <w:shd w:val="clear" w:color="auto" w:fill="FFFF66"/>
        </w:rPr>
        <w:t>No PDF documents should be included unless otherwise agreed via clarification.</w:t>
      </w:r>
      <w:r w:rsidR="000B1F13" w:rsidRPr="00E7722E">
        <w:rPr>
          <w:i/>
          <w:shd w:val="clear" w:color="auto" w:fill="FFFF66"/>
        </w:rPr>
        <w:t xml:space="preserve">  </w:t>
      </w:r>
    </w:p>
    <w:p w14:paraId="6105A57C" w14:textId="77777777" w:rsidR="007B6206" w:rsidRDefault="007B6206" w:rsidP="006B54D6">
      <w:pPr>
        <w:pStyle w:val="MRNumberedHeading2"/>
      </w:pPr>
      <w:bookmarkStart w:id="90" w:name="_Toc403555126"/>
      <w:r>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90"/>
      <w:r>
        <w:t xml:space="preserve">  </w:t>
      </w:r>
    </w:p>
    <w:p w14:paraId="30AA722B" w14:textId="5351B00B" w:rsidR="00601937" w:rsidRDefault="00C27CC2" w:rsidP="006B54D6">
      <w:pPr>
        <w:pStyle w:val="MRNumberedHeading2"/>
      </w:pPr>
      <w:bookmarkStart w:id="91" w:name="_Toc403555127"/>
      <w:bookmarkStart w:id="92" w:name="_Ref405453197"/>
      <w:r>
        <w:t>The Tender must be clear, concise and complete. The Author</w:t>
      </w:r>
      <w:r w:rsidR="00C14D48">
        <w:t>ity reserves the right to mark</w:t>
      </w:r>
      <w:r>
        <w:t xml:space="preserve"> </w:t>
      </w:r>
      <w:r w:rsidR="00785DDF">
        <w:t>Bidder</w:t>
      </w:r>
      <w:r w:rsidR="00C14D48">
        <w:t>s</w:t>
      </w:r>
      <w:r>
        <w:t xml:space="preserve"> down or exclude them from the procurement if </w:t>
      </w:r>
      <w:r w:rsidR="00C14D48">
        <w:t xml:space="preserve">their Tenders are ambiguous or lack </w:t>
      </w:r>
      <w:r>
        <w:t xml:space="preserve">clarity. </w:t>
      </w:r>
      <w:r w:rsidR="00E7163F">
        <w:t>Bidders</w:t>
      </w:r>
      <w:r>
        <w:t xml:space="preserve"> should submit only such information as is necessary to respond effectively to this ITT. Unless specifically requested, </w:t>
      </w:r>
      <w:r w:rsidR="000E5C37">
        <w:t xml:space="preserve">do not include </w:t>
      </w:r>
      <w:r>
        <w:t>extraneous presentation materials</w:t>
      </w:r>
      <w:r w:rsidR="000E5C37">
        <w:t>.</w:t>
      </w:r>
      <w:bookmarkEnd w:id="91"/>
      <w:bookmarkEnd w:id="92"/>
      <w:r w:rsidR="000E5C37">
        <w:t xml:space="preserve"> </w:t>
      </w:r>
    </w:p>
    <w:p w14:paraId="15EAB996" w14:textId="7FDB839D" w:rsidR="002471B4" w:rsidRDefault="00C27CC2" w:rsidP="006B54D6">
      <w:pPr>
        <w:pStyle w:val="MRNumberedHeading2"/>
      </w:pPr>
      <w:bookmarkStart w:id="93" w:name="_Toc403555128"/>
      <w:bookmarkStart w:id="94" w:name="_Ref412651999"/>
      <w:r>
        <w:t xml:space="preserve">Tenders will be evaluated </w:t>
      </w:r>
      <w:proofErr w:type="gramStart"/>
      <w:r>
        <w:t>on the basis o</w:t>
      </w:r>
      <w:r w:rsidR="00A7044C">
        <w:t>f</w:t>
      </w:r>
      <w:proofErr w:type="gramEnd"/>
      <w:r w:rsidR="00A7044C">
        <w:t xml:space="preserve"> information submitted by the d</w:t>
      </w:r>
      <w:r>
        <w:t>eadline.</w:t>
      </w:r>
      <w:bookmarkEnd w:id="93"/>
      <w:r w:rsidR="002F1591">
        <w:t xml:space="preserve"> </w:t>
      </w:r>
      <w:r w:rsidR="002F1591">
        <w:rPr>
          <w:color w:val="000000"/>
          <w:szCs w:val="20"/>
        </w:rPr>
        <w:t>Where information or documentation submitted appears to be incomplete or erroneous or specific documents are missing, the Authority reserves the right to request the Bidder to submit, supplement, clarify or complete the information or documentation.</w:t>
      </w:r>
      <w:bookmarkEnd w:id="94"/>
    </w:p>
    <w:p w14:paraId="68DE5A6D" w14:textId="77777777" w:rsidR="00C45A8E" w:rsidRDefault="0017043F" w:rsidP="006B54D6">
      <w:pPr>
        <w:pStyle w:val="MRNumberedHeading2"/>
      </w:pPr>
      <w:bookmarkStart w:id="95" w:name="_Toc403555129"/>
      <w:r>
        <w:t>The</w:t>
      </w:r>
      <w:r w:rsidR="00C27CC2">
        <w:t xml:space="preserve"> Tender must be signed by a duly authorised</w:t>
      </w:r>
      <w:r>
        <w:t xml:space="preserve"> representative of the </w:t>
      </w:r>
      <w:r w:rsidR="00637C62">
        <w:t>Bidder.</w:t>
      </w:r>
      <w:bookmarkEnd w:id="95"/>
      <w:r w:rsidR="00637C62">
        <w:t xml:space="preserve">  </w:t>
      </w:r>
    </w:p>
    <w:p w14:paraId="353FE482" w14:textId="77777777" w:rsidR="006534CF" w:rsidRPr="00276E1B" w:rsidRDefault="001375C3" w:rsidP="004270D9">
      <w:pPr>
        <w:pStyle w:val="Heading1"/>
        <w:spacing w:before="240" w:after="0"/>
        <w:ind w:left="851"/>
      </w:pPr>
      <w:bookmarkStart w:id="96" w:name="_Toc403555130"/>
      <w:r w:rsidRPr="00276E1B">
        <w:t>Modification and withdrawal of Tenders</w:t>
      </w:r>
      <w:bookmarkEnd w:id="96"/>
    </w:p>
    <w:p w14:paraId="6F2E320E" w14:textId="23551446" w:rsidR="004251F8" w:rsidRDefault="00CF3319" w:rsidP="004270D9">
      <w:pPr>
        <w:pStyle w:val="MRNumberedHeading2"/>
      </w:pPr>
      <w:bookmarkStart w:id="97" w:name="_Toc403555131"/>
      <w:r>
        <w:t xml:space="preserve">Except as set out in paragraph </w:t>
      </w:r>
      <w:r w:rsidR="0095006A">
        <w:fldChar w:fldCharType="begin"/>
      </w:r>
      <w:r w:rsidR="0095006A">
        <w:instrText xml:space="preserve"> REF _Ref412651999 \r \h </w:instrText>
      </w:r>
      <w:r w:rsidR="0095006A">
        <w:fldChar w:fldCharType="separate"/>
      </w:r>
      <w:r w:rsidR="00204EF0">
        <w:t>3.6</w:t>
      </w:r>
      <w:r w:rsidR="0095006A">
        <w:fldChar w:fldCharType="end"/>
      </w:r>
      <w:r>
        <w:t>, n</w:t>
      </w:r>
      <w:r w:rsidRPr="00A24900">
        <w:t>o</w:t>
      </w:r>
      <w:r w:rsidR="001375C3" w:rsidRPr="00A24900">
        <w:t xml:space="preserve"> </w:t>
      </w:r>
      <w:r w:rsidR="002651E8">
        <w:t>T</w:t>
      </w:r>
      <w:r w:rsidR="001375C3" w:rsidRPr="00A24900">
        <w:t>ender may be modified aft</w:t>
      </w:r>
      <w:r w:rsidR="00CC4072">
        <w:t>er the deadline for receipt of T</w:t>
      </w:r>
      <w:r w:rsidR="001375C3" w:rsidRPr="00A24900">
        <w:t>enders.</w:t>
      </w:r>
      <w:bookmarkEnd w:id="97"/>
    </w:p>
    <w:p w14:paraId="5A433354" w14:textId="29FEC287" w:rsidR="004251F8" w:rsidRPr="000B1F13" w:rsidRDefault="001375C3" w:rsidP="004270D9">
      <w:pPr>
        <w:pStyle w:val="MRNumberedHeading2"/>
        <w:rPr>
          <w:iCs/>
        </w:rPr>
      </w:pPr>
      <w:bookmarkStart w:id="98" w:name="_Toc403555132"/>
      <w:bookmarkStart w:id="99" w:name="_Ref405453207"/>
      <w:r w:rsidRPr="000B1F13">
        <w:lastRenderedPageBreak/>
        <w:t>Tenders may be withdrawn at any time before the deadlin</w:t>
      </w:r>
      <w:r w:rsidR="00CC4072" w:rsidRPr="000B1F13">
        <w:t>e for receipt of T</w:t>
      </w:r>
      <w:r w:rsidR="002651E8" w:rsidRPr="000B1F13">
        <w:t>enders.  Revised T</w:t>
      </w:r>
      <w:r w:rsidRPr="000B1F13">
        <w:t>enders may be submitted up unt</w:t>
      </w:r>
      <w:r w:rsidR="00CC4072" w:rsidRPr="000B1F13">
        <w:t>il the deadline for receipt of T</w:t>
      </w:r>
      <w:r w:rsidRPr="000B1F13">
        <w:t xml:space="preserve">enders, </w:t>
      </w:r>
      <w:bookmarkEnd w:id="98"/>
      <w:bookmarkEnd w:id="99"/>
    </w:p>
    <w:p w14:paraId="558EA0DB" w14:textId="77777777" w:rsidR="00BA173E" w:rsidRPr="00276E1B" w:rsidRDefault="00430158" w:rsidP="004270D9">
      <w:pPr>
        <w:pStyle w:val="Heading1"/>
        <w:spacing w:before="240" w:after="0"/>
        <w:ind w:left="851"/>
      </w:pPr>
      <w:bookmarkStart w:id="100" w:name="_Toc403555134"/>
      <w:r w:rsidRPr="00276E1B">
        <w:rPr>
          <w:bCs/>
        </w:rPr>
        <w:t>Terms and conditions</w:t>
      </w:r>
      <w:bookmarkEnd w:id="100"/>
    </w:p>
    <w:p w14:paraId="5BBDD284" w14:textId="64C84B9D" w:rsidR="00B00C70" w:rsidRPr="00BA173E" w:rsidRDefault="00746CCF" w:rsidP="004270D9">
      <w:pPr>
        <w:pStyle w:val="MRNumberedHeading2"/>
        <w:rPr>
          <w:rFonts w:cs="Arial"/>
        </w:rPr>
      </w:pPr>
      <w:bookmarkStart w:id="101" w:name="_Toc403555135"/>
      <w:r>
        <w:t xml:space="preserve">The </w:t>
      </w:r>
      <w:r w:rsidR="0034181A">
        <w:t>c</w:t>
      </w:r>
      <w:r w:rsidR="00BF698B">
        <w:t>ontract will include the NHS Terms and C</w:t>
      </w:r>
      <w:r>
        <w:t xml:space="preserve">onditions set out in </w:t>
      </w:r>
      <w:r w:rsidR="00E7722E">
        <w:t>Appendix C</w:t>
      </w:r>
      <w:r>
        <w:t>.  It is vital that the Bidder review</w:t>
      </w:r>
      <w:r w:rsidR="0030746C">
        <w:t>s</w:t>
      </w:r>
      <w:r>
        <w:t xml:space="preserve"> these carefully, and take</w:t>
      </w:r>
      <w:r w:rsidR="0030746C">
        <w:t>s</w:t>
      </w:r>
      <w:r>
        <w:t xml:space="preserve"> account of all information such as TUPE,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693E67">
        <w:t>NHS Terms and Conditions</w:t>
      </w:r>
      <w:r w:rsidR="00B00C70">
        <w:t xml:space="preserve"> without further negotiation or amendment.</w:t>
      </w:r>
      <w:bookmarkEnd w:id="101"/>
    </w:p>
    <w:p w14:paraId="1C41ED71" w14:textId="77777777" w:rsidR="002F23DC" w:rsidRPr="00276E1B" w:rsidRDefault="002F23DC" w:rsidP="004270D9">
      <w:pPr>
        <w:pStyle w:val="Heading1"/>
        <w:spacing w:before="240" w:after="0"/>
        <w:ind w:left="851"/>
      </w:pPr>
      <w:bookmarkStart w:id="102" w:name="_Toc403555136"/>
      <w:r w:rsidRPr="00276E1B">
        <w:t>Consortia and subcontractors</w:t>
      </w:r>
      <w:bookmarkEnd w:id="102"/>
      <w:r w:rsidRPr="00276E1B">
        <w:t xml:space="preserve"> </w:t>
      </w:r>
    </w:p>
    <w:p w14:paraId="283ED993" w14:textId="60F0100D" w:rsidR="00BA173E" w:rsidRDefault="00746CCF" w:rsidP="004270D9">
      <w:pPr>
        <w:pStyle w:val="MRNumberedHeading2"/>
      </w:pPr>
      <w:bookmarkStart w:id="103" w:name="_Toc403555137"/>
      <w:bookmarkStart w:id="104" w:name="_Ref405453227"/>
      <w:r w:rsidRPr="003E3276">
        <w:t>If</w:t>
      </w:r>
      <w:r>
        <w:t xml:space="preserve"> the Bidder is a consortium or will rely on sub-contractors to deliver the contract, it must explain in its Tender precisely which entities will be the supplier.</w:t>
      </w:r>
      <w:bookmarkEnd w:id="103"/>
      <w:bookmarkEnd w:id="104"/>
    </w:p>
    <w:p w14:paraId="0E2DA7DC" w14:textId="77777777" w:rsidR="00BA173E" w:rsidRDefault="002F23DC" w:rsidP="004270D9">
      <w:pPr>
        <w:pStyle w:val="MRNumberedHeading2"/>
      </w:pPr>
      <w:bookmarkStart w:id="105" w:name="_Toc403555138"/>
      <w:r w:rsidRPr="002F23DC">
        <w:t>For the purposes of this ITT, the following terms apply:</w:t>
      </w:r>
      <w:bookmarkEnd w:id="105"/>
    </w:p>
    <w:p w14:paraId="088D5308" w14:textId="77777777" w:rsidR="00BA173E" w:rsidRDefault="00BA173E" w:rsidP="00AF1509">
      <w:pPr>
        <w:pStyle w:val="MRNumberedHeading3"/>
        <w:numPr>
          <w:ilvl w:val="2"/>
          <w:numId w:val="18"/>
        </w:numPr>
        <w:tabs>
          <w:tab w:val="clear" w:pos="2214"/>
          <w:tab w:val="num" w:pos="1794"/>
        </w:tabs>
        <w:spacing w:line="240" w:lineRule="auto"/>
        <w:ind w:left="1702" w:hanging="851"/>
        <w:jc w:val="both"/>
      </w:pPr>
      <w:r>
        <w:rPr>
          <w:bCs/>
          <w:i/>
        </w:rPr>
        <w:t>Consortium arrangement -</w:t>
      </w:r>
      <w:r w:rsidR="002F23DC" w:rsidRPr="002F23DC">
        <w:t xml:space="preserve"> Groups of companies come together specifically for the purpose of bidding for appointment as the </w:t>
      </w:r>
      <w:r w:rsidR="005308BB">
        <w:t>supplier</w:t>
      </w:r>
      <w:r w:rsidR="002F23DC" w:rsidRPr="002F23DC">
        <w:t xml:space="preserve"> and envisage that they will establish a special purpose vehicle as the prime contracting party with the Authority.</w:t>
      </w:r>
    </w:p>
    <w:p w14:paraId="30B6FE8C" w14:textId="77777777" w:rsidR="002F23DC" w:rsidRPr="002F23DC" w:rsidRDefault="00BA173E" w:rsidP="00AF1509">
      <w:pPr>
        <w:pStyle w:val="MRNumberedHeading3"/>
        <w:numPr>
          <w:ilvl w:val="2"/>
          <w:numId w:val="18"/>
        </w:numPr>
        <w:tabs>
          <w:tab w:val="clear" w:pos="2214"/>
          <w:tab w:val="num" w:pos="1794"/>
        </w:tabs>
        <w:spacing w:line="240" w:lineRule="auto"/>
        <w:ind w:left="1702" w:hanging="851"/>
        <w:jc w:val="both"/>
      </w:pPr>
      <w:r>
        <w:rPr>
          <w:bCs/>
          <w:i/>
        </w:rPr>
        <w:t xml:space="preserve">Subcontracting arrangement - </w:t>
      </w:r>
      <w:r w:rsidR="002F23DC" w:rsidRPr="002F23DC">
        <w:t xml:space="preserve">Groups of companies come together specifically for the purpose of bidding for appointment as the </w:t>
      </w:r>
      <w:proofErr w:type="gramStart"/>
      <w:r w:rsidR="005308BB">
        <w:t>supplier</w:t>
      </w:r>
      <w:r w:rsidR="002F23DC" w:rsidRPr="002F23DC">
        <w:t>, but</w:t>
      </w:r>
      <w:proofErr w:type="gramEnd"/>
      <w:r w:rsidR="002F23DC" w:rsidRPr="002F23DC">
        <w:t xml:space="preserve"> envisage that one of their number will be the </w:t>
      </w:r>
      <w:r w:rsidR="005308BB">
        <w:t>supplier</w:t>
      </w:r>
      <w:r w:rsidR="002F23DC" w:rsidRPr="002F23DC">
        <w:t xml:space="preserve">, the remaining members of that group will be subcontractors to the </w:t>
      </w:r>
      <w:r w:rsidR="005308BB">
        <w:t>supplier</w:t>
      </w:r>
      <w:r w:rsidR="002F23DC" w:rsidRPr="002F23DC">
        <w:t>.</w:t>
      </w:r>
    </w:p>
    <w:p w14:paraId="775013E0" w14:textId="33E92120" w:rsidR="00746CCF" w:rsidRPr="008E6BB3" w:rsidRDefault="00746CCF" w:rsidP="004270D9">
      <w:pPr>
        <w:pStyle w:val="MRNumberedHeading2"/>
      </w:pPr>
      <w:bookmarkStart w:id="106" w:name="_Toc403555139"/>
      <w:r>
        <w:t>If the Bidder intends to sub-contract any material parts of the contract, it must explain which parts will be sub-con</w:t>
      </w:r>
      <w:r w:rsidR="00A60BD1">
        <w:t>tracted, who the sub-contractor</w:t>
      </w:r>
      <w:r w:rsidR="00BD5DCC">
        <w:t xml:space="preserve"> is, confirm</w:t>
      </w:r>
      <w:r>
        <w:t xml:space="preserve"> the sub-contractor has agreed terms of supply and what contractual commitment it has from the sub-contractor to deliver.</w:t>
      </w:r>
      <w:bookmarkEnd w:id="106"/>
    </w:p>
    <w:p w14:paraId="56178278" w14:textId="77777777" w:rsidR="002F23DC" w:rsidRPr="00276E1B" w:rsidRDefault="002F23DC" w:rsidP="00276E1B">
      <w:pPr>
        <w:pStyle w:val="Heading1"/>
        <w:spacing w:before="240" w:after="0"/>
        <w:ind w:left="851"/>
      </w:pPr>
      <w:bookmarkStart w:id="107" w:name="_Toc403555140"/>
      <w:r w:rsidRPr="00276E1B">
        <w:t>Warnings and disclaimers</w:t>
      </w:r>
      <w:bookmarkEnd w:id="107"/>
    </w:p>
    <w:p w14:paraId="5EF50671" w14:textId="11A88851" w:rsidR="001B5F4F" w:rsidRDefault="001B5F4F" w:rsidP="006B54D6">
      <w:pPr>
        <w:pStyle w:val="MRNumberedHeading2"/>
      </w:pPr>
      <w:bookmarkStart w:id="108" w:name="_Toc403555141"/>
      <w:r>
        <w:t xml:space="preserve">While the information contained in this ITT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108"/>
    </w:p>
    <w:p w14:paraId="7904F683" w14:textId="77777777" w:rsidR="001B5F4F" w:rsidRDefault="001B5F4F" w:rsidP="004270D9">
      <w:pPr>
        <w:pStyle w:val="MRNumberedHeading2"/>
      </w:pPr>
      <w:bookmarkStart w:id="109" w:name="_Toc403555142"/>
      <w:r>
        <w:t xml:space="preserve">If a </w:t>
      </w:r>
      <w:r w:rsidR="00785DDF">
        <w:t>Bidder</w:t>
      </w:r>
      <w:r w:rsidR="008E6BB3">
        <w:t xml:space="preserve"> proposes to </w:t>
      </w:r>
      <w:proofErr w:type="gramStart"/>
      <w:r w:rsidR="008E6BB3">
        <w:t>enter into</w:t>
      </w:r>
      <w:proofErr w:type="gramEnd"/>
      <w:r w:rsidR="008E6BB3">
        <w:t xml:space="preserve">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109"/>
    </w:p>
    <w:p w14:paraId="4E71FB25" w14:textId="77777777" w:rsidR="001B5F4F" w:rsidRDefault="001B5F4F" w:rsidP="006B54D6">
      <w:pPr>
        <w:pStyle w:val="MRNumberedHeading2"/>
      </w:pPr>
      <w:bookmarkStart w:id="110" w:name="_Toc403555143"/>
      <w:r>
        <w:t xml:space="preserve">Neither the issue of this ITT, nor any of the information presented in it, should be regarded as a commitment or representation on the part of the Authority (or any other person) to </w:t>
      </w:r>
      <w:proofErr w:type="gramStart"/>
      <w:r>
        <w:t>enter into</w:t>
      </w:r>
      <w:proofErr w:type="gramEnd"/>
      <w:r>
        <w:t xml:space="preserve"> a contractual arrangement.</w:t>
      </w:r>
      <w:bookmarkEnd w:id="110"/>
    </w:p>
    <w:p w14:paraId="05BCA884" w14:textId="77777777" w:rsidR="002F23DC" w:rsidRPr="00276E1B" w:rsidRDefault="001B5F4F" w:rsidP="00276E1B">
      <w:pPr>
        <w:pStyle w:val="Heading1"/>
        <w:spacing w:before="240" w:after="0"/>
        <w:ind w:left="851"/>
      </w:pPr>
      <w:bookmarkStart w:id="111" w:name="_Toc403555144"/>
      <w:r w:rsidRPr="00276E1B">
        <w:t>Freedom of Information Act 2000</w:t>
      </w:r>
      <w:r w:rsidR="008A56A2" w:rsidRPr="00276E1B">
        <w:t xml:space="preserve"> and Environmental Information Regulations 2004</w:t>
      </w:r>
      <w:bookmarkEnd w:id="111"/>
    </w:p>
    <w:p w14:paraId="31997CE9" w14:textId="3A592FA9" w:rsidR="001664D9" w:rsidRPr="001375C3" w:rsidRDefault="001664D9" w:rsidP="006B54D6">
      <w:pPr>
        <w:pStyle w:val="MRNumberedHeading2"/>
      </w:pPr>
      <w:bookmarkStart w:id="112"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113"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112"/>
      <w:r w:rsidRPr="001375C3">
        <w:t xml:space="preserve"> </w:t>
      </w:r>
      <w:bookmarkEnd w:id="113"/>
    </w:p>
    <w:p w14:paraId="6859CFE2" w14:textId="77777777" w:rsidR="001664D9" w:rsidRPr="001375C3" w:rsidRDefault="001664D9" w:rsidP="006B54D6">
      <w:pPr>
        <w:pStyle w:val="MRNumberedHeading2"/>
      </w:pPr>
      <w:bookmarkStart w:id="114" w:name="_Toc403555146"/>
      <w:r w:rsidRPr="001375C3">
        <w:t xml:space="preserve">In respect of any information submitted by a </w:t>
      </w:r>
      <w:r w:rsidR="00785DDF">
        <w:t>Bidder</w:t>
      </w:r>
      <w:r w:rsidRPr="001375C3">
        <w:t xml:space="preserve"> that it considers to be</w:t>
      </w:r>
      <w:r w:rsidR="00F10ACE">
        <w:t xml:space="preserve"> confidential or</w:t>
      </w:r>
      <w:r w:rsidRPr="001375C3">
        <w:t xml:space="preserve"> commercially sensitive the </w:t>
      </w:r>
      <w:r w:rsidR="00785DDF">
        <w:t>Bidder</w:t>
      </w:r>
      <w:r w:rsidRPr="001375C3">
        <w:t xml:space="preserve"> should:</w:t>
      </w:r>
      <w:bookmarkEnd w:id="114"/>
    </w:p>
    <w:p w14:paraId="5888F7C1" w14:textId="77777777" w:rsidR="001664D9" w:rsidRPr="007301E9" w:rsidRDefault="004C3605" w:rsidP="00AF1509">
      <w:pPr>
        <w:pStyle w:val="MRNumberedHeading3"/>
        <w:numPr>
          <w:ilvl w:val="2"/>
          <w:numId w:val="18"/>
        </w:numPr>
        <w:tabs>
          <w:tab w:val="clear" w:pos="2214"/>
          <w:tab w:val="num" w:pos="1794"/>
        </w:tabs>
        <w:spacing w:line="240" w:lineRule="auto"/>
        <w:ind w:left="1702" w:hanging="851"/>
        <w:jc w:val="both"/>
        <w:rPr>
          <w:bCs/>
        </w:rPr>
      </w:pPr>
      <w:r w:rsidRPr="007301E9">
        <w:rPr>
          <w:bCs/>
        </w:rPr>
        <w:t>c</w:t>
      </w:r>
      <w:r w:rsidR="001664D9" w:rsidRPr="007301E9">
        <w:rPr>
          <w:bCs/>
        </w:rPr>
        <w:t>learly identify such information as</w:t>
      </w:r>
      <w:r w:rsidR="00F10ACE" w:rsidRPr="007301E9">
        <w:rPr>
          <w:bCs/>
        </w:rPr>
        <w:t xml:space="preserve"> confidential or</w:t>
      </w:r>
      <w:r w:rsidR="001664D9" w:rsidRPr="007301E9">
        <w:rPr>
          <w:bCs/>
        </w:rPr>
        <w:t xml:space="preserve"> commercially </w:t>
      </w:r>
      <w:proofErr w:type="gramStart"/>
      <w:r w:rsidR="001664D9" w:rsidRPr="007301E9">
        <w:rPr>
          <w:bCs/>
        </w:rPr>
        <w:t>sensitive;</w:t>
      </w:r>
      <w:proofErr w:type="gramEnd"/>
    </w:p>
    <w:p w14:paraId="19957B1C" w14:textId="77777777" w:rsidR="001664D9" w:rsidRPr="007301E9" w:rsidRDefault="004C3605" w:rsidP="00AF1509">
      <w:pPr>
        <w:pStyle w:val="MRNumberedHeading3"/>
        <w:numPr>
          <w:ilvl w:val="2"/>
          <w:numId w:val="18"/>
        </w:numPr>
        <w:tabs>
          <w:tab w:val="clear" w:pos="2214"/>
          <w:tab w:val="num" w:pos="1794"/>
        </w:tabs>
        <w:spacing w:line="240" w:lineRule="auto"/>
        <w:ind w:left="1702" w:hanging="851"/>
        <w:jc w:val="both"/>
        <w:rPr>
          <w:bCs/>
        </w:rPr>
      </w:pPr>
      <w:r w:rsidRPr="007301E9">
        <w:rPr>
          <w:bCs/>
        </w:rPr>
        <w:lastRenderedPageBreak/>
        <w:t>e</w:t>
      </w:r>
      <w:r w:rsidR="001664D9" w:rsidRPr="007301E9">
        <w:rPr>
          <w:bCs/>
        </w:rPr>
        <w:t>xplain its reasons why disclosure of such information would be likely to prejudice or would cause actual prejudice to its commercial interests; and</w:t>
      </w:r>
    </w:p>
    <w:p w14:paraId="16A0AC67" w14:textId="77777777" w:rsidR="001664D9" w:rsidRPr="007301E9" w:rsidRDefault="004C3605" w:rsidP="00AF1509">
      <w:pPr>
        <w:pStyle w:val="MRNumberedHeading3"/>
        <w:numPr>
          <w:ilvl w:val="2"/>
          <w:numId w:val="18"/>
        </w:numPr>
        <w:tabs>
          <w:tab w:val="clear" w:pos="2214"/>
          <w:tab w:val="num" w:pos="1794"/>
        </w:tabs>
        <w:spacing w:line="240" w:lineRule="auto"/>
        <w:ind w:left="1702" w:hanging="851"/>
        <w:jc w:val="both"/>
      </w:pPr>
      <w:r w:rsidRPr="007301E9">
        <w:rPr>
          <w:bCs/>
        </w:rPr>
        <w:t>p</w:t>
      </w:r>
      <w:r w:rsidR="001664D9" w:rsidRPr="007301E9">
        <w:rPr>
          <w:bCs/>
        </w:rPr>
        <w:t xml:space="preserve">rovide a reasoned estimate of the </w:t>
      </w:r>
      <w:proofErr w:type="gramStart"/>
      <w:r w:rsidR="001664D9" w:rsidRPr="007301E9">
        <w:rPr>
          <w:bCs/>
        </w:rPr>
        <w:t>period of time</w:t>
      </w:r>
      <w:proofErr w:type="gramEnd"/>
      <w:r w:rsidR="001664D9" w:rsidRPr="007301E9">
        <w:rPr>
          <w:bCs/>
        </w:rPr>
        <w:t xml:space="preserve"> during which the </w:t>
      </w:r>
      <w:r w:rsidR="00785DDF" w:rsidRPr="007301E9">
        <w:rPr>
          <w:bCs/>
        </w:rPr>
        <w:t>Bidder</w:t>
      </w:r>
      <w:r w:rsidR="001664D9" w:rsidRPr="007301E9">
        <w:rPr>
          <w:bCs/>
        </w:rPr>
        <w:t xml:space="preserve"> believes that</w:t>
      </w:r>
      <w:r w:rsidR="001664D9" w:rsidRPr="007301E9">
        <w:t xml:space="preserve"> such information will remain commercially sensitive.</w:t>
      </w:r>
    </w:p>
    <w:p w14:paraId="2D02ACFB" w14:textId="1290F50D" w:rsidR="001664D9" w:rsidRPr="001375C3" w:rsidRDefault="001664D9" w:rsidP="006B54D6">
      <w:pPr>
        <w:pStyle w:val="MRNumberedHeading2"/>
      </w:pPr>
      <w:bookmarkStart w:id="115" w:name="_Toc403555147"/>
      <w:r w:rsidRPr="001375C3">
        <w:t xml:space="preserve">This information must be listed in </w:t>
      </w:r>
      <w:r w:rsidR="007A3602" w:rsidRPr="00865F97">
        <w:rPr>
          <w:b/>
          <w:bCs/>
        </w:rPr>
        <w:t>A</w:t>
      </w:r>
      <w:r w:rsidR="00865F97" w:rsidRPr="00865F97">
        <w:rPr>
          <w:b/>
          <w:bCs/>
        </w:rPr>
        <w:t>ppendix</w:t>
      </w:r>
      <w:r w:rsidR="007A3602" w:rsidRPr="00865F97">
        <w:rPr>
          <w:b/>
          <w:bCs/>
        </w:rPr>
        <w:t xml:space="preserve"> </w:t>
      </w:r>
      <w:r w:rsidR="00E7722E">
        <w:rPr>
          <w:b/>
          <w:bCs/>
        </w:rPr>
        <w:t>D</w:t>
      </w:r>
      <w:r w:rsidR="00865F97">
        <w:t xml:space="preserve"> (Confidential and Commercially Sensitive Information)</w:t>
      </w:r>
      <w:r w:rsidRPr="001375C3">
        <w:t xml:space="preserve">, </w:t>
      </w:r>
      <w:r w:rsidR="00912243">
        <w:t xml:space="preserve">with a statement of which exemptions are relevant under FOIA and/or </w:t>
      </w:r>
      <w:r w:rsidR="00955490">
        <w:t xml:space="preserve">the </w:t>
      </w:r>
      <w:r w:rsidR="00912243">
        <w:t>EI</w:t>
      </w:r>
      <w:r w:rsidR="00955490">
        <w:t>R</w:t>
      </w:r>
      <w:r w:rsidR="004834F5" w:rsidRPr="001375C3">
        <w:t>.</w:t>
      </w:r>
      <w:bookmarkEnd w:id="115"/>
    </w:p>
    <w:p w14:paraId="5AB2F08C" w14:textId="0D793713" w:rsidR="001664D9" w:rsidRPr="001375C3" w:rsidRDefault="001664D9" w:rsidP="006B54D6">
      <w:pPr>
        <w:pStyle w:val="MRNumberedHeading2"/>
      </w:pPr>
      <w:bookmarkStart w:id="116" w:name="_Ref149547621"/>
      <w:bookmarkStart w:id="117"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116"/>
      <w:r w:rsidR="001C747B">
        <w:t>or otherwise exempt.</w:t>
      </w:r>
      <w:bookmarkEnd w:id="117"/>
    </w:p>
    <w:p w14:paraId="1DC3231F" w14:textId="77777777" w:rsidR="00491808" w:rsidRPr="00276E1B" w:rsidRDefault="00491808" w:rsidP="00276E1B">
      <w:pPr>
        <w:pStyle w:val="Heading1"/>
        <w:spacing w:before="240" w:after="0"/>
        <w:ind w:left="851"/>
      </w:pPr>
      <w:bookmarkStart w:id="118" w:name="_Toc403555149"/>
      <w:r w:rsidRPr="00276E1B">
        <w:t>Publicity</w:t>
      </w:r>
      <w:bookmarkEnd w:id="118"/>
    </w:p>
    <w:p w14:paraId="62272431" w14:textId="7E428AD2" w:rsidR="00491808" w:rsidRPr="00541CDA" w:rsidRDefault="00645517" w:rsidP="006B54D6">
      <w:pPr>
        <w:pStyle w:val="MRNumberedHeading2"/>
      </w:pPr>
      <w:bookmarkStart w:id="119" w:name="_Toc403555150"/>
      <w:r>
        <w:t>No publicity regarding the award of any c</w:t>
      </w:r>
      <w:r w:rsidR="00491808" w:rsidRPr="00541CDA">
        <w:t>ontract will be permitted unless and until the Authority has given express written consent to the relevant communication. For example, no statements may be made to the media regarding the nature of any Tender, its contents or any proposals relating to it without the prior written consent of the Authority.</w:t>
      </w:r>
      <w:bookmarkEnd w:id="119"/>
    </w:p>
    <w:p w14:paraId="12A45407" w14:textId="77777777" w:rsidR="00491808" w:rsidRPr="00276E1B" w:rsidRDefault="00785DDF" w:rsidP="00276E1B">
      <w:pPr>
        <w:pStyle w:val="Heading1"/>
        <w:spacing w:before="240" w:after="0"/>
        <w:ind w:left="851"/>
      </w:pPr>
      <w:bookmarkStart w:id="120" w:name="a699927"/>
      <w:bookmarkStart w:id="121" w:name="_Toc403555151"/>
      <w:bookmarkEnd w:id="120"/>
      <w:proofErr w:type="gramStart"/>
      <w:r w:rsidRPr="00276E1B">
        <w:t>Bidder</w:t>
      </w:r>
      <w:proofErr w:type="gramEnd"/>
      <w:r w:rsidR="00491808" w:rsidRPr="00276E1B">
        <w:t xml:space="preserve"> conduct and conflicts of interest</w:t>
      </w:r>
      <w:bookmarkEnd w:id="121"/>
    </w:p>
    <w:p w14:paraId="45385D6B" w14:textId="77777777" w:rsidR="00491808" w:rsidRPr="00491808" w:rsidRDefault="00491808" w:rsidP="006B54D6">
      <w:pPr>
        <w:pStyle w:val="MRNumberedHeading2"/>
      </w:pPr>
      <w:bookmarkStart w:id="122"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122"/>
    </w:p>
    <w:p w14:paraId="1E64B9A6" w14:textId="77777777" w:rsidR="00491808" w:rsidRPr="007301E9" w:rsidRDefault="00645517" w:rsidP="00AF1509">
      <w:pPr>
        <w:pStyle w:val="MRNumberedHeading3"/>
        <w:numPr>
          <w:ilvl w:val="2"/>
          <w:numId w:val="18"/>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w:t>
      </w:r>
      <w:proofErr w:type="gramStart"/>
      <w:r w:rsidRPr="007301E9">
        <w:rPr>
          <w:bCs/>
        </w:rPr>
        <w:t>finance;</w:t>
      </w:r>
      <w:proofErr w:type="gramEnd"/>
      <w:r w:rsidRPr="007301E9">
        <w:rPr>
          <w:bCs/>
        </w:rPr>
        <w:t xml:space="preserve"> </w:t>
      </w:r>
    </w:p>
    <w:p w14:paraId="1932DEBD" w14:textId="5EA38EDD" w:rsidR="00491808" w:rsidRPr="007301E9" w:rsidRDefault="00645517" w:rsidP="00AF1509">
      <w:pPr>
        <w:pStyle w:val="MRNumberedHeading3"/>
        <w:numPr>
          <w:ilvl w:val="2"/>
          <w:numId w:val="18"/>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CC4072">
        <w:rPr>
          <w:bCs/>
        </w:rPr>
        <w:t>e form or content of any other T</w:t>
      </w:r>
      <w:r w:rsidR="00491808" w:rsidRPr="007301E9">
        <w:rPr>
          <w:bCs/>
        </w:rPr>
        <w:t>ender, or offer to pay any sum of money or valuable consideration to any person to effect changes to the form</w:t>
      </w:r>
      <w:r w:rsidR="00CC4072">
        <w:rPr>
          <w:bCs/>
        </w:rPr>
        <w:t xml:space="preserve"> or content of any other </w:t>
      </w:r>
      <w:proofErr w:type="gramStart"/>
      <w:r w:rsidR="00CC4072">
        <w:rPr>
          <w:bCs/>
        </w:rPr>
        <w:t>T</w:t>
      </w:r>
      <w:r w:rsidRPr="007301E9">
        <w:rPr>
          <w:bCs/>
        </w:rPr>
        <w:t>ender;</w:t>
      </w:r>
      <w:proofErr w:type="gramEnd"/>
      <w:r w:rsidRPr="007301E9">
        <w:rPr>
          <w:bCs/>
        </w:rPr>
        <w:t xml:space="preserve"> </w:t>
      </w:r>
    </w:p>
    <w:p w14:paraId="4F97AC6F" w14:textId="4D7377B2" w:rsidR="00491808" w:rsidRPr="007301E9" w:rsidRDefault="00645517" w:rsidP="00AF1509">
      <w:pPr>
        <w:pStyle w:val="MRNumberedHeading3"/>
        <w:numPr>
          <w:ilvl w:val="2"/>
          <w:numId w:val="18"/>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CE2FEF" w:rsidRPr="007301E9">
        <w:rPr>
          <w:bCs/>
        </w:rPr>
        <w:t xml:space="preserve">person from submitting </w:t>
      </w:r>
      <w:r w:rsidR="00CC4072">
        <w:rPr>
          <w:bCs/>
        </w:rPr>
        <w:t xml:space="preserve">a </w:t>
      </w:r>
      <w:proofErr w:type="gramStart"/>
      <w:r w:rsidR="00CC4072">
        <w:rPr>
          <w:bCs/>
        </w:rPr>
        <w:t>T</w:t>
      </w:r>
      <w:r w:rsidRPr="007301E9">
        <w:rPr>
          <w:bCs/>
        </w:rPr>
        <w:t>ender;</w:t>
      </w:r>
      <w:proofErr w:type="gramEnd"/>
    </w:p>
    <w:p w14:paraId="08BF0BE0" w14:textId="77777777" w:rsidR="00491808" w:rsidRPr="007301E9" w:rsidRDefault="00645517" w:rsidP="00AF1509">
      <w:pPr>
        <w:pStyle w:val="MRNumberedHeading3"/>
        <w:numPr>
          <w:ilvl w:val="2"/>
          <w:numId w:val="18"/>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14:paraId="243732EB" w14:textId="7905641E" w:rsidR="00645517" w:rsidRPr="007301E9" w:rsidRDefault="00645517" w:rsidP="00AF1509">
      <w:pPr>
        <w:pStyle w:val="MRNumberedHeading3"/>
        <w:numPr>
          <w:ilvl w:val="2"/>
          <w:numId w:val="18"/>
        </w:numPr>
        <w:tabs>
          <w:tab w:val="clear" w:pos="2214"/>
          <w:tab w:val="num" w:pos="1794"/>
        </w:tabs>
        <w:spacing w:line="240" w:lineRule="auto"/>
        <w:ind w:left="1702" w:hanging="851"/>
        <w:jc w:val="both"/>
        <w:rPr>
          <w:bCs/>
        </w:rPr>
      </w:pPr>
      <w:r w:rsidRPr="007301E9">
        <w:rPr>
          <w:bCs/>
        </w:rPr>
        <w:t>a</w:t>
      </w:r>
      <w:r w:rsidR="00491808" w:rsidRPr="007301E9">
        <w:rPr>
          <w:bCs/>
        </w:rPr>
        <w:t xml:space="preserve">ttempt to obtain information from any of the employees or agents of the Authority or their advisors concerning another </w:t>
      </w:r>
      <w:r w:rsidR="0035766D">
        <w:rPr>
          <w:bCs/>
        </w:rPr>
        <w:t>B</w:t>
      </w:r>
      <w:r w:rsidR="00785DDF" w:rsidRPr="007301E9">
        <w:rPr>
          <w:bCs/>
        </w:rPr>
        <w:t>idder</w:t>
      </w:r>
      <w:r w:rsidR="0035766D">
        <w:rPr>
          <w:bCs/>
        </w:rPr>
        <w:t xml:space="preserve"> or T</w:t>
      </w:r>
      <w:r w:rsidR="00491808" w:rsidRPr="007301E9">
        <w:rPr>
          <w:bCs/>
        </w:rPr>
        <w:t>ender</w:t>
      </w:r>
      <w:r w:rsidR="00F10ACE" w:rsidRPr="007301E9">
        <w:rPr>
          <w:bCs/>
        </w:rPr>
        <w:t xml:space="preserve"> (except for debrief information requests made through the</w:t>
      </w:r>
      <w:r w:rsidR="006C6F4A">
        <w:rPr>
          <w:bCs/>
        </w:rPr>
        <w:t xml:space="preserve"> e-Tendering</w:t>
      </w:r>
      <w:r w:rsidR="00F10ACE" w:rsidRPr="007301E9">
        <w:rPr>
          <w:bCs/>
        </w:rPr>
        <w:t xml:space="preserve"> </w:t>
      </w:r>
      <w:r w:rsidR="004230E7">
        <w:rPr>
          <w:bCs/>
        </w:rPr>
        <w:t>Portal</w:t>
      </w:r>
      <w:r w:rsidR="00F10ACE" w:rsidRPr="007301E9">
        <w:rPr>
          <w:bCs/>
        </w:rPr>
        <w:t>)</w:t>
      </w:r>
      <w:r w:rsidR="00491808" w:rsidRPr="007301E9">
        <w:rPr>
          <w:bCs/>
        </w:rPr>
        <w:t>.</w:t>
      </w:r>
    </w:p>
    <w:p w14:paraId="74A93118" w14:textId="77777777" w:rsidR="00491808" w:rsidRPr="00645517" w:rsidRDefault="00E7163F" w:rsidP="0035766D">
      <w:pPr>
        <w:pStyle w:val="MRNumberedHeading2"/>
      </w:pPr>
      <w:bookmarkStart w:id="123"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123"/>
      <w:r w:rsidR="007B6206">
        <w:t xml:space="preserve">  </w:t>
      </w:r>
      <w:r w:rsidR="00BD4D8C">
        <w:t xml:space="preserve"> </w:t>
      </w:r>
      <w:r w:rsidR="00E2328D">
        <w:t xml:space="preserve"> </w:t>
      </w:r>
    </w:p>
    <w:p w14:paraId="19CD49C0" w14:textId="77777777" w:rsidR="00491808" w:rsidRPr="00491808" w:rsidRDefault="00491808" w:rsidP="0035766D">
      <w:pPr>
        <w:pStyle w:val="Heading1"/>
        <w:spacing w:before="240" w:after="0"/>
        <w:ind w:left="851"/>
      </w:pPr>
      <w:bookmarkStart w:id="124" w:name="a582432"/>
      <w:bookmarkStart w:id="125" w:name="_Toc403555154"/>
      <w:bookmarkEnd w:id="124"/>
      <w:r w:rsidRPr="00491808">
        <w:t>Authority's rights</w:t>
      </w:r>
      <w:bookmarkEnd w:id="125"/>
    </w:p>
    <w:p w14:paraId="7393111B" w14:textId="77777777" w:rsidR="00491808" w:rsidRPr="00491808" w:rsidRDefault="008D2128" w:rsidP="0035766D">
      <w:pPr>
        <w:pStyle w:val="MRNumberedHeading2"/>
      </w:pPr>
      <w:bookmarkStart w:id="126" w:name="_Toc403555155"/>
      <w:r>
        <w:t>Subject to its obligations to act in a transparent, proportionate and non-discriminatory manner, t</w:t>
      </w:r>
      <w:r w:rsidR="00491808" w:rsidRPr="00491808">
        <w:t>he Authority reserves the right to:</w:t>
      </w:r>
      <w:bookmarkEnd w:id="126"/>
    </w:p>
    <w:p w14:paraId="6C042826" w14:textId="77777777" w:rsidR="00491808" w:rsidRPr="007301E9" w:rsidRDefault="00645517" w:rsidP="00AF1509">
      <w:pPr>
        <w:pStyle w:val="MRNumberedHeading3"/>
        <w:numPr>
          <w:ilvl w:val="2"/>
          <w:numId w:val="18"/>
        </w:numPr>
        <w:tabs>
          <w:tab w:val="clear" w:pos="2214"/>
          <w:tab w:val="num" w:pos="1794"/>
        </w:tabs>
        <w:spacing w:line="240" w:lineRule="auto"/>
        <w:ind w:left="1702" w:hanging="851"/>
        <w:jc w:val="both"/>
        <w:rPr>
          <w:bCs/>
        </w:rPr>
      </w:pPr>
      <w:r w:rsidRPr="007301E9">
        <w:rPr>
          <w:bCs/>
        </w:rPr>
        <w:t>w</w:t>
      </w:r>
      <w:r w:rsidR="00491808" w:rsidRPr="007301E9">
        <w:rPr>
          <w:bCs/>
        </w:rPr>
        <w:t xml:space="preserve">aive or change the requirements of this ITT from time to </w:t>
      </w:r>
      <w:proofErr w:type="gramStart"/>
      <w:r w:rsidR="00491808" w:rsidRPr="007301E9">
        <w:rPr>
          <w:bCs/>
        </w:rPr>
        <w:t>time</w:t>
      </w:r>
      <w:r w:rsidRPr="007301E9">
        <w:rPr>
          <w:bCs/>
        </w:rPr>
        <w:t>;</w:t>
      </w:r>
      <w:proofErr w:type="gramEnd"/>
    </w:p>
    <w:p w14:paraId="768536DB" w14:textId="77777777" w:rsidR="00491808" w:rsidRPr="007301E9" w:rsidRDefault="00645517" w:rsidP="00AF1509">
      <w:pPr>
        <w:pStyle w:val="MRNumberedHeading3"/>
        <w:numPr>
          <w:ilvl w:val="2"/>
          <w:numId w:val="18"/>
        </w:numPr>
        <w:tabs>
          <w:tab w:val="clear" w:pos="2214"/>
          <w:tab w:val="num" w:pos="1794"/>
        </w:tabs>
        <w:spacing w:line="240" w:lineRule="auto"/>
        <w:ind w:left="1702" w:hanging="851"/>
        <w:jc w:val="both"/>
        <w:rPr>
          <w:bCs/>
        </w:rPr>
      </w:pPr>
      <w:r w:rsidRPr="007301E9">
        <w:rPr>
          <w:bCs/>
        </w:rPr>
        <w:lastRenderedPageBreak/>
        <w:t>s</w:t>
      </w:r>
      <w:r w:rsidR="00491808" w:rsidRPr="007301E9">
        <w:rPr>
          <w:bCs/>
        </w:rPr>
        <w:t>eek clarification or documents in res</w:t>
      </w:r>
      <w:r w:rsidRPr="007301E9">
        <w:rPr>
          <w:bCs/>
        </w:rPr>
        <w:t xml:space="preserve">pect of a </w:t>
      </w:r>
      <w:r w:rsidR="00785DDF" w:rsidRPr="007301E9">
        <w:rPr>
          <w:bCs/>
        </w:rPr>
        <w:t>Bidder</w:t>
      </w:r>
      <w:r w:rsidRPr="007301E9">
        <w:rPr>
          <w:bCs/>
        </w:rPr>
        <w:t xml:space="preserve">'s </w:t>
      </w:r>
      <w:proofErr w:type="gramStart"/>
      <w:r w:rsidRPr="007301E9">
        <w:rPr>
          <w:bCs/>
        </w:rPr>
        <w:t>submission;</w:t>
      </w:r>
      <w:proofErr w:type="gramEnd"/>
    </w:p>
    <w:p w14:paraId="6F9675E7" w14:textId="77777777" w:rsidR="00491808" w:rsidRPr="007301E9" w:rsidRDefault="00645517" w:rsidP="00AF1509">
      <w:pPr>
        <w:pStyle w:val="MRNumberedHeading3"/>
        <w:numPr>
          <w:ilvl w:val="2"/>
          <w:numId w:val="18"/>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 xml:space="preserve">th the instructions in this </w:t>
      </w:r>
      <w:proofErr w:type="gramStart"/>
      <w:r w:rsidRPr="007301E9">
        <w:rPr>
          <w:bCs/>
        </w:rPr>
        <w:t>ITT;</w:t>
      </w:r>
      <w:proofErr w:type="gramEnd"/>
    </w:p>
    <w:p w14:paraId="7A3612FB" w14:textId="778023C0" w:rsidR="00491808" w:rsidRPr="007301E9" w:rsidRDefault="00645517" w:rsidP="00AF1509">
      <w:pPr>
        <w:pStyle w:val="MRNumberedHeading3"/>
        <w:numPr>
          <w:ilvl w:val="2"/>
          <w:numId w:val="18"/>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CC4072">
        <w:rPr>
          <w:bCs/>
        </w:rPr>
        <w:t>or the T</w:t>
      </w:r>
      <w:r w:rsidRPr="007301E9">
        <w:rPr>
          <w:bCs/>
        </w:rPr>
        <w:t xml:space="preserve">ender </w:t>
      </w:r>
      <w:proofErr w:type="gramStart"/>
      <w:r w:rsidRPr="007301E9">
        <w:rPr>
          <w:bCs/>
        </w:rPr>
        <w:t>process;</w:t>
      </w:r>
      <w:proofErr w:type="gramEnd"/>
    </w:p>
    <w:p w14:paraId="07830EF7" w14:textId="4D519FCE" w:rsidR="00491808" w:rsidRPr="007301E9" w:rsidRDefault="00645517" w:rsidP="00AF1509">
      <w:pPr>
        <w:pStyle w:val="MRNumberedHeading3"/>
        <w:numPr>
          <w:ilvl w:val="2"/>
          <w:numId w:val="18"/>
        </w:numPr>
        <w:tabs>
          <w:tab w:val="clear" w:pos="2214"/>
          <w:tab w:val="num" w:pos="1794"/>
        </w:tabs>
        <w:spacing w:line="240" w:lineRule="auto"/>
        <w:ind w:left="1702" w:hanging="851"/>
        <w:jc w:val="both"/>
        <w:rPr>
          <w:bCs/>
        </w:rPr>
      </w:pPr>
      <w:r w:rsidRPr="007301E9">
        <w:rPr>
          <w:bCs/>
        </w:rPr>
        <w:t>w</w:t>
      </w:r>
      <w:r w:rsidR="00491808" w:rsidRPr="007301E9">
        <w:rPr>
          <w:bCs/>
        </w:rPr>
        <w:t>ithdraw this ITT at any time, or re-invite Tenders on th</w:t>
      </w:r>
      <w:r w:rsidRPr="007301E9">
        <w:rPr>
          <w:bCs/>
        </w:rPr>
        <w:t xml:space="preserve">e same or any alternative </w:t>
      </w:r>
      <w:proofErr w:type="gramStart"/>
      <w:r w:rsidRPr="007301E9">
        <w:rPr>
          <w:bCs/>
        </w:rPr>
        <w:t>basis;</w:t>
      </w:r>
      <w:proofErr w:type="gramEnd"/>
      <w:r w:rsidRPr="007301E9">
        <w:rPr>
          <w:bCs/>
        </w:rPr>
        <w:t xml:space="preserve"> </w:t>
      </w:r>
    </w:p>
    <w:p w14:paraId="49E1BCDF" w14:textId="77777777" w:rsidR="00491808" w:rsidRPr="007301E9" w:rsidRDefault="00645517" w:rsidP="00AF1509">
      <w:pPr>
        <w:pStyle w:val="MRNumberedHeading3"/>
        <w:numPr>
          <w:ilvl w:val="2"/>
          <w:numId w:val="18"/>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w:t>
      </w:r>
      <w:proofErr w:type="gramStart"/>
      <w:r w:rsidR="00491808" w:rsidRPr="007301E9">
        <w:rPr>
          <w:bCs/>
        </w:rPr>
        <w:t>as a result of</w:t>
      </w:r>
      <w:proofErr w:type="gramEnd"/>
      <w:r w:rsidR="00491808" w:rsidRPr="007301E9">
        <w:rPr>
          <w:bCs/>
        </w:rPr>
        <w:t xml:space="preserve"> the </w:t>
      </w:r>
      <w:r w:rsidRPr="007301E9">
        <w:rPr>
          <w:bCs/>
        </w:rPr>
        <w:t>current procurement process; and</w:t>
      </w:r>
    </w:p>
    <w:p w14:paraId="7417981E" w14:textId="77777777" w:rsidR="00491808" w:rsidRPr="007301E9" w:rsidRDefault="00645517" w:rsidP="00AF1509">
      <w:pPr>
        <w:pStyle w:val="MRNumberedHeading3"/>
        <w:numPr>
          <w:ilvl w:val="2"/>
          <w:numId w:val="18"/>
        </w:numPr>
        <w:tabs>
          <w:tab w:val="clear" w:pos="2214"/>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14:paraId="4833A053" w14:textId="77777777" w:rsidR="00491808" w:rsidRPr="00491808" w:rsidRDefault="00491808" w:rsidP="00276E1B">
      <w:pPr>
        <w:pStyle w:val="Heading1"/>
        <w:spacing w:before="240" w:after="0"/>
        <w:ind w:left="851"/>
      </w:pPr>
      <w:bookmarkStart w:id="127" w:name="a934916"/>
      <w:bookmarkStart w:id="128" w:name="_Toc403555156"/>
      <w:bookmarkEnd w:id="127"/>
      <w:r w:rsidRPr="00491808">
        <w:t>Bid costs</w:t>
      </w:r>
      <w:bookmarkEnd w:id="128"/>
    </w:p>
    <w:p w14:paraId="7F9A5981" w14:textId="77777777" w:rsidR="0022652F" w:rsidRDefault="00491808" w:rsidP="006B54D6">
      <w:pPr>
        <w:pStyle w:val="MRNumberedHeading2"/>
      </w:pPr>
      <w:bookmarkStart w:id="129"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29"/>
    </w:p>
    <w:p w14:paraId="5F68A365" w14:textId="77777777" w:rsidR="00491808" w:rsidRPr="00276E1B" w:rsidRDefault="00491808" w:rsidP="00276E1B">
      <w:pPr>
        <w:pStyle w:val="Heading1"/>
        <w:spacing w:before="240" w:after="0"/>
        <w:ind w:left="851"/>
      </w:pPr>
      <w:bookmarkStart w:id="130" w:name="_Toc403555158"/>
      <w:r w:rsidRPr="00276E1B">
        <w:t>Language</w:t>
      </w:r>
      <w:bookmarkEnd w:id="130"/>
    </w:p>
    <w:p w14:paraId="4C514B5B" w14:textId="4F6C8065" w:rsidR="006534CF" w:rsidRDefault="00491808" w:rsidP="006B54D6">
      <w:pPr>
        <w:pStyle w:val="MRNumberedHeading2"/>
      </w:pPr>
      <w:bookmarkStart w:id="131" w:name="_Toc403555159"/>
      <w:r w:rsidRPr="00A24900">
        <w:t xml:space="preserve">Tenders, all documents and all </w:t>
      </w:r>
      <w:r w:rsidR="003219DA">
        <w:t>correspondence relating to the T</w:t>
      </w:r>
      <w:r w:rsidRPr="00A24900">
        <w:t>ender must be written in English.</w:t>
      </w:r>
      <w:bookmarkEnd w:id="131"/>
    </w:p>
    <w:p w14:paraId="65C4D0F3" w14:textId="74A4A39A" w:rsidR="00F35E09" w:rsidRPr="00276E1B" w:rsidRDefault="00F35E09" w:rsidP="00276E1B">
      <w:pPr>
        <w:pStyle w:val="Heading1"/>
        <w:spacing w:before="240" w:after="0"/>
        <w:ind w:left="851"/>
      </w:pPr>
      <w:bookmarkStart w:id="132" w:name="_Toc403555160"/>
      <w:r w:rsidRPr="00276E1B">
        <w:t>Transparency</w:t>
      </w:r>
      <w:bookmarkEnd w:id="132"/>
      <w:r w:rsidRPr="00276E1B">
        <w:t xml:space="preserve">  </w:t>
      </w:r>
    </w:p>
    <w:p w14:paraId="4A90F3E3" w14:textId="435CE22F" w:rsidR="00F35E09" w:rsidRDefault="00F35E09" w:rsidP="006B54D6">
      <w:pPr>
        <w:pStyle w:val="MRNumberedHeading2"/>
      </w:pPr>
      <w:bookmarkStart w:id="133" w:name="_Toc403555161"/>
      <w:bookmarkStart w:id="134" w:name="_Ref405453244"/>
      <w:r>
        <w:t>In accordance with the</w:t>
      </w:r>
      <w:r w:rsidR="005A5EF5">
        <w:t xml:space="preserve"> Public Contracts Regulations 2015 and the</w:t>
      </w:r>
      <w:r>
        <w:t xml:space="preserve"> Government’s policy on transparency, Bidders should be aware that the Authority intends to make the ITT and </w:t>
      </w:r>
      <w:r w:rsidR="00DC6E9A">
        <w:t xml:space="preserve">details of </w:t>
      </w:r>
      <w:r>
        <w:t xml:space="preserve">any subsequent contract publicly available, by </w:t>
      </w:r>
      <w:r w:rsidR="00DC6E9A">
        <w:t>publication</w:t>
      </w:r>
      <w:r>
        <w:t xml:space="preserve"> on the Government</w:t>
      </w:r>
      <w:bookmarkEnd w:id="133"/>
      <w:bookmarkEnd w:id="134"/>
      <w:r w:rsidR="009D5F0B">
        <w:t>'s Contracts Finder portal.</w:t>
      </w:r>
    </w:p>
    <w:p w14:paraId="35E91DBD" w14:textId="77777777" w:rsidR="00236A55" w:rsidRPr="00276E1B" w:rsidRDefault="00236A55" w:rsidP="00276E1B">
      <w:pPr>
        <w:pStyle w:val="Heading1"/>
        <w:spacing w:before="240" w:after="0"/>
        <w:ind w:left="851"/>
      </w:pPr>
      <w:bookmarkStart w:id="135" w:name="_Toc403555162"/>
      <w:r w:rsidRPr="00276E1B">
        <w:t>Governing Law and Jurisdiction</w:t>
      </w:r>
      <w:bookmarkEnd w:id="135"/>
      <w:r w:rsidRPr="00276E1B">
        <w:t xml:space="preserve"> </w:t>
      </w:r>
    </w:p>
    <w:p w14:paraId="4B26A012" w14:textId="4DF0E3C2" w:rsidR="00AF23CE" w:rsidRDefault="00236A55" w:rsidP="006B54D6">
      <w:pPr>
        <w:pStyle w:val="MRNumberedHeading2"/>
      </w:pPr>
      <w:bookmarkStart w:id="136" w:name="_Toc403555163"/>
      <w:r>
        <w:t>This ITT and any dispute concerning it (including non-contractual disputes or claims) shall be governed by English law and subject to the jurisdiction of the English Courts</w:t>
      </w:r>
      <w:bookmarkEnd w:id="136"/>
    </w:p>
    <w:p w14:paraId="2D5E6929" w14:textId="77777777" w:rsidR="00AF23CE" w:rsidRDefault="00AF23CE">
      <w:pPr>
        <w:spacing w:after="240"/>
        <w:jc w:val="left"/>
        <w:rPr>
          <w:rFonts w:eastAsia="Times New Roman" w:cs="Times New Roman"/>
          <w:szCs w:val="24"/>
          <w:lang w:eastAsia="en-GB"/>
        </w:rPr>
      </w:pPr>
      <w:r>
        <w:br w:type="page"/>
      </w:r>
    </w:p>
    <w:p w14:paraId="23D7A629" w14:textId="77777777" w:rsidR="008824CC" w:rsidRPr="008F3D2C" w:rsidRDefault="008731E8" w:rsidP="00AF1509">
      <w:pPr>
        <w:pStyle w:val="MRNumberedHeading1"/>
        <w:numPr>
          <w:ilvl w:val="0"/>
          <w:numId w:val="19"/>
        </w:numPr>
        <w:ind w:hanging="798"/>
        <w:jc w:val="both"/>
        <w:rPr>
          <w:sz w:val="20"/>
          <w:szCs w:val="20"/>
        </w:rPr>
      </w:pPr>
      <w:bookmarkStart w:id="137" w:name="_Toc403556504"/>
      <w:bookmarkStart w:id="138" w:name="_Toc403556509"/>
      <w:bookmarkStart w:id="139" w:name="_Toc406674972"/>
      <w:bookmarkStart w:id="140" w:name="_Toc412621214"/>
      <w:bookmarkStart w:id="141" w:name="_Toc412715224"/>
      <w:r w:rsidRPr="008F3D2C">
        <w:rPr>
          <w:sz w:val="20"/>
          <w:szCs w:val="20"/>
        </w:rPr>
        <w:lastRenderedPageBreak/>
        <w:t>TENDER EVALUATION METHODOLOGY AND CRITERIA</w:t>
      </w:r>
      <w:bookmarkEnd w:id="137"/>
      <w:bookmarkEnd w:id="138"/>
      <w:bookmarkEnd w:id="139"/>
      <w:bookmarkEnd w:id="140"/>
      <w:bookmarkEnd w:id="141"/>
      <w:r w:rsidRPr="008F3D2C">
        <w:rPr>
          <w:sz w:val="20"/>
          <w:szCs w:val="20"/>
        </w:rPr>
        <w:t xml:space="preserve"> </w:t>
      </w:r>
    </w:p>
    <w:p w14:paraId="230E41A5" w14:textId="77777777" w:rsidR="008824CC" w:rsidRDefault="00277BB6" w:rsidP="0035766D">
      <w:pPr>
        <w:pStyle w:val="Heading1"/>
        <w:spacing w:before="240" w:after="0"/>
        <w:ind w:left="851"/>
      </w:pPr>
      <w:bookmarkStart w:id="142" w:name="_Toc403555164"/>
      <w:r>
        <w:t>Overview</w:t>
      </w:r>
      <w:bookmarkEnd w:id="142"/>
    </w:p>
    <w:p w14:paraId="74F92D1B" w14:textId="4A30AA0F" w:rsidR="00BF48A1" w:rsidRDefault="00BF48A1" w:rsidP="0035766D">
      <w:pPr>
        <w:pStyle w:val="MRNumberedHeading2"/>
      </w:pPr>
      <w:bookmarkStart w:id="143" w:name="_Toc403555165"/>
      <w:r>
        <w:t>T</w:t>
      </w:r>
      <w:r w:rsidRPr="003E3276">
        <w:t>h</w:t>
      </w:r>
      <w:r>
        <w:t>is section of the ITT</w:t>
      </w:r>
      <w:r w:rsidR="00865F97">
        <w:t xml:space="preserve"> Information Document</w:t>
      </w:r>
      <w:r>
        <w:t xml:space="preserve"> sets out the criteria that the Authority will use to ev</w:t>
      </w:r>
      <w:r w:rsidR="006A3BFB">
        <w:t>aluate Tenders</w:t>
      </w:r>
      <w:r w:rsidR="00FB21E9">
        <w:t>.</w:t>
      </w:r>
      <w:bookmarkEnd w:id="143"/>
    </w:p>
    <w:p w14:paraId="164460AB" w14:textId="77777777" w:rsidR="00FB21E9" w:rsidRDefault="00FB21E9" w:rsidP="0035766D">
      <w:pPr>
        <w:pStyle w:val="MRNumberedHeading2"/>
      </w:pPr>
      <w:bookmarkStart w:id="144"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144"/>
    </w:p>
    <w:p w14:paraId="583D3D56" w14:textId="77777777" w:rsidR="00C14AA9" w:rsidRDefault="00C14AA9" w:rsidP="0035766D">
      <w:pPr>
        <w:pStyle w:val="MRNumberedHeading2"/>
      </w:pPr>
      <w:bookmarkStart w:id="145" w:name="_Toc403555167"/>
      <w:r>
        <w:t>The Authority will award the contract to the Tender that scores the highest marks, applying the methodology below. Scoring will be carried out as follows:</w:t>
      </w:r>
      <w:bookmarkEnd w:id="145"/>
      <w:r>
        <w:t xml:space="preserve"> </w:t>
      </w:r>
    </w:p>
    <w:p w14:paraId="6A6DCC68" w14:textId="77777777" w:rsidR="00FA7A46" w:rsidRDefault="00C14AA9" w:rsidP="00FA7A46">
      <w:pPr>
        <w:pStyle w:val="MRNumberedHeading3"/>
        <w:numPr>
          <w:ilvl w:val="2"/>
          <w:numId w:val="18"/>
        </w:numPr>
        <w:tabs>
          <w:tab w:val="clear" w:pos="2214"/>
          <w:tab w:val="num" w:pos="1794"/>
        </w:tabs>
        <w:spacing w:line="240" w:lineRule="auto"/>
        <w:ind w:left="1702" w:hanging="851"/>
        <w:jc w:val="both"/>
      </w:pPr>
      <w:r>
        <w:t xml:space="preserve">The </w:t>
      </w:r>
      <w:r w:rsidR="006245EA">
        <w:t>Bidder must pass all standard selection</w:t>
      </w:r>
      <w:r>
        <w:t xml:space="preserve"> questions </w:t>
      </w:r>
      <w:bookmarkStart w:id="146" w:name="_Ref406761853"/>
      <w:r w:rsidR="00FA7A46">
        <w:t>outlined in the Supplier Tender Return ITT  ("</w:t>
      </w:r>
      <w:r w:rsidR="00FA7A46">
        <w:rPr>
          <w:b/>
        </w:rPr>
        <w:t>Standard Selection</w:t>
      </w:r>
      <w:r w:rsidR="00FA7A46" w:rsidRPr="004B6544">
        <w:rPr>
          <w:b/>
        </w:rPr>
        <w:t xml:space="preserve"> Question</w:t>
      </w:r>
      <w:r w:rsidR="00FA7A46">
        <w:rPr>
          <w:b/>
        </w:rPr>
        <w:t>naire</w:t>
      </w:r>
      <w:r w:rsidR="00FA7A46">
        <w:t>").</w:t>
      </w:r>
    </w:p>
    <w:p w14:paraId="03450845" w14:textId="77777777" w:rsidR="00FA7A46" w:rsidRDefault="00FA7A46" w:rsidP="00FA7A46">
      <w:pPr>
        <w:pStyle w:val="MRNumberedHeading3"/>
        <w:numPr>
          <w:ilvl w:val="2"/>
          <w:numId w:val="18"/>
        </w:numPr>
        <w:tabs>
          <w:tab w:val="clear" w:pos="2214"/>
          <w:tab w:val="num" w:pos="1794"/>
        </w:tabs>
        <w:spacing w:line="240" w:lineRule="auto"/>
        <w:ind w:left="1702" w:hanging="851"/>
        <w:jc w:val="both"/>
      </w:pPr>
      <w:bookmarkStart w:id="147" w:name="_Toc403555168"/>
      <w:bookmarkEnd w:id="146"/>
      <w:r>
        <w:t xml:space="preserve">The Authority will then mark the Supplier Tender Return ITT Quality Questions for all Bidders that pass all the Eligibility Questions. </w:t>
      </w:r>
    </w:p>
    <w:p w14:paraId="3F8A7FF3" w14:textId="5E6B1A45" w:rsidR="00C14AA9" w:rsidRDefault="00C14AA9" w:rsidP="0035766D">
      <w:pPr>
        <w:pStyle w:val="MRNumberedHeading2"/>
      </w:pPr>
      <w:r>
        <w:t xml:space="preserve">The </w:t>
      </w:r>
      <w:r w:rsidR="008E66A3">
        <w:t xml:space="preserve">Authority will mark Standard Selection </w:t>
      </w:r>
      <w:r>
        <w:t xml:space="preserve">Questions as described in paragraphs </w:t>
      </w:r>
      <w:r w:rsidR="00A77338">
        <w:fldChar w:fldCharType="begin"/>
      </w:r>
      <w:r w:rsidR="00A77338">
        <w:instrText xml:space="preserve"> REF _Ref403484377 \r \h </w:instrText>
      </w:r>
      <w:r w:rsidR="0035766D">
        <w:instrText xml:space="preserve"> \* MERGEFORMAT </w:instrText>
      </w:r>
      <w:r w:rsidR="00A77338">
        <w:fldChar w:fldCharType="separate"/>
      </w:r>
      <w:r w:rsidR="00204EF0">
        <w:t>4.5</w:t>
      </w:r>
      <w:r w:rsidR="00A77338">
        <w:fldChar w:fldCharType="end"/>
      </w:r>
      <w:r w:rsidR="00A77338">
        <w:t xml:space="preserve"> to </w:t>
      </w:r>
      <w:r w:rsidR="00A77338">
        <w:fldChar w:fldCharType="begin"/>
      </w:r>
      <w:r w:rsidR="00A77338">
        <w:instrText xml:space="preserve"> REF _Ref403484379 \r \h </w:instrText>
      </w:r>
      <w:r w:rsidR="0035766D">
        <w:instrText xml:space="preserve"> \* MERGEFORMAT </w:instrText>
      </w:r>
      <w:r w:rsidR="00A77338">
        <w:fldChar w:fldCharType="separate"/>
      </w:r>
      <w:r w:rsidR="00204EF0">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35766D">
        <w:instrText xml:space="preserve"> \* MERGEFORMAT </w:instrText>
      </w:r>
      <w:r w:rsidR="00A77338">
        <w:fldChar w:fldCharType="separate"/>
      </w:r>
      <w:r w:rsidR="00204EF0">
        <w:t>4.8</w:t>
      </w:r>
      <w:r w:rsidR="00A77338">
        <w:fldChar w:fldCharType="end"/>
      </w:r>
      <w:r w:rsidR="00A77338">
        <w:t xml:space="preserve"> to </w:t>
      </w:r>
      <w:r w:rsidR="00A77338">
        <w:fldChar w:fldCharType="begin"/>
      </w:r>
      <w:r w:rsidR="00A77338">
        <w:instrText xml:space="preserve"> REF _Ref403484421 \r \h </w:instrText>
      </w:r>
      <w:r w:rsidR="0035766D">
        <w:instrText xml:space="preserve"> \* MERGEFORMAT </w:instrText>
      </w:r>
      <w:r w:rsidR="00A77338">
        <w:fldChar w:fldCharType="separate"/>
      </w:r>
      <w:r w:rsidR="00204EF0">
        <w:t>4.14</w:t>
      </w:r>
      <w:bookmarkEnd w:id="147"/>
      <w:r w:rsidR="00A77338">
        <w:fldChar w:fldCharType="end"/>
      </w:r>
      <w:r>
        <w:t xml:space="preserve"> </w:t>
      </w:r>
    </w:p>
    <w:p w14:paraId="3F5B5B94" w14:textId="77777777" w:rsidR="00C14AA9" w:rsidRDefault="00C14AA9" w:rsidP="0035766D">
      <w:pPr>
        <w:pStyle w:val="Heading1"/>
        <w:spacing w:before="240" w:after="0"/>
        <w:ind w:left="851"/>
      </w:pPr>
      <w:bookmarkStart w:id="148" w:name="_Toc403555169"/>
      <w:r>
        <w:t>Criteria – Eligibility Questions</w:t>
      </w:r>
      <w:bookmarkEnd w:id="148"/>
    </w:p>
    <w:p w14:paraId="3EBFF644" w14:textId="031BE506" w:rsidR="00CF3319" w:rsidRPr="00B44E25" w:rsidRDefault="00C14AA9" w:rsidP="00E328A1">
      <w:pPr>
        <w:pStyle w:val="MRNumberedHeading2"/>
        <w:jc w:val="left"/>
      </w:pPr>
      <w:bookmarkStart w:id="149" w:name="_Ref403484377"/>
      <w:bookmarkStart w:id="150" w:name="_Toc403555170"/>
      <w:r>
        <w:t>The Authority will score Eligibility Questions on the following basis:</w:t>
      </w:r>
      <w:bookmarkEnd w:id="149"/>
      <w:bookmarkEnd w:id="150"/>
      <w:r w:rsidR="00CF3319">
        <w:br/>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4536"/>
      </w:tblGrid>
      <w:tr w:rsidR="00FD68D3" w:rsidRPr="00440F01" w14:paraId="4B943430" w14:textId="77777777" w:rsidTr="007E337D">
        <w:trPr>
          <w:trHeight w:val="397"/>
        </w:trPr>
        <w:tc>
          <w:tcPr>
            <w:tcW w:w="3543" w:type="dxa"/>
            <w:shd w:val="clear" w:color="auto" w:fill="A6A6A6"/>
            <w:vAlign w:val="center"/>
          </w:tcPr>
          <w:p w14:paraId="65576FF5" w14:textId="604782C8" w:rsidR="00FD68D3" w:rsidRPr="007E337D" w:rsidRDefault="008E66A3" w:rsidP="007E337D">
            <w:pPr>
              <w:jc w:val="left"/>
              <w:rPr>
                <w:b/>
              </w:rPr>
            </w:pPr>
            <w:r w:rsidRPr="007E337D">
              <w:rPr>
                <w:b/>
              </w:rPr>
              <w:t>Standard Selection</w:t>
            </w:r>
            <w:r w:rsidR="00FD68D3" w:rsidRPr="007E337D">
              <w:rPr>
                <w:b/>
              </w:rPr>
              <w:t xml:space="preserve"> Questions </w:t>
            </w:r>
          </w:p>
        </w:tc>
        <w:tc>
          <w:tcPr>
            <w:tcW w:w="4536" w:type="dxa"/>
            <w:shd w:val="clear" w:color="auto" w:fill="A6A6A6"/>
            <w:vAlign w:val="center"/>
          </w:tcPr>
          <w:p w14:paraId="666F015D" w14:textId="77777777" w:rsidR="00FD68D3" w:rsidRPr="007E337D" w:rsidRDefault="00FD68D3" w:rsidP="007E337D">
            <w:pPr>
              <w:jc w:val="left"/>
              <w:rPr>
                <w:b/>
              </w:rPr>
            </w:pPr>
            <w:r w:rsidRPr="007E337D">
              <w:rPr>
                <w:b/>
              </w:rPr>
              <w:t>Selection criteria</w:t>
            </w:r>
          </w:p>
        </w:tc>
      </w:tr>
      <w:tr w:rsidR="00FD68D3" w:rsidRPr="00440F01" w14:paraId="3913B16D" w14:textId="77777777" w:rsidTr="007E337D">
        <w:trPr>
          <w:trHeight w:val="397"/>
        </w:trPr>
        <w:tc>
          <w:tcPr>
            <w:tcW w:w="3543" w:type="dxa"/>
            <w:shd w:val="clear" w:color="auto" w:fill="auto"/>
            <w:vAlign w:val="center"/>
          </w:tcPr>
          <w:p w14:paraId="0FA2E264" w14:textId="530930D8" w:rsidR="00FD68D3" w:rsidRPr="007E337D" w:rsidRDefault="00FD68D3" w:rsidP="007E337D">
            <w:r w:rsidRPr="007E337D">
              <w:t>Supplier information</w:t>
            </w:r>
          </w:p>
        </w:tc>
        <w:tc>
          <w:tcPr>
            <w:tcW w:w="4536" w:type="dxa"/>
            <w:shd w:val="clear" w:color="auto" w:fill="auto"/>
            <w:vAlign w:val="center"/>
          </w:tcPr>
          <w:p w14:paraId="76D3DEB5" w14:textId="77777777" w:rsidR="00FD68D3" w:rsidRPr="007E337D" w:rsidRDefault="00FD68D3" w:rsidP="007E337D">
            <w:r w:rsidRPr="007E337D">
              <w:t>For information only</w:t>
            </w:r>
          </w:p>
        </w:tc>
      </w:tr>
      <w:tr w:rsidR="00FD68D3" w:rsidRPr="00440F01" w14:paraId="71BF13B7" w14:textId="77777777" w:rsidTr="007E337D">
        <w:trPr>
          <w:trHeight w:val="397"/>
        </w:trPr>
        <w:tc>
          <w:tcPr>
            <w:tcW w:w="3543" w:type="dxa"/>
            <w:shd w:val="clear" w:color="auto" w:fill="auto"/>
            <w:vAlign w:val="center"/>
          </w:tcPr>
          <w:p w14:paraId="438A7D30" w14:textId="5EF307F5" w:rsidR="00FD68D3" w:rsidRPr="007E337D" w:rsidRDefault="00FD68D3" w:rsidP="007E337D">
            <w:r w:rsidRPr="007E337D">
              <w:t>Grounds for mandatory exclusion</w:t>
            </w:r>
          </w:p>
        </w:tc>
        <w:tc>
          <w:tcPr>
            <w:tcW w:w="4536" w:type="dxa"/>
            <w:shd w:val="clear" w:color="auto" w:fill="auto"/>
            <w:vAlign w:val="center"/>
          </w:tcPr>
          <w:p w14:paraId="32F16511" w14:textId="77777777" w:rsidR="00FD68D3" w:rsidRPr="007E337D" w:rsidRDefault="00FD68D3" w:rsidP="007E337D">
            <w:r w:rsidRPr="007E337D">
              <w:t xml:space="preserve">Pass or </w:t>
            </w:r>
            <w:proofErr w:type="gramStart"/>
            <w:r w:rsidRPr="007E337D">
              <w:t>Fail</w:t>
            </w:r>
            <w:proofErr w:type="gramEnd"/>
          </w:p>
        </w:tc>
      </w:tr>
      <w:tr w:rsidR="00FD68D3" w:rsidRPr="00440F01" w14:paraId="701205C1" w14:textId="77777777" w:rsidTr="007E337D">
        <w:trPr>
          <w:trHeight w:val="397"/>
        </w:trPr>
        <w:tc>
          <w:tcPr>
            <w:tcW w:w="3543" w:type="dxa"/>
            <w:shd w:val="clear" w:color="auto" w:fill="auto"/>
            <w:vAlign w:val="center"/>
          </w:tcPr>
          <w:p w14:paraId="4A644BD1" w14:textId="4DDBB004" w:rsidR="00FD68D3" w:rsidRPr="007E337D" w:rsidRDefault="00FD68D3" w:rsidP="007E337D">
            <w:r w:rsidRPr="007E337D">
              <w:t xml:space="preserve">Grounds for discretionary exclusion </w:t>
            </w:r>
          </w:p>
        </w:tc>
        <w:tc>
          <w:tcPr>
            <w:tcW w:w="4536" w:type="dxa"/>
            <w:shd w:val="clear" w:color="auto" w:fill="auto"/>
            <w:vAlign w:val="center"/>
          </w:tcPr>
          <w:p w14:paraId="04BD5FD4" w14:textId="77777777" w:rsidR="00FD68D3" w:rsidRPr="007E337D" w:rsidRDefault="00FD68D3" w:rsidP="007E337D">
            <w:r w:rsidRPr="007E337D">
              <w:t xml:space="preserve">Pass or </w:t>
            </w:r>
            <w:proofErr w:type="gramStart"/>
            <w:r w:rsidRPr="007E337D">
              <w:t>Fail</w:t>
            </w:r>
            <w:proofErr w:type="gramEnd"/>
          </w:p>
        </w:tc>
      </w:tr>
      <w:tr w:rsidR="00FD68D3" w:rsidRPr="00440F01" w14:paraId="7F70557B" w14:textId="77777777" w:rsidTr="007E337D">
        <w:trPr>
          <w:trHeight w:val="397"/>
        </w:trPr>
        <w:tc>
          <w:tcPr>
            <w:tcW w:w="3543" w:type="dxa"/>
            <w:shd w:val="clear" w:color="auto" w:fill="auto"/>
            <w:vAlign w:val="center"/>
          </w:tcPr>
          <w:p w14:paraId="70A2D8ED" w14:textId="10FB4EBC" w:rsidR="00FD68D3" w:rsidRPr="007E337D" w:rsidRDefault="008E66A3" w:rsidP="007E337D">
            <w:r w:rsidRPr="007E337D">
              <w:t xml:space="preserve">4 </w:t>
            </w:r>
            <w:r w:rsidR="00FD68D3" w:rsidRPr="007E337D">
              <w:t>Economic and Financial Standin</w:t>
            </w:r>
            <w:r w:rsidR="003B0F3B" w:rsidRPr="007E337D">
              <w:t>g]</w:t>
            </w:r>
          </w:p>
        </w:tc>
        <w:tc>
          <w:tcPr>
            <w:tcW w:w="4536" w:type="dxa"/>
            <w:shd w:val="clear" w:color="auto" w:fill="auto"/>
            <w:vAlign w:val="center"/>
          </w:tcPr>
          <w:p w14:paraId="3268F449" w14:textId="77777777" w:rsidR="00FD68D3" w:rsidRPr="007E337D" w:rsidRDefault="003B0F3B" w:rsidP="007E337D">
            <w:r w:rsidRPr="007E337D">
              <w:t>[</w:t>
            </w:r>
            <w:r w:rsidR="00990CF5" w:rsidRPr="007E337D">
              <w:t xml:space="preserve">Pass or </w:t>
            </w:r>
            <w:proofErr w:type="gramStart"/>
            <w:r w:rsidR="00990CF5" w:rsidRPr="007E337D">
              <w:t>Fail</w:t>
            </w:r>
            <w:proofErr w:type="gramEnd"/>
            <w:r w:rsidRPr="007E337D">
              <w:t>]</w:t>
            </w:r>
          </w:p>
        </w:tc>
      </w:tr>
      <w:tr w:rsidR="00FD68D3" w:rsidRPr="00440F01" w14:paraId="28734015" w14:textId="77777777" w:rsidTr="007E337D">
        <w:trPr>
          <w:trHeight w:val="397"/>
        </w:trPr>
        <w:tc>
          <w:tcPr>
            <w:tcW w:w="3543" w:type="dxa"/>
            <w:shd w:val="clear" w:color="auto" w:fill="auto"/>
            <w:vAlign w:val="center"/>
          </w:tcPr>
          <w:p w14:paraId="138C3C08" w14:textId="0D00934B" w:rsidR="00FD68D3" w:rsidRPr="007E337D" w:rsidRDefault="008E66A3" w:rsidP="007E337D">
            <w:r w:rsidRPr="007E337D">
              <w:t>5 Organisation Profile</w:t>
            </w:r>
          </w:p>
        </w:tc>
        <w:tc>
          <w:tcPr>
            <w:tcW w:w="4536" w:type="dxa"/>
            <w:shd w:val="clear" w:color="auto" w:fill="auto"/>
            <w:vAlign w:val="center"/>
          </w:tcPr>
          <w:p w14:paraId="05E7CB69" w14:textId="0A65B2BC" w:rsidR="00FD68D3" w:rsidRPr="007E337D" w:rsidRDefault="008E66A3" w:rsidP="007E337D">
            <w:r w:rsidRPr="007E337D">
              <w:t>For information only</w:t>
            </w:r>
          </w:p>
        </w:tc>
      </w:tr>
      <w:tr w:rsidR="00FD68D3" w:rsidRPr="00440F01" w14:paraId="7E5B5BF2" w14:textId="77777777" w:rsidTr="007E337D">
        <w:trPr>
          <w:trHeight w:val="397"/>
        </w:trPr>
        <w:tc>
          <w:tcPr>
            <w:tcW w:w="3543" w:type="dxa"/>
            <w:shd w:val="clear" w:color="auto" w:fill="auto"/>
            <w:vAlign w:val="center"/>
          </w:tcPr>
          <w:p w14:paraId="686E1D4C" w14:textId="17250918" w:rsidR="00FD68D3" w:rsidRPr="007E337D" w:rsidRDefault="008E66A3" w:rsidP="007E337D">
            <w:r w:rsidRPr="007E337D">
              <w:t xml:space="preserve">6 </w:t>
            </w:r>
            <w:r w:rsidR="001B25EC" w:rsidRPr="007E337D">
              <w:t>Technical and Professional Ability]</w:t>
            </w:r>
          </w:p>
        </w:tc>
        <w:tc>
          <w:tcPr>
            <w:tcW w:w="4536" w:type="dxa"/>
            <w:shd w:val="clear" w:color="auto" w:fill="auto"/>
            <w:vAlign w:val="center"/>
          </w:tcPr>
          <w:p w14:paraId="6366EB3D" w14:textId="1859C1CF" w:rsidR="00FD68D3" w:rsidRPr="007E337D" w:rsidRDefault="00990CF5" w:rsidP="007E337D">
            <w:r w:rsidRPr="007E337D">
              <w:t xml:space="preserve">Pass or </w:t>
            </w:r>
            <w:proofErr w:type="gramStart"/>
            <w:r w:rsidRPr="007E337D">
              <w:t>Fail</w:t>
            </w:r>
            <w:proofErr w:type="gramEnd"/>
          </w:p>
        </w:tc>
      </w:tr>
      <w:tr w:rsidR="001B25EC" w:rsidRPr="00440F01" w14:paraId="2771A9C3" w14:textId="77777777" w:rsidTr="007E337D">
        <w:trPr>
          <w:trHeight w:val="397"/>
        </w:trPr>
        <w:tc>
          <w:tcPr>
            <w:tcW w:w="3543" w:type="dxa"/>
            <w:shd w:val="clear" w:color="auto" w:fill="auto"/>
            <w:vAlign w:val="center"/>
          </w:tcPr>
          <w:p w14:paraId="11E35C7C" w14:textId="413242EF" w:rsidR="001B25EC" w:rsidRPr="007E337D" w:rsidRDefault="008E66A3" w:rsidP="007E337D">
            <w:r w:rsidRPr="007E337D">
              <w:t>7. Modern Slavery Act</w:t>
            </w:r>
          </w:p>
        </w:tc>
        <w:tc>
          <w:tcPr>
            <w:tcW w:w="4536" w:type="dxa"/>
            <w:shd w:val="clear" w:color="auto" w:fill="auto"/>
            <w:vAlign w:val="center"/>
          </w:tcPr>
          <w:p w14:paraId="5A5FC767" w14:textId="403EB42C" w:rsidR="001B25EC" w:rsidRPr="007E337D" w:rsidRDefault="008E66A3" w:rsidP="007E337D">
            <w:r w:rsidRPr="007E337D">
              <w:t xml:space="preserve">Pass or </w:t>
            </w:r>
            <w:proofErr w:type="gramStart"/>
            <w:r w:rsidRPr="007E337D">
              <w:t>Fail</w:t>
            </w:r>
            <w:proofErr w:type="gramEnd"/>
          </w:p>
        </w:tc>
      </w:tr>
      <w:tr w:rsidR="001B25EC" w:rsidRPr="00440F01" w14:paraId="542C9B15" w14:textId="77777777" w:rsidTr="007E337D">
        <w:trPr>
          <w:trHeight w:val="397"/>
        </w:trPr>
        <w:tc>
          <w:tcPr>
            <w:tcW w:w="3543" w:type="dxa"/>
            <w:shd w:val="clear" w:color="auto" w:fill="auto"/>
            <w:vAlign w:val="center"/>
          </w:tcPr>
          <w:p w14:paraId="4E8A7488" w14:textId="62DE1CE4" w:rsidR="001B25EC" w:rsidRPr="007E337D" w:rsidRDefault="008E66A3" w:rsidP="007E337D">
            <w:r w:rsidRPr="007E337D">
              <w:t>8. Additional Questions</w:t>
            </w:r>
          </w:p>
        </w:tc>
        <w:tc>
          <w:tcPr>
            <w:tcW w:w="4536" w:type="dxa"/>
            <w:shd w:val="clear" w:color="auto" w:fill="auto"/>
            <w:vAlign w:val="center"/>
          </w:tcPr>
          <w:p w14:paraId="30A56551" w14:textId="7E0748DE" w:rsidR="001B25EC" w:rsidRPr="007E337D" w:rsidRDefault="008E66A3" w:rsidP="007E337D">
            <w:r w:rsidRPr="007E337D">
              <w:t xml:space="preserve">Pass or </w:t>
            </w:r>
            <w:proofErr w:type="gramStart"/>
            <w:r w:rsidRPr="007E337D">
              <w:t>Fail</w:t>
            </w:r>
            <w:proofErr w:type="gramEnd"/>
          </w:p>
        </w:tc>
      </w:tr>
    </w:tbl>
    <w:p w14:paraId="01B488AC" w14:textId="77777777" w:rsidR="00B44E25" w:rsidRDefault="00B44E25" w:rsidP="00B44E25">
      <w:pPr>
        <w:jc w:val="center"/>
        <w:rPr>
          <w:rFonts w:cs="Arial"/>
          <w:b/>
          <w:szCs w:val="22"/>
        </w:rPr>
      </w:pPr>
    </w:p>
    <w:p w14:paraId="12258225" w14:textId="04B669E5" w:rsidR="009E358F" w:rsidRPr="00E328A1" w:rsidRDefault="007C2F2F" w:rsidP="00E328A1">
      <w:pPr>
        <w:pStyle w:val="MRNumberedHeading2"/>
        <w:rPr>
          <w:rFonts w:cs="Arial"/>
        </w:rPr>
      </w:pPr>
      <w:bookmarkStart w:id="151" w:name="_Toc403555171"/>
      <w:r w:rsidRPr="003E3276">
        <w:t>To</w:t>
      </w:r>
      <w:r>
        <w:t xml:space="preserve"> score a "pass", the Tender must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rPr>
          <w:rFonts w:cs="Arial"/>
        </w:rPr>
        <w:t xml:space="preserve"> resource and experience to properly perform the contract.</w:t>
      </w:r>
      <w:bookmarkEnd w:id="151"/>
      <w:r w:rsidR="009E358F" w:rsidRPr="009E358F">
        <w:rPr>
          <w:rFonts w:cs="Arial"/>
        </w:rPr>
        <w:t xml:space="preserve"> </w:t>
      </w:r>
    </w:p>
    <w:p w14:paraId="43FE77CB" w14:textId="05043356" w:rsidR="009E358F" w:rsidRDefault="009E358F" w:rsidP="00E328A1">
      <w:pPr>
        <w:pStyle w:val="MRNumberedHeading2"/>
        <w:rPr>
          <w:rFonts w:cs="Arial"/>
        </w:rPr>
      </w:pPr>
      <w:r>
        <w:rPr>
          <w:rFonts w:cs="Arial"/>
        </w:rPr>
        <w:t>Section 4 will be evaluated by reference to a financial credit check  and scored as follows</w:t>
      </w:r>
    </w:p>
    <w:p w14:paraId="0D3218C7" w14:textId="77777777" w:rsidR="00E328A1" w:rsidRPr="00E328A1" w:rsidRDefault="00E328A1" w:rsidP="00E328A1">
      <w:pPr>
        <w:pStyle w:val="MRNumberedHeading2"/>
        <w:numPr>
          <w:ilvl w:val="0"/>
          <w:numId w:val="0"/>
        </w:numPr>
        <w:ind w:left="720"/>
        <w:rPr>
          <w:rFonts w:cs="Arial"/>
        </w:rPr>
      </w:pPr>
    </w:p>
    <w:tbl>
      <w:tblPr>
        <w:tblW w:w="7938" w:type="dxa"/>
        <w:tblInd w:w="817" w:type="dxa"/>
        <w:tblLook w:val="04A0" w:firstRow="1" w:lastRow="0" w:firstColumn="1" w:lastColumn="0" w:noHBand="0" w:noVBand="1"/>
      </w:tblPr>
      <w:tblGrid>
        <w:gridCol w:w="1843"/>
        <w:gridCol w:w="2126"/>
        <w:gridCol w:w="3969"/>
      </w:tblGrid>
      <w:tr w:rsidR="009E358F" w:rsidRPr="0027294F" w14:paraId="0DFA1020" w14:textId="77777777" w:rsidTr="0025413F">
        <w:trPr>
          <w:trHeight w:val="564"/>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7CB8C2" w14:textId="77777777" w:rsidR="009E358F" w:rsidRPr="0025413F" w:rsidRDefault="009E358F" w:rsidP="0025413F">
            <w:pPr>
              <w:jc w:val="center"/>
              <w:rPr>
                <w:rFonts w:eastAsia="Times New Roman" w:cs="Arial"/>
                <w:b/>
                <w:lang w:eastAsia="en-GB"/>
              </w:rPr>
            </w:pPr>
            <w:r w:rsidRPr="0025413F">
              <w:rPr>
                <w:rFonts w:eastAsia="Times New Roman" w:cs="Arial"/>
                <w:b/>
                <w:lang w:eastAsia="en-GB"/>
              </w:rPr>
              <w:t>Credit Check Score</w:t>
            </w:r>
          </w:p>
        </w:tc>
        <w:tc>
          <w:tcPr>
            <w:tcW w:w="2126" w:type="dxa"/>
            <w:tcBorders>
              <w:top w:val="single" w:sz="8" w:space="0" w:color="auto"/>
              <w:left w:val="nil"/>
              <w:bottom w:val="single" w:sz="8" w:space="0" w:color="auto"/>
              <w:right w:val="nil"/>
            </w:tcBorders>
            <w:shd w:val="clear" w:color="auto" w:fill="auto"/>
            <w:vAlign w:val="center"/>
            <w:hideMark/>
          </w:tcPr>
          <w:p w14:paraId="25C8BA47" w14:textId="77777777" w:rsidR="009E358F" w:rsidRPr="0025413F" w:rsidRDefault="009E358F" w:rsidP="0025413F">
            <w:pPr>
              <w:jc w:val="center"/>
              <w:rPr>
                <w:rFonts w:eastAsia="Times New Roman" w:cs="Arial"/>
                <w:b/>
                <w:lang w:eastAsia="en-GB"/>
              </w:rPr>
            </w:pPr>
            <w:r w:rsidRPr="0025413F">
              <w:rPr>
                <w:rFonts w:eastAsia="Times New Roman" w:cs="Arial"/>
                <w:b/>
                <w:lang w:eastAsia="en-GB"/>
              </w:rPr>
              <w:t>Description</w:t>
            </w:r>
          </w:p>
        </w:tc>
        <w:tc>
          <w:tcPr>
            <w:tcW w:w="396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09EFA6E" w14:textId="77777777" w:rsidR="009E358F" w:rsidRPr="0025413F" w:rsidRDefault="009E358F" w:rsidP="0025413F">
            <w:pPr>
              <w:jc w:val="center"/>
              <w:rPr>
                <w:rFonts w:eastAsia="Times New Roman" w:cs="Arial"/>
                <w:b/>
                <w:lang w:eastAsia="en-GB"/>
              </w:rPr>
            </w:pPr>
            <w:r w:rsidRPr="0025413F">
              <w:rPr>
                <w:rFonts w:eastAsia="Times New Roman" w:cs="Arial"/>
                <w:b/>
                <w:lang w:eastAsia="en-GB"/>
              </w:rPr>
              <w:t>Outcome</w:t>
            </w:r>
          </w:p>
        </w:tc>
      </w:tr>
      <w:tr w:rsidR="009E358F" w:rsidRPr="0027294F" w14:paraId="19286F76" w14:textId="77777777" w:rsidTr="009E358F">
        <w:trPr>
          <w:trHeight w:val="276"/>
        </w:trPr>
        <w:tc>
          <w:tcPr>
            <w:tcW w:w="184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D495E03" w14:textId="77777777" w:rsidR="009E358F" w:rsidRPr="00B76B2D" w:rsidRDefault="009E358F" w:rsidP="001B5F0D">
            <w:pPr>
              <w:jc w:val="center"/>
              <w:rPr>
                <w:rFonts w:eastAsia="Times New Roman" w:cs="Arial"/>
                <w:lang w:eastAsia="en-GB"/>
              </w:rPr>
            </w:pPr>
            <w:r w:rsidRPr="00B76B2D">
              <w:rPr>
                <w:rFonts w:eastAsia="Times New Roman" w:cs="Arial"/>
                <w:lang w:eastAsia="en-GB"/>
              </w:rPr>
              <w:t>A</w:t>
            </w:r>
          </w:p>
        </w:tc>
        <w:tc>
          <w:tcPr>
            <w:tcW w:w="2126" w:type="dxa"/>
            <w:tcBorders>
              <w:top w:val="nil"/>
              <w:left w:val="nil"/>
              <w:bottom w:val="single" w:sz="4" w:space="0" w:color="auto"/>
              <w:right w:val="nil"/>
            </w:tcBorders>
            <w:shd w:val="clear" w:color="auto" w:fill="auto"/>
            <w:vAlign w:val="center"/>
            <w:hideMark/>
          </w:tcPr>
          <w:p w14:paraId="12A87062" w14:textId="77777777" w:rsidR="009E358F" w:rsidRPr="00B76B2D" w:rsidRDefault="009E358F" w:rsidP="001B5F0D">
            <w:pPr>
              <w:jc w:val="center"/>
              <w:rPr>
                <w:rFonts w:eastAsia="Times New Roman" w:cs="Arial"/>
                <w:lang w:eastAsia="en-GB"/>
              </w:rPr>
            </w:pPr>
            <w:r w:rsidRPr="00B76B2D">
              <w:rPr>
                <w:rFonts w:eastAsia="Times New Roman" w:cs="Arial"/>
                <w:lang w:eastAsia="en-GB"/>
              </w:rPr>
              <w:t>Very low risk</w:t>
            </w:r>
          </w:p>
        </w:tc>
        <w:tc>
          <w:tcPr>
            <w:tcW w:w="3969" w:type="dxa"/>
            <w:tcBorders>
              <w:top w:val="nil"/>
              <w:left w:val="single" w:sz="8" w:space="0" w:color="auto"/>
              <w:bottom w:val="single" w:sz="4" w:space="0" w:color="auto"/>
              <w:right w:val="single" w:sz="8" w:space="0" w:color="000000"/>
            </w:tcBorders>
            <w:shd w:val="clear" w:color="auto" w:fill="auto"/>
            <w:vAlign w:val="center"/>
            <w:hideMark/>
          </w:tcPr>
          <w:p w14:paraId="62EC2A87" w14:textId="77777777" w:rsidR="009E358F" w:rsidRPr="00B76B2D" w:rsidRDefault="009E358F" w:rsidP="001B5F0D">
            <w:pPr>
              <w:jc w:val="center"/>
              <w:rPr>
                <w:rFonts w:eastAsia="Times New Roman" w:cs="Arial"/>
                <w:lang w:eastAsia="en-GB"/>
              </w:rPr>
            </w:pPr>
            <w:r w:rsidRPr="00B76B2D">
              <w:rPr>
                <w:rFonts w:eastAsia="Times New Roman" w:cs="Arial"/>
                <w:lang w:eastAsia="en-GB"/>
              </w:rPr>
              <w:t>Pass</w:t>
            </w:r>
          </w:p>
        </w:tc>
      </w:tr>
      <w:tr w:rsidR="009E358F" w:rsidRPr="0027294F" w14:paraId="608C1C3C" w14:textId="77777777" w:rsidTr="009E358F">
        <w:trPr>
          <w:trHeight w:val="276"/>
        </w:trPr>
        <w:tc>
          <w:tcPr>
            <w:tcW w:w="1843" w:type="dxa"/>
            <w:tcBorders>
              <w:top w:val="nil"/>
              <w:left w:val="single" w:sz="8" w:space="0" w:color="auto"/>
              <w:bottom w:val="single" w:sz="4" w:space="0" w:color="auto"/>
              <w:right w:val="single" w:sz="8" w:space="0" w:color="auto"/>
            </w:tcBorders>
            <w:shd w:val="clear" w:color="auto" w:fill="auto"/>
            <w:vAlign w:val="center"/>
            <w:hideMark/>
          </w:tcPr>
          <w:p w14:paraId="3F48C35B" w14:textId="77777777" w:rsidR="009E358F" w:rsidRPr="00B76B2D" w:rsidRDefault="009E358F" w:rsidP="001B5F0D">
            <w:pPr>
              <w:jc w:val="center"/>
              <w:rPr>
                <w:rFonts w:eastAsia="Times New Roman" w:cs="Arial"/>
                <w:lang w:eastAsia="en-GB"/>
              </w:rPr>
            </w:pPr>
            <w:r w:rsidRPr="00B76B2D">
              <w:rPr>
                <w:rFonts w:eastAsia="Times New Roman" w:cs="Arial"/>
                <w:lang w:eastAsia="en-GB"/>
              </w:rPr>
              <w:t>B</w:t>
            </w:r>
          </w:p>
        </w:tc>
        <w:tc>
          <w:tcPr>
            <w:tcW w:w="2126" w:type="dxa"/>
            <w:tcBorders>
              <w:top w:val="nil"/>
              <w:left w:val="nil"/>
              <w:bottom w:val="single" w:sz="4" w:space="0" w:color="auto"/>
              <w:right w:val="nil"/>
            </w:tcBorders>
            <w:shd w:val="clear" w:color="auto" w:fill="auto"/>
            <w:vAlign w:val="center"/>
            <w:hideMark/>
          </w:tcPr>
          <w:p w14:paraId="657B4A74" w14:textId="77777777" w:rsidR="009E358F" w:rsidRPr="00B76B2D" w:rsidRDefault="009E358F" w:rsidP="001B5F0D">
            <w:pPr>
              <w:jc w:val="center"/>
              <w:rPr>
                <w:rFonts w:eastAsia="Times New Roman" w:cs="Arial"/>
                <w:lang w:eastAsia="en-GB"/>
              </w:rPr>
            </w:pPr>
            <w:r w:rsidRPr="00B76B2D">
              <w:rPr>
                <w:rFonts w:eastAsia="Times New Roman" w:cs="Arial"/>
                <w:lang w:eastAsia="en-GB"/>
              </w:rPr>
              <w:t>Low risk</w:t>
            </w:r>
          </w:p>
        </w:tc>
        <w:tc>
          <w:tcPr>
            <w:tcW w:w="3969"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5E44086" w14:textId="77777777" w:rsidR="009E358F" w:rsidRPr="00B76B2D" w:rsidRDefault="009E358F" w:rsidP="001B5F0D">
            <w:pPr>
              <w:jc w:val="center"/>
              <w:rPr>
                <w:rFonts w:eastAsia="Times New Roman" w:cs="Arial"/>
                <w:lang w:eastAsia="en-GB"/>
              </w:rPr>
            </w:pPr>
            <w:r w:rsidRPr="00B76B2D">
              <w:rPr>
                <w:rFonts w:eastAsia="Times New Roman" w:cs="Arial"/>
                <w:lang w:eastAsia="en-GB"/>
              </w:rPr>
              <w:t>Pass</w:t>
            </w:r>
          </w:p>
        </w:tc>
      </w:tr>
      <w:tr w:rsidR="009E358F" w:rsidRPr="0027294F" w14:paraId="1353661E" w14:textId="77777777" w:rsidTr="009E358F">
        <w:trPr>
          <w:trHeight w:val="444"/>
        </w:trPr>
        <w:tc>
          <w:tcPr>
            <w:tcW w:w="1843" w:type="dxa"/>
            <w:tcBorders>
              <w:top w:val="nil"/>
              <w:left w:val="single" w:sz="8" w:space="0" w:color="auto"/>
              <w:bottom w:val="single" w:sz="4" w:space="0" w:color="auto"/>
              <w:right w:val="single" w:sz="8" w:space="0" w:color="auto"/>
            </w:tcBorders>
            <w:shd w:val="clear" w:color="auto" w:fill="auto"/>
            <w:vAlign w:val="center"/>
            <w:hideMark/>
          </w:tcPr>
          <w:p w14:paraId="7A24158A" w14:textId="77777777" w:rsidR="009E358F" w:rsidRPr="00B76B2D" w:rsidRDefault="009E358F" w:rsidP="001B5F0D">
            <w:pPr>
              <w:jc w:val="center"/>
              <w:rPr>
                <w:rFonts w:eastAsia="Times New Roman" w:cs="Arial"/>
                <w:lang w:eastAsia="en-GB"/>
              </w:rPr>
            </w:pPr>
            <w:r w:rsidRPr="00B76B2D">
              <w:rPr>
                <w:rFonts w:eastAsia="Times New Roman" w:cs="Arial"/>
                <w:lang w:eastAsia="en-GB"/>
              </w:rPr>
              <w:t>C</w:t>
            </w:r>
          </w:p>
        </w:tc>
        <w:tc>
          <w:tcPr>
            <w:tcW w:w="2126" w:type="dxa"/>
            <w:tcBorders>
              <w:top w:val="nil"/>
              <w:left w:val="nil"/>
              <w:bottom w:val="single" w:sz="4" w:space="0" w:color="auto"/>
              <w:right w:val="nil"/>
            </w:tcBorders>
            <w:shd w:val="clear" w:color="auto" w:fill="auto"/>
            <w:vAlign w:val="center"/>
            <w:hideMark/>
          </w:tcPr>
          <w:p w14:paraId="555B56FA" w14:textId="77777777" w:rsidR="009E358F" w:rsidRPr="00B76B2D" w:rsidRDefault="009E358F" w:rsidP="001B5F0D">
            <w:pPr>
              <w:jc w:val="center"/>
              <w:rPr>
                <w:rFonts w:eastAsia="Times New Roman" w:cs="Arial"/>
                <w:lang w:eastAsia="en-GB"/>
              </w:rPr>
            </w:pPr>
            <w:r w:rsidRPr="00B76B2D">
              <w:rPr>
                <w:rFonts w:eastAsia="Times New Roman" w:cs="Arial"/>
                <w:lang w:eastAsia="en-GB"/>
              </w:rPr>
              <w:t>Moderate risk</w:t>
            </w:r>
          </w:p>
        </w:tc>
        <w:tc>
          <w:tcPr>
            <w:tcW w:w="3969"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C249ACD" w14:textId="77777777" w:rsidR="009E358F" w:rsidRPr="00B76B2D" w:rsidRDefault="009E358F" w:rsidP="001B5F0D">
            <w:pPr>
              <w:jc w:val="center"/>
              <w:rPr>
                <w:rFonts w:eastAsia="Times New Roman" w:cs="Arial"/>
                <w:lang w:eastAsia="en-GB"/>
              </w:rPr>
            </w:pPr>
            <w:r w:rsidRPr="00B76B2D">
              <w:rPr>
                <w:rFonts w:eastAsia="Times New Roman" w:cs="Arial"/>
                <w:lang w:eastAsia="en-GB"/>
              </w:rPr>
              <w:t>Pass with reservations</w:t>
            </w:r>
          </w:p>
        </w:tc>
      </w:tr>
      <w:tr w:rsidR="009E358F" w:rsidRPr="0027294F" w14:paraId="448C85C5" w14:textId="77777777" w:rsidTr="009E358F">
        <w:trPr>
          <w:trHeight w:val="564"/>
        </w:trPr>
        <w:tc>
          <w:tcPr>
            <w:tcW w:w="1843" w:type="dxa"/>
            <w:tcBorders>
              <w:top w:val="nil"/>
              <w:left w:val="single" w:sz="8" w:space="0" w:color="auto"/>
              <w:bottom w:val="single" w:sz="4" w:space="0" w:color="auto"/>
              <w:right w:val="single" w:sz="8" w:space="0" w:color="auto"/>
            </w:tcBorders>
            <w:shd w:val="clear" w:color="auto" w:fill="auto"/>
            <w:vAlign w:val="center"/>
            <w:hideMark/>
          </w:tcPr>
          <w:p w14:paraId="018156DB" w14:textId="77777777" w:rsidR="009E358F" w:rsidRPr="00B76B2D" w:rsidRDefault="009E358F" w:rsidP="001B5F0D">
            <w:pPr>
              <w:jc w:val="center"/>
              <w:rPr>
                <w:rFonts w:eastAsia="Times New Roman" w:cs="Arial"/>
                <w:lang w:eastAsia="en-GB"/>
              </w:rPr>
            </w:pPr>
            <w:r w:rsidRPr="00B76B2D">
              <w:rPr>
                <w:rFonts w:eastAsia="Times New Roman" w:cs="Arial"/>
                <w:lang w:eastAsia="en-GB"/>
              </w:rPr>
              <w:lastRenderedPageBreak/>
              <w:t>D</w:t>
            </w:r>
          </w:p>
        </w:tc>
        <w:tc>
          <w:tcPr>
            <w:tcW w:w="2126" w:type="dxa"/>
            <w:tcBorders>
              <w:top w:val="nil"/>
              <w:left w:val="nil"/>
              <w:bottom w:val="single" w:sz="4" w:space="0" w:color="auto"/>
              <w:right w:val="nil"/>
            </w:tcBorders>
            <w:shd w:val="clear" w:color="auto" w:fill="auto"/>
            <w:vAlign w:val="center"/>
            <w:hideMark/>
          </w:tcPr>
          <w:p w14:paraId="59EDCDBF" w14:textId="77777777" w:rsidR="009E358F" w:rsidRPr="00B76B2D" w:rsidRDefault="009E358F" w:rsidP="001B5F0D">
            <w:pPr>
              <w:jc w:val="center"/>
              <w:rPr>
                <w:rFonts w:eastAsia="Times New Roman" w:cs="Arial"/>
                <w:lang w:eastAsia="en-GB"/>
              </w:rPr>
            </w:pPr>
            <w:r w:rsidRPr="00B76B2D">
              <w:rPr>
                <w:rFonts w:eastAsia="Times New Roman" w:cs="Arial"/>
                <w:lang w:eastAsia="en-GB"/>
              </w:rPr>
              <w:t>High risk</w:t>
            </w:r>
          </w:p>
        </w:tc>
        <w:tc>
          <w:tcPr>
            <w:tcW w:w="3969" w:type="dxa"/>
            <w:tcBorders>
              <w:top w:val="nil"/>
              <w:left w:val="single" w:sz="8" w:space="0" w:color="auto"/>
              <w:bottom w:val="single" w:sz="4" w:space="0" w:color="auto"/>
              <w:right w:val="single" w:sz="8" w:space="0" w:color="000000"/>
            </w:tcBorders>
            <w:shd w:val="clear" w:color="auto" w:fill="auto"/>
            <w:vAlign w:val="center"/>
            <w:hideMark/>
          </w:tcPr>
          <w:p w14:paraId="12FB0F74" w14:textId="77777777" w:rsidR="009E358F" w:rsidRPr="00B76B2D" w:rsidRDefault="009E358F" w:rsidP="001B5F0D">
            <w:pPr>
              <w:jc w:val="center"/>
              <w:rPr>
                <w:rFonts w:eastAsia="Times New Roman" w:cs="Arial"/>
                <w:lang w:eastAsia="en-GB"/>
              </w:rPr>
            </w:pPr>
            <w:r w:rsidRPr="00B76B2D">
              <w:rPr>
                <w:rFonts w:eastAsia="Times New Roman" w:cs="Arial"/>
                <w:lang w:eastAsia="en-GB"/>
              </w:rPr>
              <w:t>Refer to Finance Team for further review</w:t>
            </w:r>
          </w:p>
        </w:tc>
      </w:tr>
      <w:tr w:rsidR="009E358F" w:rsidRPr="0027294F" w14:paraId="58E771AB" w14:textId="77777777" w:rsidTr="009E358F">
        <w:trPr>
          <w:trHeight w:val="660"/>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5DF4ABFC" w14:textId="77777777" w:rsidR="009E358F" w:rsidRPr="00B76B2D" w:rsidRDefault="009E358F" w:rsidP="001B5F0D">
            <w:pPr>
              <w:jc w:val="center"/>
              <w:rPr>
                <w:rFonts w:eastAsia="Times New Roman" w:cs="Arial"/>
                <w:lang w:eastAsia="en-GB"/>
              </w:rPr>
            </w:pPr>
            <w:r w:rsidRPr="00B76B2D">
              <w:rPr>
                <w:rFonts w:eastAsia="Times New Roman" w:cs="Arial"/>
                <w:lang w:eastAsia="en-GB"/>
              </w:rPr>
              <w:t>E</w:t>
            </w:r>
          </w:p>
        </w:tc>
        <w:tc>
          <w:tcPr>
            <w:tcW w:w="2126" w:type="dxa"/>
            <w:tcBorders>
              <w:top w:val="nil"/>
              <w:left w:val="nil"/>
              <w:bottom w:val="single" w:sz="8" w:space="0" w:color="auto"/>
              <w:right w:val="nil"/>
            </w:tcBorders>
            <w:shd w:val="clear" w:color="auto" w:fill="auto"/>
            <w:vAlign w:val="center"/>
            <w:hideMark/>
          </w:tcPr>
          <w:p w14:paraId="0E76BF16" w14:textId="77777777" w:rsidR="009E358F" w:rsidRPr="00B76B2D" w:rsidRDefault="009E358F" w:rsidP="001B5F0D">
            <w:pPr>
              <w:jc w:val="center"/>
              <w:rPr>
                <w:rFonts w:eastAsia="Times New Roman" w:cs="Arial"/>
                <w:lang w:eastAsia="en-GB"/>
              </w:rPr>
            </w:pPr>
            <w:r w:rsidRPr="00B76B2D">
              <w:rPr>
                <w:rFonts w:eastAsia="Times New Roman" w:cs="Arial"/>
                <w:lang w:eastAsia="en-GB"/>
              </w:rPr>
              <w:t>Not rated</w:t>
            </w:r>
          </w:p>
        </w:tc>
        <w:tc>
          <w:tcPr>
            <w:tcW w:w="3969" w:type="dxa"/>
            <w:tcBorders>
              <w:top w:val="nil"/>
              <w:left w:val="single" w:sz="8" w:space="0" w:color="auto"/>
              <w:bottom w:val="single" w:sz="8" w:space="0" w:color="auto"/>
              <w:right w:val="single" w:sz="8" w:space="0" w:color="000000"/>
            </w:tcBorders>
            <w:shd w:val="clear" w:color="auto" w:fill="auto"/>
            <w:vAlign w:val="center"/>
            <w:hideMark/>
          </w:tcPr>
          <w:p w14:paraId="7C8D6EFA" w14:textId="77777777" w:rsidR="009E358F" w:rsidRPr="00B76B2D" w:rsidRDefault="009E358F" w:rsidP="001B5F0D">
            <w:pPr>
              <w:jc w:val="center"/>
              <w:rPr>
                <w:rFonts w:eastAsia="Times New Roman" w:cs="Arial"/>
                <w:lang w:eastAsia="en-GB"/>
              </w:rPr>
            </w:pPr>
            <w:r w:rsidRPr="00B76B2D">
              <w:rPr>
                <w:rFonts w:eastAsia="Times New Roman" w:cs="Arial"/>
                <w:lang w:eastAsia="en-GB"/>
              </w:rPr>
              <w:t>Refer to Finance Team for further review</w:t>
            </w:r>
          </w:p>
        </w:tc>
      </w:tr>
    </w:tbl>
    <w:p w14:paraId="420088E9" w14:textId="77777777" w:rsidR="009E358F" w:rsidRPr="003F2C76" w:rsidRDefault="009E358F" w:rsidP="009E358F">
      <w:pPr>
        <w:pStyle w:val="MRNumberedHeading2"/>
      </w:pPr>
      <w:r w:rsidRPr="003F2C76">
        <w:t xml:space="preserve">A financial stability check will then be conducted using ratio analysis and the following scoring mechanism applied.  </w:t>
      </w:r>
    </w:p>
    <w:p w14:paraId="299119AE" w14:textId="77777777" w:rsidR="009E358F" w:rsidRDefault="009E358F" w:rsidP="009E358F">
      <w:pPr>
        <w:pStyle w:val="MRNumberedHeading2"/>
        <w:numPr>
          <w:ilvl w:val="0"/>
          <w:numId w:val="0"/>
        </w:numPr>
        <w:ind w:left="720"/>
        <w:rPr>
          <w:i/>
        </w:rPr>
      </w:pPr>
    </w:p>
    <w:tbl>
      <w:tblPr>
        <w:tblW w:w="8363" w:type="dxa"/>
        <w:tblInd w:w="817" w:type="dxa"/>
        <w:tblLook w:val="04A0" w:firstRow="1" w:lastRow="0" w:firstColumn="1" w:lastColumn="0" w:noHBand="0" w:noVBand="1"/>
      </w:tblPr>
      <w:tblGrid>
        <w:gridCol w:w="1843"/>
        <w:gridCol w:w="2126"/>
        <w:gridCol w:w="4394"/>
      </w:tblGrid>
      <w:tr w:rsidR="009E358F" w:rsidRPr="00B22C78" w14:paraId="668C5A50" w14:textId="77777777" w:rsidTr="00F555D3">
        <w:trPr>
          <w:trHeight w:val="470"/>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92E32E" w14:textId="77777777" w:rsidR="009E358F" w:rsidRPr="00F555D3" w:rsidRDefault="009E358F" w:rsidP="00F555D3">
            <w:pPr>
              <w:jc w:val="center"/>
              <w:rPr>
                <w:rFonts w:eastAsia="Times New Roman" w:cs="Arial"/>
                <w:b/>
                <w:lang w:eastAsia="en-GB"/>
              </w:rPr>
            </w:pPr>
            <w:r w:rsidRPr="00F555D3">
              <w:rPr>
                <w:rFonts w:eastAsia="Times New Roman" w:cs="Arial"/>
                <w:b/>
                <w:lang w:eastAsia="en-GB"/>
              </w:rPr>
              <w:t>Final Score</w:t>
            </w:r>
          </w:p>
        </w:tc>
        <w:tc>
          <w:tcPr>
            <w:tcW w:w="2126" w:type="dxa"/>
            <w:tcBorders>
              <w:top w:val="single" w:sz="8" w:space="0" w:color="auto"/>
              <w:left w:val="nil"/>
              <w:bottom w:val="single" w:sz="8" w:space="0" w:color="auto"/>
              <w:right w:val="nil"/>
            </w:tcBorders>
            <w:shd w:val="clear" w:color="auto" w:fill="auto"/>
            <w:vAlign w:val="center"/>
            <w:hideMark/>
          </w:tcPr>
          <w:p w14:paraId="242233AE" w14:textId="77777777" w:rsidR="009E358F" w:rsidRPr="00F555D3" w:rsidRDefault="009E358F" w:rsidP="00F555D3">
            <w:pPr>
              <w:jc w:val="center"/>
              <w:rPr>
                <w:rFonts w:eastAsia="Times New Roman" w:cs="Arial"/>
                <w:b/>
                <w:lang w:eastAsia="en-GB"/>
              </w:rPr>
            </w:pPr>
            <w:r w:rsidRPr="00F555D3">
              <w:rPr>
                <w:rFonts w:eastAsia="Times New Roman" w:cs="Arial"/>
                <w:b/>
                <w:lang w:eastAsia="en-GB"/>
              </w:rPr>
              <w:t>Description</w:t>
            </w:r>
          </w:p>
        </w:tc>
        <w:tc>
          <w:tcPr>
            <w:tcW w:w="4394"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F255721" w14:textId="77777777" w:rsidR="009E358F" w:rsidRPr="00F555D3" w:rsidRDefault="009E358F" w:rsidP="00F555D3">
            <w:pPr>
              <w:jc w:val="center"/>
              <w:rPr>
                <w:rFonts w:eastAsia="Times New Roman" w:cs="Arial"/>
                <w:b/>
                <w:lang w:eastAsia="en-GB"/>
              </w:rPr>
            </w:pPr>
            <w:r w:rsidRPr="00F555D3">
              <w:rPr>
                <w:rFonts w:eastAsia="Times New Roman" w:cs="Arial"/>
                <w:b/>
                <w:lang w:eastAsia="en-GB"/>
              </w:rPr>
              <w:t>Outcome</w:t>
            </w:r>
          </w:p>
        </w:tc>
      </w:tr>
      <w:tr w:rsidR="009E358F" w:rsidRPr="00B22C78" w14:paraId="27E70F3B" w14:textId="77777777" w:rsidTr="009E358F">
        <w:trPr>
          <w:trHeight w:val="276"/>
        </w:trPr>
        <w:tc>
          <w:tcPr>
            <w:tcW w:w="184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1719A49" w14:textId="77777777" w:rsidR="009E358F" w:rsidRPr="00B76B2D" w:rsidRDefault="009E358F" w:rsidP="001B5F0D">
            <w:pPr>
              <w:jc w:val="center"/>
              <w:rPr>
                <w:rFonts w:eastAsia="Times New Roman" w:cs="Arial"/>
                <w:lang w:eastAsia="en-GB"/>
              </w:rPr>
            </w:pPr>
            <w:r w:rsidRPr="00B76B2D">
              <w:rPr>
                <w:rFonts w:eastAsia="Times New Roman" w:cs="Arial"/>
                <w:lang w:eastAsia="en-GB"/>
              </w:rPr>
              <w:t>4 - 5</w:t>
            </w:r>
          </w:p>
        </w:tc>
        <w:tc>
          <w:tcPr>
            <w:tcW w:w="2126" w:type="dxa"/>
            <w:tcBorders>
              <w:top w:val="nil"/>
              <w:left w:val="nil"/>
              <w:bottom w:val="single" w:sz="4" w:space="0" w:color="auto"/>
              <w:right w:val="nil"/>
            </w:tcBorders>
            <w:shd w:val="clear" w:color="auto" w:fill="auto"/>
            <w:vAlign w:val="center"/>
            <w:hideMark/>
          </w:tcPr>
          <w:p w14:paraId="6E38B995" w14:textId="77777777" w:rsidR="009E358F" w:rsidRPr="00B76B2D" w:rsidRDefault="009E358F" w:rsidP="001B5F0D">
            <w:pPr>
              <w:jc w:val="center"/>
              <w:rPr>
                <w:rFonts w:eastAsia="Times New Roman" w:cs="Arial"/>
                <w:lang w:eastAsia="en-GB"/>
              </w:rPr>
            </w:pPr>
            <w:r w:rsidRPr="00B76B2D">
              <w:rPr>
                <w:rFonts w:eastAsia="Times New Roman" w:cs="Arial"/>
                <w:lang w:eastAsia="en-GB"/>
              </w:rPr>
              <w:t>Very low risk</w:t>
            </w:r>
          </w:p>
        </w:tc>
        <w:tc>
          <w:tcPr>
            <w:tcW w:w="4394" w:type="dxa"/>
            <w:tcBorders>
              <w:top w:val="nil"/>
              <w:left w:val="single" w:sz="8" w:space="0" w:color="auto"/>
              <w:bottom w:val="single" w:sz="4" w:space="0" w:color="auto"/>
              <w:right w:val="single" w:sz="8" w:space="0" w:color="000000"/>
            </w:tcBorders>
            <w:shd w:val="clear" w:color="auto" w:fill="auto"/>
            <w:vAlign w:val="center"/>
            <w:hideMark/>
          </w:tcPr>
          <w:p w14:paraId="11348BE2" w14:textId="77777777" w:rsidR="009E358F" w:rsidRPr="00B76B2D" w:rsidRDefault="009E358F" w:rsidP="001B5F0D">
            <w:pPr>
              <w:jc w:val="center"/>
              <w:rPr>
                <w:rFonts w:eastAsia="Times New Roman" w:cs="Arial"/>
                <w:lang w:eastAsia="en-GB"/>
              </w:rPr>
            </w:pPr>
            <w:r w:rsidRPr="00B76B2D">
              <w:rPr>
                <w:rFonts w:eastAsia="Times New Roman" w:cs="Arial"/>
                <w:lang w:eastAsia="en-GB"/>
              </w:rPr>
              <w:t>Pass</w:t>
            </w:r>
          </w:p>
        </w:tc>
      </w:tr>
      <w:tr w:rsidR="009E358F" w:rsidRPr="00B22C78" w14:paraId="70D53EE2" w14:textId="77777777" w:rsidTr="009E358F">
        <w:trPr>
          <w:trHeight w:val="276"/>
        </w:trPr>
        <w:tc>
          <w:tcPr>
            <w:tcW w:w="1843" w:type="dxa"/>
            <w:tcBorders>
              <w:top w:val="nil"/>
              <w:left w:val="single" w:sz="8" w:space="0" w:color="auto"/>
              <w:bottom w:val="single" w:sz="4" w:space="0" w:color="auto"/>
              <w:right w:val="single" w:sz="8" w:space="0" w:color="auto"/>
            </w:tcBorders>
            <w:shd w:val="clear" w:color="auto" w:fill="auto"/>
            <w:vAlign w:val="center"/>
            <w:hideMark/>
          </w:tcPr>
          <w:p w14:paraId="664011C3" w14:textId="77777777" w:rsidR="009E358F" w:rsidRPr="00B76B2D" w:rsidRDefault="009E358F" w:rsidP="001B5F0D">
            <w:pPr>
              <w:jc w:val="center"/>
              <w:rPr>
                <w:rFonts w:eastAsia="Times New Roman" w:cs="Arial"/>
                <w:lang w:eastAsia="en-GB"/>
              </w:rPr>
            </w:pPr>
            <w:r w:rsidRPr="00B76B2D">
              <w:rPr>
                <w:rFonts w:eastAsia="Times New Roman" w:cs="Arial"/>
                <w:lang w:eastAsia="en-GB"/>
              </w:rPr>
              <w:t>3 - 4</w:t>
            </w:r>
          </w:p>
        </w:tc>
        <w:tc>
          <w:tcPr>
            <w:tcW w:w="2126" w:type="dxa"/>
            <w:tcBorders>
              <w:top w:val="nil"/>
              <w:left w:val="nil"/>
              <w:bottom w:val="single" w:sz="4" w:space="0" w:color="auto"/>
              <w:right w:val="nil"/>
            </w:tcBorders>
            <w:shd w:val="clear" w:color="auto" w:fill="auto"/>
            <w:vAlign w:val="center"/>
            <w:hideMark/>
          </w:tcPr>
          <w:p w14:paraId="42F6630C" w14:textId="77777777" w:rsidR="009E358F" w:rsidRPr="00B76B2D" w:rsidRDefault="009E358F" w:rsidP="001B5F0D">
            <w:pPr>
              <w:jc w:val="center"/>
              <w:rPr>
                <w:rFonts w:eastAsia="Times New Roman" w:cs="Arial"/>
                <w:lang w:eastAsia="en-GB"/>
              </w:rPr>
            </w:pPr>
            <w:r w:rsidRPr="00B76B2D">
              <w:rPr>
                <w:rFonts w:eastAsia="Times New Roman" w:cs="Arial"/>
                <w:lang w:eastAsia="en-GB"/>
              </w:rPr>
              <w:t>Low risk</w:t>
            </w:r>
          </w:p>
        </w:tc>
        <w:tc>
          <w:tcPr>
            <w:tcW w:w="43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1428AD8" w14:textId="77777777" w:rsidR="009E358F" w:rsidRPr="00B76B2D" w:rsidRDefault="009E358F" w:rsidP="001B5F0D">
            <w:pPr>
              <w:jc w:val="center"/>
              <w:rPr>
                <w:rFonts w:eastAsia="Times New Roman" w:cs="Arial"/>
                <w:lang w:eastAsia="en-GB"/>
              </w:rPr>
            </w:pPr>
            <w:r w:rsidRPr="00B76B2D">
              <w:rPr>
                <w:rFonts w:eastAsia="Times New Roman" w:cs="Arial"/>
                <w:lang w:eastAsia="en-GB"/>
              </w:rPr>
              <w:t>Pass</w:t>
            </w:r>
          </w:p>
        </w:tc>
      </w:tr>
      <w:tr w:rsidR="009E358F" w:rsidRPr="00B22C78" w14:paraId="4BA09C4E" w14:textId="77777777" w:rsidTr="009E358F">
        <w:trPr>
          <w:trHeight w:val="372"/>
        </w:trPr>
        <w:tc>
          <w:tcPr>
            <w:tcW w:w="1843" w:type="dxa"/>
            <w:tcBorders>
              <w:top w:val="nil"/>
              <w:left w:val="single" w:sz="8" w:space="0" w:color="auto"/>
              <w:bottom w:val="single" w:sz="4" w:space="0" w:color="auto"/>
              <w:right w:val="single" w:sz="8" w:space="0" w:color="auto"/>
            </w:tcBorders>
            <w:shd w:val="clear" w:color="auto" w:fill="auto"/>
            <w:vAlign w:val="center"/>
            <w:hideMark/>
          </w:tcPr>
          <w:p w14:paraId="3FDA49B5" w14:textId="77777777" w:rsidR="009E358F" w:rsidRPr="00B76B2D" w:rsidRDefault="009E358F" w:rsidP="001B5F0D">
            <w:pPr>
              <w:jc w:val="center"/>
              <w:rPr>
                <w:rFonts w:eastAsia="Times New Roman" w:cs="Arial"/>
                <w:lang w:eastAsia="en-GB"/>
              </w:rPr>
            </w:pPr>
            <w:r w:rsidRPr="00B76B2D">
              <w:rPr>
                <w:rFonts w:eastAsia="Times New Roman" w:cs="Arial"/>
                <w:lang w:eastAsia="en-GB"/>
              </w:rPr>
              <w:t>2 - 3</w:t>
            </w:r>
          </w:p>
        </w:tc>
        <w:tc>
          <w:tcPr>
            <w:tcW w:w="2126" w:type="dxa"/>
            <w:tcBorders>
              <w:top w:val="nil"/>
              <w:left w:val="nil"/>
              <w:bottom w:val="single" w:sz="4" w:space="0" w:color="auto"/>
              <w:right w:val="nil"/>
            </w:tcBorders>
            <w:shd w:val="clear" w:color="auto" w:fill="auto"/>
            <w:vAlign w:val="center"/>
            <w:hideMark/>
          </w:tcPr>
          <w:p w14:paraId="344A6F75" w14:textId="77777777" w:rsidR="009E358F" w:rsidRPr="00B76B2D" w:rsidRDefault="009E358F" w:rsidP="001B5F0D">
            <w:pPr>
              <w:jc w:val="center"/>
              <w:rPr>
                <w:rFonts w:eastAsia="Times New Roman" w:cs="Arial"/>
                <w:lang w:eastAsia="en-GB"/>
              </w:rPr>
            </w:pPr>
            <w:r w:rsidRPr="00B76B2D">
              <w:rPr>
                <w:rFonts w:eastAsia="Times New Roman" w:cs="Arial"/>
                <w:lang w:eastAsia="en-GB"/>
              </w:rPr>
              <w:t>Moderate risk</w:t>
            </w:r>
          </w:p>
        </w:tc>
        <w:tc>
          <w:tcPr>
            <w:tcW w:w="43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6A2B904" w14:textId="77777777" w:rsidR="009E358F" w:rsidRPr="00B76B2D" w:rsidRDefault="009E358F" w:rsidP="001B5F0D">
            <w:pPr>
              <w:jc w:val="center"/>
              <w:rPr>
                <w:rFonts w:eastAsia="Times New Roman" w:cs="Arial"/>
                <w:lang w:eastAsia="en-GB"/>
              </w:rPr>
            </w:pPr>
            <w:r w:rsidRPr="00B76B2D">
              <w:rPr>
                <w:rFonts w:eastAsia="Times New Roman" w:cs="Arial"/>
                <w:lang w:eastAsia="en-GB"/>
              </w:rPr>
              <w:t>Pass with reservations</w:t>
            </w:r>
          </w:p>
        </w:tc>
      </w:tr>
      <w:tr w:rsidR="009E358F" w:rsidRPr="00B22C78" w14:paraId="149025D6" w14:textId="77777777" w:rsidTr="009E358F">
        <w:trPr>
          <w:trHeight w:val="540"/>
        </w:trPr>
        <w:tc>
          <w:tcPr>
            <w:tcW w:w="1843" w:type="dxa"/>
            <w:tcBorders>
              <w:top w:val="nil"/>
              <w:left w:val="single" w:sz="8" w:space="0" w:color="auto"/>
              <w:bottom w:val="single" w:sz="4" w:space="0" w:color="auto"/>
              <w:right w:val="single" w:sz="8" w:space="0" w:color="auto"/>
            </w:tcBorders>
            <w:shd w:val="clear" w:color="auto" w:fill="auto"/>
            <w:vAlign w:val="center"/>
            <w:hideMark/>
          </w:tcPr>
          <w:p w14:paraId="6B992B9C" w14:textId="77777777" w:rsidR="009E358F" w:rsidRPr="00B76B2D" w:rsidRDefault="009E358F" w:rsidP="001B5F0D">
            <w:pPr>
              <w:jc w:val="center"/>
              <w:rPr>
                <w:rFonts w:eastAsia="Times New Roman" w:cs="Arial"/>
                <w:lang w:eastAsia="en-GB"/>
              </w:rPr>
            </w:pPr>
            <w:r w:rsidRPr="00B76B2D">
              <w:rPr>
                <w:rFonts w:eastAsia="Times New Roman" w:cs="Arial"/>
                <w:lang w:eastAsia="en-GB"/>
              </w:rPr>
              <w:t>1 - 2</w:t>
            </w:r>
          </w:p>
        </w:tc>
        <w:tc>
          <w:tcPr>
            <w:tcW w:w="2126" w:type="dxa"/>
            <w:tcBorders>
              <w:top w:val="nil"/>
              <w:left w:val="nil"/>
              <w:bottom w:val="single" w:sz="4" w:space="0" w:color="auto"/>
              <w:right w:val="nil"/>
            </w:tcBorders>
            <w:shd w:val="clear" w:color="auto" w:fill="auto"/>
            <w:vAlign w:val="center"/>
            <w:hideMark/>
          </w:tcPr>
          <w:p w14:paraId="6E2AE041" w14:textId="77777777" w:rsidR="009E358F" w:rsidRPr="00B76B2D" w:rsidRDefault="009E358F" w:rsidP="001B5F0D">
            <w:pPr>
              <w:jc w:val="center"/>
              <w:rPr>
                <w:rFonts w:eastAsia="Times New Roman" w:cs="Arial"/>
                <w:lang w:eastAsia="en-GB"/>
              </w:rPr>
            </w:pPr>
            <w:r w:rsidRPr="00B76B2D">
              <w:rPr>
                <w:rFonts w:eastAsia="Times New Roman" w:cs="Arial"/>
                <w:lang w:eastAsia="en-GB"/>
              </w:rPr>
              <w:t>High risk</w:t>
            </w:r>
          </w:p>
        </w:tc>
        <w:tc>
          <w:tcPr>
            <w:tcW w:w="4394" w:type="dxa"/>
            <w:tcBorders>
              <w:top w:val="nil"/>
              <w:left w:val="single" w:sz="8" w:space="0" w:color="auto"/>
              <w:bottom w:val="single" w:sz="4" w:space="0" w:color="auto"/>
              <w:right w:val="single" w:sz="8" w:space="0" w:color="000000"/>
            </w:tcBorders>
            <w:shd w:val="clear" w:color="auto" w:fill="auto"/>
            <w:vAlign w:val="center"/>
            <w:hideMark/>
          </w:tcPr>
          <w:p w14:paraId="7DE9FCB2" w14:textId="77777777" w:rsidR="009E358F" w:rsidRPr="00B76B2D" w:rsidRDefault="009E358F" w:rsidP="001B5F0D">
            <w:pPr>
              <w:jc w:val="center"/>
              <w:rPr>
                <w:rFonts w:eastAsia="Times New Roman" w:cs="Arial"/>
                <w:lang w:eastAsia="en-GB"/>
              </w:rPr>
            </w:pPr>
            <w:r w:rsidRPr="00B76B2D">
              <w:rPr>
                <w:rFonts w:eastAsia="Times New Roman" w:cs="Arial"/>
                <w:lang w:eastAsia="en-GB"/>
              </w:rPr>
              <w:t>Refer to Finance Team for further review</w:t>
            </w:r>
          </w:p>
        </w:tc>
      </w:tr>
      <w:tr w:rsidR="009E358F" w:rsidRPr="00B22C78" w14:paraId="3B6AAE6B" w14:textId="77777777" w:rsidTr="009E358F">
        <w:trPr>
          <w:trHeight w:val="324"/>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79084F3E" w14:textId="77777777" w:rsidR="009E358F" w:rsidRPr="00B76B2D" w:rsidRDefault="009E358F" w:rsidP="001B5F0D">
            <w:pPr>
              <w:jc w:val="center"/>
              <w:rPr>
                <w:rFonts w:eastAsia="Times New Roman" w:cs="Arial"/>
                <w:lang w:eastAsia="en-GB"/>
              </w:rPr>
            </w:pPr>
            <w:r w:rsidRPr="00B76B2D">
              <w:rPr>
                <w:rFonts w:eastAsia="Times New Roman" w:cs="Arial"/>
                <w:lang w:eastAsia="en-GB"/>
              </w:rPr>
              <w:t>0 - 1</w:t>
            </w:r>
          </w:p>
        </w:tc>
        <w:tc>
          <w:tcPr>
            <w:tcW w:w="2126" w:type="dxa"/>
            <w:tcBorders>
              <w:top w:val="nil"/>
              <w:left w:val="nil"/>
              <w:bottom w:val="single" w:sz="8" w:space="0" w:color="auto"/>
              <w:right w:val="nil"/>
            </w:tcBorders>
            <w:shd w:val="clear" w:color="auto" w:fill="auto"/>
            <w:vAlign w:val="center"/>
            <w:hideMark/>
          </w:tcPr>
          <w:p w14:paraId="4ED4E8D2" w14:textId="77777777" w:rsidR="009E358F" w:rsidRPr="00B76B2D" w:rsidRDefault="009E358F" w:rsidP="001B5F0D">
            <w:pPr>
              <w:jc w:val="center"/>
              <w:rPr>
                <w:rFonts w:eastAsia="Times New Roman" w:cs="Arial"/>
                <w:lang w:eastAsia="en-GB"/>
              </w:rPr>
            </w:pPr>
            <w:r w:rsidRPr="00B76B2D">
              <w:rPr>
                <w:rFonts w:eastAsia="Times New Roman" w:cs="Arial"/>
                <w:lang w:eastAsia="en-GB"/>
              </w:rPr>
              <w:t>Very high risk</w:t>
            </w:r>
          </w:p>
        </w:tc>
        <w:tc>
          <w:tcPr>
            <w:tcW w:w="4394" w:type="dxa"/>
            <w:tcBorders>
              <w:top w:val="nil"/>
              <w:left w:val="single" w:sz="8" w:space="0" w:color="auto"/>
              <w:bottom w:val="single" w:sz="8" w:space="0" w:color="auto"/>
              <w:right w:val="single" w:sz="8" w:space="0" w:color="000000"/>
            </w:tcBorders>
            <w:shd w:val="clear" w:color="auto" w:fill="auto"/>
            <w:vAlign w:val="center"/>
            <w:hideMark/>
          </w:tcPr>
          <w:p w14:paraId="58F49E53" w14:textId="77777777" w:rsidR="009E358F" w:rsidRPr="00B76B2D" w:rsidRDefault="009E358F" w:rsidP="001B5F0D">
            <w:pPr>
              <w:jc w:val="center"/>
              <w:rPr>
                <w:rFonts w:eastAsia="Times New Roman" w:cs="Arial"/>
                <w:lang w:eastAsia="en-GB"/>
              </w:rPr>
            </w:pPr>
            <w:r w:rsidRPr="00B76B2D">
              <w:rPr>
                <w:rFonts w:eastAsia="Times New Roman" w:cs="Arial"/>
                <w:lang w:eastAsia="en-GB"/>
              </w:rPr>
              <w:t>Fail</w:t>
            </w:r>
          </w:p>
        </w:tc>
      </w:tr>
    </w:tbl>
    <w:p w14:paraId="06B217AA" w14:textId="77777777" w:rsidR="009E358F" w:rsidRPr="004262AD" w:rsidRDefault="009E358F" w:rsidP="009E358F">
      <w:pPr>
        <w:pStyle w:val="MRNumberedHeading2"/>
      </w:pPr>
      <w:r w:rsidRPr="004262AD">
        <w:t>Ratio analysis will be scored against liquidity, debt and profitability for the last 2 financial years.</w:t>
      </w:r>
    </w:p>
    <w:p w14:paraId="05EBF0F3" w14:textId="0B475908" w:rsidR="007C2F2F" w:rsidRPr="00796DDB" w:rsidRDefault="009E358F" w:rsidP="00796DDB">
      <w:pPr>
        <w:pStyle w:val="MRNumberedHeading2"/>
      </w:pPr>
      <w:r w:rsidRPr="004262AD">
        <w:t>Bidders who are deemed to be financially at risk and who have a parent company will have the finances of the parent company assessed and if the parent company passes a Parent Company Guarantee will be required.</w:t>
      </w:r>
    </w:p>
    <w:p w14:paraId="4787522D" w14:textId="77777777" w:rsidR="00B44E25" w:rsidRPr="009E358F" w:rsidRDefault="00B44E25" w:rsidP="006B54D6">
      <w:pPr>
        <w:pStyle w:val="MRNumberedHeading2"/>
        <w:rPr>
          <w:i/>
        </w:rPr>
      </w:pPr>
      <w:bookmarkStart w:id="152" w:name="_Ref403484379"/>
      <w:bookmarkStart w:id="153" w:name="_Toc403555172"/>
      <w:r w:rsidRPr="00B44E25">
        <w:t xml:space="preserve">Where a Bidder scores a "fail" for any question, </w:t>
      </w:r>
      <w:r w:rsidR="00C14AA9">
        <w:t>the Authority will treat the Tender as non-</w:t>
      </w:r>
      <w:proofErr w:type="gramStart"/>
      <w:r w:rsidR="00C14AA9">
        <w:t>compliant</w:t>
      </w:r>
      <w:proofErr w:type="gramEnd"/>
      <w:r w:rsidR="00C14AA9">
        <w:t xml:space="preserve"> and it will not award a mark for the Scored Questions.</w:t>
      </w:r>
      <w:bookmarkEnd w:id="152"/>
      <w:bookmarkEnd w:id="153"/>
      <w:r w:rsidR="00C14AA9">
        <w:t xml:space="preserve"> </w:t>
      </w:r>
    </w:p>
    <w:p w14:paraId="74D57D25" w14:textId="77777777" w:rsidR="009E358F" w:rsidRDefault="009E358F" w:rsidP="009E358F">
      <w:pPr>
        <w:pStyle w:val="ListParagraph"/>
        <w:rPr>
          <w:i/>
        </w:rPr>
      </w:pPr>
    </w:p>
    <w:p w14:paraId="701BC806" w14:textId="3D2EF518" w:rsidR="009E358F" w:rsidRDefault="009E358F">
      <w:pPr>
        <w:spacing w:after="240"/>
        <w:jc w:val="left"/>
        <w:rPr>
          <w:rFonts w:eastAsia="Times New Roman" w:cs="Times New Roman"/>
          <w:i/>
          <w:szCs w:val="24"/>
          <w:lang w:eastAsia="en-GB"/>
        </w:rPr>
      </w:pPr>
      <w:r>
        <w:rPr>
          <w:i/>
        </w:rPr>
        <w:br w:type="page"/>
      </w:r>
    </w:p>
    <w:p w14:paraId="4D7D6EE9" w14:textId="77777777" w:rsidR="009E358F" w:rsidRPr="00B44E25" w:rsidRDefault="009E358F" w:rsidP="009E358F">
      <w:pPr>
        <w:pStyle w:val="MRNumberedHeading2"/>
        <w:numPr>
          <w:ilvl w:val="0"/>
          <w:numId w:val="0"/>
        </w:numPr>
        <w:ind w:left="720"/>
        <w:rPr>
          <w:i/>
        </w:rPr>
      </w:pPr>
    </w:p>
    <w:p w14:paraId="5534BC21" w14:textId="4EA0CF11" w:rsidR="00362AE0" w:rsidRDefault="007C2F2F" w:rsidP="00FA7A46">
      <w:pPr>
        <w:pStyle w:val="Heading1"/>
        <w:spacing w:before="240" w:after="0"/>
        <w:ind w:left="851"/>
      </w:pPr>
      <w:bookmarkStart w:id="154" w:name="_Toc403555173"/>
      <w:r w:rsidRPr="007C2F2F">
        <w:t>C</w:t>
      </w:r>
      <w:r w:rsidR="000B1075" w:rsidRPr="007C2F2F">
        <w:t xml:space="preserve">riteria </w:t>
      </w:r>
      <w:r w:rsidRPr="007C2F2F">
        <w:t>– Scored Questions</w:t>
      </w:r>
      <w:bookmarkEnd w:id="154"/>
    </w:p>
    <w:p w14:paraId="221ADAE2" w14:textId="77777777" w:rsidR="00FA7A46" w:rsidRPr="00FA7A46" w:rsidRDefault="00FA7A46" w:rsidP="00FA7A46">
      <w:pPr>
        <w:pStyle w:val="Body1"/>
      </w:pPr>
    </w:p>
    <w:tbl>
      <w:tblPr>
        <w:tblStyle w:val="TableGrid"/>
        <w:tblW w:w="0" w:type="auto"/>
        <w:tblInd w:w="1101" w:type="dxa"/>
        <w:tblLayout w:type="fixed"/>
        <w:tblLook w:val="04A0" w:firstRow="1" w:lastRow="0" w:firstColumn="1" w:lastColumn="0" w:noHBand="0" w:noVBand="1"/>
      </w:tblPr>
      <w:tblGrid>
        <w:gridCol w:w="4677"/>
        <w:gridCol w:w="1701"/>
      </w:tblGrid>
      <w:tr w:rsidR="00FA7A46" w14:paraId="1EC4B60F" w14:textId="77777777" w:rsidTr="00F46C25">
        <w:tc>
          <w:tcPr>
            <w:tcW w:w="4677" w:type="dxa"/>
            <w:shd w:val="clear" w:color="auto" w:fill="BFBFBF" w:themeFill="background1" w:themeFillShade="BF"/>
          </w:tcPr>
          <w:p w14:paraId="593E46EC" w14:textId="395018B7" w:rsidR="00FA7A46" w:rsidRPr="00EF71DD" w:rsidRDefault="00FA7A46" w:rsidP="00F46C25">
            <w:pPr>
              <w:pStyle w:val="Heading2"/>
              <w:numPr>
                <w:ilvl w:val="0"/>
                <w:numId w:val="0"/>
              </w:numPr>
              <w:rPr>
                <w:b/>
              </w:rPr>
            </w:pPr>
            <w:r>
              <w:rPr>
                <w:b/>
              </w:rPr>
              <w:t>Evaluation Criteria</w:t>
            </w:r>
          </w:p>
        </w:tc>
        <w:tc>
          <w:tcPr>
            <w:tcW w:w="1701" w:type="dxa"/>
            <w:shd w:val="clear" w:color="auto" w:fill="FFFF66"/>
          </w:tcPr>
          <w:p w14:paraId="4533A041" w14:textId="1CB2A592" w:rsidR="00FA7A46" w:rsidRPr="00EF71DD" w:rsidRDefault="00FA7A46" w:rsidP="00F46C25">
            <w:pPr>
              <w:pStyle w:val="Heading2"/>
              <w:numPr>
                <w:ilvl w:val="0"/>
                <w:numId w:val="0"/>
              </w:numPr>
              <w:rPr>
                <w:b/>
              </w:rPr>
            </w:pPr>
            <w:r>
              <w:rPr>
                <w:b/>
              </w:rPr>
              <w:t>Weighting</w:t>
            </w:r>
          </w:p>
        </w:tc>
      </w:tr>
      <w:tr w:rsidR="00FA7A46" w14:paraId="7A6C29EC" w14:textId="77777777" w:rsidTr="00F46C25">
        <w:tc>
          <w:tcPr>
            <w:tcW w:w="4677" w:type="dxa"/>
          </w:tcPr>
          <w:p w14:paraId="5460E583" w14:textId="76FFEBBF" w:rsidR="00FA7A46" w:rsidRDefault="00FA7A46" w:rsidP="00F46C25">
            <w:pPr>
              <w:pStyle w:val="Heading2"/>
              <w:numPr>
                <w:ilvl w:val="0"/>
                <w:numId w:val="0"/>
              </w:numPr>
            </w:pPr>
            <w:r>
              <w:t>Scored Quality Questions</w:t>
            </w:r>
          </w:p>
        </w:tc>
        <w:tc>
          <w:tcPr>
            <w:tcW w:w="1701" w:type="dxa"/>
          </w:tcPr>
          <w:p w14:paraId="25D93C03" w14:textId="77777777" w:rsidR="00FA7A46" w:rsidRDefault="00FA7A46" w:rsidP="00F46C25">
            <w:pPr>
              <w:pStyle w:val="Heading2"/>
              <w:numPr>
                <w:ilvl w:val="0"/>
                <w:numId w:val="0"/>
              </w:numPr>
            </w:pPr>
            <w:r>
              <w:t>45%</w:t>
            </w:r>
          </w:p>
          <w:p w14:paraId="2451A3BD" w14:textId="7CBAA4D1" w:rsidR="00FA7A46" w:rsidRDefault="00FA7A46" w:rsidP="00F46C25">
            <w:pPr>
              <w:pStyle w:val="Heading2"/>
              <w:numPr>
                <w:ilvl w:val="0"/>
                <w:numId w:val="0"/>
              </w:numPr>
            </w:pPr>
          </w:p>
        </w:tc>
      </w:tr>
      <w:tr w:rsidR="00FA7A46" w14:paraId="64AC10EB" w14:textId="77777777" w:rsidTr="00F46C25">
        <w:tc>
          <w:tcPr>
            <w:tcW w:w="4677" w:type="dxa"/>
          </w:tcPr>
          <w:p w14:paraId="37439FA5" w14:textId="526E6899" w:rsidR="00FA7A46" w:rsidRDefault="00FA7A46" w:rsidP="00F46C25">
            <w:pPr>
              <w:pStyle w:val="Heading2"/>
              <w:numPr>
                <w:ilvl w:val="0"/>
                <w:numId w:val="0"/>
              </w:numPr>
            </w:pPr>
            <w:r>
              <w:t>Pricing Schedule</w:t>
            </w:r>
          </w:p>
        </w:tc>
        <w:tc>
          <w:tcPr>
            <w:tcW w:w="1701" w:type="dxa"/>
          </w:tcPr>
          <w:p w14:paraId="1547789C" w14:textId="77777777" w:rsidR="00FA7A46" w:rsidRDefault="00FA7A46" w:rsidP="00F46C25">
            <w:pPr>
              <w:pStyle w:val="Heading2"/>
              <w:numPr>
                <w:ilvl w:val="0"/>
                <w:numId w:val="0"/>
              </w:numPr>
            </w:pPr>
            <w:r>
              <w:t>45%</w:t>
            </w:r>
          </w:p>
          <w:p w14:paraId="38505775" w14:textId="3182F633" w:rsidR="00FA7A46" w:rsidRDefault="00FA7A46" w:rsidP="00F46C25">
            <w:pPr>
              <w:pStyle w:val="Heading2"/>
              <w:numPr>
                <w:ilvl w:val="0"/>
                <w:numId w:val="0"/>
              </w:numPr>
            </w:pPr>
          </w:p>
        </w:tc>
      </w:tr>
      <w:tr w:rsidR="00FA7A46" w14:paraId="52DC181F" w14:textId="77777777" w:rsidTr="00F46C25">
        <w:tc>
          <w:tcPr>
            <w:tcW w:w="4677" w:type="dxa"/>
          </w:tcPr>
          <w:p w14:paraId="257D324D" w14:textId="76325F55" w:rsidR="00FA7A46" w:rsidRDefault="00FA7A46" w:rsidP="00F46C25">
            <w:pPr>
              <w:pStyle w:val="Heading2"/>
              <w:numPr>
                <w:ilvl w:val="0"/>
                <w:numId w:val="0"/>
              </w:numPr>
            </w:pPr>
            <w:r>
              <w:t>Social Value Questions</w:t>
            </w:r>
          </w:p>
        </w:tc>
        <w:tc>
          <w:tcPr>
            <w:tcW w:w="1701" w:type="dxa"/>
          </w:tcPr>
          <w:p w14:paraId="37FD5317" w14:textId="3AD6A658" w:rsidR="00FA7A46" w:rsidRDefault="00FD3DF4" w:rsidP="00F46C25">
            <w:pPr>
              <w:pStyle w:val="Heading2"/>
              <w:numPr>
                <w:ilvl w:val="0"/>
                <w:numId w:val="0"/>
              </w:numPr>
            </w:pPr>
            <w:r>
              <w:t>10</w:t>
            </w:r>
            <w:r w:rsidR="00FA7A46">
              <w:t>%</w:t>
            </w:r>
          </w:p>
          <w:p w14:paraId="4EFF8651" w14:textId="4C6BADEC" w:rsidR="00FA7A46" w:rsidRDefault="00FA7A46" w:rsidP="00F46C25">
            <w:pPr>
              <w:pStyle w:val="Heading2"/>
              <w:numPr>
                <w:ilvl w:val="0"/>
                <w:numId w:val="0"/>
              </w:numPr>
            </w:pPr>
          </w:p>
        </w:tc>
      </w:tr>
    </w:tbl>
    <w:p w14:paraId="74841F2D" w14:textId="77777777" w:rsidR="00EE5770" w:rsidRDefault="00EE5770" w:rsidP="0025200C">
      <w:pPr>
        <w:pStyle w:val="Heading2"/>
        <w:numPr>
          <w:ilvl w:val="0"/>
          <w:numId w:val="0"/>
        </w:numPr>
        <w:ind w:firstLine="850"/>
        <w:rPr>
          <w:b/>
        </w:rPr>
      </w:pPr>
    </w:p>
    <w:p w14:paraId="0AFBCA8A" w14:textId="43B765D1" w:rsidR="00F81572" w:rsidRPr="000B36DF" w:rsidRDefault="007C2F2F" w:rsidP="00F81572">
      <w:pPr>
        <w:pStyle w:val="Heading1"/>
        <w:spacing w:before="240" w:after="0"/>
        <w:ind w:left="851"/>
      </w:pPr>
      <w:bookmarkStart w:id="155" w:name="_Toc403555175"/>
      <w:r w:rsidRPr="000B36DF">
        <w:t>Criteria – Scored Questions:  pricing evaluation</w:t>
      </w:r>
      <w:bookmarkEnd w:id="155"/>
    </w:p>
    <w:p w14:paraId="7A123416" w14:textId="77777777" w:rsidR="00F81572" w:rsidRPr="000B36DF" w:rsidRDefault="00F81572" w:rsidP="00F81572">
      <w:pPr>
        <w:pStyle w:val="MRNumberedHeading2"/>
        <w:rPr>
          <w:shd w:val="clear" w:color="auto" w:fill="FFFF66"/>
        </w:rPr>
      </w:pPr>
      <w:bookmarkStart w:id="156" w:name="_Toc403555176"/>
      <w:bookmarkStart w:id="157" w:name="_Ref405453282"/>
      <w:r w:rsidRPr="000B36DF">
        <w:rPr>
          <w:shd w:val="clear" w:color="auto" w:fill="FFFF66"/>
        </w:rPr>
        <w:t>The rates shall allow for all general risks, liabilities and obligations as set out in the Conditions of Contract.</w:t>
      </w:r>
    </w:p>
    <w:p w14:paraId="7263D12D" w14:textId="7052BBC5" w:rsidR="00F81572" w:rsidRPr="000B36DF" w:rsidRDefault="00F81572" w:rsidP="00F81572">
      <w:pPr>
        <w:pStyle w:val="MRNumberedHeading2"/>
        <w:numPr>
          <w:ilvl w:val="0"/>
          <w:numId w:val="0"/>
        </w:numPr>
        <w:ind w:left="720"/>
        <w:rPr>
          <w:shd w:val="clear" w:color="auto" w:fill="FFFF66"/>
        </w:rPr>
      </w:pPr>
      <w:r w:rsidRPr="000B36DF">
        <w:rPr>
          <w:shd w:val="clear" w:color="auto" w:fill="FFFF66"/>
        </w:rPr>
        <w:t>The Trust expects goods to be dispatched from a UK supply location where possible.  In the event this is not possible all prices quoted MUST be inclusive of any additional import taxes, duty and fees (where payment liability sits with the Trust) in addition to the base price quoted. All values must be quoted in pound sterling (£). This is to ensure all Supplier responses submitted are evaluated on an equitable basis.</w:t>
      </w:r>
    </w:p>
    <w:bookmarkEnd w:id="156"/>
    <w:bookmarkEnd w:id="157"/>
    <w:p w14:paraId="4B104103" w14:textId="12927F74" w:rsidR="00AF23CE" w:rsidRPr="000B36DF" w:rsidRDefault="00AF23CE" w:rsidP="00AF23CE">
      <w:pPr>
        <w:pStyle w:val="MRNumberedHeading2"/>
        <w:rPr>
          <w:shd w:val="clear" w:color="auto" w:fill="FFFF66"/>
        </w:rPr>
      </w:pPr>
      <w:r w:rsidRPr="000B36DF">
        <w:rPr>
          <w:i/>
          <w:shd w:val="clear" w:color="auto" w:fill="FFFF66"/>
        </w:rPr>
        <w:t>Tender prices will be scored on a comparative basis, with the lowest compliant Tender (excluding any Tenders that the Authority rejects as being abnormally low or non-compliant) receiving 100% of the available marks</w:t>
      </w:r>
      <w:r w:rsidR="00FA7A46" w:rsidRPr="000B36DF">
        <w:rPr>
          <w:i/>
          <w:shd w:val="clear" w:color="auto" w:fill="FFFF66"/>
        </w:rPr>
        <w:t>(45</w:t>
      </w:r>
      <w:r w:rsidRPr="000B36DF">
        <w:rPr>
          <w:i/>
          <w:shd w:val="clear" w:color="auto" w:fill="FFFF66"/>
        </w:rPr>
        <w:t>% following weighting).  All other Tenders will be compared against that lowest Tender using the formula</w:t>
      </w:r>
      <w:r w:rsidRPr="000B36DF">
        <w:rPr>
          <w:shd w:val="clear" w:color="auto" w:fill="FFFF66"/>
        </w:rPr>
        <w:t xml:space="preserve">: </w:t>
      </w:r>
    </w:p>
    <w:p w14:paraId="43C735F7" w14:textId="77777777" w:rsidR="00DC6E9A" w:rsidRPr="000B36DF" w:rsidRDefault="00DC6E9A" w:rsidP="007C364A">
      <w:pPr>
        <w:pStyle w:val="Heading2"/>
        <w:numPr>
          <w:ilvl w:val="0"/>
          <w:numId w:val="0"/>
        </w:numPr>
        <w:ind w:left="851" w:firstLine="849"/>
        <w:rPr>
          <w:i/>
          <w:color w:val="auto"/>
          <w:szCs w:val="24"/>
          <w:shd w:val="clear" w:color="auto" w:fill="FFFF66"/>
        </w:rPr>
      </w:pPr>
    </w:p>
    <w:p w14:paraId="4C6E0EC2" w14:textId="25C4072B" w:rsidR="007C364A" w:rsidRPr="000B36DF" w:rsidRDefault="007C364A" w:rsidP="007C364A">
      <w:pPr>
        <w:pStyle w:val="Heading2"/>
        <w:numPr>
          <w:ilvl w:val="0"/>
          <w:numId w:val="0"/>
        </w:numPr>
        <w:ind w:left="851" w:firstLine="849"/>
        <w:rPr>
          <w:i/>
          <w:color w:val="auto"/>
          <w:shd w:val="clear" w:color="auto" w:fill="FFFF66"/>
        </w:rPr>
      </w:pPr>
      <w:r w:rsidRPr="000B36DF">
        <w:rPr>
          <w:i/>
          <w:color w:val="auto"/>
          <w:shd w:val="clear" w:color="auto" w:fill="FFFF66"/>
        </w:rPr>
        <w:t>(A / B) x</w:t>
      </w:r>
      <w:r w:rsidR="00AF23CE" w:rsidRPr="000B36DF">
        <w:rPr>
          <w:i/>
          <w:color w:val="auto"/>
          <w:shd w:val="clear" w:color="auto" w:fill="FFFF66"/>
        </w:rPr>
        <w:t xml:space="preserve"> 10</w:t>
      </w:r>
      <w:r w:rsidRPr="000B36DF">
        <w:rPr>
          <w:i/>
          <w:color w:val="auto"/>
          <w:shd w:val="clear" w:color="auto" w:fill="FFFF66"/>
        </w:rPr>
        <w:t xml:space="preserve">0 </w:t>
      </w:r>
    </w:p>
    <w:p w14:paraId="35391400" w14:textId="193A45F3" w:rsidR="007C364A" w:rsidRPr="000B36DF" w:rsidRDefault="007C364A" w:rsidP="007C364A">
      <w:pPr>
        <w:pStyle w:val="Heading2"/>
        <w:numPr>
          <w:ilvl w:val="0"/>
          <w:numId w:val="0"/>
        </w:numPr>
        <w:ind w:left="851" w:firstLine="849"/>
        <w:rPr>
          <w:i/>
          <w:color w:val="auto"/>
          <w:shd w:val="clear" w:color="auto" w:fill="FFFF66"/>
        </w:rPr>
      </w:pPr>
      <w:r w:rsidRPr="000B36DF">
        <w:rPr>
          <w:i/>
          <w:color w:val="auto"/>
          <w:shd w:val="clear" w:color="auto" w:fill="FFFF66"/>
        </w:rPr>
        <w:t xml:space="preserve">A = </w:t>
      </w:r>
      <w:r w:rsidR="008E7F55" w:rsidRPr="000B36DF">
        <w:rPr>
          <w:i/>
          <w:color w:val="auto"/>
          <w:shd w:val="clear" w:color="auto" w:fill="FFFF66"/>
        </w:rPr>
        <w:t xml:space="preserve">price of </w:t>
      </w:r>
      <w:r w:rsidRPr="000B36DF">
        <w:rPr>
          <w:i/>
          <w:color w:val="auto"/>
          <w:shd w:val="clear" w:color="auto" w:fill="FFFF66"/>
        </w:rPr>
        <w:t xml:space="preserve">lowest compliant </w:t>
      </w:r>
      <w:r w:rsidR="00CC4072" w:rsidRPr="000B36DF">
        <w:rPr>
          <w:i/>
          <w:color w:val="auto"/>
          <w:szCs w:val="24"/>
          <w:shd w:val="clear" w:color="auto" w:fill="FFFF66"/>
        </w:rPr>
        <w:t>T</w:t>
      </w:r>
      <w:r w:rsidR="008E7F55" w:rsidRPr="000B36DF">
        <w:rPr>
          <w:i/>
          <w:color w:val="auto"/>
          <w:szCs w:val="24"/>
          <w:shd w:val="clear" w:color="auto" w:fill="FFFF66"/>
        </w:rPr>
        <w:t>ender</w:t>
      </w:r>
    </w:p>
    <w:p w14:paraId="69C11093" w14:textId="77777777" w:rsidR="007C364A" w:rsidRDefault="007B6206" w:rsidP="007C364A">
      <w:pPr>
        <w:pStyle w:val="Heading2"/>
        <w:numPr>
          <w:ilvl w:val="0"/>
          <w:numId w:val="0"/>
        </w:numPr>
        <w:ind w:left="851" w:firstLine="849"/>
      </w:pPr>
      <w:r w:rsidRPr="000B36DF">
        <w:rPr>
          <w:i/>
          <w:color w:val="auto"/>
          <w:shd w:val="clear" w:color="auto" w:fill="FFFF66"/>
        </w:rPr>
        <w:t xml:space="preserve">B = </w:t>
      </w:r>
      <w:r w:rsidR="007C364A" w:rsidRPr="000B36DF">
        <w:rPr>
          <w:i/>
          <w:color w:val="auto"/>
          <w:shd w:val="clear" w:color="auto" w:fill="FFFF66"/>
        </w:rPr>
        <w:t xml:space="preserve">price of the </w:t>
      </w:r>
      <w:r w:rsidR="008E7F55" w:rsidRPr="000B36DF">
        <w:rPr>
          <w:i/>
          <w:color w:val="auto"/>
          <w:shd w:val="clear" w:color="auto" w:fill="FFFF66"/>
        </w:rPr>
        <w:t>Tender</w:t>
      </w:r>
      <w:r w:rsidR="007C364A" w:rsidRPr="000B36DF">
        <w:rPr>
          <w:i/>
          <w:color w:val="auto"/>
          <w:shd w:val="clear" w:color="auto" w:fill="FFFF66"/>
        </w:rPr>
        <w:t xml:space="preserve"> being scored</w:t>
      </w:r>
      <w:r w:rsidR="007C364A">
        <w:t xml:space="preserve">  </w:t>
      </w:r>
      <w:r w:rsidR="00D27579">
        <w:t xml:space="preserve"> </w:t>
      </w:r>
    </w:p>
    <w:p w14:paraId="29367F09" w14:textId="78927D5C" w:rsidR="007C2F2F" w:rsidRPr="0025200C" w:rsidRDefault="007C2F2F" w:rsidP="006B54D6">
      <w:pPr>
        <w:pStyle w:val="MRNumberedHeading2"/>
      </w:pPr>
      <w:bookmarkStart w:id="158" w:name="_Toc403555178"/>
      <w:r>
        <w:t xml:space="preserve">If it appears to the Authority that any Tender may be abnormally low then the Authority may ask the Bidder to explain its price or costs.  If following the Bidder's </w:t>
      </w:r>
      <w:r w:rsidR="003575D9">
        <w:t>explanations,</w:t>
      </w:r>
      <w:r>
        <w:t xml:space="preserve"> the Authority is n</w:t>
      </w:r>
      <w:r w:rsidR="00A77338">
        <w:t>ot satisfied with the Bidder's account for the low level of price or cost in the Tender, the Authority may treat the Tender as non-compliant and reject it.</w:t>
      </w:r>
      <w:bookmarkEnd w:id="158"/>
    </w:p>
    <w:p w14:paraId="2AB454E9" w14:textId="77777777" w:rsidR="00A77338" w:rsidRPr="007C2F2F" w:rsidRDefault="00A77338" w:rsidP="00276E1B">
      <w:pPr>
        <w:pStyle w:val="Heading1"/>
        <w:spacing w:before="240" w:after="0"/>
        <w:ind w:left="851"/>
      </w:pPr>
      <w:bookmarkStart w:id="159" w:name="_Toc403555179"/>
      <w:r w:rsidRPr="007C2F2F">
        <w:t>Criteria – Scored Questions</w:t>
      </w:r>
      <w:r>
        <w:t>:  technical and quality evaluation</w:t>
      </w:r>
      <w:bookmarkEnd w:id="159"/>
    </w:p>
    <w:p w14:paraId="514426ED" w14:textId="77777777" w:rsidR="00B46FCC" w:rsidRDefault="00B46FCC" w:rsidP="00B46FCC">
      <w:pPr>
        <w:pStyle w:val="MRNumberedHeading2"/>
      </w:pPr>
      <w:bookmarkStart w:id="160" w:name="_Toc403555180"/>
      <w:bookmarkStart w:id="161" w:name="_Ref405453301"/>
      <w:r>
        <w:t>The technical evaluation will be scored in accordance with the table below:</w:t>
      </w:r>
      <w:bookmarkEnd w:id="160"/>
      <w:bookmarkEnd w:id="161"/>
      <w:r>
        <w:t xml:space="preserve"> </w:t>
      </w:r>
    </w:p>
    <w:p w14:paraId="3E963E98" w14:textId="77777777" w:rsidR="00B46FCC" w:rsidRDefault="00B46FCC" w:rsidP="00B46FCC">
      <w:pPr>
        <w:pStyle w:val="MRNumberedHeading2"/>
        <w:numPr>
          <w:ilvl w:val="0"/>
          <w:numId w:val="0"/>
        </w:numPr>
        <w:ind w:left="720"/>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92"/>
        <w:gridCol w:w="5387"/>
      </w:tblGrid>
      <w:tr w:rsidR="00B46FCC" w:rsidRPr="00A24900" w14:paraId="0D0D3885" w14:textId="77777777" w:rsidTr="00F46C25">
        <w:trPr>
          <w:cantSplit/>
          <w:trHeight w:val="538"/>
        </w:trPr>
        <w:tc>
          <w:tcPr>
            <w:tcW w:w="1701" w:type="dxa"/>
            <w:shd w:val="clear" w:color="auto" w:fill="BFBFBF" w:themeFill="background1" w:themeFillShade="BF"/>
            <w:vAlign w:val="center"/>
          </w:tcPr>
          <w:p w14:paraId="24EC27A9" w14:textId="77777777" w:rsidR="00B46FCC" w:rsidRPr="0005222A" w:rsidRDefault="00B46FCC" w:rsidP="00F46C25">
            <w:pPr>
              <w:pStyle w:val="Table"/>
              <w:keepNext/>
              <w:rPr>
                <w:b/>
              </w:rPr>
            </w:pPr>
            <w:r w:rsidRPr="0005222A">
              <w:rPr>
                <w:b/>
              </w:rPr>
              <w:lastRenderedPageBreak/>
              <w:t>Grade label</w:t>
            </w:r>
          </w:p>
        </w:tc>
        <w:tc>
          <w:tcPr>
            <w:tcW w:w="992" w:type="dxa"/>
            <w:shd w:val="clear" w:color="auto" w:fill="BFBFBF" w:themeFill="background1" w:themeFillShade="BF"/>
            <w:vAlign w:val="center"/>
          </w:tcPr>
          <w:p w14:paraId="12BA3B17" w14:textId="77777777" w:rsidR="00B46FCC" w:rsidRPr="0005222A" w:rsidRDefault="00B46FCC" w:rsidP="00F46C25">
            <w:pPr>
              <w:pStyle w:val="Table"/>
              <w:keepNext/>
              <w:jc w:val="center"/>
              <w:rPr>
                <w:b/>
              </w:rPr>
            </w:pPr>
            <w:r w:rsidRPr="0005222A">
              <w:rPr>
                <w:b/>
              </w:rPr>
              <w:t>Grade</w:t>
            </w:r>
          </w:p>
        </w:tc>
        <w:tc>
          <w:tcPr>
            <w:tcW w:w="5387" w:type="dxa"/>
            <w:shd w:val="clear" w:color="auto" w:fill="BFBFBF" w:themeFill="background1" w:themeFillShade="BF"/>
            <w:vAlign w:val="center"/>
          </w:tcPr>
          <w:p w14:paraId="0D7999C8" w14:textId="77777777" w:rsidR="00B46FCC" w:rsidRPr="0005222A" w:rsidRDefault="00B46FCC" w:rsidP="00F46C25">
            <w:pPr>
              <w:pStyle w:val="Table"/>
              <w:keepNext/>
              <w:rPr>
                <w:b/>
              </w:rPr>
            </w:pPr>
            <w:r w:rsidRPr="0005222A">
              <w:rPr>
                <w:b/>
              </w:rPr>
              <w:t>Definition of Grade</w:t>
            </w:r>
          </w:p>
        </w:tc>
      </w:tr>
      <w:tr w:rsidR="00B46FCC" w:rsidRPr="00A24900" w14:paraId="085A6A06" w14:textId="77777777" w:rsidTr="00F46C25">
        <w:trPr>
          <w:cantSplit/>
          <w:trHeight w:val="860"/>
        </w:trPr>
        <w:tc>
          <w:tcPr>
            <w:tcW w:w="1701" w:type="dxa"/>
            <w:shd w:val="clear" w:color="auto" w:fill="auto"/>
            <w:vAlign w:val="center"/>
          </w:tcPr>
          <w:p w14:paraId="4F3DF5E5" w14:textId="77777777" w:rsidR="00B46FCC" w:rsidRPr="00A24900" w:rsidRDefault="00B46FCC" w:rsidP="00F46C25">
            <w:pPr>
              <w:pStyle w:val="Table"/>
              <w:keepNext/>
            </w:pPr>
            <w:r w:rsidRPr="00A24900">
              <w:t>Unacceptable</w:t>
            </w:r>
          </w:p>
        </w:tc>
        <w:tc>
          <w:tcPr>
            <w:tcW w:w="992" w:type="dxa"/>
            <w:shd w:val="clear" w:color="auto" w:fill="auto"/>
            <w:vAlign w:val="center"/>
          </w:tcPr>
          <w:p w14:paraId="170F3925" w14:textId="77777777" w:rsidR="00B46FCC" w:rsidRPr="00A24900" w:rsidRDefault="00B46FCC" w:rsidP="00F46C25">
            <w:pPr>
              <w:pStyle w:val="Table"/>
              <w:keepNext/>
              <w:jc w:val="center"/>
            </w:pPr>
            <w:r w:rsidRPr="00A24900">
              <w:t>0</w:t>
            </w:r>
          </w:p>
        </w:tc>
        <w:tc>
          <w:tcPr>
            <w:tcW w:w="5387" w:type="dxa"/>
            <w:shd w:val="clear" w:color="auto" w:fill="auto"/>
            <w:vAlign w:val="center"/>
          </w:tcPr>
          <w:p w14:paraId="3E1009F2" w14:textId="77777777" w:rsidR="00B46FCC" w:rsidRPr="00A24900" w:rsidRDefault="00B46FCC" w:rsidP="00F46C25">
            <w:pPr>
              <w:pStyle w:val="Table"/>
              <w:keepNext/>
              <w:jc w:val="both"/>
            </w:pPr>
            <w:r>
              <w:t>Nil or inadequate response. Fails to demonstrate an ability to meet the requirement</w:t>
            </w:r>
          </w:p>
        </w:tc>
      </w:tr>
      <w:tr w:rsidR="00B46FCC" w:rsidRPr="00A24900" w14:paraId="236C300F" w14:textId="77777777" w:rsidTr="00F46C25">
        <w:trPr>
          <w:cantSplit/>
          <w:trHeight w:val="861"/>
        </w:trPr>
        <w:tc>
          <w:tcPr>
            <w:tcW w:w="1701" w:type="dxa"/>
            <w:shd w:val="clear" w:color="auto" w:fill="auto"/>
            <w:vAlign w:val="center"/>
          </w:tcPr>
          <w:p w14:paraId="0FA22B3E" w14:textId="77777777" w:rsidR="00B46FCC" w:rsidRPr="00A24900" w:rsidRDefault="00B46FCC" w:rsidP="00F46C25">
            <w:pPr>
              <w:pStyle w:val="Table"/>
              <w:keepNext/>
            </w:pPr>
            <w:r>
              <w:t>Poor</w:t>
            </w:r>
          </w:p>
        </w:tc>
        <w:tc>
          <w:tcPr>
            <w:tcW w:w="992" w:type="dxa"/>
            <w:shd w:val="clear" w:color="auto" w:fill="auto"/>
            <w:vAlign w:val="center"/>
          </w:tcPr>
          <w:p w14:paraId="5B61B2CD" w14:textId="77777777" w:rsidR="00B46FCC" w:rsidRPr="00A24900" w:rsidRDefault="00B46FCC" w:rsidP="00F46C25">
            <w:pPr>
              <w:pStyle w:val="Table"/>
              <w:keepNext/>
              <w:jc w:val="center"/>
            </w:pPr>
            <w:r w:rsidRPr="00A24900">
              <w:t>1</w:t>
            </w:r>
          </w:p>
        </w:tc>
        <w:tc>
          <w:tcPr>
            <w:tcW w:w="5387" w:type="dxa"/>
            <w:shd w:val="clear" w:color="auto" w:fill="auto"/>
            <w:vAlign w:val="center"/>
          </w:tcPr>
          <w:p w14:paraId="4E15550A" w14:textId="77777777" w:rsidR="00B46FCC" w:rsidRPr="00A24900" w:rsidRDefault="00B46FCC" w:rsidP="00F46C25">
            <w:pPr>
              <w:pStyle w:val="Table"/>
              <w:keepNext/>
              <w:jc w:val="both"/>
            </w:pPr>
            <w:r>
              <w:t>Response is partially relevant but generally poor. The response addresses some elements of the requirement  but contains insufficient/limited detail or explanation to demonstrate how the requirement will be fulfilled</w:t>
            </w:r>
          </w:p>
        </w:tc>
      </w:tr>
      <w:tr w:rsidR="00B46FCC" w:rsidRPr="00A24900" w14:paraId="6181CA31" w14:textId="77777777" w:rsidTr="00F46C25">
        <w:trPr>
          <w:cantSplit/>
          <w:trHeight w:val="860"/>
        </w:trPr>
        <w:tc>
          <w:tcPr>
            <w:tcW w:w="1701" w:type="dxa"/>
            <w:shd w:val="clear" w:color="auto" w:fill="auto"/>
            <w:vAlign w:val="center"/>
          </w:tcPr>
          <w:p w14:paraId="087C779C" w14:textId="77777777" w:rsidR="00B46FCC" w:rsidRPr="00A24900" w:rsidRDefault="00B46FCC" w:rsidP="00F46C25">
            <w:pPr>
              <w:pStyle w:val="Table"/>
              <w:keepNext/>
            </w:pPr>
            <w:r>
              <w:t>Acceptable</w:t>
            </w:r>
          </w:p>
        </w:tc>
        <w:tc>
          <w:tcPr>
            <w:tcW w:w="992" w:type="dxa"/>
            <w:shd w:val="clear" w:color="auto" w:fill="auto"/>
            <w:vAlign w:val="center"/>
          </w:tcPr>
          <w:p w14:paraId="2A054C14" w14:textId="77777777" w:rsidR="00B46FCC" w:rsidRPr="00A24900" w:rsidRDefault="00B46FCC" w:rsidP="00F46C25">
            <w:pPr>
              <w:pStyle w:val="Table"/>
              <w:keepNext/>
              <w:jc w:val="center"/>
            </w:pPr>
            <w:r w:rsidRPr="00A24900">
              <w:t>2</w:t>
            </w:r>
          </w:p>
        </w:tc>
        <w:tc>
          <w:tcPr>
            <w:tcW w:w="5387" w:type="dxa"/>
            <w:shd w:val="clear" w:color="auto" w:fill="auto"/>
            <w:vAlign w:val="center"/>
          </w:tcPr>
          <w:p w14:paraId="28445BC8" w14:textId="77777777" w:rsidR="00B46FCC" w:rsidRPr="00A24900" w:rsidRDefault="00B46FCC" w:rsidP="00F46C25">
            <w:pPr>
              <w:pStyle w:val="Table"/>
              <w:keepNext/>
              <w:jc w:val="both"/>
            </w:pPr>
            <w:r>
              <w:t>Response is relevant and acceptable.  The response addresses a broad understanding of the requirement but lacks detail on how the requirement will be fulfilled in certain areas</w:t>
            </w:r>
          </w:p>
        </w:tc>
      </w:tr>
      <w:tr w:rsidR="00B46FCC" w:rsidRPr="00A24900" w14:paraId="4711DCA0" w14:textId="77777777" w:rsidTr="00F46C25">
        <w:trPr>
          <w:cantSplit/>
          <w:trHeight w:val="861"/>
        </w:trPr>
        <w:tc>
          <w:tcPr>
            <w:tcW w:w="1701" w:type="dxa"/>
            <w:shd w:val="clear" w:color="auto" w:fill="auto"/>
            <w:vAlign w:val="center"/>
          </w:tcPr>
          <w:p w14:paraId="4B369F07" w14:textId="77777777" w:rsidR="00B46FCC" w:rsidRPr="00A24900" w:rsidRDefault="00B46FCC" w:rsidP="00F46C25">
            <w:pPr>
              <w:pStyle w:val="Table"/>
              <w:keepNext/>
            </w:pPr>
            <w:r w:rsidRPr="00A24900">
              <w:t>Good</w:t>
            </w:r>
          </w:p>
        </w:tc>
        <w:tc>
          <w:tcPr>
            <w:tcW w:w="992" w:type="dxa"/>
            <w:shd w:val="clear" w:color="auto" w:fill="auto"/>
            <w:vAlign w:val="center"/>
          </w:tcPr>
          <w:p w14:paraId="097FB899" w14:textId="77777777" w:rsidR="00B46FCC" w:rsidRPr="00A24900" w:rsidRDefault="00B46FCC" w:rsidP="00F46C25">
            <w:pPr>
              <w:pStyle w:val="Table"/>
              <w:keepNext/>
              <w:jc w:val="center"/>
            </w:pPr>
            <w:r w:rsidRPr="00A24900">
              <w:t>3</w:t>
            </w:r>
          </w:p>
        </w:tc>
        <w:tc>
          <w:tcPr>
            <w:tcW w:w="5387" w:type="dxa"/>
            <w:shd w:val="clear" w:color="auto" w:fill="auto"/>
            <w:vAlign w:val="center"/>
          </w:tcPr>
          <w:p w14:paraId="03D96C06" w14:textId="77777777" w:rsidR="00B46FCC" w:rsidRPr="00A24900" w:rsidRDefault="00B46FCC" w:rsidP="00F46C25">
            <w:pPr>
              <w:pStyle w:val="Table"/>
              <w:keepNext/>
              <w:jc w:val="both"/>
            </w:pPr>
            <w:r>
              <w:t>Response is relevant and good. The response is sufficiently detailed to demonstrate a good understanding and provides details on how the requirement will be fulfilled</w:t>
            </w:r>
          </w:p>
        </w:tc>
      </w:tr>
      <w:tr w:rsidR="00B46FCC" w:rsidRPr="00A24900" w14:paraId="0448922D" w14:textId="77777777" w:rsidTr="00F46C25">
        <w:trPr>
          <w:cantSplit/>
          <w:trHeight w:val="861"/>
        </w:trPr>
        <w:tc>
          <w:tcPr>
            <w:tcW w:w="1701" w:type="dxa"/>
            <w:shd w:val="clear" w:color="auto" w:fill="auto"/>
            <w:vAlign w:val="center"/>
          </w:tcPr>
          <w:p w14:paraId="1349B3AE" w14:textId="77777777" w:rsidR="00B46FCC" w:rsidRPr="00A24900" w:rsidRDefault="00B46FCC" w:rsidP="00F46C25">
            <w:pPr>
              <w:pStyle w:val="Table"/>
              <w:keepNext/>
            </w:pPr>
            <w:r w:rsidRPr="00A24900">
              <w:t>Excellent</w:t>
            </w:r>
          </w:p>
        </w:tc>
        <w:tc>
          <w:tcPr>
            <w:tcW w:w="992" w:type="dxa"/>
            <w:shd w:val="clear" w:color="auto" w:fill="auto"/>
            <w:vAlign w:val="center"/>
          </w:tcPr>
          <w:p w14:paraId="0D7ECD9D" w14:textId="77777777" w:rsidR="00B46FCC" w:rsidRPr="00A24900" w:rsidRDefault="00B46FCC" w:rsidP="00F46C25">
            <w:pPr>
              <w:pStyle w:val="Table"/>
              <w:keepNext/>
              <w:jc w:val="center"/>
            </w:pPr>
            <w:r w:rsidRPr="00A24900">
              <w:t>4</w:t>
            </w:r>
          </w:p>
        </w:tc>
        <w:tc>
          <w:tcPr>
            <w:tcW w:w="5387" w:type="dxa"/>
            <w:shd w:val="clear" w:color="auto" w:fill="auto"/>
            <w:vAlign w:val="center"/>
          </w:tcPr>
          <w:p w14:paraId="54A2CABD" w14:textId="77777777" w:rsidR="00B46FCC" w:rsidRPr="00A24900" w:rsidRDefault="00B46FCC" w:rsidP="00F46C25">
            <w:pPr>
              <w:pStyle w:val="Table"/>
              <w:keepNext/>
              <w:jc w:val="both"/>
            </w:pPr>
            <w:r>
              <w:t xml:space="preserve">Response is completely relevant and excellent overall.  The response is comprehensive, unambiguous and demonstrates a thorough understanding of the requirement and provides details of how the requirement will be met in full and/or the information provided demonstrates the organisation is able to provide this element to the </w:t>
            </w:r>
            <w:proofErr w:type="gramStart"/>
            <w:r>
              <w:t>best in class</w:t>
            </w:r>
            <w:proofErr w:type="gramEnd"/>
            <w:r>
              <w:t xml:space="preserve"> level.</w:t>
            </w:r>
          </w:p>
        </w:tc>
      </w:tr>
    </w:tbl>
    <w:p w14:paraId="30FB3404" w14:textId="23966172" w:rsidR="00B46FCC" w:rsidRPr="00A77338" w:rsidRDefault="00B46FCC" w:rsidP="000B1F13">
      <w:pPr>
        <w:pStyle w:val="Heading1"/>
        <w:spacing w:before="240" w:after="0"/>
        <w:rPr>
          <w:b w:val="0"/>
          <w:i/>
        </w:rPr>
      </w:pPr>
    </w:p>
    <w:p w14:paraId="25AF5E48" w14:textId="5B2519E5" w:rsidR="00B46FCC" w:rsidRDefault="00B46FCC" w:rsidP="000B1F13">
      <w:pPr>
        <w:pStyle w:val="MRNumberedHeading2"/>
        <w:numPr>
          <w:ilvl w:val="0"/>
          <w:numId w:val="0"/>
        </w:numPr>
        <w:ind w:left="720"/>
      </w:pPr>
    </w:p>
    <w:p w14:paraId="464B32A9" w14:textId="77777777" w:rsidR="002107EF" w:rsidRPr="005A2E47" w:rsidRDefault="002107EF" w:rsidP="002107EF">
      <w:pPr>
        <w:pStyle w:val="MRNumberedHeading2"/>
        <w:numPr>
          <w:ilvl w:val="0"/>
          <w:numId w:val="0"/>
        </w:numPr>
        <w:ind w:left="720"/>
      </w:pPr>
    </w:p>
    <w:p w14:paraId="6A6183DA" w14:textId="77777777" w:rsidR="00901017" w:rsidRDefault="00901017" w:rsidP="00A1611D">
      <w:pPr>
        <w:spacing w:after="240"/>
        <w:rPr>
          <w:rFonts w:eastAsia="Calibri" w:cs="Arial"/>
          <w:b/>
          <w:sz w:val="22"/>
          <w:szCs w:val="22"/>
          <w:lang w:eastAsia="en-GB"/>
        </w:rPr>
      </w:pPr>
      <w:bookmarkStart w:id="162" w:name="_Ref403489615"/>
      <w:r>
        <w:br w:type="page"/>
      </w:r>
    </w:p>
    <w:bookmarkEnd w:id="162"/>
    <w:p w14:paraId="76E08EE7" w14:textId="395F4AF8" w:rsidR="005E4E9D" w:rsidRPr="008C5F41" w:rsidRDefault="005E4E9D" w:rsidP="008C5F41">
      <w:pPr>
        <w:spacing w:after="240"/>
        <w:jc w:val="left"/>
        <w:rPr>
          <w:rFonts w:eastAsia="Times New Roman" w:cs="Times New Roman"/>
          <w:b/>
          <w:color w:val="000000" w:themeColor="text1"/>
          <w:lang w:eastAsia="en-GB"/>
        </w:rPr>
      </w:pPr>
    </w:p>
    <w:p w14:paraId="1FD7303A" w14:textId="0A2E8D67" w:rsidR="005E4E9D" w:rsidRPr="005B59B7" w:rsidRDefault="005E4E9D" w:rsidP="00401FF0">
      <w:pPr>
        <w:pStyle w:val="MainHeading"/>
        <w:spacing w:line="480" w:lineRule="auto"/>
        <w:ind w:left="0"/>
        <w:jc w:val="center"/>
        <w:rPr>
          <w:b/>
        </w:rPr>
      </w:pPr>
      <w:bookmarkStart w:id="163" w:name="_Toc403556511"/>
      <w:bookmarkStart w:id="164" w:name="_Toc406674974"/>
      <w:bookmarkStart w:id="165" w:name="_Toc412621216"/>
      <w:bookmarkStart w:id="166" w:name="_Toc412715226"/>
      <w:r w:rsidRPr="005B59B7">
        <w:rPr>
          <w:b/>
        </w:rPr>
        <w:t>ANNEX A1</w:t>
      </w:r>
      <w:r w:rsidR="00E84532" w:rsidRPr="005B59B7">
        <w:rPr>
          <w:b/>
        </w:rPr>
        <w:br/>
      </w:r>
      <w:r w:rsidRPr="005B59B7">
        <w:rPr>
          <w:b/>
        </w:rPr>
        <w:t>NHS TERMS AND CONDITIONS</w:t>
      </w:r>
      <w:bookmarkEnd w:id="163"/>
      <w:bookmarkEnd w:id="164"/>
      <w:bookmarkEnd w:id="165"/>
      <w:bookmarkEnd w:id="166"/>
    </w:p>
    <w:p w14:paraId="1D61E1BC" w14:textId="15A18882" w:rsidR="005E4E9D" w:rsidRPr="00EE57C8" w:rsidRDefault="005E4E9D" w:rsidP="005E4E9D">
      <w:pPr>
        <w:pStyle w:val="Body1"/>
        <w:ind w:left="0"/>
      </w:pPr>
      <w:r w:rsidRPr="00EE57C8">
        <w:t xml:space="preserve">The Authority intends to </w:t>
      </w:r>
      <w:proofErr w:type="gramStart"/>
      <w:r w:rsidRPr="00EE57C8">
        <w:t>enter into</w:t>
      </w:r>
      <w:proofErr w:type="gramEnd"/>
      <w:r w:rsidRPr="00EE57C8">
        <w:t xml:space="preserve"> a contract with th</w:t>
      </w:r>
      <w:r w:rsidR="00CC4072">
        <w:t xml:space="preserve">e </w:t>
      </w:r>
      <w:r w:rsidR="00CC4072" w:rsidRPr="000B1F13">
        <w:t xml:space="preserve">successful Bidder on the NHS </w:t>
      </w:r>
      <w:r w:rsidR="00BF698B" w:rsidRPr="000B1F13">
        <w:t>Terms and C</w:t>
      </w:r>
      <w:r w:rsidRPr="000B1F13">
        <w:t xml:space="preserve">onditions </w:t>
      </w:r>
      <w:r w:rsidR="00ED4669" w:rsidRPr="000B36DF">
        <w:rPr>
          <w:iCs/>
          <w:shd w:val="clear" w:color="auto" w:fill="FFFF66"/>
        </w:rPr>
        <w:t>for the Supply of Goods (</w:t>
      </w:r>
      <w:r w:rsidR="00D14823" w:rsidRPr="000B36DF">
        <w:rPr>
          <w:iCs/>
          <w:shd w:val="clear" w:color="auto" w:fill="FFFF66"/>
        </w:rPr>
        <w:t xml:space="preserve">Services </w:t>
      </w:r>
      <w:r w:rsidR="00ED4669" w:rsidRPr="000B36DF">
        <w:rPr>
          <w:iCs/>
          <w:shd w:val="clear" w:color="auto" w:fill="FFFF66"/>
        </w:rPr>
        <w:t>V</w:t>
      </w:r>
      <w:r w:rsidRPr="000B36DF">
        <w:rPr>
          <w:iCs/>
          <w:shd w:val="clear" w:color="auto" w:fill="FFFF66"/>
        </w:rPr>
        <w:t>ersion)</w:t>
      </w:r>
    </w:p>
    <w:p w14:paraId="4F1DB9C5" w14:textId="5313BD50" w:rsidR="005E4E9D" w:rsidRDefault="00FA7A46" w:rsidP="005E4E9D">
      <w:pPr>
        <w:pStyle w:val="Body1"/>
        <w:ind w:left="0"/>
      </w:pPr>
      <w:r>
        <w:t>Appendix C</w:t>
      </w:r>
      <w:r w:rsidR="005E4E9D">
        <w:t xml:space="preserve"> contains the NHS </w:t>
      </w:r>
      <w:r w:rsidR="00BF698B">
        <w:t>Terms and Co</w:t>
      </w:r>
      <w:r w:rsidR="005E4E9D">
        <w:t xml:space="preserve">nditions, duly completed by the Authority so far as possible, including all relevant schedules, except schedule 5 (Specification and Tender Response Document) and schedule 6 (Commercial Schedule).  </w:t>
      </w:r>
    </w:p>
    <w:p w14:paraId="426C978D" w14:textId="7898B5B2" w:rsidR="005E4E9D" w:rsidRDefault="005E4E9D" w:rsidP="005E4E9D">
      <w:pPr>
        <w:pStyle w:val="Body1"/>
        <w:ind w:left="0"/>
      </w:pPr>
      <w:r>
        <w:t xml:space="preserve">The Specification is set out in </w:t>
      </w:r>
      <w:r w:rsidR="00FA7A46">
        <w:t xml:space="preserve">Appendix A within </w:t>
      </w:r>
      <w:r w:rsidR="00C7450B">
        <w:t xml:space="preserve">the </w:t>
      </w:r>
      <w:r w:rsidR="00FA7A46">
        <w:t>Supplier Documentation in Atamis.</w:t>
      </w:r>
    </w:p>
    <w:p w14:paraId="2212A51B" w14:textId="2E401FCE" w:rsidR="005E4E9D" w:rsidRDefault="005E4E9D" w:rsidP="005E4E9D">
      <w:pPr>
        <w:pStyle w:val="Body1"/>
        <w:ind w:left="0"/>
        <w:rPr>
          <w:i/>
          <w:color w:val="808080" w:themeColor="background1" w:themeShade="80"/>
        </w:rPr>
      </w:pPr>
    </w:p>
    <w:p w14:paraId="4054B35B" w14:textId="77777777" w:rsidR="005E4E9D" w:rsidRDefault="005E4E9D" w:rsidP="005E4E9D">
      <w:pPr>
        <w:pStyle w:val="Body1"/>
        <w:ind w:left="0"/>
        <w:rPr>
          <w:i/>
          <w:color w:val="808080" w:themeColor="background1" w:themeShade="80"/>
        </w:rPr>
      </w:pPr>
    </w:p>
    <w:p w14:paraId="0C718CE4" w14:textId="77777777" w:rsidR="005E4E9D" w:rsidRDefault="005E4E9D" w:rsidP="005E4E9D">
      <w:pPr>
        <w:pStyle w:val="Body1"/>
        <w:ind w:left="0"/>
        <w:rPr>
          <w:i/>
          <w:color w:val="808080" w:themeColor="background1" w:themeShade="80"/>
        </w:rPr>
      </w:pPr>
    </w:p>
    <w:p w14:paraId="7B36D0B4" w14:textId="77777777" w:rsidR="005E4E9D" w:rsidRPr="00EE57C8" w:rsidRDefault="005E4E9D" w:rsidP="005E4E9D">
      <w:pPr>
        <w:pStyle w:val="Body1"/>
        <w:ind w:left="0"/>
        <w:rPr>
          <w:b/>
        </w:rPr>
      </w:pPr>
      <w:r w:rsidRPr="00EE57C8">
        <w:rPr>
          <w:b/>
        </w:rPr>
        <w:br w:type="page"/>
      </w:r>
    </w:p>
    <w:p w14:paraId="4E0328AF" w14:textId="77777777" w:rsidR="005E4E9D" w:rsidRPr="004C58D8" w:rsidRDefault="005E4E9D" w:rsidP="005E4E9D"/>
    <w:p w14:paraId="6A3CB1BD" w14:textId="77777777" w:rsidR="00CF6718" w:rsidRDefault="00CF6718">
      <w:pPr>
        <w:spacing w:after="240"/>
        <w:jc w:val="left"/>
        <w:rPr>
          <w:rFonts w:eastAsia="Times New Roman" w:cs="Times New Roman"/>
          <w:b/>
          <w:color w:val="000000" w:themeColor="text1"/>
          <w:lang w:eastAsia="en-GB"/>
        </w:rPr>
      </w:pPr>
    </w:p>
    <w:sectPr w:rsidR="00CF6718" w:rsidSect="00562D72">
      <w:footerReference w:type="default" r:id="rId19"/>
      <w:footerReference w:type="first" r:id="rId20"/>
      <w:type w:val="continuous"/>
      <w:pgSz w:w="11907" w:h="16840" w:code="9"/>
      <w:pgMar w:top="1418" w:right="1418" w:bottom="1418" w:left="1418"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5A469" w14:textId="77777777" w:rsidR="00A71FD4" w:rsidRDefault="00A71FD4" w:rsidP="00C82318">
      <w:r>
        <w:separator/>
      </w:r>
    </w:p>
  </w:endnote>
  <w:endnote w:type="continuationSeparator" w:id="0">
    <w:p w14:paraId="2A44B022" w14:textId="77777777" w:rsidR="00A71FD4" w:rsidRDefault="00A71FD4" w:rsidP="00C82318">
      <w:r>
        <w:continuationSeparator/>
      </w:r>
    </w:p>
  </w:endnote>
  <w:endnote w:type="continuationNotice" w:id="1">
    <w:p w14:paraId="656BAC81" w14:textId="77777777" w:rsidR="00A71FD4" w:rsidRDefault="00A71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5128894"/>
      <w:docPartObj>
        <w:docPartGallery w:val="Page Numbers (Bottom of Page)"/>
        <w:docPartUnique/>
      </w:docPartObj>
    </w:sdtPr>
    <w:sdtEndPr>
      <w:rPr>
        <w:noProof/>
      </w:rPr>
    </w:sdtEndPr>
    <w:sdtContent>
      <w:p w14:paraId="11109443" w14:textId="77777777" w:rsidR="00A71FD4" w:rsidRDefault="00A71F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47B99" w14:textId="77777777" w:rsidR="00A71FD4" w:rsidRDefault="00A71FD4"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4699623"/>
      <w:docPartObj>
        <w:docPartGallery w:val="Page Numbers (Bottom of Page)"/>
        <w:docPartUnique/>
      </w:docPartObj>
    </w:sdtPr>
    <w:sdtEndPr>
      <w:rPr>
        <w:noProof/>
      </w:rPr>
    </w:sdtEndPr>
    <w:sdtContent>
      <w:p w14:paraId="1CE0720D" w14:textId="77777777" w:rsidR="00A71FD4" w:rsidRDefault="00A71FD4">
        <w:pPr>
          <w:pStyle w:val="Footer"/>
          <w:jc w:val="center"/>
        </w:pPr>
        <w:r>
          <w:fldChar w:fldCharType="begin"/>
        </w:r>
        <w:r>
          <w:instrText xml:space="preserve"> PAGE   \* MERGEFORMAT </w:instrText>
        </w:r>
        <w:r>
          <w:fldChar w:fldCharType="separate"/>
        </w:r>
        <w:r w:rsidR="001F6CB5">
          <w:rPr>
            <w:noProof/>
          </w:rPr>
          <w:t>1</w:t>
        </w:r>
        <w:r>
          <w:rPr>
            <w:noProof/>
          </w:rPr>
          <w:fldChar w:fldCharType="end"/>
        </w:r>
      </w:p>
    </w:sdtContent>
  </w:sdt>
  <w:p w14:paraId="69840BDA" w14:textId="77777777" w:rsidR="00A71FD4" w:rsidRDefault="00A71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EB037" w14:textId="0B27A4D8" w:rsidR="00A71FD4" w:rsidRPr="00100953" w:rsidRDefault="00A71FD4" w:rsidP="00D3489C">
    <w:pPr>
      <w:pStyle w:val="Footer"/>
      <w:rPr>
        <w:color w:val="808080" w:themeColor="background1" w:themeShade="80"/>
      </w:rPr>
    </w:pPr>
    <w:r>
      <w:rPr>
        <w:color w:val="808080" w:themeColor="background1" w:themeShade="80"/>
      </w:rPr>
      <w:t xml:space="preserve">ITT </w:t>
    </w:r>
    <w:r w:rsidR="00C7450B">
      <w:rPr>
        <w:color w:val="808080" w:themeColor="background1" w:themeShade="80"/>
      </w:rPr>
      <w:t>Information Document</w:t>
    </w:r>
    <w:r>
      <w:rPr>
        <w:color w:val="808080" w:themeColor="background1" w:themeShade="80"/>
      </w:rPr>
      <w:t xml:space="preserve"> – open</w:t>
    </w:r>
    <w:r w:rsidRPr="00100953">
      <w:rPr>
        <w:color w:val="808080" w:themeColor="background1" w:themeShade="80"/>
      </w:rPr>
      <w:t xml:space="preserve"> (</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14:paraId="49AB1CA6" w14:textId="77777777" w:rsidR="00A71FD4" w:rsidRDefault="00A71FD4">
    <w:pPr>
      <w:pStyle w:val="Footer"/>
      <w:jc w:val="center"/>
    </w:pPr>
  </w:p>
  <w:p w14:paraId="4476F115" w14:textId="77777777" w:rsidR="00A71FD4" w:rsidRDefault="00A71FD4"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9E9C7" w14:textId="77777777" w:rsidR="00A71FD4" w:rsidRDefault="00A71FD4">
    <w:pPr>
      <w:pStyle w:val="Footer"/>
      <w:jc w:val="center"/>
    </w:pPr>
  </w:p>
  <w:p w14:paraId="2CEA599A" w14:textId="77777777" w:rsidR="00A71FD4" w:rsidRDefault="00A71F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249746"/>
      <w:docPartObj>
        <w:docPartGallery w:val="Page Numbers (Bottom of Page)"/>
        <w:docPartUnique/>
      </w:docPartObj>
    </w:sdtPr>
    <w:sdtEndPr>
      <w:rPr>
        <w:noProof/>
      </w:rPr>
    </w:sdtEndPr>
    <w:sdtContent>
      <w:p w14:paraId="77271836" w14:textId="45D465E3" w:rsidR="00A71FD4" w:rsidRPr="00100953" w:rsidRDefault="00A71FD4" w:rsidP="00D3489C">
        <w:pPr>
          <w:pStyle w:val="Footer"/>
          <w:rPr>
            <w:color w:val="808080" w:themeColor="background1" w:themeShade="80"/>
          </w:rPr>
        </w:pPr>
        <w:r>
          <w:rPr>
            <w:color w:val="808080" w:themeColor="background1" w:themeShade="80"/>
          </w:rPr>
          <w:t xml:space="preserve">ITT </w:t>
        </w:r>
        <w:r w:rsidR="00C7450B">
          <w:rPr>
            <w:color w:val="808080" w:themeColor="background1" w:themeShade="80"/>
          </w:rPr>
          <w:t>Information Document</w:t>
        </w:r>
        <w:r>
          <w:rPr>
            <w:color w:val="808080" w:themeColor="background1" w:themeShade="80"/>
          </w:rPr>
          <w:t xml:space="preserve"> – open</w:t>
        </w:r>
        <w:r w:rsidRPr="00100953">
          <w:rPr>
            <w:color w:val="808080" w:themeColor="background1" w:themeShade="80"/>
          </w:rPr>
          <w:t xml:space="preserve"> (</w:t>
        </w:r>
        <w:r>
          <w:rPr>
            <w:color w:val="808080" w:themeColor="background1" w:themeShade="80"/>
          </w:rPr>
          <w:t xml:space="preserve">February </w:t>
        </w:r>
        <w:r w:rsidRPr="00100953">
          <w:rPr>
            <w:color w:val="808080" w:themeColor="background1" w:themeShade="80"/>
          </w:rPr>
          <w:t>2015</w:t>
        </w:r>
        <w:r>
          <w:rPr>
            <w:color w:val="808080" w:themeColor="background1" w:themeShade="80"/>
          </w:rPr>
          <w:t>/PCR 2015</w:t>
        </w:r>
        <w:r w:rsidRPr="00100953">
          <w:rPr>
            <w:color w:val="808080" w:themeColor="background1" w:themeShade="80"/>
          </w:rPr>
          <w:t>)</w:t>
        </w:r>
      </w:p>
      <w:p w14:paraId="31D8C82E" w14:textId="77777777" w:rsidR="00A71FD4" w:rsidRDefault="00A71FD4">
        <w:pPr>
          <w:pStyle w:val="Footer"/>
          <w:jc w:val="center"/>
        </w:pPr>
        <w:r>
          <w:fldChar w:fldCharType="begin"/>
        </w:r>
        <w:r>
          <w:instrText xml:space="preserve"> PAGE   \* MERGEFORMAT </w:instrText>
        </w:r>
        <w:r>
          <w:fldChar w:fldCharType="separate"/>
        </w:r>
        <w:r w:rsidR="001F6CB5">
          <w:rPr>
            <w:noProof/>
          </w:rPr>
          <w:t>4</w:t>
        </w:r>
        <w:r>
          <w:rPr>
            <w:noProof/>
          </w:rPr>
          <w:fldChar w:fldCharType="end"/>
        </w:r>
      </w:p>
    </w:sdtContent>
  </w:sdt>
  <w:p w14:paraId="64844A3A" w14:textId="77777777" w:rsidR="00A71FD4" w:rsidRDefault="00A71FD4" w:rsidP="00C06438">
    <w:pPr>
      <w:pStyle w:val="Footer"/>
      <w:tabs>
        <w:tab w:val="clear" w:pos="4678"/>
        <w:tab w:val="clear" w:pos="9356"/>
        <w:tab w:val="center" w:pos="4536"/>
        <w:tab w:val="right" w:pos="9072"/>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496238"/>
      <w:docPartObj>
        <w:docPartGallery w:val="Page Numbers (Bottom of Page)"/>
        <w:docPartUnique/>
      </w:docPartObj>
    </w:sdtPr>
    <w:sdtEndPr>
      <w:rPr>
        <w:noProof/>
      </w:rPr>
    </w:sdtEndPr>
    <w:sdtContent>
      <w:p w14:paraId="71B9CFE8" w14:textId="6D7F7735" w:rsidR="00A71FD4" w:rsidRPr="00100953" w:rsidRDefault="00A71FD4" w:rsidP="00D3489C">
        <w:pPr>
          <w:pStyle w:val="Footer"/>
          <w:rPr>
            <w:color w:val="808080" w:themeColor="background1" w:themeShade="80"/>
          </w:rPr>
        </w:pPr>
        <w:r>
          <w:rPr>
            <w:color w:val="808080" w:themeColor="background1" w:themeShade="80"/>
          </w:rPr>
          <w:t xml:space="preserve">ITT </w:t>
        </w:r>
        <w:r w:rsidR="00C7450B">
          <w:rPr>
            <w:color w:val="808080" w:themeColor="background1" w:themeShade="80"/>
          </w:rPr>
          <w:t>Information Document</w:t>
        </w:r>
        <w:r>
          <w:rPr>
            <w:color w:val="808080" w:themeColor="background1" w:themeShade="80"/>
          </w:rPr>
          <w:t xml:space="preserve"> – open</w:t>
        </w:r>
        <w:r w:rsidRPr="00100953">
          <w:rPr>
            <w:color w:val="808080" w:themeColor="background1" w:themeShade="80"/>
          </w:rPr>
          <w:t xml:space="preserve"> (</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14:paraId="0069F7B6" w14:textId="77777777" w:rsidR="00A71FD4" w:rsidRDefault="00A71FD4">
        <w:pPr>
          <w:pStyle w:val="Footer"/>
          <w:jc w:val="center"/>
        </w:pPr>
        <w:r>
          <w:fldChar w:fldCharType="begin"/>
        </w:r>
        <w:r>
          <w:instrText xml:space="preserve"> PAGE   \* MERGEFORMAT </w:instrText>
        </w:r>
        <w:r>
          <w:fldChar w:fldCharType="separate"/>
        </w:r>
        <w:r w:rsidR="001F6CB5">
          <w:rPr>
            <w:noProof/>
          </w:rPr>
          <w:t>1</w:t>
        </w:r>
        <w:r>
          <w:rPr>
            <w:noProof/>
          </w:rPr>
          <w:fldChar w:fldCharType="end"/>
        </w:r>
      </w:p>
    </w:sdtContent>
  </w:sdt>
  <w:p w14:paraId="7C50C154" w14:textId="77777777" w:rsidR="00A71FD4" w:rsidRDefault="00A71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7320B" w14:textId="77777777" w:rsidR="00A71FD4" w:rsidRDefault="00A71FD4" w:rsidP="00C82318">
      <w:r>
        <w:separator/>
      </w:r>
    </w:p>
  </w:footnote>
  <w:footnote w:type="continuationSeparator" w:id="0">
    <w:p w14:paraId="2D9C2C5E" w14:textId="77777777" w:rsidR="00A71FD4" w:rsidRDefault="00A71FD4" w:rsidP="00C82318">
      <w:r>
        <w:continuationSeparator/>
      </w:r>
    </w:p>
  </w:footnote>
  <w:footnote w:type="continuationNotice" w:id="1">
    <w:p w14:paraId="73E1C2DE" w14:textId="77777777" w:rsidR="00A71FD4" w:rsidRDefault="00A71F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C7B85" w14:textId="42A9E36C" w:rsidR="00A71FD4" w:rsidRDefault="00A71FD4" w:rsidP="00FD76C2">
    <w:pPr>
      <w:pStyle w:val="Header"/>
      <w:ind w:left="1700"/>
      <w:jc w:val="right"/>
    </w:pPr>
    <w:r>
      <w:rPr>
        <w:noProof/>
      </w:rPr>
      <w:drawing>
        <wp:inline distT="0" distB="0" distL="0" distR="0" wp14:anchorId="6A2CF5B4" wp14:editId="32A01748">
          <wp:extent cx="5240020" cy="755650"/>
          <wp:effectExtent l="0" t="0" r="0" b="6350"/>
          <wp:docPr id="1" name="Picture 1" descr="logos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0020" cy="755650"/>
                  </a:xfrm>
                  <a:prstGeom prst="rect">
                    <a:avLst/>
                  </a:prstGeom>
                  <a:noFill/>
                  <a:ln>
                    <a:noFill/>
                  </a:ln>
                </pic:spPr>
              </pic:pic>
            </a:graphicData>
          </a:graphic>
        </wp:inline>
      </w:drawing>
    </w:r>
  </w:p>
  <w:p w14:paraId="0802C17D" w14:textId="77777777" w:rsidR="00A71FD4" w:rsidRDefault="00A71FD4" w:rsidP="00FD76C2">
    <w:pPr>
      <w:pStyle w:val="Header"/>
      <w:ind w:left="1700"/>
      <w:jc w:val="right"/>
    </w:pPr>
  </w:p>
  <w:p w14:paraId="0C4A82E1" w14:textId="218BB746" w:rsidR="00A71FD4" w:rsidRDefault="00A71FD4" w:rsidP="00FD76C2">
    <w:pPr>
      <w:pStyle w:val="Header"/>
      <w:jc w:val="right"/>
      <w:rPr>
        <w:b/>
        <w:bCs/>
        <w:color w:val="747277"/>
        <w:sz w:val="18"/>
        <w:szCs w:val="18"/>
      </w:rPr>
    </w:pPr>
    <w:r>
      <w:rPr>
        <w:b/>
        <w:bCs/>
        <w:color w:val="747277"/>
        <w:sz w:val="18"/>
        <w:szCs w:val="18"/>
      </w:rPr>
      <w:t>Procurement Department</w:t>
    </w:r>
  </w:p>
  <w:p w14:paraId="378A359F" w14:textId="77777777" w:rsidR="00A71FD4" w:rsidRDefault="00A71FD4" w:rsidP="00FD76C2">
    <w:pPr>
      <w:pStyle w:val="Header"/>
      <w:jc w:val="right"/>
    </w:pPr>
    <w:r>
      <w:rPr>
        <w:b/>
        <w:bCs/>
        <w:color w:val="747277"/>
        <w:sz w:val="18"/>
        <w:szCs w:val="18"/>
      </w:rPr>
      <w:t>Northern General Hospital</w:t>
    </w:r>
    <w:r>
      <w:rPr>
        <w:b/>
        <w:bCs/>
        <w:color w:val="747277"/>
        <w:sz w:val="18"/>
        <w:szCs w:val="18"/>
      </w:rPr>
      <w:br/>
      <w:t>Herries Road</w:t>
    </w:r>
    <w:r>
      <w:rPr>
        <w:b/>
        <w:bCs/>
        <w:color w:val="747277"/>
        <w:sz w:val="18"/>
        <w:szCs w:val="18"/>
      </w:rPr>
      <w:br/>
      <w:t>Sheffield</w:t>
    </w:r>
    <w:r>
      <w:rPr>
        <w:b/>
        <w:bCs/>
        <w:color w:val="747277"/>
        <w:sz w:val="18"/>
        <w:szCs w:val="18"/>
      </w:rPr>
      <w:br/>
      <w:t>S5 7AU</w:t>
    </w:r>
  </w:p>
  <w:p w14:paraId="69521D82" w14:textId="77777777" w:rsidR="00A71FD4" w:rsidRDefault="00A71FD4" w:rsidP="00FD76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BF4F6" w14:textId="77777777" w:rsidR="00A71FD4" w:rsidRPr="001A0E3F" w:rsidRDefault="00A71FD4">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4"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15:restartNumberingAfterBreak="0">
    <w:nsid w:val="1AEA2DF6"/>
    <w:multiLevelType w:val="multilevel"/>
    <w:tmpl w:val="55ECB306"/>
    <w:lvl w:ilvl="0">
      <w:start w:val="1"/>
      <w:numFmt w:val="decimal"/>
      <w:lvlText w:val="%1"/>
      <w:lvlJc w:val="left"/>
      <w:pPr>
        <w:tabs>
          <w:tab w:val="num" w:pos="360"/>
        </w:tabs>
        <w:ind w:left="360" w:hanging="360"/>
      </w:pPr>
      <w:rPr>
        <w:rFonts w:hint="default"/>
      </w:rPr>
    </w:lvl>
    <w:lvl w:ilvl="1">
      <w:start w:val="1"/>
      <w:numFmt w:val="none"/>
      <w:lvlText w:val="2.1"/>
      <w:lvlJc w:val="left"/>
      <w:pPr>
        <w:tabs>
          <w:tab w:val="num" w:pos="1803"/>
        </w:tabs>
        <w:ind w:left="1803" w:hanging="1803"/>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1" w15:restartNumberingAfterBreak="0">
    <w:nsid w:val="332F5094"/>
    <w:multiLevelType w:val="hybridMultilevel"/>
    <w:tmpl w:val="C45A6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3" w15:restartNumberingAfterBreak="0">
    <w:nsid w:val="443A26AF"/>
    <w:multiLevelType w:val="hybridMultilevel"/>
    <w:tmpl w:val="99DC1D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B204C6B"/>
    <w:multiLevelType w:val="multilevel"/>
    <w:tmpl w:val="F0660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9"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1"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3"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791553264">
    <w:abstractNumId w:val="3"/>
  </w:num>
  <w:num w:numId="2" w16cid:durableId="955134671">
    <w:abstractNumId w:val="2"/>
  </w:num>
  <w:num w:numId="3" w16cid:durableId="10574932">
    <w:abstractNumId w:val="12"/>
  </w:num>
  <w:num w:numId="4" w16cid:durableId="1521315411">
    <w:abstractNumId w:val="15"/>
  </w:num>
  <w:num w:numId="5" w16cid:durableId="1907758470">
    <w:abstractNumId w:val="1"/>
  </w:num>
  <w:num w:numId="6" w16cid:durableId="1313101778">
    <w:abstractNumId w:val="5"/>
  </w:num>
  <w:num w:numId="7" w16cid:durableId="1613659834">
    <w:abstractNumId w:val="18"/>
  </w:num>
  <w:num w:numId="8" w16cid:durableId="243492984">
    <w:abstractNumId w:val="0"/>
  </w:num>
  <w:num w:numId="9" w16cid:durableId="2067795260">
    <w:abstractNumId w:val="21"/>
  </w:num>
  <w:num w:numId="10" w16cid:durableId="1008021640">
    <w:abstractNumId w:val="16"/>
  </w:num>
  <w:num w:numId="11" w16cid:durableId="1966614791">
    <w:abstractNumId w:val="17"/>
  </w:num>
  <w:num w:numId="12" w16cid:durableId="2069106635">
    <w:abstractNumId w:val="20"/>
  </w:num>
  <w:num w:numId="13" w16cid:durableId="1845780285">
    <w:abstractNumId w:val="4"/>
  </w:num>
  <w:num w:numId="14" w16cid:durableId="1995335591">
    <w:abstractNumId w:val="6"/>
  </w:num>
  <w:num w:numId="15" w16cid:durableId="965428702">
    <w:abstractNumId w:val="22"/>
  </w:num>
  <w:num w:numId="16" w16cid:durableId="1164856560">
    <w:abstractNumId w:val="10"/>
  </w:num>
  <w:num w:numId="17" w16cid:durableId="2123725023">
    <w:abstractNumId w:val="19"/>
  </w:num>
  <w:num w:numId="18" w16cid:durableId="1149786500">
    <w:abstractNumId w:val="9"/>
  </w:num>
  <w:num w:numId="19" w16cid:durableId="620460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011268">
    <w:abstractNumId w:val="23"/>
  </w:num>
  <w:num w:numId="21" w16cid:durableId="359091090">
    <w:abstractNumId w:val="8"/>
  </w:num>
  <w:num w:numId="22" w16cid:durableId="870336612">
    <w:abstractNumId w:val="11"/>
  </w:num>
  <w:num w:numId="23" w16cid:durableId="1624193759">
    <w:abstractNumId w:val="13"/>
  </w:num>
  <w:num w:numId="24" w16cid:durableId="1390374554">
    <w:abstractNumId w:val="7"/>
  </w:num>
  <w:num w:numId="25" w16cid:durableId="108437457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85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52A2"/>
    <w:rsid w:val="000069E4"/>
    <w:rsid w:val="00007458"/>
    <w:rsid w:val="00010DCA"/>
    <w:rsid w:val="00017AD9"/>
    <w:rsid w:val="000226A1"/>
    <w:rsid w:val="00030477"/>
    <w:rsid w:val="00030FC3"/>
    <w:rsid w:val="000320FF"/>
    <w:rsid w:val="000342F2"/>
    <w:rsid w:val="000354F5"/>
    <w:rsid w:val="00036C7D"/>
    <w:rsid w:val="00040181"/>
    <w:rsid w:val="00041C11"/>
    <w:rsid w:val="00043623"/>
    <w:rsid w:val="0005222A"/>
    <w:rsid w:val="00053672"/>
    <w:rsid w:val="00060F58"/>
    <w:rsid w:val="000627AD"/>
    <w:rsid w:val="00065291"/>
    <w:rsid w:val="00070790"/>
    <w:rsid w:val="00076883"/>
    <w:rsid w:val="00076CFE"/>
    <w:rsid w:val="000800FA"/>
    <w:rsid w:val="00081B88"/>
    <w:rsid w:val="000831C0"/>
    <w:rsid w:val="00083AC5"/>
    <w:rsid w:val="000845BD"/>
    <w:rsid w:val="000849EC"/>
    <w:rsid w:val="00087CBF"/>
    <w:rsid w:val="00094EC7"/>
    <w:rsid w:val="00097408"/>
    <w:rsid w:val="000974B1"/>
    <w:rsid w:val="000A0DF7"/>
    <w:rsid w:val="000A1883"/>
    <w:rsid w:val="000A4844"/>
    <w:rsid w:val="000B1075"/>
    <w:rsid w:val="000B1C33"/>
    <w:rsid w:val="000B1F13"/>
    <w:rsid w:val="000B31A2"/>
    <w:rsid w:val="000B36DF"/>
    <w:rsid w:val="000B4CAB"/>
    <w:rsid w:val="000C031E"/>
    <w:rsid w:val="000C0A53"/>
    <w:rsid w:val="000C7354"/>
    <w:rsid w:val="000D083C"/>
    <w:rsid w:val="000D1451"/>
    <w:rsid w:val="000D295F"/>
    <w:rsid w:val="000D5CAA"/>
    <w:rsid w:val="000D7C50"/>
    <w:rsid w:val="000E0132"/>
    <w:rsid w:val="000E07E4"/>
    <w:rsid w:val="000E189B"/>
    <w:rsid w:val="000E363E"/>
    <w:rsid w:val="000E408B"/>
    <w:rsid w:val="000E5634"/>
    <w:rsid w:val="000E56A8"/>
    <w:rsid w:val="000E5C37"/>
    <w:rsid w:val="000E7C13"/>
    <w:rsid w:val="000F00E0"/>
    <w:rsid w:val="000F79D6"/>
    <w:rsid w:val="0010037F"/>
    <w:rsid w:val="001039C4"/>
    <w:rsid w:val="00105BDB"/>
    <w:rsid w:val="001065C5"/>
    <w:rsid w:val="00112B59"/>
    <w:rsid w:val="00113020"/>
    <w:rsid w:val="00116860"/>
    <w:rsid w:val="001215FE"/>
    <w:rsid w:val="0012295A"/>
    <w:rsid w:val="00125217"/>
    <w:rsid w:val="00131271"/>
    <w:rsid w:val="001338B0"/>
    <w:rsid w:val="00134E47"/>
    <w:rsid w:val="00136596"/>
    <w:rsid w:val="001375C3"/>
    <w:rsid w:val="0013762C"/>
    <w:rsid w:val="00145A4D"/>
    <w:rsid w:val="001507EA"/>
    <w:rsid w:val="00151149"/>
    <w:rsid w:val="00152C7C"/>
    <w:rsid w:val="00153824"/>
    <w:rsid w:val="00157B1E"/>
    <w:rsid w:val="001601C8"/>
    <w:rsid w:val="00161FF0"/>
    <w:rsid w:val="00162244"/>
    <w:rsid w:val="001664D9"/>
    <w:rsid w:val="001666A9"/>
    <w:rsid w:val="0017043F"/>
    <w:rsid w:val="00173842"/>
    <w:rsid w:val="00173E4A"/>
    <w:rsid w:val="00173FAB"/>
    <w:rsid w:val="00181BF4"/>
    <w:rsid w:val="00184371"/>
    <w:rsid w:val="00193011"/>
    <w:rsid w:val="001930C3"/>
    <w:rsid w:val="00194490"/>
    <w:rsid w:val="001945BD"/>
    <w:rsid w:val="001A0407"/>
    <w:rsid w:val="001A0E3F"/>
    <w:rsid w:val="001A3B2A"/>
    <w:rsid w:val="001A504D"/>
    <w:rsid w:val="001A5DF8"/>
    <w:rsid w:val="001A786B"/>
    <w:rsid w:val="001B1C55"/>
    <w:rsid w:val="001B25EC"/>
    <w:rsid w:val="001B5F0D"/>
    <w:rsid w:val="001B5F4F"/>
    <w:rsid w:val="001B7E88"/>
    <w:rsid w:val="001C30BB"/>
    <w:rsid w:val="001C4CA0"/>
    <w:rsid w:val="001C747B"/>
    <w:rsid w:val="001D1FC8"/>
    <w:rsid w:val="001D268B"/>
    <w:rsid w:val="001D5911"/>
    <w:rsid w:val="001D79DD"/>
    <w:rsid w:val="001E1009"/>
    <w:rsid w:val="001E27EC"/>
    <w:rsid w:val="001E5F7F"/>
    <w:rsid w:val="001E7C74"/>
    <w:rsid w:val="001E7D3C"/>
    <w:rsid w:val="001F110F"/>
    <w:rsid w:val="001F3352"/>
    <w:rsid w:val="001F37D7"/>
    <w:rsid w:val="001F6CB5"/>
    <w:rsid w:val="00200E60"/>
    <w:rsid w:val="0020268E"/>
    <w:rsid w:val="00203270"/>
    <w:rsid w:val="00204EF0"/>
    <w:rsid w:val="0020513D"/>
    <w:rsid w:val="002107EF"/>
    <w:rsid w:val="00210AD3"/>
    <w:rsid w:val="002110DD"/>
    <w:rsid w:val="00211D34"/>
    <w:rsid w:val="002151AE"/>
    <w:rsid w:val="00220C70"/>
    <w:rsid w:val="00222C76"/>
    <w:rsid w:val="002230C0"/>
    <w:rsid w:val="00223555"/>
    <w:rsid w:val="00223569"/>
    <w:rsid w:val="002236C5"/>
    <w:rsid w:val="00223A3D"/>
    <w:rsid w:val="00223F6E"/>
    <w:rsid w:val="0022652F"/>
    <w:rsid w:val="0022707C"/>
    <w:rsid w:val="002273F5"/>
    <w:rsid w:val="00231397"/>
    <w:rsid w:val="00235829"/>
    <w:rsid w:val="0023694C"/>
    <w:rsid w:val="00236A55"/>
    <w:rsid w:val="00240061"/>
    <w:rsid w:val="002449D5"/>
    <w:rsid w:val="00246C62"/>
    <w:rsid w:val="002471B4"/>
    <w:rsid w:val="00247F0F"/>
    <w:rsid w:val="00250427"/>
    <w:rsid w:val="0025200C"/>
    <w:rsid w:val="0025300A"/>
    <w:rsid w:val="0025411E"/>
    <w:rsid w:val="0025413F"/>
    <w:rsid w:val="002551C4"/>
    <w:rsid w:val="002556D8"/>
    <w:rsid w:val="00257686"/>
    <w:rsid w:val="00257EF9"/>
    <w:rsid w:val="0026116A"/>
    <w:rsid w:val="00262D1B"/>
    <w:rsid w:val="0026310A"/>
    <w:rsid w:val="002651E8"/>
    <w:rsid w:val="00270180"/>
    <w:rsid w:val="002705A5"/>
    <w:rsid w:val="00272BAA"/>
    <w:rsid w:val="002734C0"/>
    <w:rsid w:val="002741B5"/>
    <w:rsid w:val="0027505F"/>
    <w:rsid w:val="00276E1B"/>
    <w:rsid w:val="00277BB6"/>
    <w:rsid w:val="002820AF"/>
    <w:rsid w:val="0028393A"/>
    <w:rsid w:val="002869D0"/>
    <w:rsid w:val="00287298"/>
    <w:rsid w:val="00287614"/>
    <w:rsid w:val="00287834"/>
    <w:rsid w:val="00292F16"/>
    <w:rsid w:val="002945C3"/>
    <w:rsid w:val="002953BD"/>
    <w:rsid w:val="00296E12"/>
    <w:rsid w:val="002A1FA0"/>
    <w:rsid w:val="002A22FC"/>
    <w:rsid w:val="002A5567"/>
    <w:rsid w:val="002A6767"/>
    <w:rsid w:val="002A718A"/>
    <w:rsid w:val="002A73DD"/>
    <w:rsid w:val="002B3866"/>
    <w:rsid w:val="002B7BAF"/>
    <w:rsid w:val="002C0B25"/>
    <w:rsid w:val="002C1FFB"/>
    <w:rsid w:val="002C28D2"/>
    <w:rsid w:val="002C56F6"/>
    <w:rsid w:val="002C6631"/>
    <w:rsid w:val="002D2E91"/>
    <w:rsid w:val="002D35EC"/>
    <w:rsid w:val="002E072D"/>
    <w:rsid w:val="002E0D88"/>
    <w:rsid w:val="002E1DD8"/>
    <w:rsid w:val="002E22B8"/>
    <w:rsid w:val="002E2E62"/>
    <w:rsid w:val="002F1591"/>
    <w:rsid w:val="002F18DD"/>
    <w:rsid w:val="002F23DC"/>
    <w:rsid w:val="002F4080"/>
    <w:rsid w:val="002F46C5"/>
    <w:rsid w:val="0030023E"/>
    <w:rsid w:val="003003CB"/>
    <w:rsid w:val="00302870"/>
    <w:rsid w:val="00305D5B"/>
    <w:rsid w:val="0030746C"/>
    <w:rsid w:val="00307758"/>
    <w:rsid w:val="00311BD5"/>
    <w:rsid w:val="00320404"/>
    <w:rsid w:val="003219DA"/>
    <w:rsid w:val="00322A20"/>
    <w:rsid w:val="003273D3"/>
    <w:rsid w:val="003318CA"/>
    <w:rsid w:val="00334102"/>
    <w:rsid w:val="00334F1A"/>
    <w:rsid w:val="003369CD"/>
    <w:rsid w:val="003374A1"/>
    <w:rsid w:val="00337F61"/>
    <w:rsid w:val="003413F6"/>
    <w:rsid w:val="0034181A"/>
    <w:rsid w:val="00343763"/>
    <w:rsid w:val="00345B84"/>
    <w:rsid w:val="00345E83"/>
    <w:rsid w:val="00347CA3"/>
    <w:rsid w:val="003549F4"/>
    <w:rsid w:val="003575D9"/>
    <w:rsid w:val="0035766D"/>
    <w:rsid w:val="00362AE0"/>
    <w:rsid w:val="00362BE5"/>
    <w:rsid w:val="00366F30"/>
    <w:rsid w:val="003702BE"/>
    <w:rsid w:val="00376EC1"/>
    <w:rsid w:val="0038098B"/>
    <w:rsid w:val="00387AF4"/>
    <w:rsid w:val="00390E8B"/>
    <w:rsid w:val="003A031F"/>
    <w:rsid w:val="003A0513"/>
    <w:rsid w:val="003A0A98"/>
    <w:rsid w:val="003A0D57"/>
    <w:rsid w:val="003A1D39"/>
    <w:rsid w:val="003A1E3E"/>
    <w:rsid w:val="003A2543"/>
    <w:rsid w:val="003A5CAB"/>
    <w:rsid w:val="003A651B"/>
    <w:rsid w:val="003A662B"/>
    <w:rsid w:val="003B0F3B"/>
    <w:rsid w:val="003B7C51"/>
    <w:rsid w:val="003B7E1D"/>
    <w:rsid w:val="003C35CA"/>
    <w:rsid w:val="003C3C19"/>
    <w:rsid w:val="003D6B24"/>
    <w:rsid w:val="003E082E"/>
    <w:rsid w:val="003E1425"/>
    <w:rsid w:val="003E3276"/>
    <w:rsid w:val="003E3454"/>
    <w:rsid w:val="003E3EE7"/>
    <w:rsid w:val="003E7DD0"/>
    <w:rsid w:val="004010FB"/>
    <w:rsid w:val="00401301"/>
    <w:rsid w:val="00401FF0"/>
    <w:rsid w:val="004122C2"/>
    <w:rsid w:val="00413B50"/>
    <w:rsid w:val="004164C8"/>
    <w:rsid w:val="00420782"/>
    <w:rsid w:val="004230E7"/>
    <w:rsid w:val="004251F8"/>
    <w:rsid w:val="00425400"/>
    <w:rsid w:val="004270D9"/>
    <w:rsid w:val="00430158"/>
    <w:rsid w:val="004411D8"/>
    <w:rsid w:val="004441EB"/>
    <w:rsid w:val="00452BD6"/>
    <w:rsid w:val="00453A99"/>
    <w:rsid w:val="00456FE6"/>
    <w:rsid w:val="00457D9A"/>
    <w:rsid w:val="00461A05"/>
    <w:rsid w:val="004621E9"/>
    <w:rsid w:val="0046446E"/>
    <w:rsid w:val="00465EF9"/>
    <w:rsid w:val="0047326C"/>
    <w:rsid w:val="004736F8"/>
    <w:rsid w:val="004834F5"/>
    <w:rsid w:val="00486F32"/>
    <w:rsid w:val="004874C2"/>
    <w:rsid w:val="004900DB"/>
    <w:rsid w:val="00490EBA"/>
    <w:rsid w:val="00491808"/>
    <w:rsid w:val="0049183D"/>
    <w:rsid w:val="00496B53"/>
    <w:rsid w:val="004A560B"/>
    <w:rsid w:val="004B1A24"/>
    <w:rsid w:val="004B6544"/>
    <w:rsid w:val="004C3605"/>
    <w:rsid w:val="004C3B98"/>
    <w:rsid w:val="004C58D8"/>
    <w:rsid w:val="004D1477"/>
    <w:rsid w:val="004D33A7"/>
    <w:rsid w:val="004E1ABD"/>
    <w:rsid w:val="004E4A4B"/>
    <w:rsid w:val="004E51D1"/>
    <w:rsid w:val="004E71FF"/>
    <w:rsid w:val="004E775C"/>
    <w:rsid w:val="004F02F9"/>
    <w:rsid w:val="004F391B"/>
    <w:rsid w:val="004F600C"/>
    <w:rsid w:val="00502AA8"/>
    <w:rsid w:val="00503BB6"/>
    <w:rsid w:val="00504FA1"/>
    <w:rsid w:val="00505D6C"/>
    <w:rsid w:val="0051687B"/>
    <w:rsid w:val="00520787"/>
    <w:rsid w:val="005207B7"/>
    <w:rsid w:val="0052131B"/>
    <w:rsid w:val="00523CAB"/>
    <w:rsid w:val="005275E6"/>
    <w:rsid w:val="005308BB"/>
    <w:rsid w:val="00533CB2"/>
    <w:rsid w:val="0053546C"/>
    <w:rsid w:val="00541CDA"/>
    <w:rsid w:val="00547486"/>
    <w:rsid w:val="00550EFF"/>
    <w:rsid w:val="00556A0A"/>
    <w:rsid w:val="00557DBA"/>
    <w:rsid w:val="005610B7"/>
    <w:rsid w:val="00561F1C"/>
    <w:rsid w:val="00562B64"/>
    <w:rsid w:val="00562D72"/>
    <w:rsid w:val="00570C7F"/>
    <w:rsid w:val="005717F4"/>
    <w:rsid w:val="00581A29"/>
    <w:rsid w:val="00585FA5"/>
    <w:rsid w:val="00586837"/>
    <w:rsid w:val="0058791F"/>
    <w:rsid w:val="005957B2"/>
    <w:rsid w:val="0059680C"/>
    <w:rsid w:val="005A16A5"/>
    <w:rsid w:val="005A1CC2"/>
    <w:rsid w:val="005A2E47"/>
    <w:rsid w:val="005A2EA3"/>
    <w:rsid w:val="005A35E0"/>
    <w:rsid w:val="005A53CA"/>
    <w:rsid w:val="005A5EF5"/>
    <w:rsid w:val="005A7AD6"/>
    <w:rsid w:val="005B39A7"/>
    <w:rsid w:val="005B4FA2"/>
    <w:rsid w:val="005B59B7"/>
    <w:rsid w:val="005C16F0"/>
    <w:rsid w:val="005C423B"/>
    <w:rsid w:val="005C47BD"/>
    <w:rsid w:val="005C55FB"/>
    <w:rsid w:val="005C5973"/>
    <w:rsid w:val="005C64CE"/>
    <w:rsid w:val="005D52ED"/>
    <w:rsid w:val="005D7098"/>
    <w:rsid w:val="005E10B8"/>
    <w:rsid w:val="005E16C4"/>
    <w:rsid w:val="005E195E"/>
    <w:rsid w:val="005E4E9D"/>
    <w:rsid w:val="005E7402"/>
    <w:rsid w:val="005F3F33"/>
    <w:rsid w:val="005F42C5"/>
    <w:rsid w:val="005F4C9F"/>
    <w:rsid w:val="00600BCE"/>
    <w:rsid w:val="00601937"/>
    <w:rsid w:val="006032F2"/>
    <w:rsid w:val="00603452"/>
    <w:rsid w:val="00603A0D"/>
    <w:rsid w:val="006103FD"/>
    <w:rsid w:val="00610AC8"/>
    <w:rsid w:val="00611712"/>
    <w:rsid w:val="00612B4A"/>
    <w:rsid w:val="00623252"/>
    <w:rsid w:val="006245EA"/>
    <w:rsid w:val="00631612"/>
    <w:rsid w:val="00636468"/>
    <w:rsid w:val="00637C62"/>
    <w:rsid w:val="0064132E"/>
    <w:rsid w:val="00641701"/>
    <w:rsid w:val="00643075"/>
    <w:rsid w:val="0064464B"/>
    <w:rsid w:val="00645517"/>
    <w:rsid w:val="00647144"/>
    <w:rsid w:val="00647ADF"/>
    <w:rsid w:val="006501D8"/>
    <w:rsid w:val="0065066E"/>
    <w:rsid w:val="00651438"/>
    <w:rsid w:val="00652792"/>
    <w:rsid w:val="006534CF"/>
    <w:rsid w:val="00653DCC"/>
    <w:rsid w:val="006550B3"/>
    <w:rsid w:val="0066186C"/>
    <w:rsid w:val="006705FE"/>
    <w:rsid w:val="00671434"/>
    <w:rsid w:val="00672000"/>
    <w:rsid w:val="006856A7"/>
    <w:rsid w:val="00690AAF"/>
    <w:rsid w:val="0069159F"/>
    <w:rsid w:val="00692B07"/>
    <w:rsid w:val="00693E67"/>
    <w:rsid w:val="00694024"/>
    <w:rsid w:val="00696981"/>
    <w:rsid w:val="006A3BFB"/>
    <w:rsid w:val="006A3E61"/>
    <w:rsid w:val="006A7F8F"/>
    <w:rsid w:val="006B3EFA"/>
    <w:rsid w:val="006B54D6"/>
    <w:rsid w:val="006B60E4"/>
    <w:rsid w:val="006C158D"/>
    <w:rsid w:val="006C1E7E"/>
    <w:rsid w:val="006C6F4A"/>
    <w:rsid w:val="006C7527"/>
    <w:rsid w:val="006D186C"/>
    <w:rsid w:val="006D2CD0"/>
    <w:rsid w:val="006D312E"/>
    <w:rsid w:val="006E2D76"/>
    <w:rsid w:val="006E3892"/>
    <w:rsid w:val="006E500B"/>
    <w:rsid w:val="006E7E7E"/>
    <w:rsid w:val="006F4A5B"/>
    <w:rsid w:val="006F6ABF"/>
    <w:rsid w:val="006F782D"/>
    <w:rsid w:val="0070095E"/>
    <w:rsid w:val="0070356D"/>
    <w:rsid w:val="00703A4B"/>
    <w:rsid w:val="00704265"/>
    <w:rsid w:val="00706A06"/>
    <w:rsid w:val="0071468F"/>
    <w:rsid w:val="00721F4F"/>
    <w:rsid w:val="00727643"/>
    <w:rsid w:val="007301E9"/>
    <w:rsid w:val="00730C14"/>
    <w:rsid w:val="0073556F"/>
    <w:rsid w:val="00740710"/>
    <w:rsid w:val="00740C0F"/>
    <w:rsid w:val="00742A8D"/>
    <w:rsid w:val="00746CCF"/>
    <w:rsid w:val="00750F40"/>
    <w:rsid w:val="0075474E"/>
    <w:rsid w:val="0075483B"/>
    <w:rsid w:val="00772103"/>
    <w:rsid w:val="007724D1"/>
    <w:rsid w:val="007779DB"/>
    <w:rsid w:val="00781DFA"/>
    <w:rsid w:val="007829E9"/>
    <w:rsid w:val="007834E2"/>
    <w:rsid w:val="00785747"/>
    <w:rsid w:val="00785D65"/>
    <w:rsid w:val="00785DDF"/>
    <w:rsid w:val="00791CF0"/>
    <w:rsid w:val="0079332F"/>
    <w:rsid w:val="00796DDB"/>
    <w:rsid w:val="007A3602"/>
    <w:rsid w:val="007B03E7"/>
    <w:rsid w:val="007B2282"/>
    <w:rsid w:val="007B4FDE"/>
    <w:rsid w:val="007B6206"/>
    <w:rsid w:val="007B74E1"/>
    <w:rsid w:val="007C0526"/>
    <w:rsid w:val="007C198C"/>
    <w:rsid w:val="007C2F2F"/>
    <w:rsid w:val="007C364A"/>
    <w:rsid w:val="007C3AE6"/>
    <w:rsid w:val="007D045C"/>
    <w:rsid w:val="007D7562"/>
    <w:rsid w:val="007E1147"/>
    <w:rsid w:val="007E124C"/>
    <w:rsid w:val="007E269D"/>
    <w:rsid w:val="007E337D"/>
    <w:rsid w:val="007E379F"/>
    <w:rsid w:val="007E665B"/>
    <w:rsid w:val="007F20B8"/>
    <w:rsid w:val="007F5F02"/>
    <w:rsid w:val="007F746B"/>
    <w:rsid w:val="00807CF7"/>
    <w:rsid w:val="00811FA0"/>
    <w:rsid w:val="0081257E"/>
    <w:rsid w:val="00814588"/>
    <w:rsid w:val="00815813"/>
    <w:rsid w:val="00816028"/>
    <w:rsid w:val="00824926"/>
    <w:rsid w:val="00824E99"/>
    <w:rsid w:val="00825FC5"/>
    <w:rsid w:val="008306CC"/>
    <w:rsid w:val="00830FE1"/>
    <w:rsid w:val="00831204"/>
    <w:rsid w:val="00831521"/>
    <w:rsid w:val="008320FC"/>
    <w:rsid w:val="008347D9"/>
    <w:rsid w:val="00835149"/>
    <w:rsid w:val="0083677A"/>
    <w:rsid w:val="008371D6"/>
    <w:rsid w:val="008413F3"/>
    <w:rsid w:val="00844254"/>
    <w:rsid w:val="00846B8F"/>
    <w:rsid w:val="008523D8"/>
    <w:rsid w:val="00852A24"/>
    <w:rsid w:val="00852C8E"/>
    <w:rsid w:val="008543D2"/>
    <w:rsid w:val="00861604"/>
    <w:rsid w:val="00863629"/>
    <w:rsid w:val="00864B68"/>
    <w:rsid w:val="00865F97"/>
    <w:rsid w:val="00867762"/>
    <w:rsid w:val="0087001B"/>
    <w:rsid w:val="00871C8E"/>
    <w:rsid w:val="008731E8"/>
    <w:rsid w:val="00873854"/>
    <w:rsid w:val="00874EA8"/>
    <w:rsid w:val="00876C2C"/>
    <w:rsid w:val="008824CC"/>
    <w:rsid w:val="008852C8"/>
    <w:rsid w:val="0088639D"/>
    <w:rsid w:val="00891FFA"/>
    <w:rsid w:val="00893339"/>
    <w:rsid w:val="00897556"/>
    <w:rsid w:val="0089780F"/>
    <w:rsid w:val="008A00B3"/>
    <w:rsid w:val="008A56A2"/>
    <w:rsid w:val="008B0CA8"/>
    <w:rsid w:val="008B2936"/>
    <w:rsid w:val="008C5F41"/>
    <w:rsid w:val="008D2128"/>
    <w:rsid w:val="008D3217"/>
    <w:rsid w:val="008D4D52"/>
    <w:rsid w:val="008D627D"/>
    <w:rsid w:val="008E2B30"/>
    <w:rsid w:val="008E363A"/>
    <w:rsid w:val="008E66A3"/>
    <w:rsid w:val="008E6BB3"/>
    <w:rsid w:val="008E6EC7"/>
    <w:rsid w:val="008E7E5A"/>
    <w:rsid w:val="008E7F55"/>
    <w:rsid w:val="008F25B4"/>
    <w:rsid w:val="008F3D2C"/>
    <w:rsid w:val="008F4C6C"/>
    <w:rsid w:val="008F6885"/>
    <w:rsid w:val="008F79E8"/>
    <w:rsid w:val="00901017"/>
    <w:rsid w:val="00905CAE"/>
    <w:rsid w:val="00911444"/>
    <w:rsid w:val="00912243"/>
    <w:rsid w:val="00914926"/>
    <w:rsid w:val="009158CB"/>
    <w:rsid w:val="0092512E"/>
    <w:rsid w:val="0092538F"/>
    <w:rsid w:val="0092698E"/>
    <w:rsid w:val="0093337B"/>
    <w:rsid w:val="009349DC"/>
    <w:rsid w:val="00935045"/>
    <w:rsid w:val="009353CA"/>
    <w:rsid w:val="009443CF"/>
    <w:rsid w:val="009464EA"/>
    <w:rsid w:val="0095006A"/>
    <w:rsid w:val="00951656"/>
    <w:rsid w:val="00951B7E"/>
    <w:rsid w:val="00953953"/>
    <w:rsid w:val="00953B6C"/>
    <w:rsid w:val="00955490"/>
    <w:rsid w:val="00955E7B"/>
    <w:rsid w:val="009570B6"/>
    <w:rsid w:val="0095789C"/>
    <w:rsid w:val="0096561D"/>
    <w:rsid w:val="009675E1"/>
    <w:rsid w:val="0097121D"/>
    <w:rsid w:val="009719DE"/>
    <w:rsid w:val="009726FF"/>
    <w:rsid w:val="0097584E"/>
    <w:rsid w:val="00982C42"/>
    <w:rsid w:val="009852C1"/>
    <w:rsid w:val="00986ACE"/>
    <w:rsid w:val="00986C82"/>
    <w:rsid w:val="00990CF5"/>
    <w:rsid w:val="00993534"/>
    <w:rsid w:val="009963A1"/>
    <w:rsid w:val="009A3216"/>
    <w:rsid w:val="009A32E3"/>
    <w:rsid w:val="009A3E29"/>
    <w:rsid w:val="009A5AE5"/>
    <w:rsid w:val="009A6B8A"/>
    <w:rsid w:val="009B12C4"/>
    <w:rsid w:val="009B2F74"/>
    <w:rsid w:val="009B4115"/>
    <w:rsid w:val="009C4CA5"/>
    <w:rsid w:val="009C4F8C"/>
    <w:rsid w:val="009C5E46"/>
    <w:rsid w:val="009D5F0B"/>
    <w:rsid w:val="009D7244"/>
    <w:rsid w:val="009E25A6"/>
    <w:rsid w:val="009E358F"/>
    <w:rsid w:val="009E4D46"/>
    <w:rsid w:val="009F2165"/>
    <w:rsid w:val="009F7574"/>
    <w:rsid w:val="009F79AA"/>
    <w:rsid w:val="00A04307"/>
    <w:rsid w:val="00A109FC"/>
    <w:rsid w:val="00A14C3B"/>
    <w:rsid w:val="00A15ADC"/>
    <w:rsid w:val="00A1611D"/>
    <w:rsid w:val="00A21DFB"/>
    <w:rsid w:val="00A242B7"/>
    <w:rsid w:val="00A30764"/>
    <w:rsid w:val="00A3127A"/>
    <w:rsid w:val="00A35698"/>
    <w:rsid w:val="00A42C32"/>
    <w:rsid w:val="00A432D4"/>
    <w:rsid w:val="00A4489A"/>
    <w:rsid w:val="00A51144"/>
    <w:rsid w:val="00A52A19"/>
    <w:rsid w:val="00A53B21"/>
    <w:rsid w:val="00A57D02"/>
    <w:rsid w:val="00A60BD1"/>
    <w:rsid w:val="00A62036"/>
    <w:rsid w:val="00A62099"/>
    <w:rsid w:val="00A6558E"/>
    <w:rsid w:val="00A66B5D"/>
    <w:rsid w:val="00A7044C"/>
    <w:rsid w:val="00A71FD4"/>
    <w:rsid w:val="00A740CF"/>
    <w:rsid w:val="00A7423D"/>
    <w:rsid w:val="00A76118"/>
    <w:rsid w:val="00A77338"/>
    <w:rsid w:val="00A80F52"/>
    <w:rsid w:val="00A858C9"/>
    <w:rsid w:val="00A866B5"/>
    <w:rsid w:val="00A93755"/>
    <w:rsid w:val="00A93A32"/>
    <w:rsid w:val="00A9537F"/>
    <w:rsid w:val="00AA2C15"/>
    <w:rsid w:val="00AA3AD9"/>
    <w:rsid w:val="00AA3CCC"/>
    <w:rsid w:val="00AA402D"/>
    <w:rsid w:val="00AA56AE"/>
    <w:rsid w:val="00AB7050"/>
    <w:rsid w:val="00AC10C4"/>
    <w:rsid w:val="00AC4F03"/>
    <w:rsid w:val="00AD0C96"/>
    <w:rsid w:val="00AD14A4"/>
    <w:rsid w:val="00AD3446"/>
    <w:rsid w:val="00AD4DB1"/>
    <w:rsid w:val="00AE18C1"/>
    <w:rsid w:val="00AE4ABC"/>
    <w:rsid w:val="00AE7ABC"/>
    <w:rsid w:val="00AF10C0"/>
    <w:rsid w:val="00AF1509"/>
    <w:rsid w:val="00AF23CE"/>
    <w:rsid w:val="00AF3418"/>
    <w:rsid w:val="00AF3925"/>
    <w:rsid w:val="00AF5CF2"/>
    <w:rsid w:val="00AF6234"/>
    <w:rsid w:val="00AF7924"/>
    <w:rsid w:val="00B007BF"/>
    <w:rsid w:val="00B00C70"/>
    <w:rsid w:val="00B02442"/>
    <w:rsid w:val="00B12F1E"/>
    <w:rsid w:val="00B15833"/>
    <w:rsid w:val="00B17C59"/>
    <w:rsid w:val="00B27148"/>
    <w:rsid w:val="00B30006"/>
    <w:rsid w:val="00B33B1E"/>
    <w:rsid w:val="00B33EB1"/>
    <w:rsid w:val="00B433D4"/>
    <w:rsid w:val="00B44457"/>
    <w:rsid w:val="00B44E25"/>
    <w:rsid w:val="00B45130"/>
    <w:rsid w:val="00B46DA5"/>
    <w:rsid w:val="00B46FCC"/>
    <w:rsid w:val="00B471B3"/>
    <w:rsid w:val="00B50EAD"/>
    <w:rsid w:val="00B51C48"/>
    <w:rsid w:val="00B61061"/>
    <w:rsid w:val="00B6313B"/>
    <w:rsid w:val="00B667F9"/>
    <w:rsid w:val="00B76B2D"/>
    <w:rsid w:val="00B80A50"/>
    <w:rsid w:val="00B853EE"/>
    <w:rsid w:val="00B863A2"/>
    <w:rsid w:val="00B97D75"/>
    <w:rsid w:val="00BA0984"/>
    <w:rsid w:val="00BA09A1"/>
    <w:rsid w:val="00BA0AB7"/>
    <w:rsid w:val="00BA173E"/>
    <w:rsid w:val="00BA1850"/>
    <w:rsid w:val="00BA629B"/>
    <w:rsid w:val="00BA7E5A"/>
    <w:rsid w:val="00BB03F9"/>
    <w:rsid w:val="00BB233A"/>
    <w:rsid w:val="00BC2A7C"/>
    <w:rsid w:val="00BC3339"/>
    <w:rsid w:val="00BC39C2"/>
    <w:rsid w:val="00BC5E86"/>
    <w:rsid w:val="00BC74F5"/>
    <w:rsid w:val="00BD09FF"/>
    <w:rsid w:val="00BD1F42"/>
    <w:rsid w:val="00BD24C3"/>
    <w:rsid w:val="00BD2C5B"/>
    <w:rsid w:val="00BD4D8C"/>
    <w:rsid w:val="00BD53EA"/>
    <w:rsid w:val="00BD5DCC"/>
    <w:rsid w:val="00BE0FBA"/>
    <w:rsid w:val="00BE10FD"/>
    <w:rsid w:val="00BE38AA"/>
    <w:rsid w:val="00BE3F9E"/>
    <w:rsid w:val="00BE4069"/>
    <w:rsid w:val="00BE6503"/>
    <w:rsid w:val="00BF22E3"/>
    <w:rsid w:val="00BF396F"/>
    <w:rsid w:val="00BF48A1"/>
    <w:rsid w:val="00BF698B"/>
    <w:rsid w:val="00C03863"/>
    <w:rsid w:val="00C06438"/>
    <w:rsid w:val="00C07130"/>
    <w:rsid w:val="00C12C7F"/>
    <w:rsid w:val="00C1440D"/>
    <w:rsid w:val="00C14AA9"/>
    <w:rsid w:val="00C14D48"/>
    <w:rsid w:val="00C160E8"/>
    <w:rsid w:val="00C2061F"/>
    <w:rsid w:val="00C23B02"/>
    <w:rsid w:val="00C259A7"/>
    <w:rsid w:val="00C261A8"/>
    <w:rsid w:val="00C26BAF"/>
    <w:rsid w:val="00C27CC2"/>
    <w:rsid w:val="00C30389"/>
    <w:rsid w:val="00C33BCD"/>
    <w:rsid w:val="00C34D42"/>
    <w:rsid w:val="00C4191F"/>
    <w:rsid w:val="00C41E96"/>
    <w:rsid w:val="00C45A8E"/>
    <w:rsid w:val="00C45B3B"/>
    <w:rsid w:val="00C50E44"/>
    <w:rsid w:val="00C52D6B"/>
    <w:rsid w:val="00C571B3"/>
    <w:rsid w:val="00C573A4"/>
    <w:rsid w:val="00C577E6"/>
    <w:rsid w:val="00C66EE9"/>
    <w:rsid w:val="00C7276F"/>
    <w:rsid w:val="00C7450B"/>
    <w:rsid w:val="00C76F69"/>
    <w:rsid w:val="00C77F13"/>
    <w:rsid w:val="00C80692"/>
    <w:rsid w:val="00C81A31"/>
    <w:rsid w:val="00C82318"/>
    <w:rsid w:val="00C863F5"/>
    <w:rsid w:val="00C9108B"/>
    <w:rsid w:val="00C92F81"/>
    <w:rsid w:val="00C95CD4"/>
    <w:rsid w:val="00CA690D"/>
    <w:rsid w:val="00CA6C8A"/>
    <w:rsid w:val="00CB1B63"/>
    <w:rsid w:val="00CB59C3"/>
    <w:rsid w:val="00CC15CC"/>
    <w:rsid w:val="00CC2B5A"/>
    <w:rsid w:val="00CC3915"/>
    <w:rsid w:val="00CC4072"/>
    <w:rsid w:val="00CC6A3C"/>
    <w:rsid w:val="00CD1C9B"/>
    <w:rsid w:val="00CD6046"/>
    <w:rsid w:val="00CD62B6"/>
    <w:rsid w:val="00CD778C"/>
    <w:rsid w:val="00CE0819"/>
    <w:rsid w:val="00CE0D1F"/>
    <w:rsid w:val="00CE133E"/>
    <w:rsid w:val="00CE2251"/>
    <w:rsid w:val="00CE2FEF"/>
    <w:rsid w:val="00CE369C"/>
    <w:rsid w:val="00CE4B87"/>
    <w:rsid w:val="00CE66B9"/>
    <w:rsid w:val="00CF2FAE"/>
    <w:rsid w:val="00CF3319"/>
    <w:rsid w:val="00CF3813"/>
    <w:rsid w:val="00CF3C3F"/>
    <w:rsid w:val="00CF5955"/>
    <w:rsid w:val="00CF60B2"/>
    <w:rsid w:val="00CF6718"/>
    <w:rsid w:val="00CF6B32"/>
    <w:rsid w:val="00CF72F4"/>
    <w:rsid w:val="00D11BC1"/>
    <w:rsid w:val="00D146E1"/>
    <w:rsid w:val="00D14823"/>
    <w:rsid w:val="00D271BB"/>
    <w:rsid w:val="00D27579"/>
    <w:rsid w:val="00D27683"/>
    <w:rsid w:val="00D3206D"/>
    <w:rsid w:val="00D3489C"/>
    <w:rsid w:val="00D375C0"/>
    <w:rsid w:val="00D4251F"/>
    <w:rsid w:val="00D42BAA"/>
    <w:rsid w:val="00D433DF"/>
    <w:rsid w:val="00D61024"/>
    <w:rsid w:val="00D64977"/>
    <w:rsid w:val="00D64EA9"/>
    <w:rsid w:val="00D66B01"/>
    <w:rsid w:val="00D70A8A"/>
    <w:rsid w:val="00D765DC"/>
    <w:rsid w:val="00D82A34"/>
    <w:rsid w:val="00D91429"/>
    <w:rsid w:val="00D92C40"/>
    <w:rsid w:val="00D92C7C"/>
    <w:rsid w:val="00D938CE"/>
    <w:rsid w:val="00D944E3"/>
    <w:rsid w:val="00D94FBD"/>
    <w:rsid w:val="00D9565A"/>
    <w:rsid w:val="00DA07F4"/>
    <w:rsid w:val="00DA104E"/>
    <w:rsid w:val="00DA1E23"/>
    <w:rsid w:val="00DA7146"/>
    <w:rsid w:val="00DB5CBF"/>
    <w:rsid w:val="00DB6EAC"/>
    <w:rsid w:val="00DC0468"/>
    <w:rsid w:val="00DC0F21"/>
    <w:rsid w:val="00DC3206"/>
    <w:rsid w:val="00DC6E9A"/>
    <w:rsid w:val="00DD5A7F"/>
    <w:rsid w:val="00DE48E3"/>
    <w:rsid w:val="00DE4917"/>
    <w:rsid w:val="00DE4A99"/>
    <w:rsid w:val="00DE6938"/>
    <w:rsid w:val="00DE72A1"/>
    <w:rsid w:val="00DE7630"/>
    <w:rsid w:val="00DE7A8C"/>
    <w:rsid w:val="00DF2836"/>
    <w:rsid w:val="00DF5E45"/>
    <w:rsid w:val="00DF6087"/>
    <w:rsid w:val="00E015A3"/>
    <w:rsid w:val="00E02618"/>
    <w:rsid w:val="00E0262D"/>
    <w:rsid w:val="00E02FBA"/>
    <w:rsid w:val="00E0408F"/>
    <w:rsid w:val="00E06748"/>
    <w:rsid w:val="00E17A66"/>
    <w:rsid w:val="00E20603"/>
    <w:rsid w:val="00E2328D"/>
    <w:rsid w:val="00E23574"/>
    <w:rsid w:val="00E271B9"/>
    <w:rsid w:val="00E27AC2"/>
    <w:rsid w:val="00E30C8C"/>
    <w:rsid w:val="00E328A1"/>
    <w:rsid w:val="00E335DF"/>
    <w:rsid w:val="00E35A17"/>
    <w:rsid w:val="00E37725"/>
    <w:rsid w:val="00E41C42"/>
    <w:rsid w:val="00E427D8"/>
    <w:rsid w:val="00E43AB8"/>
    <w:rsid w:val="00E47F1B"/>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7722E"/>
    <w:rsid w:val="00E82493"/>
    <w:rsid w:val="00E84011"/>
    <w:rsid w:val="00E84532"/>
    <w:rsid w:val="00E85257"/>
    <w:rsid w:val="00E852D8"/>
    <w:rsid w:val="00E9322B"/>
    <w:rsid w:val="00E93328"/>
    <w:rsid w:val="00E93D53"/>
    <w:rsid w:val="00E9451F"/>
    <w:rsid w:val="00E9460D"/>
    <w:rsid w:val="00E95B41"/>
    <w:rsid w:val="00E971AF"/>
    <w:rsid w:val="00EA15AE"/>
    <w:rsid w:val="00EA1D58"/>
    <w:rsid w:val="00EA3E9E"/>
    <w:rsid w:val="00EA7D29"/>
    <w:rsid w:val="00EB00F8"/>
    <w:rsid w:val="00EC0964"/>
    <w:rsid w:val="00ED0968"/>
    <w:rsid w:val="00ED2376"/>
    <w:rsid w:val="00ED4669"/>
    <w:rsid w:val="00EE2543"/>
    <w:rsid w:val="00EE3A88"/>
    <w:rsid w:val="00EE3E27"/>
    <w:rsid w:val="00EE5770"/>
    <w:rsid w:val="00EE5E83"/>
    <w:rsid w:val="00EE5EB0"/>
    <w:rsid w:val="00EF19F5"/>
    <w:rsid w:val="00EF6410"/>
    <w:rsid w:val="00EF6D74"/>
    <w:rsid w:val="00EF71DD"/>
    <w:rsid w:val="00F00FE7"/>
    <w:rsid w:val="00F0295A"/>
    <w:rsid w:val="00F02C90"/>
    <w:rsid w:val="00F03443"/>
    <w:rsid w:val="00F03891"/>
    <w:rsid w:val="00F102F0"/>
    <w:rsid w:val="00F10ACE"/>
    <w:rsid w:val="00F204D3"/>
    <w:rsid w:val="00F23ECD"/>
    <w:rsid w:val="00F24035"/>
    <w:rsid w:val="00F269B7"/>
    <w:rsid w:val="00F30D1D"/>
    <w:rsid w:val="00F3175D"/>
    <w:rsid w:val="00F35E09"/>
    <w:rsid w:val="00F36F19"/>
    <w:rsid w:val="00F36FE2"/>
    <w:rsid w:val="00F370BE"/>
    <w:rsid w:val="00F426BB"/>
    <w:rsid w:val="00F4540C"/>
    <w:rsid w:val="00F5045A"/>
    <w:rsid w:val="00F536ED"/>
    <w:rsid w:val="00F53CC3"/>
    <w:rsid w:val="00F54160"/>
    <w:rsid w:val="00F54543"/>
    <w:rsid w:val="00F555D3"/>
    <w:rsid w:val="00F566A5"/>
    <w:rsid w:val="00F6415F"/>
    <w:rsid w:val="00F64183"/>
    <w:rsid w:val="00F70121"/>
    <w:rsid w:val="00F7166A"/>
    <w:rsid w:val="00F721F3"/>
    <w:rsid w:val="00F72447"/>
    <w:rsid w:val="00F72C04"/>
    <w:rsid w:val="00F73857"/>
    <w:rsid w:val="00F76258"/>
    <w:rsid w:val="00F77A11"/>
    <w:rsid w:val="00F80535"/>
    <w:rsid w:val="00F81325"/>
    <w:rsid w:val="00F81572"/>
    <w:rsid w:val="00F821A1"/>
    <w:rsid w:val="00F85C8C"/>
    <w:rsid w:val="00F867C8"/>
    <w:rsid w:val="00F9018D"/>
    <w:rsid w:val="00F91289"/>
    <w:rsid w:val="00F91F7B"/>
    <w:rsid w:val="00F92753"/>
    <w:rsid w:val="00F945FD"/>
    <w:rsid w:val="00F977E8"/>
    <w:rsid w:val="00FA1419"/>
    <w:rsid w:val="00FA504A"/>
    <w:rsid w:val="00FA6C22"/>
    <w:rsid w:val="00FA7A46"/>
    <w:rsid w:val="00FB0878"/>
    <w:rsid w:val="00FB21E9"/>
    <w:rsid w:val="00FB2FE9"/>
    <w:rsid w:val="00FB6821"/>
    <w:rsid w:val="00FB6FA0"/>
    <w:rsid w:val="00FC24F6"/>
    <w:rsid w:val="00FC39E4"/>
    <w:rsid w:val="00FD0726"/>
    <w:rsid w:val="00FD3DF4"/>
    <w:rsid w:val="00FD597F"/>
    <w:rsid w:val="00FD6702"/>
    <w:rsid w:val="00FD68D3"/>
    <w:rsid w:val="00FD76C2"/>
    <w:rsid w:val="00FE07BA"/>
    <w:rsid w:val="00FE2F87"/>
    <w:rsid w:val="00FF18B7"/>
    <w:rsid w:val="00FF264E"/>
    <w:rsid w:val="00FF5C99"/>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1CA5B1D"/>
  <w15:docId w15:val="{CBBE8370-C99A-4814-8A33-A8FB0909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387AF4"/>
    <w:pPr>
      <w:tabs>
        <w:tab w:val="left" w:pos="1418"/>
        <w:tab w:val="right" w:leader="dot" w:pos="9061"/>
      </w:tabs>
      <w:spacing w:after="0" w:line="36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18"/>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387AF4"/>
    <w:pPr>
      <w:keepNext/>
      <w:keepLines/>
      <w:numPr>
        <w:numId w:val="18"/>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 w:type="paragraph" w:customStyle="1" w:styleId="Default">
    <w:name w:val="Default"/>
    <w:uiPriority w:val="99"/>
    <w:rsid w:val="00387AF4"/>
    <w:pPr>
      <w:autoSpaceDE w:val="0"/>
      <w:autoSpaceDN w:val="0"/>
      <w:adjustRightInd w:val="0"/>
      <w:spacing w:after="0"/>
    </w:pPr>
    <w:rPr>
      <w:rFonts w:eastAsia="Times New Roman" w:cs="Arial"/>
      <w:color w:val="000000"/>
      <w:sz w:val="24"/>
      <w:szCs w:val="24"/>
      <w:lang w:eastAsia="en-GB"/>
    </w:rPr>
  </w:style>
  <w:style w:type="paragraph" w:customStyle="1" w:styleId="Char1CharCharCharCharCharCharCharCharCharCharCharChar1">
    <w:name w:val="Char1 Char Char Char Char Char Char Char Char Char Char Char Char1"/>
    <w:basedOn w:val="Normal"/>
    <w:rsid w:val="00AA3AD9"/>
    <w:pPr>
      <w:spacing w:before="120" w:after="120" w:line="240" w:lineRule="exact"/>
      <w:jc w:val="left"/>
    </w:pPr>
    <w:rPr>
      <w:rFonts w:ascii="Verdana" w:eastAsia="Times New Roman" w:hAnsi="Verdana" w:cs="Verdana"/>
      <w:sz w:val="22"/>
      <w:lang w:val="en-US"/>
    </w:rPr>
  </w:style>
  <w:style w:type="paragraph" w:styleId="BodyText">
    <w:name w:val="Body Text"/>
    <w:basedOn w:val="Normal"/>
    <w:link w:val="BodyTextChar"/>
    <w:rsid w:val="004122C2"/>
    <w:pPr>
      <w:jc w:val="left"/>
    </w:pPr>
    <w:rPr>
      <w:rFonts w:eastAsia="Times New Roman" w:cs="Arial"/>
      <w:b/>
      <w:bCs/>
      <w:sz w:val="24"/>
      <w:szCs w:val="24"/>
    </w:rPr>
  </w:style>
  <w:style w:type="character" w:customStyle="1" w:styleId="BodyTextChar">
    <w:name w:val="Body Text Char"/>
    <w:basedOn w:val="DefaultParagraphFont"/>
    <w:link w:val="BodyText"/>
    <w:rsid w:val="004122C2"/>
    <w:rPr>
      <w:rFonts w:eastAsia="Times New Roman" w:cs="Arial"/>
      <w:b/>
      <w:bCs/>
      <w:sz w:val="24"/>
      <w:szCs w:val="24"/>
    </w:rPr>
  </w:style>
  <w:style w:type="character" w:styleId="UnresolvedMention">
    <w:name w:val="Unresolved Mention"/>
    <w:basedOn w:val="DefaultParagraphFont"/>
    <w:uiPriority w:val="99"/>
    <w:semiHidden/>
    <w:unhideWhenUsed/>
    <w:rsid w:val="00181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sth.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health-family.force.com/login"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rchive xmlns="4b0508c2-833f-4c86-bfa9-572adaa071ac">false</Archive>
    <_dlc_DocId xmlns="4b0508c2-833f-4c86-bfa9-572adaa071ac">KFMPWFRNAA7C-4114-219</_dlc_DocId>
    <_dlc_DocIdUrl xmlns="4b0508c2-833f-4c86-bfa9-572adaa071ac">
      <Url>http://sharepoint.sth.nhs.uk/Dept/Procurement/_layouts/DocIdRedir.aspx?ID=KFMPWFRNAA7C-4114-219</Url>
      <Description>KFMPWFRNAA7C-4114-219</Description>
    </_dlc_DocIdUrl>
    <_dlc_DocIdPersistId xmlns="4b0508c2-833f-4c86-bfa9-572adaa071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A00F90710BD04AA8B51276C510829D" ma:contentTypeVersion="15" ma:contentTypeDescription="Create a new document." ma:contentTypeScope="" ma:versionID="01cc581800b01c21156775ab6316ef60">
  <xsd:schema xmlns:xsd="http://www.w3.org/2001/XMLSchema" xmlns:xs="http://www.w3.org/2001/XMLSchema" xmlns:p="http://schemas.microsoft.com/office/2006/metadata/properties" xmlns:ns2="4b0508c2-833f-4c86-bfa9-572adaa071ac" xmlns:ns3="8eb33351-620b-44f8-941d-6b68e2f5fd7f" targetNamespace="http://schemas.microsoft.com/office/2006/metadata/properties" ma:root="true" ma:fieldsID="71ea3bf598173698e79eb8d6111fc3ac" ns2:_="" ns3:_="">
    <xsd:import namespace="4b0508c2-833f-4c86-bfa9-572adaa071ac"/>
    <xsd:import namespace="8eb33351-620b-44f8-941d-6b68e2f5fd7f"/>
    <xsd:element name="properties">
      <xsd:complexType>
        <xsd:sequence>
          <xsd:element name="documentManagement">
            <xsd:complexType>
              <xsd:all>
                <xsd:element ref="ns2:_dlc_DocId" minOccurs="0"/>
                <xsd:element ref="ns2:_dlc_DocIdUrl" minOccurs="0"/>
                <xsd:element ref="ns2:_dlc_DocIdPersistId" minOccurs="0"/>
                <xsd:element ref="ns2:Archiv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508c2-833f-4c86-bfa9-572adaa071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Archive" ma:index="11" nillable="true" ma:displayName="Archive" ma:default="0" ma:internalName="Archive" ma:readOnly="fals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33351-620b-44f8-941d-6b68e2f5fd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5E623-3E2B-48B4-8E73-B2DCB095EBB3}">
  <ds:schemaRefs>
    <ds:schemaRef ds:uri="http://schemas.openxmlformats.org/officeDocument/2006/bibliography"/>
  </ds:schemaRefs>
</ds:datastoreItem>
</file>

<file path=customXml/itemProps2.xml><?xml version="1.0" encoding="utf-8"?>
<ds:datastoreItem xmlns:ds="http://schemas.openxmlformats.org/officeDocument/2006/customXml" ds:itemID="{610F6835-8A26-44AC-9EC7-FDEDCC3B9568}">
  <ds:schemaRefs>
    <ds:schemaRef ds:uri="http://schemas.microsoft.com/office/2006/metadata/properties"/>
    <ds:schemaRef ds:uri="http://schemas.microsoft.com/office/infopath/2007/PartnerControls"/>
    <ds:schemaRef ds:uri="4b0508c2-833f-4c86-bfa9-572adaa071ac"/>
  </ds:schemaRefs>
</ds:datastoreItem>
</file>

<file path=customXml/itemProps3.xml><?xml version="1.0" encoding="utf-8"?>
<ds:datastoreItem xmlns:ds="http://schemas.openxmlformats.org/officeDocument/2006/customXml" ds:itemID="{37A8ED02-9790-4D6A-B68B-A22A24166FC8}">
  <ds:schemaRefs>
    <ds:schemaRef ds:uri="http://schemas.microsoft.com/sharepoint/v3/contenttype/forms"/>
  </ds:schemaRefs>
</ds:datastoreItem>
</file>

<file path=customXml/itemProps4.xml><?xml version="1.0" encoding="utf-8"?>
<ds:datastoreItem xmlns:ds="http://schemas.openxmlformats.org/officeDocument/2006/customXml" ds:itemID="{30AFFFF1-C898-4512-84A3-224FEEF82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508c2-833f-4c86-bfa9-572adaa071ac"/>
    <ds:schemaRef ds:uri="8eb33351-620b-44f8-941d-6b68e2f5f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17</Pages>
  <Words>3962</Words>
  <Characters>22585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ITT Information Document - V2</vt:lpstr>
    </vt:vector>
  </TitlesOfParts>
  <Company>Foot Anstey LLP</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Information Document - V2</dc:title>
  <dc:creator>Foot Anstey (MS3)</dc:creator>
  <cp:lastModifiedBy>DUFFIELD, Andrew (SHEFFIELD TEACHING HOSPITALS NHS FOUNDATION TRUST)</cp:lastModifiedBy>
  <cp:revision>12</cp:revision>
  <cp:lastPrinted>2015-02-26T10:49:00Z</cp:lastPrinted>
  <dcterms:created xsi:type="dcterms:W3CDTF">2022-08-11T09:04:00Z</dcterms:created>
  <dcterms:modified xsi:type="dcterms:W3CDTF">2024-07-25T07:53:00Z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D/14303408/1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y fmtid="{D5CDD505-2E9C-101B-9397-08002B2CF9AE}" pid="10" name="ContentTypeId">
    <vt:lpwstr>0x01010062A00F90710BD04AA8B51276C510829D</vt:lpwstr>
  </property>
  <property fmtid="{D5CDD505-2E9C-101B-9397-08002B2CF9AE}" pid="11" name="_dlc_DocIdItemGuid">
    <vt:lpwstr>87dc4e0f-a7cc-41c8-990e-3087bb022005</vt:lpwstr>
  </property>
  <property fmtid="{D5CDD505-2E9C-101B-9397-08002B2CF9AE}" pid="12" name="Order">
    <vt:r8>21900</vt:r8>
  </property>
  <property fmtid="{D5CDD505-2E9C-101B-9397-08002B2CF9AE}" pid="13" name="Document ID Value">
    <vt:lpwstr>KFMPWFRNAA7C-4114-219</vt:lpwstr>
  </property>
</Properties>
</file>